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Výbor pro rozpočtovou kontrolu</w:t>
      </w:r>
      <w:r>
        <w:rPr>
          <w:rStyle w:val="HideTWBExt"/>
        </w:rPr>
        <w:t>&lt;/Commission&gt;</w:t>
      </w:r>
    </w:p>
    <w:p>
      <w:pPr>
        <w:pStyle w:val="LineBottom"/>
      </w:pPr>
      <w:r>
        <w:t xml:space="preserve"> </w:t>
      </w:r>
    </w:p>
    <w:p>
      <w:pPr>
        <w:pStyle w:val="CoverReference"/>
      </w:pPr>
      <w:r>
        <w:rPr>
          <w:rStyle w:val="HideTWBExt"/>
        </w:rPr>
        <w:t>&lt;RefProc&gt;</w:t>
      </w:r>
      <w:r>
        <w:t>2025/2145</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{20/02/2026}</w:t>
      </w:r>
      <w:r>
        <w:t>20. 2. 2026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251</w:t>
      </w:r>
      <w:r>
        <w:t xml:space="preserve"> - </w:t>
      </w:r>
      <w:r>
        <w:t>500</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Daniel Freund</w:t>
      </w:r>
      <w:r>
        <w:rPr>
          <w:rStyle w:val="HideTWBExt"/>
        </w:rPr>
        <w:t>&lt;/Rapporteur&gt;</w:t>
      </w:r>
    </w:p>
    <w:p>
      <w:pPr>
        <w:pStyle w:val="CoverNormal24a"/>
      </w:pPr>
      <w:r>
        <w:rPr>
          <w:rStyle w:val="HideTWBExt"/>
        </w:rPr>
        <w:t>&lt;DocRefPE&gt;</w:t>
      </w:r>
      <w:r>
        <w:t>(PE778.123v01-00)</w:t>
      </w:r>
      <w:r>
        <w:rPr>
          <w:rStyle w:val="HideTWBExt"/>
        </w:rPr>
        <w:t>&lt;/DocRefPE&gt;</w:t>
      </w:r>
    </w:p>
    <w:p>
      <w:pPr>
        <w:pStyle w:val="CoverNormal"/>
      </w:pPr>
      <w:r>
        <w:rPr>
          <w:rStyle w:val="HideTWBExt"/>
        </w:rPr>
        <w:t>&lt;Titre&gt;</w:t>
      </w:r>
      <w:r>
        <w:t>Udělení absolutoria za rok 2024: Souhrnný rozpočet EU – Komise</w:t>
      </w:r>
      <w:r>
        <w:rPr>
          <w:rStyle w:val="HideTWBExt"/>
        </w:rPr>
        <w:t>&lt;/Titre&gt;</w:t>
      </w:r>
    </w:p>
    <w:p>
      <w:pPr>
        <w:pStyle w:val="CoverNormal24a"/>
      </w:pPr>
      <w:r>
        <w:rPr>
          <w:rStyle w:val="HideTWBExt"/>
        </w:rPr>
        <w:t>&lt;DocRef&gt;</w:t>
      </w:r>
      <w:r>
        <w:t>(2025/2145(DEC))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111.</w:t>
            </w:r>
            <w:r>
              <w:tab/>
            </w:r>
            <w:r>
              <w:t xml:space="preserve">připomíná, že SZP na období 2023–2027 je postavena na deseti klíčových cílech, včetně zajištění spravedlivého příjmu pro zemědělce; domnívá se, že přímá podpora příjmů v rámci SZP by měla být poskytována </w:t>
            </w:r>
            <w:r>
              <w:rPr>
                <w:b/>
                <w:i/>
              </w:rPr>
              <w:t>pouze aktivním</w:t>
            </w:r>
            <w:r>
              <w:t xml:space="preserve"> zemědělcům, </w:t>
            </w:r>
            <w:r>
              <w:rPr>
                <w:b/>
                <w:i/>
              </w:rPr>
              <w:t>jejichž hlavní činností je zemědělství, se zvláštním zaměřením na ty,</w:t>
            </w:r>
            <w:r>
              <w:t xml:space="preserve"> kteří </w:t>
            </w:r>
            <w:r>
              <w:rPr>
                <w:b/>
                <w:i/>
              </w:rPr>
              <w:t>to nejvíce potřebují, jako jsou rodinné a malé zemědělské podniky, zemědělské podniky</w:t>
            </w:r>
            <w:r>
              <w:t xml:space="preserve"> v oblastech s přírodními nebo jinými specifickými problémy, </w:t>
            </w:r>
            <w:r>
              <w:rPr>
                <w:b/>
                <w:i/>
              </w:rPr>
              <w:t>mladí zemědělci a ženy</w:t>
            </w:r>
            <w:r>
              <w:t xml:space="preserve">; domnívá se, že Komise by měla přijmout opatření ke zvýšení účinnosti zemědělských fondů Unie a zajistit, aby přímou podporu příjmů dostávali </w:t>
            </w:r>
            <w:r>
              <w:rPr>
                <w:b/>
                <w:i/>
              </w:rPr>
              <w:t>pouze aktivní</w:t>
            </w:r>
            <w:r>
              <w:t xml:space="preserve"> zemědělci, a nikoli vlastníci půdy;</w:t>
            </w:r>
          </w:p>
        </w:tc>
        <w:tc>
          <w:tcPr>
            <w:tcW w:w="4876" w:type="dxa"/>
            <w:tcBorders>
              <w:top w:val="nil"/>
              <w:left w:val="nil"/>
              <w:bottom w:val="nil"/>
              <w:right w:val="nil"/>
            </w:tcBorders>
          </w:tcPr>
          <w:p>
            <w:pPr>
              <w:pStyle w:val="Normal6a"/>
            </w:pPr>
            <w:r>
              <w:t>111.</w:t>
            </w:r>
            <w:r>
              <w:tab/>
            </w:r>
            <w:r>
              <w:t xml:space="preserve">připomíná, že SZP na období 2023–2027 je postavena na deseti klíčových cílech, včetně zajištění spravedlivého příjmu pro zemědělce; domnívá se, že přímá podpora příjmů v rámci SZP by měla být poskytována </w:t>
            </w:r>
            <w:r>
              <w:rPr>
                <w:b/>
                <w:i/>
              </w:rPr>
              <w:t>všem</w:t>
            </w:r>
            <w:r>
              <w:t xml:space="preserve"> zemědělcům, kteří </w:t>
            </w:r>
            <w:r>
              <w:rPr>
                <w:b/>
                <w:i/>
              </w:rPr>
              <w:t>se podílejí na produkci potravin;</w:t>
            </w:r>
            <w:r>
              <w:t xml:space="preserve"> </w:t>
            </w:r>
            <w:r>
              <w:rPr>
                <w:b/>
                <w:i/>
              </w:rPr>
              <w:t>zvláštní pozornost by měla být věnována rodinným a malým zemědělským podnikům, zemědělským podnikům</w:t>
            </w:r>
            <w:r>
              <w:t xml:space="preserve"> v oblastech s přírodními nebo jinými specifickými problémy, </w:t>
            </w:r>
            <w:r>
              <w:rPr>
                <w:b/>
                <w:i/>
              </w:rPr>
              <w:t>mladým zemědělcům a zemědělkyním</w:t>
            </w:r>
            <w:r>
              <w:t xml:space="preserve">; domnívá se, že Komise by měla přijmout opatření ke zvýšení účinnosti zemědělských fondů Unie a zajistit, aby přímou podporu příjmů dostávali </w:t>
            </w:r>
            <w:r>
              <w:rPr>
                <w:b/>
                <w:i/>
              </w:rPr>
              <w:t>všichni</w:t>
            </w:r>
            <w:r>
              <w:t xml:space="preserve"> zemědělci</w:t>
            </w:r>
            <w:r>
              <w:rPr>
                <w:b/>
                <w:i/>
              </w:rPr>
              <w:t>, kteří plní zákonné požadavky</w:t>
            </w:r>
            <w:r>
              <w:t>, a nikoli vlastníci půdy;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111.</w:t>
            </w:r>
            <w:r>
              <w:tab/>
            </w:r>
            <w:r>
              <w:t xml:space="preserve">připomíná, že SZP na období 2023–2027 je postavena na deseti klíčových cílech, včetně zajištění spravedlivého příjmu pro zemědělce; domnívá se, že přímá podpora příjmů v rámci SZP by měla být </w:t>
            </w:r>
            <w:r>
              <w:rPr>
                <w:b/>
                <w:i/>
              </w:rPr>
              <w:t>poskytována pouze aktivním zemědělcům, jejichž hlavní činností je zemědělství</w:t>
            </w:r>
            <w:r>
              <w:t>, se zvláštním zaměřením na ty, kteří to nejvíce potřebují, jako jsou rodinné a malé zemědělské podniky, zemědělské podniky v oblastech s přírodními nebo jinými specifickými problémy, mladí zemědělci a ženy; domnívá se, že Komise by měla přijmout opatření ke zvýšení účinnosti zemědělských fondů Unie a zajistit, aby přímou podporu příjmů dostávali pouze aktivní zemědělci</w:t>
            </w:r>
            <w:r>
              <w:rPr>
                <w:b/>
                <w:i/>
              </w:rPr>
              <w:t>, a nikoli vlastníci půdy</w:t>
            </w:r>
            <w:r>
              <w:t>;</w:t>
            </w:r>
          </w:p>
        </w:tc>
        <w:tc>
          <w:tcPr>
            <w:tcW w:w="4876" w:type="dxa"/>
            <w:tcBorders>
              <w:top w:val="nil"/>
              <w:left w:val="nil"/>
              <w:bottom w:val="nil"/>
              <w:right w:val="nil"/>
            </w:tcBorders>
          </w:tcPr>
          <w:p>
            <w:pPr>
              <w:pStyle w:val="Normal6a"/>
            </w:pPr>
            <w:r>
              <w:t>111.</w:t>
            </w:r>
            <w:r>
              <w:tab/>
            </w:r>
            <w:r>
              <w:t xml:space="preserve">připomíná, že SZP na období 2023–2027 je postavena na deseti klíčových cílech, včetně zajištění spravedlivého příjmu pro zemědělce; domnívá se, že přímá podpora příjmů v rámci SZP by měla být </w:t>
            </w:r>
            <w:r>
              <w:rPr>
                <w:b/>
                <w:i/>
              </w:rPr>
              <w:t>lépe zacílena na zemědělce, kteří jsou zapojeni do zemědělské produkce</w:t>
            </w:r>
            <w:r>
              <w:t>, se zvláštním zaměřením na ty, kteří to nejvíce potřebují, jako jsou rodinné a malé zemědělské podniky, zemědělské podniky v oblastech s přírodními nebo jinými specifickými problémy, mladí zemědělci a ženy; domnívá se, že Komise by měla přijmout opatření ke zvýšení účinnosti zemědělských fondů Unie a zajistit, aby přímou podporu příjmů dostávali pouze aktivní zemědělci;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Georgios Aftias,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112.</w:t>
            </w:r>
            <w:r>
              <w:tab/>
            </w:r>
            <w:r>
              <w:t xml:space="preserve">je znepokojen obviněními z rozsáhlých podvodů poškozujících zemědělské fondy Unie, o nichž média poprvé informovala v únoru 2025 a která se týkala řecké Platební a kontrolní agentury pro podporu Společenství a záruční fondy (OPEKEPE); připomíná, že úřad EPPO v květnu 2025 zveřejnil tiskovou zprávu, v níž potvrdil, že vede vyšetřování údajného organizovaného podvodu se zemědělskými fondy a korupce, do níž jsou zapojeni veřejní činitelé agentury OPEKEPE; připomíná, že úřad EPPO podle tiskových zpráv předal řeckému parlamentu informace o vyšetřování dvou bývalých ministrů; </w:t>
            </w:r>
            <w:r>
              <w:rPr>
                <w:b/>
                <w:i/>
              </w:rPr>
              <w:t>konstatuje, že skandál OPEKEPE vedl k rezignaci několika ministrů a náměstků ministrů kvůli jejich údajnému zapojení do skandálu;</w:t>
            </w:r>
            <w:r>
              <w:t xml:space="preserve"> se znepokojením bere na vědomí tiskovou zprávu úřadu EPPO ze dne 22. října 2025, v níž se vysvětluje, že v průběhu předběžného vyšetřování úřadu EPPO byla identifikována organizovaná zločinecká skupina, která se údajně podílela na systematickém rozsáhlém systému dotačních podvodů a praní špinavých peněz;</w:t>
            </w:r>
          </w:p>
        </w:tc>
        <w:tc>
          <w:tcPr>
            <w:tcW w:w="4876" w:type="dxa"/>
            <w:tcBorders>
              <w:top w:val="nil"/>
              <w:left w:val="nil"/>
              <w:bottom w:val="nil"/>
              <w:right w:val="nil"/>
            </w:tcBorders>
          </w:tcPr>
          <w:p>
            <w:pPr>
              <w:pStyle w:val="Normal6a"/>
            </w:pPr>
            <w:r>
              <w:t>112.</w:t>
            </w:r>
            <w:r>
              <w:tab/>
            </w:r>
            <w:r>
              <w:t xml:space="preserve">je znepokojen obviněními z rozsáhlých podvodů poškozujících zemědělské fondy Unie </w:t>
            </w:r>
            <w:r>
              <w:rPr>
                <w:b/>
                <w:i/>
              </w:rPr>
              <w:t>v rámci sdíleného řízení</w:t>
            </w:r>
            <w:r>
              <w:t xml:space="preserve">, o nichž média poprvé informovala v únoru 2025 a která se týkala řecké Platební a kontrolní agentury pro podporu Společenství a záruční fondy (OPEKEPE); připomíná, že úřad EPPO v květnu 2025 zveřejnil tiskovou zprávu, v níž potvrdil, že vede vyšetřování údajného organizovaného podvodu se zemědělskými fondy a korupce, do níž jsou zapojeni veřejní činitelé agentury OPEKEPE; připomíná, že úřad EPPO podle tiskových zpráv předal řeckému parlamentu informace o vyšetřování dvou bývalých ministrů; se znepokojením bere na vědomí tiskovou zprávu úřadu EPPO ze dne 22. října 2025, v níž se vysvětluje, že v průběhu předběžného vyšetřování úřadu EPPO byla identifikována organizovaná zločinecká skupina, která se údajně podílela na systematickém rozsáhlém systému dotačních podvodů a praní špinavých peněz; </w:t>
            </w:r>
            <w:r>
              <w:rPr>
                <w:b/>
                <w:i/>
              </w:rPr>
              <w:t>bere na vědomí rychlou reakci řeckých orgánů, včetně mimo jiné rozhodnutí o zřízení zvláštní vyšetřovací pracovní skupiny složené z finanční policie a nezávislého úřadu pro veřejné příjmy;</w:t>
            </w:r>
            <w:r>
              <w:t xml:space="preserve"> </w:t>
            </w:r>
            <w:r>
              <w:rPr>
                <w:b/>
                <w:i/>
              </w:rPr>
              <w:t>v této souvislosti zdůrazňuje, že byl zabaven majetek několika osob podezřelých ze zapojení do údajné trestné činnosti;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112a.</w:t>
            </w:r>
            <w:r>
              <w:tab/>
            </w:r>
            <w:r>
              <w:rPr>
                <w:b/>
                <w:i/>
              </w:rPr>
              <w:t>poukazuje na to, že jednotlivci, kteří nejsou zemědělci ani vlastníky zemědělských podniků, obdrželi finanční prostředky EU určené pro zemědělce a že v Řecku byli obviněni političtí činitelé;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Georgios Aftias,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113.</w:t>
            </w:r>
            <w:r>
              <w:tab/>
            </w:r>
            <w:r>
              <w:t>bere na vědomí, že GŘ AGRI vydalo ve své výroční zprávě o činnosti za rok 2024 čtyři výhrady týkající se výdajů spravovaných agenturou OPEKEPE; konstatuje, že jedna taková výhrada se týká všech intervencí v systému IACS v rámci strategických plánů SZP, neboť audit dodržování předpisů provedený GŘ AGRI a práce certifikačního subjektu odhalily řadu možných závažných nedostatků v souvislosti s prováděním systému identifikace zemědělských pozemků, jakož i v koncepci a fungování řídícího a kontrolního systému; bere na vědomí další výhradu, která se týkala výdajů, jež nejsou součástí systému IACS, v rámci strategických plánů SZP, které se vztahují na odvětví vína a včelařství, a to z důvodu možných závažných nedostatků v souvislosti s návrhem nebo nastavením systémů, které nezohledňují zásady hospodárnosti, účinnosti a opatření k zamezení dvojího financování; konstatuje, že třetí výhrada k agentuře OPEKEPE se týká programů rozvoje venkova na období 2014–2022, u nichž se odhaduje upravená míra chyb na 7,45 %, a to v důsledku auditů GŘ AGRI v letech 2023 a 2024, které zjistily několik nedostatků týkajících se systému identifikace pozemků, nedostatků v kontrolách na místě prováděných agenturou OPEKEPE, závažné nedostatky, pokud jde o dohled a kontroly místních akčních skupin, postupy pro ověřování případného vytváření umělých podmínek, kontroly dvojího financování a veřejných zakázek a nedostatky v hodnocení přiměřenosti nákladů a ověřování statusu malých a středních podniků; bere na vědomí čtvrtou výhradu týkající se tržních opatření mimo strategické plány SZP, která se vztahuje na organizace producentů ovoce a zeleniny a mimořádná opatření, u nichž se odhaduje upravená míra chyb na 10 % v návaznosti na audit GŘ AGRI v roce 2024, který zjistil nedostatky v administrativních kontrolách a kontrolách na místě, jež mají dopad na mimořádná opatření, a vzhledem k tomu, že na základě posouzení certifikačního orgánu byly provedeny úpravy míry chyb u organizací producentů ovoce a zeleniny a propagace;</w:t>
            </w:r>
          </w:p>
        </w:tc>
        <w:tc>
          <w:tcPr>
            <w:tcW w:w="4876" w:type="dxa"/>
            <w:tcBorders>
              <w:top w:val="nil"/>
              <w:left w:val="nil"/>
              <w:bottom w:val="nil"/>
              <w:right w:val="nil"/>
            </w:tcBorders>
          </w:tcPr>
          <w:p>
            <w:pPr>
              <w:pStyle w:val="Normal6a"/>
            </w:pPr>
            <w:r>
              <w:t>113.</w:t>
            </w:r>
            <w:r>
              <w:tab/>
            </w:r>
            <w:r>
              <w:t xml:space="preserve">bere na vědomí, že GŘ AGRI vydalo ve své výroční zprávě o činnosti za rok 2024 čtyři výhrady týkající se výdajů spravovaných agenturou OPEKEPE; konstatuje, že jedna taková výhrada se týká všech intervencí v systému IACS v rámci strategických plánů SZP, neboť audit dodržování předpisů provedený GŘ AGRI a práce certifikačního subjektu odhalily řadu možných závažných nedostatků v souvislosti s prováděním systému identifikace zemědělských pozemků, jakož i v koncepci a fungování řídícího a kontrolního systému; bere na vědomí další výhradu, která se týkala výdajů, jež nejsou součástí systému IACS, v rámci strategických plánů SZP, které se vztahují na odvětví vína a včelařství, a to z důvodu možných závažných nedostatků v souvislosti s návrhem nebo nastavením systémů, které nezohledňují zásady hospodárnosti, účinnosti a opatření k zamezení dvojího financování; konstatuje, že třetí výhrada k agentuře OPEKEPE se týká programů rozvoje venkova na období 2014–2022, u nichž se odhaduje upravená míra chyb na 7,45 %, a to v důsledku auditů GŘ AGRI v letech 2023 a 2024, které zjistily několik nedostatků týkajících se systému identifikace pozemků, nedostatků v kontrolách na místě prováděných agenturou OPEKEPE, závažné nedostatky, pokud jde o dohled a kontroly místních akčních skupin, postupy pro ověřování případného vytváření umělých podmínek, kontroly dvojího financování a veřejných zakázek a nedostatky v hodnocení přiměřenosti nákladů a ověřování statusu malých a středních podniků; bere na vědomí čtvrtou výhradu týkající se tržních opatření mimo strategické plány SZP, která se vztahuje na organizace producentů ovoce a zeleniny a mimořádná opatření, u nichž se odhaduje upravená míra chyb na 10 % v návaznosti na audit GŘ AGRI v roce 2024, který zjistil nedostatky v administrativních kontrolách a kontrolách na místě, jež mají dopad na mimořádná opatření, a vzhledem k tomu, že na základě posouzení certifikačního orgánu byly provedeny úpravy míry chyb u organizací producentů ovoce a zeleniny a propagace; </w:t>
            </w:r>
            <w:r>
              <w:rPr>
                <w:b/>
                <w:i/>
              </w:rPr>
              <w:t>bere na vědomí, že řecké orgány vypracovaly akční plán, který GŘ AGRI akceptovalo jako dostatečný základ pro nápravu výše uvedených nedostatků;</w:t>
            </w:r>
            <w:r>
              <w:t xml:space="preserve"> </w:t>
            </w:r>
            <w:r>
              <w:rPr>
                <w:b/>
                <w:i/>
              </w:rPr>
              <w:t>připomíná, že Komise průběžně monitoruje všechna nápravná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Georgios Aftias,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114.</w:t>
            </w:r>
            <w:r>
              <w:tab/>
            </w:r>
            <w:r>
              <w:t>bere na vědomí písemné odpovědi Komise, že v roce 2023 a znovu v červnu 2024 požádalo GŘ AGRI, aby příslušný řecký orgán uložil přezkum akreditace agentury OPEKEPE; bere na vědomí vysvětlení ve výroční zprávě o činnosti GŘ AGRI, že certifikační subjekt a GŘ AGRI zjistily nedostatky týkající se několika akreditačních kritérií, v důsledku čehož v září 2024 řecké orgány uložily přezkum akreditace agentury OPEKEPE a vypracovaly akreditační akční plán; dále bere na vědomí, že Komise sleduje pokrok v provádění tohoto plánu nápravných opatření; trvá na tom, aby Komise předala orgánu příslušnému k udělení absolutoria nejnovější revidovaný akční plán a jeho hodnocení;</w:t>
            </w:r>
          </w:p>
        </w:tc>
        <w:tc>
          <w:tcPr>
            <w:tcW w:w="4876" w:type="dxa"/>
            <w:tcBorders>
              <w:top w:val="nil"/>
              <w:left w:val="nil"/>
              <w:bottom w:val="nil"/>
              <w:right w:val="nil"/>
            </w:tcBorders>
          </w:tcPr>
          <w:p>
            <w:pPr>
              <w:pStyle w:val="Normal6a"/>
            </w:pPr>
            <w:r>
              <w:t>114.</w:t>
            </w:r>
            <w:r>
              <w:tab/>
            </w:r>
            <w:r>
              <w:t xml:space="preserve">bere na vědomí písemné odpovědi Komise, že v roce 2023 a znovu v červnu 2024 požádalo GŘ AGRI, aby příslušný řecký orgán uložil přezkum akreditace agentury OPEKEPE; bere na vědomí vysvětlení ve výroční zprávě o činnosti GŘ AGRI, že certifikační subjekt a GŘ AGRI zjistily nedostatky týkající se několika akreditačních kritérií, v důsledku čehož v září 2024 řecké orgány uložily přezkum akreditace agentury OPEKEPE a vypracovaly akreditační akční plán; dále bere na vědomí, že Komise sleduje pokrok v provádění tohoto plánu nápravných opatření; trvá na tom, aby Komise předala orgánu příslušnému k udělení absolutoria nejnovější revidovaný akční plán a jeho hodnocení; </w:t>
            </w:r>
            <w:r>
              <w:rPr>
                <w:b/>
                <w:i/>
              </w:rPr>
              <w:t>bere na vědomí konkrétní opatření řeckých orgánů k neprodlenému provedení nápravných opatření, řešení zjištěných strukturálních nedostatků, zvýšení transparentnosti příjemců a posílení kontrol zaměřených na boj proti podvodům;</w:t>
            </w:r>
            <w:r>
              <w:t xml:space="preserve"> </w:t>
            </w:r>
            <w:r>
              <w:rPr>
                <w:b/>
                <w:i/>
              </w:rPr>
              <w:t>vítá v této souvislosti významnou reformu, která byla nedávno zavedena zákonem s cílem plně převést agenturu OPEKEPE pod Nezávislý úřad pro veřejné příjmy (AADE), jehož nepopiratelná pověst poskytuje nezbytné záruky pro obnovení důvěryhodnosti a modernizaci systému;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117.</w:t>
            </w:r>
            <w:r>
              <w:tab/>
            </w:r>
            <w:r>
              <w:rPr>
                <w:b/>
                <w:i/>
              </w:rPr>
              <w:t>připomíná, že v době, kdy současný český premiér vykonával svůj předchozí mandát, bylo zjištěno, že se nachází ve střetu zájmů, a poukazuje na příslušné usnesení Evropského parlamentu ze dne 13. prosince 2018</w:t>
            </w:r>
            <w:r>
              <w:rPr>
                <w:b/>
                <w:i/>
                <w:vertAlign w:val="superscript"/>
              </w:rPr>
              <w:t>12</w:t>
            </w:r>
            <w:r>
              <w:rPr>
                <w:b/>
                <w:i/>
              </w:rPr>
              <w:t>;</w:t>
            </w:r>
            <w:r>
              <w:t xml:space="preserve"> </w:t>
            </w:r>
            <w:r>
              <w:rPr>
                <w:b/>
                <w:i/>
              </w:rPr>
              <w:t>bere na vědomí písemné odpovědi Komise týkající se opatření, jež byla přijata v reakci na střet zájmů, který vznikl tím, že Andrej Babiš byl vlastníkem společnosti Agrofert v době, kdy zastával funkci předsedy vlády České republiky;</w:t>
            </w:r>
            <w:r>
              <w:t xml:space="preserve"> </w:t>
            </w:r>
            <w:r>
              <w:rPr>
                <w:b/>
                <w:i/>
              </w:rPr>
              <w:t>zejména konstatuje, že Komise v březnu 2020 pozastavila platbu na jeden projekt společnosti Agrofert v hodnotě 30 606,96 EUR;</w:t>
            </w:r>
            <w:r>
              <w:t xml:space="preserve"> </w:t>
            </w:r>
            <w:r>
              <w:rPr>
                <w:b/>
                <w:i/>
              </w:rPr>
              <w:t>konstatuje, že v červnu 2022 Komise uplatnila vůči Česku finanční opravu ve výši 3,3 milionu EUR, z níž část (30 606,96 EUR) se týkala situace střetu zájmů předsedy vlády během jeho mandátu, který skončil v roce 2021</w:t>
            </w:r>
            <w:r>
              <w:rPr>
                <w:b/>
                <w:i/>
                <w:vertAlign w:val="superscript"/>
              </w:rPr>
              <w:t>13</w:t>
            </w:r>
            <w:r>
              <w:rPr>
                <w:b/>
                <w:i/>
              </w:rPr>
              <w:t>;</w:t>
            </w:r>
            <w:r>
              <w:t xml:space="preserve"> trvá na tom, že Komise by měla i nadále sledovat možné střety zájmů, které by mohly ovlivnit finanční prostředky Unie, zejména ve vztahu k osobám zastávajícím volené funkce, a přijmout opatření na ochranu rozpočtu Unie;</w:t>
            </w:r>
          </w:p>
        </w:tc>
        <w:tc>
          <w:tcPr>
            <w:tcW w:w="4876" w:type="dxa"/>
            <w:tcBorders>
              <w:top w:val="nil"/>
              <w:left w:val="nil"/>
              <w:bottom w:val="nil"/>
              <w:right w:val="nil"/>
            </w:tcBorders>
          </w:tcPr>
          <w:p>
            <w:pPr>
              <w:pStyle w:val="Normal6a"/>
            </w:pPr>
            <w:r>
              <w:t>117.</w:t>
            </w:r>
            <w:r>
              <w:tab/>
            </w:r>
            <w:r>
              <w:t>trvá na tom, že Komise by měla i nadále sledovat možné střety zájmů, které by mohly ovlivnit finanční prostředky Unie, zejména ve vztahu k osobám zastávajícím volené funkce, a přijmout opatření na ochranu rozpočtu Unie;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Přijaté texty, P8_TA(2018)0530.</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Prováděcí rozhodnutí Komise (EU) 2022/908 ze dne 8. června 2022, kterým se z financování Evropskou unií vylučují některé výdaje vynaložené členskými státy v rámci Evropského zemědělského záručního fondu (EZZF) a v rámci Evropského zemědělského fondu pro rozvoj venkova (EZFRV) (Úř. věst. L 157, 10.6.2022, s.</w:t>
            </w:r>
            <w:r>
              <w:t xml:space="preserve"> </w:t>
            </w:r>
            <w:r>
              <w:rPr>
                <w:b/>
                <w:i/>
              </w:rPr>
              <w:t>15, ELI: http://data.europa.eu/eli/dec_impl/2022/908/oj).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117.</w:t>
            </w:r>
            <w:r>
              <w:tab/>
            </w:r>
            <w:r>
              <w:t xml:space="preserve">připomíná, že v době, kdy </w:t>
            </w:r>
            <w:r>
              <w:rPr>
                <w:b/>
                <w:i/>
              </w:rPr>
              <w:t>současný český premiér</w:t>
            </w:r>
            <w:r>
              <w:t xml:space="preserve"> vykonával svůj předchozí mandát, bylo zjištěno, že se nachází ve střetu zájmů, a poukazuje na příslušné usnesení Evropského parlamentu ze dne 13. prosince 2018</w:t>
            </w:r>
            <w:r>
              <w:rPr>
                <w:b/>
                <w:i/>
                <w:vertAlign w:val="superscript"/>
              </w:rPr>
              <w:t>12</w:t>
            </w:r>
            <w:r>
              <w:t>; bere na vědomí písemné odpovědi Komise týkající se opatření</w:t>
            </w:r>
            <w:r>
              <w:rPr>
                <w:b/>
                <w:i/>
              </w:rPr>
              <w:t>, jež byla přijata</w:t>
            </w:r>
            <w:r>
              <w:t xml:space="preserve"> v reakci na střet zájmů</w:t>
            </w:r>
            <w:r>
              <w:rPr>
                <w:b/>
                <w:i/>
              </w:rPr>
              <w:t>, který vznikl tím, že Andrej Babiš byl vlastníkem</w:t>
            </w:r>
            <w:r>
              <w:t xml:space="preserve"> společnosti </w:t>
            </w:r>
            <w:r>
              <w:rPr>
                <w:b/>
                <w:i/>
              </w:rPr>
              <w:t>Agrofert v době, kdy zastával funkci předsedy vlády České republiky</w:t>
            </w:r>
            <w:r>
              <w:t xml:space="preserve">; zejména konstatuje, že Komise v březnu 2020 pozastavila platbu na jeden projekt </w:t>
            </w:r>
            <w:r>
              <w:rPr>
                <w:b/>
                <w:i/>
              </w:rPr>
              <w:t>společnosti Agrofert</w:t>
            </w:r>
            <w:r>
              <w:t xml:space="preserve"> v hodnotě 30 606,96 EUR; konstatuje, že v červnu 2022 Komise uplatnila vůči Česku finanční opravu ve výši 3,3 milionu EUR, z níž část (30 606,96 EUR) se týkala situace střetu zájmů </w:t>
            </w:r>
            <w:r>
              <w:rPr>
                <w:b/>
                <w:i/>
              </w:rPr>
              <w:t>předsedy vlády</w:t>
            </w:r>
            <w:r>
              <w:t xml:space="preserve"> během </w:t>
            </w:r>
            <w:r>
              <w:rPr>
                <w:b/>
                <w:i/>
              </w:rPr>
              <w:t>jeho</w:t>
            </w:r>
            <w:r>
              <w:t xml:space="preserve"> mandátu, který skončil v roce 2021</w:t>
            </w:r>
            <w:r>
              <w:rPr>
                <w:b/>
                <w:i/>
                <w:vertAlign w:val="superscript"/>
              </w:rPr>
              <w:t>13</w:t>
            </w:r>
            <w:r>
              <w:t>; trvá na tom, že Komise by měla i nadále sledovat možné střety zájmů, které by mohly ovlivnit finanční prostředky Unie, zejména ve vztahu k osobám zastávajícím volené funkce, a přijmout opatření na ochranu rozpočtu Unie</w:t>
            </w:r>
            <w:r>
              <w:rPr>
                <w:b/>
                <w:i/>
              </w:rPr>
              <w:t>;</w:t>
            </w:r>
          </w:p>
        </w:tc>
        <w:tc>
          <w:tcPr>
            <w:tcW w:w="4876" w:type="dxa"/>
            <w:tcBorders>
              <w:top w:val="nil"/>
              <w:left w:val="nil"/>
              <w:bottom w:val="nil"/>
              <w:right w:val="nil"/>
            </w:tcBorders>
          </w:tcPr>
          <w:p>
            <w:pPr>
              <w:pStyle w:val="Normal6a"/>
            </w:pPr>
            <w:r>
              <w:t>117.</w:t>
            </w:r>
            <w:r>
              <w:tab/>
            </w:r>
            <w:r>
              <w:t xml:space="preserve">připomíná, že v době, kdy </w:t>
            </w:r>
            <w:r>
              <w:rPr>
                <w:b/>
                <w:i/>
              </w:rPr>
              <w:t>vysoce postavený veřejný činitel v Česku</w:t>
            </w:r>
            <w:r>
              <w:t xml:space="preserve"> vykonával svůj předchozí mandát, bylo zjištěno, že se nachází ve střetu zájmů, a poukazuje na příslušné usnesení Evropského parlamentu ze dne 13. prosince 2018; bere na vědomí písemné odpovědi Komise týkající se opatření </w:t>
            </w:r>
            <w:r>
              <w:rPr>
                <w:b/>
                <w:i/>
              </w:rPr>
              <w:t>přijatých</w:t>
            </w:r>
            <w:r>
              <w:t xml:space="preserve"> v reakci na střet zájmů </w:t>
            </w:r>
            <w:r>
              <w:rPr>
                <w:b/>
                <w:i/>
              </w:rPr>
              <w:t>vyplývající z vlastnictví soukromé holdingové</w:t>
            </w:r>
            <w:r>
              <w:t xml:space="preserve"> společnosti </w:t>
            </w:r>
            <w:r>
              <w:rPr>
                <w:b/>
                <w:i/>
              </w:rPr>
              <w:t>při výkonu veřejné funkce</w:t>
            </w:r>
            <w:r>
              <w:t>; zejména konstatuje, že Komise v březnu 2020 pozastavila platbu na jeden projekt v hodnotě 30 606,96 EUR; konstatuje, že v červnu 2022 Komise uplatnila vůči Česku finanční opravu ve výši 3,3 milionu EUR, z níž část (30 606,96 EUR) se týkala situace střetu zájmů během mandátu, který skončil v roce 2021; trvá na tom, že Komise by měla i nadále sledovat možné střety zájmů, které by mohly ovlivnit finanční prostředky Unie, zejména ve vztahu k osobám zastávajícím volené funkce, a přijmout opatření na ochranu rozpočtu Unie</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Přijaté texty, P8_TA(2018)0530.</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Prováděcí rozhodnutí Komise (EU) 2022/908 ze dne 8. června 2022, kterým se z financování Evropskou unií vylučují některé výdaje vynaložené členskými státy v rámci Evropského zemědělského záručního fondu (EZZF) a v rámci Evropského zemědělského fondu pro rozvoj venkova (EZFRV) (Úř. věst. L 157, 10.6.2022, s.</w:t>
            </w:r>
            <w:r>
              <w:t xml:space="preserve"> </w:t>
            </w:r>
            <w:r>
              <w:rPr>
                <w:b/>
                <w:i/>
              </w:rPr>
              <w:t>15, ELI: http://data.europa.eu/eli/dec_impl/2022/908/oj).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118.</w:t>
            </w:r>
            <w:r>
              <w:tab/>
            </w:r>
            <w:r>
              <w:rPr>
                <w:b/>
                <w:i/>
              </w:rPr>
              <w:t>konstatuje, že Andrej Babiš byl znovu zvolen a v prosinci 2025 se stal předsedou vlády České republiky;</w:t>
            </w:r>
            <w:r>
              <w:t xml:space="preserve"> </w:t>
            </w:r>
            <w:r>
              <w:rPr>
                <w:b/>
                <w:i/>
              </w:rPr>
              <w:t>bere na vědomí jeho veřejné oznámení, že se hodlá vzdát vlastnictví společnosti Agrofert a kontroly nad ní vytvořením údajně nevratného svěřenského fondu;</w:t>
            </w:r>
            <w:r>
              <w:t xml:space="preserve"> </w:t>
            </w:r>
            <w:r>
              <w:rPr>
                <w:b/>
                <w:i/>
              </w:rPr>
              <w:t>konstatuje však, že dosud nebyla zveřejněna žádná konkrétní právní dokumentace, svěřenská struktura nebyla k 15. lednu 2026 dosud vytvořena, není známo, v jaké jurisdikci se bude nacházet ani jak bude řízena a kdo budou její správci, a poukazuje na to, že Andrej Babiš nadále vlastní Agrofert a má další obchodní zájmy, které by mohly mít z finančních prostředků Unie potenciální prospěch;</w:t>
            </w:r>
            <w:r>
              <w:t xml:space="preserve"> </w:t>
            </w:r>
            <w:r>
              <w:rPr>
                <w:b/>
                <w:i/>
              </w:rPr>
              <w:t>dále poznamenává, že i v případě, že bude realizováno řešení popsané výše, by Agrofert nakonec přešel na děti Andreje Babiše, který si tím jednoznačně zachovává dlouhodobý ekonomický zájem;</w:t>
            </w:r>
            <w:r>
              <w:t xml:space="preserve"> </w:t>
            </w:r>
            <w:r>
              <w:rPr>
                <w:b/>
                <w:i/>
              </w:rPr>
              <w:t>zdůrazňuje, že k rozptýlení obav ze střetu zájmů nestačí pouhé oznámení, že v budoucnosti budou učiněna určitá opatření;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118.</w:t>
            </w:r>
            <w:r>
              <w:tab/>
            </w:r>
            <w:r>
              <w:t xml:space="preserve">konstatuje, že </w:t>
            </w:r>
            <w:r>
              <w:rPr>
                <w:b/>
                <w:i/>
              </w:rPr>
              <w:t>Andrej Babiš byl znovu zvolen a</w:t>
            </w:r>
            <w:r>
              <w:t xml:space="preserve"> v prosinci 2025 </w:t>
            </w:r>
            <w:r>
              <w:rPr>
                <w:b/>
                <w:i/>
              </w:rPr>
              <w:t>se stal předsedou vlády České republiky</w:t>
            </w:r>
            <w:r>
              <w:t xml:space="preserve">; bere na vědomí </w:t>
            </w:r>
            <w:r>
              <w:rPr>
                <w:b/>
                <w:i/>
              </w:rPr>
              <w:t>jeho veřejné oznámení, že se hodlá</w:t>
            </w:r>
            <w:r>
              <w:t xml:space="preserve"> vzdát vlastnictví </w:t>
            </w:r>
            <w:r>
              <w:rPr>
                <w:b/>
                <w:i/>
              </w:rPr>
              <w:t>společnosti Agrofert</w:t>
            </w:r>
            <w:r>
              <w:t xml:space="preserve"> a kontroly </w:t>
            </w:r>
            <w:r>
              <w:rPr>
                <w:b/>
                <w:i/>
              </w:rPr>
              <w:t>nad ní</w:t>
            </w:r>
            <w:r>
              <w:t xml:space="preserve"> vytvořením </w:t>
            </w:r>
            <w:r>
              <w:rPr>
                <w:b/>
                <w:i/>
              </w:rPr>
              <w:t>údajně nevratného svěřenského fondu</w:t>
            </w:r>
            <w:r>
              <w:t xml:space="preserve">; konstatuje však, že </w:t>
            </w:r>
            <w:r>
              <w:rPr>
                <w:b/>
                <w:i/>
              </w:rPr>
              <w:t>dosud</w:t>
            </w:r>
            <w:r>
              <w:t xml:space="preserve"> nebyla </w:t>
            </w:r>
            <w:r>
              <w:rPr>
                <w:b/>
                <w:i/>
              </w:rPr>
              <w:t>zveřejněna</w:t>
            </w:r>
            <w:r>
              <w:t xml:space="preserve"> žádná </w:t>
            </w:r>
            <w:r>
              <w:rPr>
                <w:b/>
                <w:i/>
              </w:rPr>
              <w:t>konkrétní</w:t>
            </w:r>
            <w:r>
              <w:t xml:space="preserve"> právní dokumentace, </w:t>
            </w:r>
            <w:r>
              <w:rPr>
                <w:b/>
                <w:i/>
              </w:rPr>
              <w:t>svěřenská struktura nebyla k 15. lednu 2026 dosud vytvořena, není známo, v jaké jurisdikci se bude nacházet ani jak bude řízena a kdo budou její správci, a poukazuje na to, že Andrej Babiš nadále vlastní Agrofert a má další obchodní zájmy, které by mohly mít z finančních prostředků Unie potenciální prospěch;</w:t>
            </w:r>
            <w:r>
              <w:t xml:space="preserve"> </w:t>
            </w:r>
            <w:r>
              <w:rPr>
                <w:b/>
                <w:i/>
              </w:rPr>
              <w:t>dále poznamenává, že i v případě, že bude realizováno řešení popsané výše, by Agrofert nakonec přešel na děti Andreje Babiše, který si tím jednoznačně zachovává dlouhodobý ekonomický zájem;</w:t>
            </w:r>
            <w:r>
              <w:t xml:space="preserve"> </w:t>
            </w:r>
            <w:r>
              <w:rPr>
                <w:b/>
                <w:i/>
              </w:rPr>
              <w:t>zdůrazňuje, že k rozptýlení obav ze</w:t>
            </w:r>
            <w:r>
              <w:t xml:space="preserve"> střetu zájmů </w:t>
            </w:r>
            <w:r>
              <w:rPr>
                <w:b/>
                <w:i/>
              </w:rPr>
              <w:t>nestačí pouhé oznámení, že v budoucnosti budou učiněna určitá opatření</w:t>
            </w:r>
            <w:r>
              <w:t>;</w:t>
            </w:r>
          </w:p>
        </w:tc>
        <w:tc>
          <w:tcPr>
            <w:tcW w:w="4876" w:type="dxa"/>
            <w:tcBorders>
              <w:top w:val="nil"/>
              <w:left w:val="nil"/>
              <w:bottom w:val="nil"/>
              <w:right w:val="nil"/>
            </w:tcBorders>
          </w:tcPr>
          <w:p>
            <w:pPr>
              <w:pStyle w:val="Normal6a"/>
            </w:pPr>
            <w:r>
              <w:t>118.</w:t>
            </w:r>
            <w:r>
              <w:tab/>
            </w:r>
            <w:r>
              <w:t xml:space="preserve">konstatuje, že </w:t>
            </w:r>
            <w:r>
              <w:rPr>
                <w:b/>
                <w:i/>
              </w:rPr>
              <w:t>po celostátních volbách se</w:t>
            </w:r>
            <w:r>
              <w:t xml:space="preserve"> v prosinci 2025 </w:t>
            </w:r>
            <w:r>
              <w:rPr>
                <w:b/>
                <w:i/>
              </w:rPr>
              <w:t>v Česku ujala úřadu nová vláda</w:t>
            </w:r>
            <w:r>
              <w:t xml:space="preserve">; bere na vědomí </w:t>
            </w:r>
            <w:r>
              <w:rPr>
                <w:b/>
                <w:i/>
              </w:rPr>
              <w:t>veřejná prohlášení předsedy vlády, v nichž uvádí záměr</w:t>
            </w:r>
            <w:r>
              <w:t xml:space="preserve"> vzdát </w:t>
            </w:r>
            <w:r>
              <w:rPr>
                <w:b/>
                <w:i/>
              </w:rPr>
              <w:t>se</w:t>
            </w:r>
            <w:r>
              <w:t xml:space="preserve"> vlastnictví a kontroly </w:t>
            </w:r>
            <w:r>
              <w:rPr>
                <w:b/>
                <w:i/>
              </w:rPr>
              <w:t>obchodních aktiv, pro něž jsou potenciálně čerpány finanční prostředky Unie, a to</w:t>
            </w:r>
            <w:r>
              <w:t xml:space="preserve"> vytvořením </w:t>
            </w:r>
            <w:r>
              <w:rPr>
                <w:b/>
                <w:i/>
              </w:rPr>
              <w:t>dohody o svěřenství</w:t>
            </w:r>
            <w:r>
              <w:t xml:space="preserve">; konstatuje však, že </w:t>
            </w:r>
            <w:r>
              <w:rPr>
                <w:b/>
                <w:i/>
              </w:rPr>
              <w:t>od poloviny ledna 2026</w:t>
            </w:r>
            <w:r>
              <w:t xml:space="preserve"> nebyla </w:t>
            </w:r>
            <w:r>
              <w:rPr>
                <w:b/>
                <w:i/>
              </w:rPr>
              <w:t>poskytnuta</w:t>
            </w:r>
            <w:r>
              <w:t xml:space="preserve"> žádná </w:t>
            </w:r>
            <w:r>
              <w:rPr>
                <w:b/>
                <w:i/>
              </w:rPr>
              <w:t>veřejně dostupná</w:t>
            </w:r>
            <w:r>
              <w:t xml:space="preserve"> právní dokumentace, </w:t>
            </w:r>
            <w:r>
              <w:rPr>
                <w:b/>
                <w:i/>
              </w:rPr>
              <w:t>která by prokázala účinné zavedení a provozní záruky těchto opatření;</w:t>
            </w:r>
            <w:r>
              <w:t xml:space="preserve"> </w:t>
            </w:r>
            <w:r>
              <w:rPr>
                <w:b/>
                <w:i/>
              </w:rPr>
              <w:t>dále konstatuje, že jakákoli budoucí ujednání by měla zajistit účinnou eliminaci hospodářských zájmů a vlivu v souladu s pravidly Unie o</w:t>
            </w:r>
            <w:r>
              <w:t xml:space="preserve"> střetu zájmů;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 xml:space="preserve">připomíná, že v interinstitucionální dohodě z roku 2020 byl stanoven závazný cíl 30 % výdajů na ochranu klimatu, ale pouze roční „ambice“ 7,5 % v roce 2025 a 10 % v letech 2026 a 2027 pro výdaje na biologickou rozmanitost; </w:t>
            </w:r>
            <w:r>
              <w:rPr>
                <w:b/>
                <w:i/>
              </w:rPr>
              <w:t>konstatuje, že Komise sleduje výdaje Unie na činnosti související s ochranou klimatu a biologickou rozmanitostí prostřednictvím specializovaných metodik;</w:t>
            </w:r>
            <w:r>
              <w:t xml:space="preserve"> </w:t>
            </w:r>
            <w:r>
              <w:rPr>
                <w:b/>
                <w:i/>
              </w:rPr>
              <w:t>zdůrazňuje, že metodiky sledování klimatu a biologické rozmanitosti jsou systémy označování ex ante založené na očekávaném účinku činností a nezohledňují výsledky;</w:t>
            </w:r>
            <w:r>
              <w:t xml:space="preserve"> </w:t>
            </w:r>
            <w:r>
              <w:rPr>
                <w:b/>
                <w:i/>
              </w:rPr>
              <w:t>připomíná, že začlenění priorit do rozpočtu Unie znamená zohlednění této priority ve všech fázích rozpočtového cyklu;</w:t>
            </w:r>
            <w:r>
              <w:t xml:space="preserve"> </w:t>
            </w:r>
            <w:r>
              <w:rPr>
                <w:b/>
                <w:i/>
              </w:rPr>
              <w:t>zdůrazňuje proto, že sledování výdajů souvisejících s cíli v oblasti klimatu nebo biologické rozmanitosti je pouze jedním z kroků v komplexním cyklu zeleného rozpočtování, v němž jsou cíle v oblasti klimatu a biologické rozmanitosti zohledňovány v průběhu celého životního cyklu rozpočtu;</w:t>
            </w:r>
          </w:p>
        </w:tc>
        <w:tc>
          <w:tcPr>
            <w:tcW w:w="4876" w:type="dxa"/>
            <w:tcBorders>
              <w:top w:val="nil"/>
              <w:left w:val="nil"/>
              <w:bottom w:val="nil"/>
              <w:right w:val="nil"/>
            </w:tcBorders>
          </w:tcPr>
          <w:p>
            <w:pPr>
              <w:pStyle w:val="Normal6a"/>
            </w:pPr>
            <w:r>
              <w:t>120.</w:t>
            </w:r>
            <w:r>
              <w:tab/>
            </w:r>
            <w:r>
              <w:t>připomíná, že v interinstitucionální dohodě z roku 2020 byl stanoven závazný cíl 30 % výdajů na ochranu klimatu, ale pouze roční „ambice“ 7,5 % v roce 2025 a 10 % v letech 2026 a 2027 pro výdaje na biologickou rozmanitost;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 xml:space="preserve">připomíná, že v interinstitucionální dohodě z roku 2020 byl stanoven závazný cíl 30 % výdajů na ochranu klimatu, </w:t>
            </w:r>
            <w:r>
              <w:rPr>
                <w:b/>
                <w:i/>
              </w:rPr>
              <w:t>ale pouze roční „ambice“ 7,5 % v roce 2025 a 10 % v letech 2026 a 2027 pro výdaje na biologickou rozmanitost;</w:t>
            </w:r>
            <w:r>
              <w:t xml:space="preserve"> </w:t>
            </w:r>
            <w:r>
              <w:rPr>
                <w:b/>
                <w:i/>
              </w:rPr>
              <w:t>konstatuje, že Komise sleduje výdaje Unie na činnosti související s ochranou klimatu a biologickou rozmanitostí prostřednictvím specializovaných metodik;</w:t>
            </w:r>
            <w:r>
              <w:t xml:space="preserve"> </w:t>
            </w:r>
            <w:r>
              <w:rPr>
                <w:b/>
                <w:i/>
              </w:rPr>
              <w:t>zdůrazňuje, že metodiky sledování klimatu a biologické rozmanitosti jsou systémy označování ex ante založené na očekávaném účinku činností a nezohledňují výsledky;</w:t>
            </w:r>
            <w:r>
              <w:t xml:space="preserve"> </w:t>
            </w:r>
            <w:r>
              <w:rPr>
                <w:b/>
                <w:i/>
              </w:rPr>
              <w:t>připomíná, že začlenění priorit do rozpočtu Unie znamená zohlednění této priority ve všech fázích rozpočtového cyklu;</w:t>
            </w:r>
            <w:r>
              <w:t xml:space="preserve"> zdůrazňuje proto, že sledování výdajů souvisejících s </w:t>
            </w:r>
            <w:r>
              <w:rPr>
                <w:b/>
                <w:i/>
              </w:rPr>
              <w:t>cíli v oblasti klimatu nebo biologické rozmanitosti</w:t>
            </w:r>
            <w:r>
              <w:t xml:space="preserve"> je pouze jedním </w:t>
            </w:r>
            <w:r>
              <w:rPr>
                <w:b/>
                <w:i/>
              </w:rPr>
              <w:t>z kroků v komplexním</w:t>
            </w:r>
            <w:r>
              <w:t xml:space="preserve"> cyklu </w:t>
            </w:r>
            <w:r>
              <w:rPr>
                <w:b/>
                <w:i/>
              </w:rPr>
              <w:t>zeleného rozpočtování, v němž jsou cíle</w:t>
            </w:r>
            <w:r>
              <w:t xml:space="preserve"> v oblasti klimatu a biologické rozmanitosti </w:t>
            </w:r>
            <w:r>
              <w:rPr>
                <w:b/>
                <w:i/>
              </w:rPr>
              <w:t>zohledňovány v průběhu celého životního cyklu rozpočtu</w:t>
            </w:r>
            <w:r>
              <w:t>;</w:t>
            </w:r>
          </w:p>
        </w:tc>
        <w:tc>
          <w:tcPr>
            <w:tcW w:w="4876" w:type="dxa"/>
            <w:tcBorders>
              <w:top w:val="nil"/>
              <w:left w:val="nil"/>
              <w:bottom w:val="nil"/>
              <w:right w:val="nil"/>
            </w:tcBorders>
          </w:tcPr>
          <w:p>
            <w:pPr>
              <w:pStyle w:val="Normal6a"/>
            </w:pPr>
            <w:r>
              <w:t>120.</w:t>
            </w:r>
            <w:r>
              <w:tab/>
            </w:r>
            <w:r>
              <w:t xml:space="preserve">připomíná, že v interinstitucionální dohodě z roku 2020 byl stanoven závazný cíl 30 % výdajů na ochranu klimatu, zdůrazňuje proto, že sledování výdajů souvisejících s </w:t>
            </w:r>
            <w:r>
              <w:rPr>
                <w:b/>
                <w:i/>
              </w:rPr>
              <w:t>klimatem</w:t>
            </w:r>
            <w:r>
              <w:t xml:space="preserve"> je pouze jedním </w:t>
            </w:r>
            <w:r>
              <w:rPr>
                <w:b/>
                <w:i/>
              </w:rPr>
              <w:t>krokem rozpočtového</w:t>
            </w:r>
            <w:r>
              <w:t xml:space="preserve"> cyklu</w:t>
            </w:r>
            <w:r>
              <w:rPr>
                <w:b/>
                <w:i/>
              </w:rPr>
              <w:t>, který musí rovněž zohledňovat náklady a hospodářský dopad opatření</w:t>
            </w:r>
            <w:r>
              <w:t xml:space="preserve"> v oblasti klimatu a biologické rozmanitosti </w:t>
            </w:r>
            <w:r>
              <w:rPr>
                <w:b/>
                <w:i/>
              </w:rPr>
              <w:t>na konkurenceschopnost, zaměstnanost a růst Unie;</w:t>
            </w:r>
            <w:r>
              <w:t xml:space="preserve"> </w:t>
            </w:r>
            <w:r>
              <w:rPr>
                <w:b/>
                <w:i/>
              </w:rPr>
              <w:t>zdůrazňuje, že sledování klimatu by mělo být doprovázeno příslušným posouzením regulačních a administrativních nákladů, které příjemcům a členským státům vznikají v důsledku ekologických opatření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120a.</w:t>
            </w:r>
            <w:r>
              <w:tab/>
            </w:r>
            <w:r>
              <w:rPr>
                <w:b/>
                <w:i/>
              </w:rPr>
              <w:t>odmítá veškeré výdaje související se Zelenou dohodou pro Evropu a veškerá opatření odůvodňovaná touto dohodou a domnívá se, že je příliš nákladná pro daňové poplatníky a ekonomicky škodlivá pro klíčová odvětví evropského hospodářství;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122.</w:t>
            </w:r>
            <w:r>
              <w:tab/>
            </w:r>
            <w:r>
              <w:t>je znepokojen tím, že v několika auditech Účetní dvůr zjistil, že příspěvek fondů Unie k cílům v oblasti klimatu byl nejasný a potenciálně nadhodnocený v důsledku nedostatků v metodikách sledování, které používá Komise; připomíná, že ve své zvláštní zprávě 09/2022 o výdajích v rozpočtu EU na období 2014–2020 souvisejících s klimatem Účetní dvůr zjistil, že příspěvek rozpočtu Unie na oblast klimatu byl v rámci VFR na období 2014-2020 nadhodnocen o 72 miliard EUR, neboť vykazované výdaje nebyly vždy relevantní pro opatření v oblasti klimatu</w:t>
            </w:r>
            <w:r>
              <w:rPr>
                <w:b/>
                <w:i/>
              </w:rPr>
              <w:t>, zejména v rámci SZP</w:t>
            </w:r>
            <w:r>
              <w:t>; očekává, že v roce 2026 obdrží od Účetního dvora hodnocení opatření, která Komise přijala v návaznosti na doporučení Účetního dvora uvedená ve zvláštní zprávě 09/2022;</w:t>
            </w:r>
          </w:p>
        </w:tc>
        <w:tc>
          <w:tcPr>
            <w:tcW w:w="4876" w:type="dxa"/>
            <w:tcBorders>
              <w:top w:val="nil"/>
              <w:left w:val="nil"/>
              <w:bottom w:val="nil"/>
              <w:right w:val="nil"/>
            </w:tcBorders>
          </w:tcPr>
          <w:p>
            <w:pPr>
              <w:pStyle w:val="Normal6a"/>
            </w:pPr>
            <w:r>
              <w:t>122.</w:t>
            </w:r>
            <w:r>
              <w:tab/>
            </w:r>
            <w:r>
              <w:t>je znepokojen tím, že v několika auditech Účetní dvůr zjistil, že příspěvek fondů Unie k cílům v oblasti klimatu byl nejasný a potenciálně nadhodnocený v důsledku nedostatků v metodikách sledování, které používá Komise; připomíná, že ve své zvláštní zprávě 09/2022 o výdajích v rozpočtu EU na období 2014–2020 souvisejících s klimatem Účetní dvůr zjistil, že příspěvek rozpočtu Unie na oblast klimatu byl v rámci VFR na období 2014-2020 nadhodnocen o 72 miliard EUR, neboť vykazované výdaje nebyly vždy relevantní pro opatření v oblasti klimatu; očekává, že v roce 2026 obdrží od Účetního dvora hodnocení opatření, která Komise přijala v návaznosti na doporučení Účetního dvora uvedená ve zvláštní zprávě 09/2022;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rPr>
                <w:b/>
                <w:i/>
              </w:rPr>
              <w:t>bere na vědomí zvláštní zprávu Účetního dvora 20/2024 o plánech společné zemědělské politiky a odpověď Komise, zejména celkový závěr Účetního dvora, že strategické plány</w:t>
            </w:r>
            <w:r>
              <w:t xml:space="preserve"> SZP na období 2023</w:t>
            </w:r>
            <w:r>
              <w:rPr>
                <w:b/>
                <w:i/>
              </w:rPr>
              <w:t>-2027 jsou</w:t>
            </w:r>
            <w:r>
              <w:t xml:space="preserve"> ekologičtější než v předchozím období </w:t>
            </w:r>
            <w:r>
              <w:rPr>
                <w:b/>
                <w:i/>
              </w:rPr>
              <w:t>SZP, neodpovídají však úrovni ambicí Unie</w:t>
            </w:r>
            <w:r>
              <w:t xml:space="preserve"> v oblasti klimatu a životního prostředí a </w:t>
            </w:r>
            <w:r>
              <w:rPr>
                <w:b/>
                <w:i/>
              </w:rPr>
              <w:t>že chybí</w:t>
            </w:r>
            <w:r>
              <w:t xml:space="preserve"> klíčové prvky pro </w:t>
            </w:r>
            <w:r>
              <w:rPr>
                <w:b/>
                <w:i/>
              </w:rPr>
              <w:t>hodnocení</w:t>
            </w:r>
            <w:r>
              <w:t xml:space="preserve"> výkonnosti; </w:t>
            </w:r>
            <w:r>
              <w:rPr>
                <w:b/>
                <w:i/>
              </w:rPr>
              <w:t>vítá, že Účetní dvůr rovněž doporučuje Komisi, aby odhadla příspěvek SZP k cílům Zelené dohody a posílila budoucí rámec SZP pro monitorování klimatu a</w:t>
            </w:r>
            <w:r>
              <w:t xml:space="preserve"> životního prostředí;</w:t>
            </w:r>
          </w:p>
        </w:tc>
        <w:tc>
          <w:tcPr>
            <w:tcW w:w="4876" w:type="dxa"/>
            <w:tcBorders>
              <w:top w:val="nil"/>
              <w:left w:val="nil"/>
              <w:bottom w:val="nil"/>
              <w:right w:val="nil"/>
            </w:tcBorders>
          </w:tcPr>
          <w:p>
            <w:pPr>
              <w:pStyle w:val="Normal6a"/>
            </w:pPr>
            <w:r>
              <w:t>123.</w:t>
            </w:r>
            <w:r>
              <w:tab/>
            </w:r>
            <w:r>
              <w:rPr>
                <w:b/>
                <w:i/>
              </w:rPr>
              <w:t>konstatuje, že Účetní dvůr při posuzování strategických plánů</w:t>
            </w:r>
            <w:r>
              <w:t xml:space="preserve"> SZP na období 2023</w:t>
            </w:r>
            <w:r>
              <w:rPr>
                <w:b/>
                <w:i/>
              </w:rPr>
              <w:t>–2027 (zvláštní zpráva 20/2024) zjistil, že ačkoli jsou tyto plány</w:t>
            </w:r>
            <w:r>
              <w:t xml:space="preserve"> ekologičtější než v předchozím období</w:t>
            </w:r>
            <w:r>
              <w:rPr>
                <w:b/>
                <w:i/>
              </w:rPr>
              <w:t>, nesplňují ambice EU</w:t>
            </w:r>
            <w:r>
              <w:t xml:space="preserve"> v oblasti klimatu a životního prostředí a </w:t>
            </w:r>
            <w:r>
              <w:rPr>
                <w:b/>
                <w:i/>
              </w:rPr>
              <w:t>postrádají</w:t>
            </w:r>
            <w:r>
              <w:t xml:space="preserve"> klíčové prvky pro </w:t>
            </w:r>
            <w:r>
              <w:rPr>
                <w:b/>
                <w:i/>
              </w:rPr>
              <w:t>posouzení</w:t>
            </w:r>
            <w:r>
              <w:t xml:space="preserve"> výkonnosti; </w:t>
            </w:r>
            <w:r>
              <w:rPr>
                <w:b/>
                <w:i/>
              </w:rPr>
              <w:t>konstatuje, že výroční zpráva Účetního dvora za rok 2024 vykazuje ostrý kontrast v míře chyb, kdy přímé platby (kromě ekoschémat) jsou z velké části bez významných chyb kvůli své povaze založené na nárocích a administrativní jednoduchosti, zatímco ekoschémata, která jsou speciálně navržena tak, aby přinášela výsledky v oblasti</w:t>
            </w:r>
            <w:r>
              <w:t xml:space="preserve"> životního prostředí</w:t>
            </w:r>
            <w:r>
              <w:rPr>
                <w:b/>
                <w:i/>
              </w:rPr>
              <w:t>, vykazují výrazně vyšší riziko chyb a o jejich účinnosti panuje pochybnost</w:t>
            </w:r>
            <w:r>
              <w:t xml:space="preserve">; </w:t>
            </w:r>
            <w:r>
              <w:rPr>
                <w:b/>
                <w:i/>
              </w:rPr>
              <w:t>vyzývá Komisi, aby posoudila, zda by zdroje, které jsou v současné době poskytovány prostřednictvím ekoschémat s vysokou mírou chyb a nízkou výkonností, mohly být účinněji přidělovány na platební mechanismy, které vykazují jak nižší míru chyb, tak měřitelné výsledky v oblasti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bere na vědomí zvláštní zprávu Účetního dvora 20/2024 o plánech společné zemědělské politiky a odpověď Komise, zejména celkový závěr Účetního dvora, že strategické plány SZP na období 2023-2027 jsou ekologičtější než v předchozím období SZP</w:t>
            </w:r>
            <w:r>
              <w:rPr>
                <w:b/>
                <w:i/>
              </w:rPr>
              <w:t>, neodpovídají však úrovni ambicí Unie v oblasti klimatu a životního prostředí a že chybí klíčové prvky pro hodnocení výkonnosti</w:t>
            </w:r>
            <w:r>
              <w:t xml:space="preserve">; </w:t>
            </w:r>
            <w:r>
              <w:rPr>
                <w:b/>
                <w:i/>
              </w:rPr>
              <w:t>vítá, že Účetní dvůr rovněž doporučuje Komisi, aby odhadla příspěvek SZP k cílům Zelené dohody a posílila budoucí rámec SZP pro monitorování klimatu a životního prostředí;</w:t>
            </w:r>
          </w:p>
        </w:tc>
        <w:tc>
          <w:tcPr>
            <w:tcW w:w="4876" w:type="dxa"/>
            <w:tcBorders>
              <w:top w:val="nil"/>
              <w:left w:val="nil"/>
              <w:bottom w:val="nil"/>
              <w:right w:val="nil"/>
            </w:tcBorders>
          </w:tcPr>
          <w:p>
            <w:pPr>
              <w:pStyle w:val="Normal6a"/>
            </w:pPr>
            <w:r>
              <w:t>123.</w:t>
            </w:r>
            <w:r>
              <w:tab/>
            </w:r>
            <w:r>
              <w:t>bere na vědomí zvláštní zprávu Účetního dvora 20/2024 o plánech společné zemědělské politiky a odpověď Komise, zejména celkový závěr Účetního dvora, že strategické plány SZP na období 2023-2027 jsou ekologičtější než v předchozím období SZP;</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bere na vědomí zvláštní zprávu Účetního dvora 20/2024 o plánech společné zemědělské politiky a odpověď Komise, zejména celkový závěr Účetního dvora, že strategické plány SZP na období 2023-2027 jsou ekologičtější než v předchozím období SZP, neodpovídají však úrovni ambicí Unie v oblasti klimatu a životního prostředí a že chybí klíčové prvky pro hodnocení výkonnosti; vítá, že Účetní dvůr rovněž doporučuje Komisi, aby odhadla příspěvek SZP k cílům Zelené dohody a posílila budoucí rámec SZP pro monitorování klimatu a životního prostředí;</w:t>
            </w:r>
          </w:p>
        </w:tc>
        <w:tc>
          <w:tcPr>
            <w:tcW w:w="4876" w:type="dxa"/>
            <w:tcBorders>
              <w:top w:val="nil"/>
              <w:left w:val="nil"/>
              <w:bottom w:val="nil"/>
              <w:right w:val="nil"/>
            </w:tcBorders>
          </w:tcPr>
          <w:p>
            <w:pPr>
              <w:pStyle w:val="Normal6a"/>
            </w:pPr>
            <w:r>
              <w:t>123.</w:t>
            </w:r>
            <w:r>
              <w:tab/>
            </w:r>
            <w:r>
              <w:rPr>
                <w:b/>
                <w:i/>
              </w:rPr>
              <w:t>konstatuje, že od roku 2021 do roku 2023 se emise skleníkových plynů ze zemědělství v EU snížily o 3 %, zatímco emise v oblasti energetiky a průmyslu se snížily o 16 %;</w:t>
            </w:r>
            <w:r>
              <w:t xml:space="preserve"> </w:t>
            </w:r>
            <w:r>
              <w:rPr>
                <w:b/>
                <w:i/>
              </w:rPr>
              <w:t>považuje změnu klimatu za výzvu velkého rozsahu, která vyžaduje, aby všechna odvětví přispěla svým spravedlivým dílem;</w:t>
            </w:r>
            <w:r>
              <w:t xml:space="preserve"> bere na vědomí zvláštní zprávu Účetního dvora 20/2024 o plánech společné zemědělské politiky a odpověď Komise, zejména celkový závěr Účetního dvora, že strategické plány SZP na období 2023-2027 jsou ekologičtější než v předchozím období SZP, neodpovídají však úrovni ambicí Unie v oblasti klimatu a životního prostředí a že chybí klíčové prvky pro hodnocení výkonnosti; vítá, že Účetní dvůr rovněž doporučuje Komisi, aby odhadla příspěvek SZP k cílům Zelené dohody a posílila budoucí rámec SZP pro monitorování klimatu a životního prostředí</w:t>
            </w:r>
            <w:r>
              <w:rPr>
                <w:b/>
                <w:i/>
              </w:rPr>
              <w:t>, s cílem zvýšit svůj přínos k plnění cílů Unie v oblasti klimatu a životního prostředí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bere na vědomí zvláštní zprávu Účetního dvora 20/2024 o plánech společné zemědělské politiky a odpověď Komise</w:t>
            </w:r>
            <w:r>
              <w:rPr>
                <w:b/>
                <w:i/>
              </w:rPr>
              <w:t>, zejména</w:t>
            </w:r>
            <w:r>
              <w:t xml:space="preserve"> celkový závěr Účetního dvora, že </w:t>
            </w:r>
            <w:r>
              <w:rPr>
                <w:b/>
                <w:i/>
              </w:rPr>
              <w:t>strategické plány</w:t>
            </w:r>
            <w:r>
              <w:t xml:space="preserve"> SZP na období 2023</w:t>
            </w:r>
            <w:r>
              <w:rPr>
                <w:b/>
                <w:i/>
              </w:rPr>
              <w:t>-2027 jsou</w:t>
            </w:r>
            <w:r>
              <w:t xml:space="preserve"> ekologičtější než v předchozím období </w:t>
            </w:r>
            <w:r>
              <w:rPr>
                <w:b/>
                <w:i/>
              </w:rPr>
              <w:t>SZP, neodpovídají však úrovni ambicí Unie</w:t>
            </w:r>
            <w:r>
              <w:t xml:space="preserve"> v oblasti </w:t>
            </w:r>
            <w:r>
              <w:rPr>
                <w:b/>
                <w:i/>
              </w:rPr>
              <w:t>klimatu a</w:t>
            </w:r>
            <w:r>
              <w:t xml:space="preserve"> životního prostředí a </w:t>
            </w:r>
            <w:r>
              <w:rPr>
                <w:b/>
                <w:i/>
              </w:rPr>
              <w:t>že chybí klíčové prvky pro hodnocení výkonnosti;</w:t>
            </w:r>
            <w:r>
              <w:t xml:space="preserve"> </w:t>
            </w:r>
            <w:r>
              <w:rPr>
                <w:b/>
                <w:i/>
              </w:rPr>
              <w:t>vítá, že Účetní dvůr rovněž doporučuje Komisi, aby odhadla příspěvek SZP k cílům Zelené dohody a posílila budoucí rámec SZP</w:t>
            </w:r>
            <w:r>
              <w:t xml:space="preserve"> pro monitorování </w:t>
            </w:r>
            <w:r>
              <w:rPr>
                <w:b/>
                <w:i/>
              </w:rPr>
              <w:t>klimatu a životního prostředí</w:t>
            </w:r>
            <w:r>
              <w:t>;</w:t>
            </w:r>
          </w:p>
        </w:tc>
        <w:tc>
          <w:tcPr>
            <w:tcW w:w="4876" w:type="dxa"/>
            <w:tcBorders>
              <w:top w:val="nil"/>
              <w:left w:val="nil"/>
              <w:bottom w:val="nil"/>
              <w:right w:val="nil"/>
            </w:tcBorders>
          </w:tcPr>
          <w:p>
            <w:pPr>
              <w:pStyle w:val="Normal6a"/>
            </w:pPr>
            <w:r>
              <w:t>123.</w:t>
            </w:r>
            <w:r>
              <w:tab/>
            </w:r>
            <w:r>
              <w:t>bere na vědomí zvláštní zprávu Účetního dvora 20/2024 o plánech společné zemědělské politiky a odpověď Komise</w:t>
            </w:r>
            <w:r>
              <w:rPr>
                <w:b/>
                <w:i/>
              </w:rPr>
              <w:t>;</w:t>
            </w:r>
            <w:r>
              <w:t xml:space="preserve"> </w:t>
            </w:r>
            <w:r>
              <w:rPr>
                <w:b/>
                <w:i/>
              </w:rPr>
              <w:t>vítá</w:t>
            </w:r>
            <w:r>
              <w:t xml:space="preserve"> celkový závěr Účetního dvora, že SZP na období 2023</w:t>
            </w:r>
            <w:r>
              <w:rPr>
                <w:b/>
                <w:i/>
              </w:rPr>
              <w:t>–2027 je</w:t>
            </w:r>
            <w:r>
              <w:t xml:space="preserve"> ekologičtější než v předchozím </w:t>
            </w:r>
            <w:r>
              <w:rPr>
                <w:b/>
                <w:i/>
              </w:rPr>
              <w:t>programovém</w:t>
            </w:r>
            <w:r>
              <w:t xml:space="preserve"> období</w:t>
            </w:r>
            <w:r>
              <w:rPr>
                <w:b/>
                <w:i/>
              </w:rPr>
              <w:t>, což odráží značné úsilí zemědělců a členských států;</w:t>
            </w:r>
            <w:r>
              <w:t xml:space="preserve"> </w:t>
            </w:r>
            <w:r>
              <w:rPr>
                <w:b/>
                <w:i/>
              </w:rPr>
              <w:t>zdůrazňuje však, že ambice</w:t>
            </w:r>
            <w:r>
              <w:t xml:space="preserve"> v oblasti životního prostředí a </w:t>
            </w:r>
            <w:r>
              <w:rPr>
                <w:b/>
                <w:i/>
              </w:rPr>
              <w:t>klimatu musí zůstat slučitelné s hospodářskou udržitelností a konkurenceschopností evropského zemědělství;</w:t>
            </w:r>
            <w:r>
              <w:t xml:space="preserve"> </w:t>
            </w:r>
            <w:r>
              <w:rPr>
                <w:b/>
                <w:i/>
              </w:rPr>
              <w:t>zdůrazňuje, že další zlepšení rámce</w:t>
            </w:r>
            <w:r>
              <w:t xml:space="preserve"> pro monitorování </w:t>
            </w:r>
            <w:r>
              <w:rPr>
                <w:b/>
                <w:i/>
              </w:rPr>
              <w:t>by nemělo vést k dalším povinnostem pro zemědělce nebo řídicí orgány;</w:t>
            </w:r>
            <w:r>
              <w:t xml:space="preserve"> </w:t>
            </w:r>
            <w:r>
              <w:rPr>
                <w:b/>
                <w:i/>
              </w:rPr>
              <w:t>vyzývá Komisi, aby posoudila přínos SZP k Zelené dohodě vyváženým způsobem s přihlédnutím k potravinovému zabezpečení, strategické autonomii a cílům rozvoje venkova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 xml:space="preserve">bere na vědomí zvláštní zprávu Účetního dvora 20/2024 o plánech společné zemědělské politiky a odpověď Komise, </w:t>
            </w:r>
            <w:r>
              <w:rPr>
                <w:b/>
                <w:i/>
              </w:rPr>
              <w:t>zejména celkový závěr</w:t>
            </w:r>
            <w:r>
              <w:t xml:space="preserve"> Účetního dvora, že strategické plány SZP na období 2023</w:t>
            </w:r>
            <w:r>
              <w:rPr>
                <w:b/>
                <w:i/>
              </w:rPr>
              <w:t>-2027 jsou ekologičtější než v</w:t>
            </w:r>
            <w:r>
              <w:t xml:space="preserve"> předchozím </w:t>
            </w:r>
            <w:r>
              <w:rPr>
                <w:b/>
                <w:i/>
              </w:rPr>
              <w:t>období SZP, neodpovídají však úrovni ambicí Unie</w:t>
            </w:r>
            <w:r>
              <w:t xml:space="preserve"> v oblasti klimatu a životního prostředí a </w:t>
            </w:r>
            <w:r>
              <w:rPr>
                <w:b/>
                <w:i/>
              </w:rPr>
              <w:t>že chybí klíčové prvky pro hodnocení výkonnosti;</w:t>
            </w:r>
            <w:r>
              <w:t xml:space="preserve"> </w:t>
            </w:r>
            <w:r>
              <w:rPr>
                <w:b/>
                <w:i/>
              </w:rPr>
              <w:t>vítá, že Účetní dvůr rovněž doporučuje Komisi, aby odhadla příspěvek SZP k cílům Zelené dohody a</w:t>
            </w:r>
            <w:r>
              <w:t xml:space="preserve"> posílila budoucí rámec </w:t>
            </w:r>
            <w:r>
              <w:rPr>
                <w:b/>
                <w:i/>
              </w:rPr>
              <w:t>SZP</w:t>
            </w:r>
            <w:r>
              <w:t xml:space="preserve"> pro monitorování </w:t>
            </w:r>
            <w:r>
              <w:rPr>
                <w:b/>
                <w:i/>
              </w:rPr>
              <w:t>klimatu a životního prostředí</w:t>
            </w:r>
            <w:r>
              <w:t>;</w:t>
            </w:r>
          </w:p>
        </w:tc>
        <w:tc>
          <w:tcPr>
            <w:tcW w:w="4876" w:type="dxa"/>
            <w:tcBorders>
              <w:top w:val="nil"/>
              <w:left w:val="nil"/>
              <w:bottom w:val="nil"/>
              <w:right w:val="nil"/>
            </w:tcBorders>
          </w:tcPr>
          <w:p>
            <w:pPr>
              <w:pStyle w:val="Normal6a"/>
            </w:pPr>
            <w:r>
              <w:t>123.</w:t>
            </w:r>
            <w:r>
              <w:tab/>
            </w:r>
            <w:r>
              <w:t xml:space="preserve">bere na vědomí zvláštní zprávu Účetního dvora </w:t>
            </w:r>
            <w:r>
              <w:rPr>
                <w:b/>
                <w:i/>
              </w:rPr>
              <w:t>č.</w:t>
            </w:r>
            <w:r>
              <w:t xml:space="preserve"> 20/2024 o plánech společné zemědělské politiky a odpověď Komise, </w:t>
            </w:r>
            <w:r>
              <w:rPr>
                <w:b/>
                <w:i/>
              </w:rPr>
              <w:t>bere na vědomí hodnocení</w:t>
            </w:r>
            <w:r>
              <w:t xml:space="preserve"> Účetního dvora, že strategické plány SZP na období 2023</w:t>
            </w:r>
            <w:r>
              <w:rPr>
                <w:b/>
                <w:i/>
              </w:rPr>
              <w:t>–2027 představují ve srovnání s</w:t>
            </w:r>
            <w:r>
              <w:t xml:space="preserve"> předchozím </w:t>
            </w:r>
            <w:r>
              <w:rPr>
                <w:b/>
                <w:i/>
              </w:rPr>
              <w:t>obdobím SZP zlepšení, a to i s ohledem na klima a životní prostředí, a zároveň určuje oblasti, v nichž by mohl být rámec pro monitorování a výkonnost dále posílen;</w:t>
            </w:r>
            <w:r>
              <w:t xml:space="preserve"> </w:t>
            </w:r>
            <w:r>
              <w:rPr>
                <w:b/>
                <w:i/>
              </w:rPr>
              <w:t>vítá, že Účetní dvůr doporučuje Komisi, aby dále rozvíjela metodiky pro odhad příspěvku SZP k cílům</w:t>
            </w:r>
            <w:r>
              <w:t xml:space="preserve"> v oblasti klimatu a životního prostředí a posílila budoucí rámec pro monitorování </w:t>
            </w:r>
            <w:r>
              <w:rPr>
                <w:b/>
                <w:i/>
              </w:rPr>
              <w:t>SZP s náležitým ohledem na proporcionalitu, administrativní zátěž a potřebu zajistit předvídatelnost a právní jistotu pro zemědělce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124.</w:t>
            </w:r>
            <w:r>
              <w:tab/>
            </w:r>
            <w:r>
              <w:t xml:space="preserve">bere na vědomí zvláštní zprávu Účetního dvora 14/2024 „Ekologická transformace – Nejasný příspěvek z Nástroje pro oživení a odolnost“ a odpověď Komise; </w:t>
            </w:r>
            <w:r>
              <w:rPr>
                <w:b/>
                <w:i/>
              </w:rPr>
              <w:t>je zklamán celkovým závěrem Účetního dvora, že</w:t>
            </w:r>
            <w:r>
              <w:t xml:space="preserve"> nedostatky v koncepci a provádění nástroje </w:t>
            </w:r>
            <w:r>
              <w:rPr>
                <w:b/>
                <w:i/>
              </w:rPr>
              <w:t>zpochybňují dosažení jeho</w:t>
            </w:r>
            <w:r>
              <w:t xml:space="preserve"> cílů v oblasti klimatu a životního prostředí </w:t>
            </w:r>
            <w:r>
              <w:rPr>
                <w:b/>
                <w:i/>
              </w:rPr>
              <w:t>a že přínos nástroje RRF k ekologické transformaci není zřejmý;</w:t>
            </w:r>
            <w:r>
              <w:t xml:space="preserve"> </w:t>
            </w:r>
            <w:r>
              <w:rPr>
                <w:b/>
                <w:i/>
              </w:rPr>
              <w:t>je znepokojen tím</w:t>
            </w:r>
            <w:r>
              <w:t xml:space="preserve">, že Účetní dvůr zaznamenal, že při sledování výdajů v oblasti klimatu se pracuje ve značné míře s aproximacemi a že některé koeficienty mohly vést k nadhodnocení; vítá, že Účetní dvůr </w:t>
            </w:r>
            <w:r>
              <w:rPr>
                <w:b/>
                <w:i/>
              </w:rPr>
              <w:t>rovněž</w:t>
            </w:r>
            <w:r>
              <w:t xml:space="preserve"> doporučuje Komisi, aby </w:t>
            </w:r>
            <w:r>
              <w:rPr>
                <w:b/>
                <w:i/>
              </w:rPr>
              <w:t>lépe odhadla výdaje</w:t>
            </w:r>
            <w:r>
              <w:t xml:space="preserve"> na oblast klimatu v rámci budoucích nástrojů financování a </w:t>
            </w:r>
            <w:r>
              <w:rPr>
                <w:b/>
                <w:i/>
              </w:rPr>
              <w:t>zajistila odpovídající koncepci</w:t>
            </w:r>
            <w:r>
              <w:t xml:space="preserve"> budoucích nástrojů financování</w:t>
            </w:r>
            <w:r>
              <w:rPr>
                <w:b/>
                <w:i/>
              </w:rPr>
              <w:t>, které mají podporovat cíle a úkoly</w:t>
            </w:r>
            <w:r>
              <w:t xml:space="preserve"> v oblasti klimatu a životního prostředí;</w:t>
            </w:r>
          </w:p>
        </w:tc>
        <w:tc>
          <w:tcPr>
            <w:tcW w:w="4876" w:type="dxa"/>
            <w:tcBorders>
              <w:top w:val="nil"/>
              <w:left w:val="nil"/>
              <w:bottom w:val="nil"/>
              <w:right w:val="nil"/>
            </w:tcBorders>
          </w:tcPr>
          <w:p>
            <w:pPr>
              <w:pStyle w:val="Normal6a"/>
            </w:pPr>
            <w:r>
              <w:t>124.</w:t>
            </w:r>
            <w:r>
              <w:tab/>
            </w:r>
            <w:r>
              <w:t xml:space="preserve">bere na vědomí zvláštní zprávu Účetního dvora 14/2024 „Ekologická transformace – Nejasný příspěvek z Nástroje pro oživení a odolnost“ a odpověď Komise; </w:t>
            </w:r>
            <w:r>
              <w:rPr>
                <w:b/>
                <w:i/>
              </w:rPr>
              <w:t>bere na vědomí, že Účetní dvůr upozornil ve své zprávě na</w:t>
            </w:r>
            <w:r>
              <w:t xml:space="preserve"> nedostatky </w:t>
            </w:r>
            <w:r>
              <w:rPr>
                <w:b/>
                <w:i/>
              </w:rPr>
              <w:t>a omezení</w:t>
            </w:r>
            <w:r>
              <w:t xml:space="preserve"> v koncepci a provádění nástroje </w:t>
            </w:r>
            <w:r>
              <w:rPr>
                <w:b/>
                <w:i/>
              </w:rPr>
              <w:t>RRF, pokud jde o měření jeho přínosu k plnění</w:t>
            </w:r>
            <w:r>
              <w:t xml:space="preserve"> cílů v oblasti klimatu a životního prostředí</w:t>
            </w:r>
            <w:r>
              <w:rPr>
                <w:b/>
                <w:i/>
              </w:rPr>
              <w:t>;</w:t>
            </w:r>
            <w:r>
              <w:t xml:space="preserve"> </w:t>
            </w:r>
            <w:r>
              <w:rPr>
                <w:b/>
                <w:i/>
              </w:rPr>
              <w:t>konstatuje</w:t>
            </w:r>
            <w:r>
              <w:t xml:space="preserve">, že Účetní dvůr zaznamenal, že při sledování výdajů v oblasti klimatu se pracuje ve značné míře s aproximacemi a že některé koeficienty mohly vést k nadhodnocení; vítá, že Účetní dvůr doporučuje Komisi, aby </w:t>
            </w:r>
            <w:r>
              <w:rPr>
                <w:b/>
                <w:i/>
              </w:rPr>
              <w:t>více propracovala své metodiky pro odhad výdajů</w:t>
            </w:r>
            <w:r>
              <w:t xml:space="preserve"> na oblast klimatu v rámci budoucích nástrojů financování a </w:t>
            </w:r>
            <w:r>
              <w:rPr>
                <w:b/>
                <w:i/>
              </w:rPr>
              <w:t>využila zkušeností při koncipování</w:t>
            </w:r>
            <w:r>
              <w:t xml:space="preserve"> budoucích nástrojů financování </w:t>
            </w:r>
            <w:r>
              <w:rPr>
                <w:b/>
                <w:i/>
              </w:rPr>
              <w:t>na podporu cílů a úkolů</w:t>
            </w:r>
            <w:r>
              <w:t xml:space="preserve"> v oblasti klimatu a životního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126.</w:t>
            </w:r>
            <w:r>
              <w:tab/>
            </w:r>
            <w:r>
              <w:rPr>
                <w:b/>
                <w:i/>
              </w:rPr>
              <w:t>připomíná, že všechny výdaje Unie musí být v souladu s horizontální zásadou „významně nepoškozovat“ stanovenou v 16. bodě interinstitucionální dohody, podle kterého výdaje Unie nesmí způsobit újmu šesti cílům v oblasti životního prostředí stanoveným v článku 17 nařízení o taxonomii</w:t>
            </w:r>
            <w:r>
              <w:rPr>
                <w:b/>
                <w:i/>
                <w:vertAlign w:val="superscript"/>
              </w:rPr>
              <w:t>14</w:t>
            </w:r>
            <w:r>
              <w:rPr>
                <w:b/>
                <w:i/>
              </w:rPr>
              <w:t>, a to zmírnění změny klimatu a přizpůsobení se této změně, udržitelné využívání a ochrana vodních zdrojů, oběhové hospodářství, prevence a omezování znečištění a ochrana biologické rozmanitosti;</w:t>
            </w:r>
            <w:r>
              <w:t xml:space="preserve"> </w:t>
            </w:r>
            <w:r>
              <w:rPr>
                <w:b/>
                <w:i/>
              </w:rPr>
              <w:t>domnívá se, že vzhledem k opakovaným zjištěním Účetního dvora by měly být sledovány a vykazovány také negativní dopady výdajů Unie na životní prostředí;</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Nařízení Evropského parlamentu a Rady (EU) 2020/852 ze dne 18. června 2020 o zřízení rámce pro usnadnění udržitelných investic a o změně nařízení (EU) 2019/2088 (Úř. věst. L 198, 22.6.2020, s.</w:t>
            </w:r>
            <w:r>
              <w:t xml:space="preserve"> </w:t>
            </w:r>
            <w:r>
              <w:rPr>
                <w:b/>
                <w:i/>
              </w:rPr>
              <w:t>13, ELI: http://data.europa.eu/eli/reg/2020/852/oj).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127.</w:t>
            </w:r>
            <w:r>
              <w:tab/>
            </w:r>
            <w:r>
              <w:rPr>
                <w:b/>
                <w:i/>
              </w:rPr>
              <w:t>připomíná, že systém EU pro obchodování s emisemi (EU ETS) je jednou z klíčových součástí Zelené dohody pro Evropu a jedním z hlavních nástrojů pro dosažení klimatických ambicí Unie;</w:t>
            </w:r>
            <w:r>
              <w:t xml:space="preserve"> </w:t>
            </w:r>
            <w:r>
              <w:rPr>
                <w:b/>
                <w:i/>
              </w:rPr>
              <w:t>bere na vědomí zjištění auditu IAS z roku 2024 týkajícího se provádění a monitorování systému EU ETS, že navzdory velkému pracovnímu zatížení, složitému právnímu rámci a omezeným zdrojům, s nimiž pracují, prokázali pracovníci Generálního ředitelství pro oblast klimatu (GŘ CLIMA) odhodlání plnit své úkoly a ochotu zlepšit účinnost procesů souvisejících se systémem EU ETS;</w:t>
            </w:r>
            <w:r>
              <w:t xml:space="preserve"> </w:t>
            </w:r>
            <w:r>
              <w:rPr>
                <w:b/>
                <w:i/>
              </w:rPr>
              <w:t>oceňuje písemné potvrzení Komise, že GŘ CLIMA má v úmyslu zabývat se většinou doporučení interního auditu do roku 2025 a všemi do poloviny roku 2028;</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Monika Hohlmeier,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t xml:space="preserve">uznává význam programu LIFE, jediného samostatného programu Unie pro životní prostředí a opatření v oblasti klimatu, pro </w:t>
            </w:r>
            <w:r>
              <w:rPr>
                <w:b/>
                <w:i/>
              </w:rPr>
              <w:t>financování projektů v oblasti</w:t>
            </w:r>
            <w:r>
              <w:t xml:space="preserve"> ochrany přírody, oběhového hospodářství, opatření v oblasti klimatu a přechodu na čistou energii a obecněji pro podporu udržitelného rozvoje v celé Unii; připomíná ustanovení nařízení </w:t>
            </w:r>
            <w:r>
              <w:rPr>
                <w:b/>
                <w:i/>
              </w:rPr>
              <w:t>o programu</w:t>
            </w:r>
            <w:r>
              <w:t xml:space="preserve"> LIFE+, včetně čl. 11 odst. 6, </w:t>
            </w:r>
            <w:r>
              <w:rPr>
                <w:b/>
                <w:i/>
              </w:rPr>
              <w:t>v němž se uvádí</w:t>
            </w:r>
            <w:r>
              <w:t xml:space="preserve">, že granty na provozní náklady </w:t>
            </w:r>
            <w:r>
              <w:rPr>
                <w:b/>
                <w:i/>
              </w:rPr>
              <w:t>poskytují podporu pro fungování neziskových subjektů, které jsou zapojeny do vypracování,</w:t>
            </w:r>
            <w:r>
              <w:t xml:space="preserve"> provádění </w:t>
            </w:r>
            <w:r>
              <w:rPr>
                <w:b/>
                <w:i/>
              </w:rPr>
              <w:t>a vymáhání politiky a</w:t>
            </w:r>
            <w:r>
              <w:t xml:space="preserve"> právních předpisů Unie </w:t>
            </w:r>
            <w:r>
              <w:rPr>
                <w:b/>
                <w:i/>
              </w:rPr>
              <w:t>a které jsou činné především</w:t>
            </w:r>
            <w:r>
              <w:t xml:space="preserve"> v oblasti životního prostředí </w:t>
            </w:r>
            <w:r>
              <w:rPr>
                <w:b/>
                <w:i/>
              </w:rPr>
              <w:t>nebo</w:t>
            </w:r>
            <w:r>
              <w:t xml:space="preserve"> klimatu</w:t>
            </w:r>
            <w:r>
              <w:rPr>
                <w:b/>
                <w:i/>
              </w:rPr>
              <w:t>, včetně přechodu na čistou energii, jsou způsobilými akcemi pro financování z programu LIFE</w:t>
            </w:r>
            <w:r>
              <w:t xml:space="preserve">; konstatuje, že granty na provozní náklady přidělené nevládním organizacím v rámci programu LIFE představují </w:t>
            </w:r>
            <w:r>
              <w:rPr>
                <w:b/>
                <w:i/>
              </w:rPr>
              <w:t>pouze</w:t>
            </w:r>
            <w:r>
              <w:t xml:space="preserve"> 1 % celkového rozpočtu programu;</w:t>
            </w:r>
          </w:p>
        </w:tc>
        <w:tc>
          <w:tcPr>
            <w:tcW w:w="4876" w:type="dxa"/>
            <w:tcBorders>
              <w:top w:val="nil"/>
              <w:left w:val="nil"/>
              <w:bottom w:val="nil"/>
              <w:right w:val="nil"/>
            </w:tcBorders>
          </w:tcPr>
          <w:p>
            <w:pPr>
              <w:pStyle w:val="Normal6a"/>
            </w:pPr>
            <w:r>
              <w:t>131.</w:t>
            </w:r>
            <w:r>
              <w:tab/>
            </w:r>
            <w:r>
              <w:t xml:space="preserve">uznává význam programu LIFE, jediného samostatného programu Unie pro životní prostředí a opatření v oblasti klimatu, pro </w:t>
            </w:r>
            <w:r>
              <w:rPr>
                <w:b/>
                <w:i/>
              </w:rPr>
              <w:t>podporu</w:t>
            </w:r>
            <w:r>
              <w:t xml:space="preserve"> ochrany přírody, </w:t>
            </w:r>
            <w:r>
              <w:rPr>
                <w:b/>
                <w:i/>
              </w:rPr>
              <w:t>iniciativ</w:t>
            </w:r>
            <w:r>
              <w:t xml:space="preserve"> oběhového hospodářství, opatření v oblasti klimatu a přechodu na čistou energii a obecněji pro podporu udržitelného rozvoje v celé Unii; připomíná ustanovení nařízení LIFE+, včetně čl. 11 odst. 6, </w:t>
            </w:r>
            <w:r>
              <w:rPr>
                <w:b/>
                <w:i/>
              </w:rPr>
              <w:t>který stanoví</w:t>
            </w:r>
            <w:r>
              <w:t xml:space="preserve">, že granty na provozní náklady </w:t>
            </w:r>
            <w:r>
              <w:rPr>
                <w:b/>
                <w:i/>
              </w:rPr>
              <w:t>mohou podporovat neziskové subjekty působící v oblasti rozvoje a</w:t>
            </w:r>
            <w:r>
              <w:t xml:space="preserve"> provádění právních předpisů Unie v oblasti životního prostředí </w:t>
            </w:r>
            <w:r>
              <w:rPr>
                <w:b/>
                <w:i/>
              </w:rPr>
              <w:t>a</w:t>
            </w:r>
            <w:r>
              <w:t xml:space="preserve"> klimatu</w:t>
            </w:r>
            <w:r>
              <w:rPr>
                <w:b/>
                <w:i/>
              </w:rPr>
              <w:t>;</w:t>
            </w:r>
            <w:r>
              <w:t xml:space="preserve"> </w:t>
            </w:r>
            <w:r>
              <w:rPr>
                <w:b/>
                <w:i/>
              </w:rPr>
              <w:t>zdůrazňuje však, že tyto granty na provozní náklady musí být poskytovány zcela transparentně, přísně v souladu s finančními pravidly a jasnými zárukami, aby se zajistilo, že finanční prostředky Unie nebudou využívány na politické kampaně nebo lobbistické činnosti zaměřené na orgány Unie nebo vnitrostátní a regionální parlamenty a vlády, ani na regionální nebo vnitrostátní ochranné akce nebo žaloby</w:t>
            </w:r>
            <w:r>
              <w:t xml:space="preserve">; konstatuje, že granty na provozní náklady přidělené nevládním organizacím v rámci programu LIFE představují </w:t>
            </w:r>
            <w:r>
              <w:rPr>
                <w:b/>
                <w:i/>
              </w:rPr>
              <w:t>přibližně</w:t>
            </w:r>
            <w:r>
              <w:t xml:space="preserve"> 1 % celkového rozpočtu programu</w:t>
            </w:r>
            <w:r>
              <w:rPr>
                <w:b/>
                <w:i/>
              </w:rPr>
              <w:t>, a vyzývá Komisi, aby zajistila důkladné monitorování, jasné oddělení provádění projektů od propagačních činností a plnou odpovědnost a plnou transparentnost vůči daňovým poplatníkům</w:t>
            </w:r>
            <w:r>
              <w:t xml:space="preserve">; </w:t>
            </w:r>
            <w:r>
              <w:rPr>
                <w:b/>
                <w:i/>
              </w:rPr>
              <w:t>vyzývá k tomu, aby finanční prostředky podporovaly vzájemné porozumění a konstruktivní výměnu namísto jednostranného zastoupení nevládních organizací nebo kontroverzních akcí;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rPr>
                <w:b/>
                <w:i/>
              </w:rPr>
              <w:t>uznává význam programu LIFE, jediného samostatného programu Unie pro životní prostředí a opatření v oblasti klimatu, pro financování projektů v oblasti ochrany přírody, oběhového hospodářství, opatření v oblasti klimatu a přechodu na čistou energii a obecněji pro podporu udržitelného rozvoje v celé Unii;</w:t>
            </w:r>
            <w:r>
              <w:t xml:space="preserve"> </w:t>
            </w:r>
            <w:r>
              <w:rPr>
                <w:b/>
                <w:i/>
              </w:rPr>
              <w:t>připomíná ustanovení nařízení o programu LIFE+, včetně čl. 11 odst. 6, v němž se uvádí, že granty na provozní náklady poskytují podporu pro fungování neziskových subjektů, které jsou zapojeny do vypracování, provádění a vymáhání politiky a právních předpisů Unie a které jsou činné především v oblasti životního prostředí nebo klimatu, včetně přechodu na čistou energii, jsou způsobilými akcemi pro financování z</w:t>
            </w:r>
            <w:r>
              <w:t xml:space="preserve"> programu LIFE; </w:t>
            </w:r>
            <w:r>
              <w:rPr>
                <w:b/>
                <w:i/>
              </w:rPr>
              <w:t>konstatuje, že granty na provozní náklady přidělené nevládním organizacím v rámci programu LIFE představují pouze 1 % celkového rozpočtu programu</w:t>
            </w:r>
            <w:r>
              <w:t>;</w:t>
            </w:r>
          </w:p>
        </w:tc>
        <w:tc>
          <w:tcPr>
            <w:tcW w:w="4876" w:type="dxa"/>
            <w:tcBorders>
              <w:top w:val="nil"/>
              <w:left w:val="nil"/>
              <w:bottom w:val="nil"/>
              <w:right w:val="nil"/>
            </w:tcBorders>
          </w:tcPr>
          <w:p>
            <w:pPr>
              <w:pStyle w:val="Normal6a"/>
            </w:pPr>
            <w:r>
              <w:t>131.</w:t>
            </w:r>
            <w:r>
              <w:tab/>
            </w:r>
            <w:r>
              <w:rPr>
                <w:b/>
                <w:i/>
              </w:rPr>
              <w:t>bere na vědomí existenci</w:t>
            </w:r>
            <w:r>
              <w:t xml:space="preserve"> programu LIFE; </w:t>
            </w:r>
            <w:r>
              <w:rPr>
                <w:b/>
                <w:i/>
              </w:rPr>
              <w:t>vítá zřízení pracovní skupiny výboru CONT pro kontrolu;</w:t>
            </w:r>
            <w:r>
              <w:t xml:space="preserve"> </w:t>
            </w:r>
            <w:r>
              <w:rPr>
                <w:b/>
                <w:i/>
              </w:rPr>
              <w:t>vyzývá tuto pracovní skupinu pro kontrolu, aby přezkoumala konkrétní cíle, na něž byly tyto prostředky poskytnuty, skutečně dosažené výsledky a to, zda bylo toto financování plně v souladu s etickými a finančními pravidly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t xml:space="preserve">uznává význam programu LIFE, jediného samostatného programu Unie pro životní prostředí a opatření v oblasti klimatu, pro </w:t>
            </w:r>
            <w:r>
              <w:rPr>
                <w:b/>
                <w:i/>
              </w:rPr>
              <w:t>financování projektů v oblasti</w:t>
            </w:r>
            <w:r>
              <w:t xml:space="preserve"> ochrany přírody, oběhového hospodářství, opatření v oblasti klimatu a přechodu na čistou energii a obecněji pro podporu udržitelného rozvoje v celé Unii; připomíná ustanovení nařízení </w:t>
            </w:r>
            <w:r>
              <w:rPr>
                <w:b/>
                <w:i/>
              </w:rPr>
              <w:t>o programu</w:t>
            </w:r>
            <w:r>
              <w:t xml:space="preserve"> LIFE+, včetně čl. 11 odst. 6, </w:t>
            </w:r>
            <w:r>
              <w:rPr>
                <w:b/>
                <w:i/>
              </w:rPr>
              <w:t>v němž se uvádí</w:t>
            </w:r>
            <w:r>
              <w:t xml:space="preserve">, že granty na provozní náklady </w:t>
            </w:r>
            <w:r>
              <w:rPr>
                <w:b/>
                <w:i/>
              </w:rPr>
              <w:t>poskytují podporu pro fungování neziskových subjektů, které jsou zapojeny do vypracování,</w:t>
            </w:r>
            <w:r>
              <w:t xml:space="preserve"> provádění </w:t>
            </w:r>
            <w:r>
              <w:rPr>
                <w:b/>
                <w:i/>
              </w:rPr>
              <w:t>a vymáhání politiky a</w:t>
            </w:r>
            <w:r>
              <w:t xml:space="preserve"> právních předpisů Unie </w:t>
            </w:r>
            <w:r>
              <w:rPr>
                <w:b/>
                <w:i/>
              </w:rPr>
              <w:t>a které jsou činné především</w:t>
            </w:r>
            <w:r>
              <w:t xml:space="preserve"> v oblasti životního prostředí </w:t>
            </w:r>
            <w:r>
              <w:rPr>
                <w:b/>
                <w:i/>
              </w:rPr>
              <w:t>nebo</w:t>
            </w:r>
            <w:r>
              <w:t xml:space="preserve"> klimatu</w:t>
            </w:r>
            <w:r>
              <w:rPr>
                <w:b/>
                <w:i/>
              </w:rPr>
              <w:t>, včetně přechodu na čistou energii, jsou způsobilými akcemi pro financování z programu LIFE</w:t>
            </w:r>
            <w:r>
              <w:t xml:space="preserve">; konstatuje, že granty na provozní náklady přidělené nevládním organizacím v rámci programu LIFE představují </w:t>
            </w:r>
            <w:r>
              <w:rPr>
                <w:b/>
                <w:i/>
              </w:rPr>
              <w:t>pouze</w:t>
            </w:r>
            <w:r>
              <w:t xml:space="preserve"> 1 % celkového rozpočtu programu;</w:t>
            </w:r>
          </w:p>
        </w:tc>
        <w:tc>
          <w:tcPr>
            <w:tcW w:w="4876" w:type="dxa"/>
            <w:tcBorders>
              <w:top w:val="nil"/>
              <w:left w:val="nil"/>
              <w:bottom w:val="nil"/>
              <w:right w:val="nil"/>
            </w:tcBorders>
          </w:tcPr>
          <w:p>
            <w:pPr>
              <w:pStyle w:val="Normal6a"/>
            </w:pPr>
            <w:r>
              <w:t>131.</w:t>
            </w:r>
            <w:r>
              <w:tab/>
            </w:r>
            <w:r>
              <w:t xml:space="preserve">uznává význam programu LIFE, jediného samostatného programu Unie pro životní prostředí a opatření v oblasti klimatu, pro </w:t>
            </w:r>
            <w:r>
              <w:rPr>
                <w:b/>
                <w:i/>
              </w:rPr>
              <w:t>podporu</w:t>
            </w:r>
            <w:r>
              <w:t xml:space="preserve"> ochrany přírody, </w:t>
            </w:r>
            <w:r>
              <w:rPr>
                <w:b/>
                <w:i/>
              </w:rPr>
              <w:t>iniciativ</w:t>
            </w:r>
            <w:r>
              <w:t xml:space="preserve"> oběhového hospodářství, opatření v oblasti klimatu a přechodu na čistou energii a obecněji pro podporu udržitelného rozvoje v celé Unii; připomíná ustanovení nařízení LIFE+, včetně čl. 11 odst. 6, </w:t>
            </w:r>
            <w:r>
              <w:rPr>
                <w:b/>
                <w:i/>
              </w:rPr>
              <w:t>který stanoví</w:t>
            </w:r>
            <w:r>
              <w:t xml:space="preserve">, že granty na provozní náklady </w:t>
            </w:r>
            <w:r>
              <w:rPr>
                <w:b/>
                <w:i/>
              </w:rPr>
              <w:t>mohou podporovat neziskové subjekty působící v oblasti rozvoje a</w:t>
            </w:r>
            <w:r>
              <w:t xml:space="preserve"> provádění právních předpisů Unie v oblasti životního prostředí </w:t>
            </w:r>
            <w:r>
              <w:rPr>
                <w:b/>
                <w:i/>
              </w:rPr>
              <w:t>a</w:t>
            </w:r>
            <w:r>
              <w:t xml:space="preserve"> klimatu</w:t>
            </w:r>
            <w:r>
              <w:rPr>
                <w:b/>
                <w:i/>
              </w:rPr>
              <w:t>;</w:t>
            </w:r>
            <w:r>
              <w:t xml:space="preserve"> </w:t>
            </w:r>
            <w:r>
              <w:rPr>
                <w:b/>
                <w:i/>
              </w:rPr>
              <w:t>zdůrazňuje však, že tyto granty na provozní náklady musí být poskytovány zcela transparentně, v přísném souladu s finančními pravidly a jasnými zárukami, aby se zajistilo, že finanční prostředky Unie nebudou využívány na politické kampaně nebo lobbistické činnosti zaměřené na orgány Unie</w:t>
            </w:r>
            <w:r>
              <w:t xml:space="preserve">; konstatuje, že granty na provozní náklady přidělené nevládním organizacím v rámci programu LIFE představují </w:t>
            </w:r>
            <w:r>
              <w:rPr>
                <w:b/>
                <w:i/>
              </w:rPr>
              <w:t>přibližně</w:t>
            </w:r>
            <w:r>
              <w:t xml:space="preserve"> 1 % celkového rozpočtu programu</w:t>
            </w:r>
            <w:r>
              <w:rPr>
                <w:b/>
                <w:i/>
              </w:rPr>
              <w:t>, a vyzývá Komisi, aby zajistila důkladné monitorování, jasné oddělení provádění projektů od propagačních činností a plnou odpovědnost vůči daňovým poplatníkům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t xml:space="preserve">uznává význam programu LIFE, jediného samostatného programu Unie pro životní prostředí a opatření v oblasti klimatu, pro financování projektů v oblasti ochrany přírody, oběhového hospodářství, opatření v oblasti klimatu a přechodu na čistou energii a obecněji pro podporu udržitelného rozvoje v celé Unii; připomíná ustanovení nařízení o programu LIFE+, včetně čl. 11 odst. 6, v němž se uvádí, že granty na provozní náklady poskytují podporu pro fungování neziskových subjektů, které jsou zapojeny do vypracování, provádění a vymáhání politiky a právních předpisů Unie a které jsou činné především v oblasti životního prostředí nebo klimatu, včetně přechodu na čistou energii, jsou způsobilými akcemi pro financování z programu LIFE; </w:t>
            </w:r>
            <w:r>
              <w:rPr>
                <w:b/>
                <w:i/>
              </w:rPr>
              <w:t>konstatuje, že granty na provozní náklady přidělené nevládním organizacím v rámci programu LIFE představují pouze 1 % celkového rozpočtu programu;</w:t>
            </w:r>
          </w:p>
        </w:tc>
        <w:tc>
          <w:tcPr>
            <w:tcW w:w="4876" w:type="dxa"/>
            <w:tcBorders>
              <w:top w:val="nil"/>
              <w:left w:val="nil"/>
              <w:bottom w:val="nil"/>
              <w:right w:val="nil"/>
            </w:tcBorders>
          </w:tcPr>
          <w:p>
            <w:pPr>
              <w:pStyle w:val="Normal6a"/>
            </w:pPr>
            <w:r>
              <w:t>131.</w:t>
            </w:r>
            <w:r>
              <w:tab/>
            </w:r>
            <w:r>
              <w:t>uznává význam programu LIFE, jediného samostatného programu Unie pro životní prostředí a opatření v oblasti klimatu, pro financování projektů v oblasti ochrany přírody, oběhového hospodářství, opatření v oblasti klimatu a přechodu na čistou energii a obecněji pro podporu udržitelného rozvoje v celé Unii; připomíná ustanovení nařízení o programu LIFE+, včetně čl. 11 odst. 6, v němž se uvádí, že granty na provozní náklady poskytují podporu pro fungování neziskových subjektů, které jsou zapojeny do vypracování, provádění a vymáhání politiky a právních předpisů Unie a které jsou činné především v oblasti životního prostředí nebo klimatu, včetně přechodu na čistou energii, jsou způsobilými akcemi pro financování z programu LIFE;</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132.</w:t>
            </w:r>
            <w:r>
              <w:tab/>
            </w:r>
            <w:r>
              <w:rPr>
                <w:b/>
                <w:i/>
              </w:rPr>
              <w:t>lituje obvinění z neoprávněného lobbování nevládních organizací, jejichž činnost byla podpořena granty na provozní náklady v rámci programu LIFE;</w:t>
            </w:r>
            <w:r>
              <w:t xml:space="preserve"> </w:t>
            </w:r>
            <w:r>
              <w:rPr>
                <w:b/>
                <w:i/>
              </w:rPr>
              <w:t>bere na vědomí, že odpověď výkonné místopředsedkyně pro čistou, spravedlivou a konkurenceschopnou transformaci adresovaná výboru CONT ze dne 2. prosince 2025 v rámci slyšení o udělení absolutoria potvrzuje, že činnosti nevládních organizací podporované granty na provozní náklady v rámci programu LIFE neporušily žádný právní rámec a že při provádění programu LIFE bylo plně dodržováno finanční nařízení;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t>lituje obvinění z neoprávněného lobbování nevládních organizací, jejichž činnost byla podpořena granty na provozní náklady v rámci programu LIFE; bere na vědomí, že odpověď výkonné místopředsedkyně pro čistou, spravedlivou a konkurenceschopnou transformaci adresovaná výboru CONT ze dne 2. prosince 2025 v rámci slyšení o udělení absolutoria potvrzuje, že činnosti nevládních organizací podporované granty na provozní náklady v rámci programu LIFE neporušily žádný právní rámec a že při provádění programu LIFE bylo plně dodržováno finanční nařízení;</w:t>
            </w:r>
          </w:p>
        </w:tc>
        <w:tc>
          <w:tcPr>
            <w:tcW w:w="4876" w:type="dxa"/>
            <w:tcBorders>
              <w:top w:val="nil"/>
              <w:left w:val="nil"/>
              <w:bottom w:val="nil"/>
              <w:right w:val="nil"/>
            </w:tcBorders>
          </w:tcPr>
          <w:p>
            <w:pPr>
              <w:pStyle w:val="Normal6a"/>
            </w:pPr>
            <w:r>
              <w:t>132.</w:t>
            </w:r>
            <w:r>
              <w:tab/>
            </w:r>
            <w:r>
              <w:t xml:space="preserve">lituje obvinění z neoprávněného lobbování nevládních organizací, jejichž činnost byla podpořena granty na provozní náklady v rámci programu LIFE; bere na vědomí, že odpověď výkonné místopředsedkyně pro čistou, spravedlivou a konkurenceschopnou transformaci adresovaná výboru CONT ze dne 2. prosince 2025 v rámci slyšení o udělení absolutoria potvrzuje, že činnosti nevládních organizací podporované granty na provozní náklady v rámci programu LIFE neporušily žádný právní rámec a že při provádění programu LIFE bylo plně dodržováno finanční nařízení; </w:t>
            </w:r>
            <w:r>
              <w:rPr>
                <w:b/>
                <w:i/>
              </w:rPr>
              <w:t>vyzývá Komisi, aby zaručila plnou transparentnost a zvýšenou obezřetnost, pokud jde o příjemce i financované činnosti, s cílem zajistit, aby žádné takové podezření nemohlo ohrozit integritu a důvěryhodnost využívání finančních prostředků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rPr>
                <w:b/>
                <w:i/>
              </w:rPr>
              <w:t>lituje obvinění z neoprávněného lobbování nevládních organizací, jejichž činnost byla podpořena granty</w:t>
            </w:r>
            <w:r>
              <w:t xml:space="preserve"> na provozní náklady </w:t>
            </w:r>
            <w:r>
              <w:rPr>
                <w:b/>
                <w:i/>
              </w:rPr>
              <w:t>v rámci</w:t>
            </w:r>
            <w:r>
              <w:t xml:space="preserve"> programu LIFE; bere na vědomí</w:t>
            </w:r>
            <w:r>
              <w:rPr>
                <w:b/>
                <w:i/>
              </w:rPr>
              <w:t>, že</w:t>
            </w:r>
            <w:r>
              <w:t xml:space="preserve"> odpověď výkonné místopředsedkyně pro čistou, spravedlivou a konkurenceschopnou transformaci </w:t>
            </w:r>
            <w:r>
              <w:rPr>
                <w:b/>
                <w:i/>
              </w:rPr>
              <w:t>adresovaná</w:t>
            </w:r>
            <w:r>
              <w:t xml:space="preserve"> výboru CONT ze dne 2. prosince 2025 v rámci </w:t>
            </w:r>
            <w:r>
              <w:rPr>
                <w:b/>
                <w:i/>
              </w:rPr>
              <w:t>slyšení o</w:t>
            </w:r>
            <w:r>
              <w:t xml:space="preserve"> udělení absolutoria </w:t>
            </w:r>
            <w:r>
              <w:rPr>
                <w:b/>
                <w:i/>
              </w:rPr>
              <w:t>potvrzuje, že činnosti nevládních organizací podporované granty na provozní náklady v rámci programu LIFE neporušily žádný právní rámec a že při</w:t>
            </w:r>
            <w:r>
              <w:t xml:space="preserve"> provádění programu LIFE </w:t>
            </w:r>
            <w:r>
              <w:rPr>
                <w:b/>
                <w:i/>
              </w:rPr>
              <w:t>bylo plně dodržováno</w:t>
            </w:r>
            <w:r>
              <w:t xml:space="preserve"> finanční </w:t>
            </w:r>
            <w:r>
              <w:rPr>
                <w:b/>
                <w:i/>
              </w:rPr>
              <w:t>nařízení</w:t>
            </w:r>
            <w:r>
              <w:t>;</w:t>
            </w:r>
          </w:p>
        </w:tc>
        <w:tc>
          <w:tcPr>
            <w:tcW w:w="4876" w:type="dxa"/>
            <w:tcBorders>
              <w:top w:val="nil"/>
              <w:left w:val="nil"/>
              <w:bottom w:val="nil"/>
              <w:right w:val="nil"/>
            </w:tcBorders>
          </w:tcPr>
          <w:p>
            <w:pPr>
              <w:pStyle w:val="Normal6a"/>
            </w:pPr>
            <w:r>
              <w:t>132.</w:t>
            </w:r>
            <w:r>
              <w:tab/>
            </w:r>
            <w:r>
              <w:rPr>
                <w:b/>
                <w:i/>
              </w:rPr>
              <w:t>bere na vědomí obavy vyjádřené v souvislosti s využíváním grantů</w:t>
            </w:r>
            <w:r>
              <w:t xml:space="preserve"> na provozní náklady programu LIFE </w:t>
            </w:r>
            <w:r>
              <w:rPr>
                <w:b/>
                <w:i/>
              </w:rPr>
              <w:t>některými nevládními organizacemi a v této souvislosti zdůrazňuje význam plné transparentnosti a přísného dodržování finančního nařízení</w:t>
            </w:r>
            <w:r>
              <w:t xml:space="preserve">; bere na vědomí odpověď výkonné místopředsedkyně </w:t>
            </w:r>
            <w:r>
              <w:rPr>
                <w:b/>
                <w:i/>
              </w:rPr>
              <w:t>Komise</w:t>
            </w:r>
            <w:r>
              <w:t xml:space="preserve"> pro čistou, spravedlivou a konkurenceschopnou transformaci výboru CONT ze dne 2. prosince 2025 v rámci udělení absolutoria </w:t>
            </w:r>
            <w:r>
              <w:rPr>
                <w:b/>
                <w:i/>
              </w:rPr>
              <w:t>za</w:t>
            </w:r>
            <w:r>
              <w:t xml:space="preserve"> provádění programu LIFE</w:t>
            </w:r>
            <w:r>
              <w:rPr>
                <w:b/>
                <w:i/>
              </w:rPr>
              <w:t>;</w:t>
            </w:r>
            <w:r>
              <w:t xml:space="preserve"> </w:t>
            </w:r>
            <w:r>
              <w:rPr>
                <w:b/>
                <w:i/>
              </w:rPr>
              <w:t>vyzývá však k dalšímu monitorování a v případě potřeby k dalšímu vyjasnění zavedených záruk s cílem zajistit, aby</w:t>
            </w:r>
            <w:r>
              <w:t xml:space="preserve"> finanční </w:t>
            </w:r>
            <w:r>
              <w:rPr>
                <w:b/>
                <w:i/>
              </w:rPr>
              <w:t>prostředky Unie byly využívány výhradně na cíle definované v programu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rPr>
                <w:b/>
                <w:i/>
              </w:rPr>
              <w:t>lituje</w:t>
            </w:r>
            <w:r>
              <w:t xml:space="preserve"> obvinění z neoprávněného lobbování </w:t>
            </w:r>
            <w:r>
              <w:rPr>
                <w:b/>
                <w:i/>
              </w:rPr>
              <w:t>nevládních organizací, jejichž činnost byla podpořena granty na provozní náklady v rámci programu LIFE;</w:t>
            </w:r>
            <w:r>
              <w:t xml:space="preserve"> </w:t>
            </w:r>
            <w:r>
              <w:rPr>
                <w:b/>
                <w:i/>
              </w:rPr>
              <w:t>bere na vědomí, že odpověď výkonné místopředsedkyně pro čistou, spravedlivou a konkurenceschopnou transformaci adresovaná výboru CONT ze dne 2. prosince 2025 v rámci slyšení o udělení absolutoria potvrzuje, že činnosti nevládních organizací podporované</w:t>
            </w:r>
            <w:r>
              <w:t xml:space="preserve"> granty na provozní náklady v rámci programu LIFE </w:t>
            </w:r>
            <w:r>
              <w:rPr>
                <w:b/>
                <w:i/>
              </w:rPr>
              <w:t>neporušily žádný</w:t>
            </w:r>
            <w:r>
              <w:t xml:space="preserve"> právní </w:t>
            </w:r>
            <w:r>
              <w:rPr>
                <w:b/>
                <w:i/>
              </w:rPr>
              <w:t>rámec a že při provádění programu LIFE bylo plně dodržováno</w:t>
            </w:r>
            <w:r>
              <w:t xml:space="preserve"> finanční </w:t>
            </w:r>
            <w:r>
              <w:rPr>
                <w:b/>
                <w:i/>
              </w:rPr>
              <w:t>nařízení</w:t>
            </w:r>
            <w:r>
              <w:t>;</w:t>
            </w:r>
          </w:p>
        </w:tc>
        <w:tc>
          <w:tcPr>
            <w:tcW w:w="4876" w:type="dxa"/>
            <w:tcBorders>
              <w:top w:val="nil"/>
              <w:left w:val="nil"/>
              <w:bottom w:val="nil"/>
              <w:right w:val="nil"/>
            </w:tcBorders>
          </w:tcPr>
          <w:p>
            <w:pPr>
              <w:pStyle w:val="Normal6a"/>
            </w:pPr>
            <w:r>
              <w:t>132.</w:t>
            </w:r>
            <w:r>
              <w:tab/>
            </w:r>
            <w:r>
              <w:rPr>
                <w:b/>
                <w:i/>
              </w:rPr>
              <w:t>bere na vědomí závažná</w:t>
            </w:r>
            <w:r>
              <w:t xml:space="preserve"> obvinění z neoprávněného lobbování </w:t>
            </w:r>
            <w:r>
              <w:rPr>
                <w:b/>
                <w:i/>
              </w:rPr>
              <w:t>vůči nevládním organizacím podporovaným</w:t>
            </w:r>
            <w:r>
              <w:t xml:space="preserve"> granty na provozní náklady v rámci programu LIFE </w:t>
            </w:r>
            <w:r>
              <w:rPr>
                <w:b/>
                <w:i/>
              </w:rPr>
              <w:t>a domnívá se, že tato obvinění vyžadují důkladné a nezávislé vyšetření;</w:t>
            </w:r>
            <w:r>
              <w:t xml:space="preserve"> </w:t>
            </w:r>
            <w:r>
              <w:rPr>
                <w:b/>
                <w:i/>
              </w:rPr>
              <w:t>připomíná, že využívání finančních prostředků EU organizacemi k lobbování za další</w:t>
            </w:r>
            <w:r>
              <w:t xml:space="preserve"> právní </w:t>
            </w:r>
            <w:r>
              <w:rPr>
                <w:b/>
                <w:i/>
              </w:rPr>
              <w:t>předpisy EU vyvolává oprávněné obavy ohledně vhodného využívání veřejných prostředků;</w:t>
            </w:r>
            <w:r>
              <w:t xml:space="preserve"> </w:t>
            </w:r>
            <w:r>
              <w:rPr>
                <w:b/>
                <w:i/>
              </w:rPr>
              <w:t>domnívá se, že tvrzení o plném dodržování právních předpisů neřeší širší otázku, zda lobbistické činnosti financované EU představují řádné</w:t>
            </w:r>
            <w:r>
              <w:t xml:space="preserve"> finanční </w:t>
            </w:r>
            <w:r>
              <w:rPr>
                <w:b/>
                <w:i/>
              </w:rPr>
              <w:t>řízení a optimální využití prostředků pro daňové poplatníky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rPr>
                <w:b/>
                <w:i/>
              </w:rPr>
              <w:t>lituje obvinění z neoprávněného</w:t>
            </w:r>
            <w:r>
              <w:t xml:space="preserve"> lobbování </w:t>
            </w:r>
            <w:r>
              <w:rPr>
                <w:b/>
                <w:i/>
              </w:rPr>
              <w:t>nevládních organizací, jejichž činnost byla podpořena granty na provozní náklady v rámci programu LIFE;</w:t>
            </w:r>
            <w:r>
              <w:t xml:space="preserve"> </w:t>
            </w:r>
            <w:r>
              <w:rPr>
                <w:b/>
                <w:i/>
              </w:rPr>
              <w:t>bere na vědomí, že odpověď výkonné místopředsedkyně pro čistou, spravedlivou a konkurenceschopnou transformaci adresovaná výboru CONT ze dne 2. prosince 2025 v rámci slyšení o udělení absolutoria potvrzuje, že činnosti nevládních organizací podporované granty na provozní náklady v rámci programu LIFE neporušily žádný právní rámec a že při provádění programu LIFE bylo plně dodržováno finanční nařízení</w:t>
            </w:r>
            <w:r>
              <w:t>;</w:t>
            </w:r>
          </w:p>
        </w:tc>
        <w:tc>
          <w:tcPr>
            <w:tcW w:w="4876" w:type="dxa"/>
            <w:tcBorders>
              <w:top w:val="nil"/>
              <w:left w:val="nil"/>
              <w:bottom w:val="nil"/>
              <w:right w:val="nil"/>
            </w:tcBorders>
          </w:tcPr>
          <w:p>
            <w:pPr>
              <w:pStyle w:val="Normal6a"/>
            </w:pPr>
            <w:r>
              <w:t>132.</w:t>
            </w:r>
            <w:r>
              <w:tab/>
            </w:r>
            <w:r>
              <w:rPr>
                <w:b/>
                <w:i/>
              </w:rPr>
              <w:t>zdůrazňuje, že z hlediska integrity je velmi nežádoucí, aby Komise uzavírala s nevládními organizacemi smluvní dohody o ovlivňování evropských tvůrců politik a</w:t>
            </w:r>
            <w:r>
              <w:t xml:space="preserve"> lobbování </w:t>
            </w:r>
            <w:r>
              <w:rPr>
                <w:b/>
                <w:i/>
              </w:rPr>
              <w:t>za politické cíle Komise;</w:t>
            </w:r>
            <w:r>
              <w:t xml:space="preserve"> </w:t>
            </w:r>
            <w:r>
              <w:rPr>
                <w:b/>
                <w:i/>
              </w:rPr>
              <w:t>připomíná, že komisař pro rozpočet a boj proti podvodům na plenárním zasedání dne 22. března 2025 připustil, že tyto smlouvy byly skutečně nevhodné;</w:t>
            </w:r>
            <w:r>
              <w:t xml:space="preserve"> </w:t>
            </w:r>
            <w:r>
              <w:rPr>
                <w:b/>
                <w:i/>
              </w:rPr>
              <w:t>netrpělivě očekává, jaká zjištění přinese práce pracovní skupiny pro kontrolu;</w:t>
            </w:r>
            <w:r>
              <w:t xml:space="preserve"> </w:t>
            </w:r>
            <w:r>
              <w:rPr>
                <w:b/>
                <w:i/>
              </w:rPr>
              <w:t>zároveň zdůrazňuje, že zahrnutí povinností lobbování do smluv s jinými příjemci je rovněž nevhodné</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132a.</w:t>
            </w:r>
            <w:r>
              <w:tab/>
            </w:r>
            <w:r>
              <w:rPr>
                <w:b/>
                <w:i/>
              </w:rPr>
              <w:t>vyjadřuje v této souvislosti politování nad tím, že finanční prostředky z programu LIFE byly přiděleny subjektům, které lobbují přímo u orgánů EU, což je v rozporu se zásadami řádného finančního řízení, transparentnosti a oddělení pravomocí;</w:t>
            </w:r>
            <w:r>
              <w:t xml:space="preserve"> </w:t>
            </w:r>
            <w:r>
              <w:rPr>
                <w:b/>
                <w:i/>
              </w:rPr>
              <w:t>vzhledem k tomu, že podrobnosti grantových smluv a výsledky akcí by měly být veřejné, s výjimkou případů, kdy to není v zájmu národní bezpečnosti, vyjadřuje politování nad tím, že Komise poskytuje členům Výboru pro rozpočtovou kontrolu přístup pouze k několika smlouvám v rámci všech financovaných projektů;</w:t>
            </w:r>
            <w:r>
              <w:t xml:space="preserve"> </w:t>
            </w:r>
            <w:r>
              <w:rPr>
                <w:b/>
                <w:i/>
              </w:rPr>
              <w:t>naléhavě vyzývá Komisi, aby zintenzivnila kontroly ex ante a ex post u příjemců prostředků z programu LIFE s cílem zajistit, aby byly tyto prostředky využívány v souladu s finančními nařízeními EU a interinstitucionální dohodou o zdokonalení tvorby právních předpisů;</w:t>
            </w:r>
            <w:r>
              <w:t xml:space="preserve"> </w:t>
            </w:r>
            <w:r>
              <w:rPr>
                <w:b/>
                <w:i/>
              </w:rPr>
              <w:t>vyzývá Komisi, aby plně zohlednila závěry a doporučení obsažených ve zprávách Evropského účetního dvora o transparentnosti financování nevládních organizací, pokud jde o reformu mechanismů pro udělování a monitorování grantů, a aby zajistila transparentnost a snadnou dostupnost svých činností a financování, neboť systém finanční transparentnosti je v současné době neúplný a aktualizovaný pozdě a obsahuje nespolehlivé údaje;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132b.</w:t>
            </w:r>
            <w:r>
              <w:tab/>
            </w:r>
            <w:r>
              <w:rPr>
                <w:b/>
                <w:i/>
              </w:rPr>
              <w:t>zpochybňuje výběr odborníků, kteří se podílejí na výběru nevládních organizací, jejichž kvalita a nezávislost je sporná;</w:t>
            </w:r>
            <w:r>
              <w:t xml:space="preserve"> </w:t>
            </w:r>
            <w:r>
              <w:rPr>
                <w:b/>
                <w:i/>
              </w:rPr>
              <w:t>vyzývá Komisi, aby otevřela svá řízení a panely poslancům zastupujícím opozici s cílem odstranit veškeré nejasnosti ohledně její podpory politického lobbování prostřednictvím spolupracujících nevládních organizací;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133.</w:t>
            </w:r>
            <w:r>
              <w:tab/>
            </w:r>
            <w:r>
              <w:rPr>
                <w:b/>
                <w:i/>
              </w:rPr>
              <w:t>konstatuje, že z přezkumu řady smluv o financování mezi Komisí a hospodářskými subjekty, které byly vyžádány v rámci tohoto postupu udělování absolutoria, vyplývá, že činnosti zaměřené na ovlivňování veřejné politiky nebo rozhodování se neomezují pouze na nevládní organizace, ale objevují se i ve smlouvách s jinými kategoriemi příjemců;</w:t>
            </w:r>
            <w:r>
              <w:t xml:space="preserve"> </w:t>
            </w:r>
            <w:r>
              <w:rPr>
                <w:b/>
                <w:i/>
              </w:rPr>
              <w:t>vyjadřuje znepokojení nad tím, že v některých případech mohou být ve správních radách společností, které čerpají finanční prostředky Unie na tyto činnosti, současně zastoupeni a odměňováni představitelé EU s rozhodovací pravomocí;</w:t>
            </w:r>
            <w:r>
              <w:t xml:space="preserve"> </w:t>
            </w:r>
            <w:r>
              <w:rPr>
                <w:b/>
                <w:i/>
              </w:rPr>
              <w:t>dále konstatuje, že útvar IAS provedl cílený zásah zaměřený výhradně na financování nevládních organizací v rámci programu LIFE, aby ověřil soulad s pokyny pro financování činností souvisejících s rozvojem, prováděním, monitorováním a prosazováním právních předpisů a politiky Unie, ale neověřil soulad s těmito pokyny u dohod podepsaných s jinými příjemci;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133.</w:t>
            </w:r>
            <w:r>
              <w:tab/>
            </w:r>
            <w:r>
              <w:t>konstatuje, že z přezkumu řady smluv o financování mezi Komisí a hospodářskými subjekty, které byly vyžádány v rámci tohoto postupu udělování absolutoria, vyplývá, že činnosti zaměřené na ovlivňování veřejné politiky nebo rozhodování se neomezují pouze na nevládní organizace, ale objevují se i ve smlouvách s jinými kategoriemi příjemců; vyjadřuje znepokojení nad tím, že v některých případech mohou být ve správních radách společností, které čerpají finanční prostředky Unie na tyto činnosti, současně zastoupeni a odměňováni představitelé EU s rozhodovací pravomocí; dále konstatuje, že útvar IAS provedl cílený zásah zaměřený výhradně na financování nevládních organizací v rámci programu LIFE, aby ověřil soulad s pokyny pro financování činností souvisejících s rozvojem, prováděním, monitorováním a prosazováním právních předpisů a politiky Unie, ale neověřil soulad s těmito pokyny u dohod podepsaných s jinými příjemci;</w:t>
            </w:r>
          </w:p>
        </w:tc>
        <w:tc>
          <w:tcPr>
            <w:tcW w:w="4876" w:type="dxa"/>
            <w:tcBorders>
              <w:top w:val="nil"/>
              <w:left w:val="nil"/>
              <w:bottom w:val="nil"/>
              <w:right w:val="nil"/>
            </w:tcBorders>
          </w:tcPr>
          <w:p>
            <w:pPr>
              <w:pStyle w:val="Normal6a"/>
            </w:pPr>
            <w:r>
              <w:t>133.</w:t>
            </w:r>
            <w:r>
              <w:tab/>
            </w:r>
            <w:r>
              <w:t xml:space="preserve">konstatuje, že z přezkumu řady smluv o financování mezi Komisí a hospodářskými subjekty, které byly vyžádány v rámci tohoto postupu udělování absolutoria, vyplývá, že činnosti zaměřené na ovlivňování veřejné politiky nebo rozhodování se neomezují pouze na nevládní organizace, ale objevují se i ve smlouvách s jinými kategoriemi příjemců; vyjadřuje znepokojení nad tím, že v některých případech mohou být ve správních radách společností, které čerpají finanční prostředky Unie na tyto činnosti, současně zastoupeni a odměňováni představitelé EU s rozhodovací pravomocí; dále konstatuje, že útvar IAS provedl cílený zásah zaměřený výhradně na financování nevládních organizací v rámci programu LIFE, aby ověřil soulad s pokyny pro financování činností souvisejících s rozvojem, prováděním, monitorováním a prosazováním právních předpisů a politiky Unie, ale neověřil soulad s těmito pokyny u dohod podepsaných s jinými příjemci; </w:t>
            </w:r>
            <w:r>
              <w:rPr>
                <w:b/>
                <w:i/>
              </w:rPr>
              <w:t>vyzývá pracovní skupinu výboru CONT pro kontrolu, aby přezkoumala, zda je stávající rámec pro posuzování využívání finančních prostředků Unie na činnosti ovlivňující politiku přiměřený a důsledně uplatňovaný ve všech kategoriích příjemců, a aby o svých zjištěních informovala orgán příslušný k udělení absolutoria;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133.</w:t>
            </w:r>
            <w:r>
              <w:tab/>
            </w:r>
            <w:r>
              <w:t xml:space="preserve">konstatuje, že </w:t>
            </w:r>
            <w:r>
              <w:rPr>
                <w:b/>
                <w:i/>
              </w:rPr>
              <w:t>z přezkumu řady</w:t>
            </w:r>
            <w:r>
              <w:t xml:space="preserve"> smluv o financování </w:t>
            </w:r>
            <w:r>
              <w:rPr>
                <w:b/>
                <w:i/>
              </w:rPr>
              <w:t>mezi Komisí a hospodářskými subjekty, které byly vyžádány</w:t>
            </w:r>
            <w:r>
              <w:t xml:space="preserve"> v rámci </w:t>
            </w:r>
            <w:r>
              <w:rPr>
                <w:b/>
                <w:i/>
              </w:rPr>
              <w:t>tohoto</w:t>
            </w:r>
            <w:r>
              <w:t xml:space="preserve"> postupu udělování absolutoria</w:t>
            </w:r>
            <w:r>
              <w:rPr>
                <w:b/>
                <w:i/>
              </w:rPr>
              <w:t>, vyplývá</w:t>
            </w:r>
            <w:r>
              <w:t xml:space="preserve">, že činnosti </w:t>
            </w:r>
            <w:r>
              <w:rPr>
                <w:b/>
                <w:i/>
              </w:rPr>
              <w:t>zaměřené na ovlivňování</w:t>
            </w:r>
            <w:r>
              <w:t xml:space="preserve"> veřejné politiky nebo rozhodování </w:t>
            </w:r>
            <w:r>
              <w:rPr>
                <w:b/>
                <w:i/>
              </w:rPr>
              <w:t>se neomezují pouze na nevládní organizace, ale objevují se i ve smlouvách s jinými</w:t>
            </w:r>
            <w:r>
              <w:t xml:space="preserve"> kategoriemi příjemců</w:t>
            </w:r>
            <w:r>
              <w:rPr>
                <w:b/>
                <w:i/>
              </w:rPr>
              <w:t>;</w:t>
            </w:r>
            <w:r>
              <w:t xml:space="preserve"> </w:t>
            </w:r>
            <w:r>
              <w:rPr>
                <w:b/>
                <w:i/>
              </w:rPr>
              <w:t>vyjadřuje znepokojení nad tím, že v některých případech mohou být ve správních radách společností, které čerpají</w:t>
            </w:r>
            <w:r>
              <w:t xml:space="preserve"> finanční prostředky Unie </w:t>
            </w:r>
            <w:r>
              <w:rPr>
                <w:b/>
                <w:i/>
              </w:rPr>
              <w:t>na tyto činnosti, současně zastoupeni a odměňováni představitelé EU s rozhodovací pravomocí</w:t>
            </w:r>
            <w:r>
              <w:t xml:space="preserve">; dále konstatuje, že </w:t>
            </w:r>
            <w:r>
              <w:rPr>
                <w:b/>
                <w:i/>
              </w:rPr>
              <w:t>útvar IAS provedl cílený zásah zaměřený výhradně</w:t>
            </w:r>
            <w:r>
              <w:t xml:space="preserve"> na financování nevládních organizací v rámci programu LIFE</w:t>
            </w:r>
            <w:r>
              <w:rPr>
                <w:b/>
                <w:i/>
              </w:rPr>
              <w:t>, aby ověřil</w:t>
            </w:r>
            <w:r>
              <w:t xml:space="preserve"> soulad s pokyny </w:t>
            </w:r>
            <w:r>
              <w:rPr>
                <w:b/>
                <w:i/>
              </w:rPr>
              <w:t>pro financování činností souvisejících s rozvojem, prováděním, monitorováním a prosazováním</w:t>
            </w:r>
            <w:r>
              <w:t xml:space="preserve"> právních předpisů a politiky Unie</w:t>
            </w:r>
            <w:r>
              <w:rPr>
                <w:b/>
                <w:i/>
              </w:rPr>
              <w:t>, ale neověřil soulad s těmito pokyny u dohod podepsaných s jinými příjemci</w:t>
            </w:r>
            <w:r>
              <w:t>;</w:t>
            </w:r>
          </w:p>
        </w:tc>
        <w:tc>
          <w:tcPr>
            <w:tcW w:w="4876" w:type="dxa"/>
            <w:tcBorders>
              <w:top w:val="nil"/>
              <w:left w:val="nil"/>
              <w:bottom w:val="nil"/>
              <w:right w:val="nil"/>
            </w:tcBorders>
          </w:tcPr>
          <w:p>
            <w:pPr>
              <w:pStyle w:val="Normal6a"/>
            </w:pPr>
            <w:r>
              <w:t>133.</w:t>
            </w:r>
            <w:r>
              <w:tab/>
            </w:r>
            <w:r>
              <w:t xml:space="preserve">konstatuje, že </w:t>
            </w:r>
            <w:r>
              <w:rPr>
                <w:b/>
                <w:i/>
              </w:rPr>
              <w:t>přezkum</w:t>
            </w:r>
            <w:r>
              <w:t xml:space="preserve"> smluv o financování v rámci postupu udělování absolutoria </w:t>
            </w:r>
            <w:r>
              <w:rPr>
                <w:b/>
                <w:i/>
              </w:rPr>
              <w:t>ukazuje</w:t>
            </w:r>
            <w:r>
              <w:t xml:space="preserve">, že činnosti </w:t>
            </w:r>
            <w:r>
              <w:rPr>
                <w:b/>
                <w:i/>
              </w:rPr>
              <w:t>související s ovlivňováním</w:t>
            </w:r>
            <w:r>
              <w:t xml:space="preserve"> veřejné politiky nebo rozhodování </w:t>
            </w:r>
            <w:r>
              <w:rPr>
                <w:b/>
                <w:i/>
              </w:rPr>
              <w:t>mohou probíhat napříč různými</w:t>
            </w:r>
            <w:r>
              <w:t xml:space="preserve"> kategoriemi příjemců</w:t>
            </w:r>
            <w:r>
              <w:rPr>
                <w:b/>
                <w:i/>
              </w:rPr>
              <w:t>, včetně nevládních organizací;</w:t>
            </w:r>
            <w:r>
              <w:t xml:space="preserve"> </w:t>
            </w:r>
            <w:r>
              <w:rPr>
                <w:b/>
                <w:i/>
              </w:rPr>
              <w:t>zdůrazňuje, že je nutno zabránit jakýmkoli potenciálním střetům zájmů a aby byly</w:t>
            </w:r>
            <w:r>
              <w:t xml:space="preserve"> finanční prostředky Unie </w:t>
            </w:r>
            <w:r>
              <w:rPr>
                <w:b/>
                <w:i/>
              </w:rPr>
              <w:t>spravovány transparentně a nezávisle na typu příjemce</w:t>
            </w:r>
            <w:r>
              <w:t xml:space="preserve">; dále konstatuje, že </w:t>
            </w:r>
            <w:r>
              <w:rPr>
                <w:b/>
                <w:i/>
              </w:rPr>
              <w:t>původní kontrola Útvaru interního auditu se zaměřila</w:t>
            </w:r>
            <w:r>
              <w:t xml:space="preserve"> na financování nevládních organizací v rámci programu LIFE </w:t>
            </w:r>
            <w:r>
              <w:rPr>
                <w:b/>
                <w:i/>
              </w:rPr>
              <w:t>a že Komise provedla další kontroly ve všech generálních ředitelstvích, přičemž zdůraznila, že je třeba zajistit jednotný dohled a ověřování u všech příjemců, aby byl zaručen</w:t>
            </w:r>
            <w:r>
              <w:t xml:space="preserve"> soulad s pokyny </w:t>
            </w:r>
            <w:r>
              <w:rPr>
                <w:b/>
                <w:i/>
              </w:rPr>
              <w:t>k činnostem podporujícím provádění, monitorování a prosazování</w:t>
            </w:r>
            <w:r>
              <w:t xml:space="preserve"> právních předpisů a politiky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133.</w:t>
            </w:r>
            <w:r>
              <w:tab/>
            </w:r>
            <w:r>
              <w:t xml:space="preserve">konstatuje, že </w:t>
            </w:r>
            <w:r>
              <w:rPr>
                <w:b/>
                <w:i/>
              </w:rPr>
              <w:t>z přezkumu řady</w:t>
            </w:r>
            <w:r>
              <w:t xml:space="preserve"> smluv o financování </w:t>
            </w:r>
            <w:r>
              <w:rPr>
                <w:b/>
                <w:i/>
              </w:rPr>
              <w:t>mezi Komisí a hospodářskými subjekty, které byly vyžádány</w:t>
            </w:r>
            <w:r>
              <w:t xml:space="preserve"> v rámci </w:t>
            </w:r>
            <w:r>
              <w:rPr>
                <w:b/>
                <w:i/>
              </w:rPr>
              <w:t>tohoto</w:t>
            </w:r>
            <w:r>
              <w:t xml:space="preserve"> postupu udělování absolutoria</w:t>
            </w:r>
            <w:r>
              <w:rPr>
                <w:b/>
                <w:i/>
              </w:rPr>
              <w:t>, vyplývá</w:t>
            </w:r>
            <w:r>
              <w:t xml:space="preserve">, že činnosti </w:t>
            </w:r>
            <w:r>
              <w:rPr>
                <w:b/>
                <w:i/>
              </w:rPr>
              <w:t>zaměřené na ovlivňování</w:t>
            </w:r>
            <w:r>
              <w:t xml:space="preserve"> veřejné politiky nebo rozhodování </w:t>
            </w:r>
            <w:r>
              <w:rPr>
                <w:b/>
                <w:i/>
              </w:rPr>
              <w:t>se neomezují pouze na nevládní organizace, ale objevují se i ve smlouvách s jinými</w:t>
            </w:r>
            <w:r>
              <w:t xml:space="preserve"> kategoriemi příjemců</w:t>
            </w:r>
            <w:r>
              <w:rPr>
                <w:b/>
                <w:i/>
              </w:rPr>
              <w:t>;</w:t>
            </w:r>
            <w:r>
              <w:t xml:space="preserve"> </w:t>
            </w:r>
            <w:r>
              <w:rPr>
                <w:b/>
                <w:i/>
              </w:rPr>
              <w:t>vyjadřuje znepokojení nad tím, že v některých případech mohou být ve správních radách společností, které čerpají</w:t>
            </w:r>
            <w:r>
              <w:t xml:space="preserve"> finanční prostředky Unie </w:t>
            </w:r>
            <w:r>
              <w:rPr>
                <w:b/>
                <w:i/>
              </w:rPr>
              <w:t>na tyto činnosti, současně zastoupeni a odměňováni představitelé EU s rozhodovací pravomocí</w:t>
            </w:r>
            <w:r>
              <w:t xml:space="preserve">; dále konstatuje, že </w:t>
            </w:r>
            <w:r>
              <w:rPr>
                <w:b/>
                <w:i/>
              </w:rPr>
              <w:t>útvar IAS</w:t>
            </w:r>
            <w:r>
              <w:t xml:space="preserve"> provedl </w:t>
            </w:r>
            <w:r>
              <w:rPr>
                <w:b/>
                <w:i/>
              </w:rPr>
              <w:t>cílený zásah zaměřený výhradně na</w:t>
            </w:r>
            <w:r>
              <w:t xml:space="preserve"> financování nevládních organizací v rámci </w:t>
            </w:r>
            <w:r>
              <w:rPr>
                <w:b/>
                <w:i/>
              </w:rPr>
              <w:t>programu LIFE, aby ověřil</w:t>
            </w:r>
            <w:r>
              <w:t xml:space="preserve"> soulad s pokyny </w:t>
            </w:r>
            <w:r>
              <w:rPr>
                <w:b/>
                <w:i/>
              </w:rPr>
              <w:t>pro financování činností souvisejících s rozvojem, prováděním, monitorováním a prosazováním</w:t>
            </w:r>
            <w:r>
              <w:t xml:space="preserve"> právních předpisů a politiky Unie</w:t>
            </w:r>
            <w:r>
              <w:rPr>
                <w:b/>
                <w:i/>
              </w:rPr>
              <w:t>, ale neověřil soulad s těmito pokyny u dohod podepsaných s jinými příjemci</w:t>
            </w:r>
            <w:r>
              <w:t>;</w:t>
            </w:r>
          </w:p>
        </w:tc>
        <w:tc>
          <w:tcPr>
            <w:tcW w:w="4876" w:type="dxa"/>
            <w:tcBorders>
              <w:top w:val="nil"/>
              <w:left w:val="nil"/>
              <w:bottom w:val="nil"/>
              <w:right w:val="nil"/>
            </w:tcBorders>
          </w:tcPr>
          <w:p>
            <w:pPr>
              <w:pStyle w:val="Normal6a"/>
            </w:pPr>
            <w:r>
              <w:t>133.</w:t>
            </w:r>
            <w:r>
              <w:tab/>
            </w:r>
            <w:r>
              <w:t xml:space="preserve">konstatuje, že </w:t>
            </w:r>
            <w:r>
              <w:rPr>
                <w:b/>
                <w:i/>
              </w:rPr>
              <w:t>přezkum</w:t>
            </w:r>
            <w:r>
              <w:t xml:space="preserve"> smluv o financování v rámci postupu udělování absolutoria </w:t>
            </w:r>
            <w:r>
              <w:rPr>
                <w:b/>
                <w:i/>
              </w:rPr>
              <w:t>ukazuje</w:t>
            </w:r>
            <w:r>
              <w:t xml:space="preserve">, že činnosti </w:t>
            </w:r>
            <w:r>
              <w:rPr>
                <w:b/>
                <w:i/>
              </w:rPr>
              <w:t>související s ovlivňováním</w:t>
            </w:r>
            <w:r>
              <w:t xml:space="preserve"> veřejné politiky nebo rozhodování </w:t>
            </w:r>
            <w:r>
              <w:rPr>
                <w:b/>
                <w:i/>
              </w:rPr>
              <w:t>mohou probíhat napříč různými</w:t>
            </w:r>
            <w:r>
              <w:t xml:space="preserve"> kategoriemi příjemců</w:t>
            </w:r>
            <w:r>
              <w:rPr>
                <w:b/>
                <w:i/>
              </w:rPr>
              <w:t>, včetně nevládních organizací;</w:t>
            </w:r>
            <w:r>
              <w:t xml:space="preserve"> </w:t>
            </w:r>
            <w:r>
              <w:rPr>
                <w:b/>
                <w:i/>
              </w:rPr>
              <w:t>zdůrazňuje, že je nutno zabránit jakýmkoli potenciálním střetům zájmů a aby byly</w:t>
            </w:r>
            <w:r>
              <w:t xml:space="preserve"> finanční prostředky Unie </w:t>
            </w:r>
            <w:r>
              <w:rPr>
                <w:b/>
                <w:i/>
              </w:rPr>
              <w:t>spravovány transparentně a nezávisle na typu příjemce</w:t>
            </w:r>
            <w:r>
              <w:t xml:space="preserve">; dále konstatuje, že </w:t>
            </w:r>
            <w:r>
              <w:rPr>
                <w:b/>
                <w:i/>
              </w:rPr>
              <w:t>na základě zjištění výboru CONT a v návaznosti na zprávu oznamovatele týkající se programu LIFE</w:t>
            </w:r>
            <w:r>
              <w:t xml:space="preserve"> provedl </w:t>
            </w:r>
            <w:r>
              <w:rPr>
                <w:b/>
                <w:i/>
              </w:rPr>
              <w:t>Útvar interního auditu počáteční přezkum zpráv o</w:t>
            </w:r>
            <w:r>
              <w:t xml:space="preserve"> financování nevládních organizací v rámci </w:t>
            </w:r>
            <w:r>
              <w:rPr>
                <w:b/>
                <w:i/>
              </w:rPr>
              <w:t>programů LIFE a Horizont a že Komise provedla další kontroly ve všech generálních ředitelstvích, přičemž zdůraznila, že je třeba zajistit jednotný dohled a ověřování u všech příjemců, aby byl zaručen</w:t>
            </w:r>
            <w:r>
              <w:t xml:space="preserve"> soulad s pokyny </w:t>
            </w:r>
            <w:r>
              <w:rPr>
                <w:b/>
                <w:i/>
              </w:rPr>
              <w:t>k činnostem podporujícím provádění, monitorování a prosazování</w:t>
            </w:r>
            <w:r>
              <w:t xml:space="preserve"> právních předpisů a politiky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133a.</w:t>
            </w:r>
            <w:r>
              <w:tab/>
            </w:r>
            <w:r>
              <w:rPr>
                <w:b/>
                <w:i/>
              </w:rPr>
              <w:t>konstatuje, že slyšení pracovní skupiny výboru CONT pro kontrolu odhalila, že každé GŘ a výkonná agentura mají různé metody výběru externích odborníků pro svou hodnotící komisi; naléhavě Komisi vyzývá, aby vytvořila standardizovaný soubor pravidel pro výběr externích odborníků pro hodnotící komisi;</w:t>
            </w:r>
            <w:r>
              <w:t xml:space="preserve"> </w:t>
            </w:r>
            <w:r>
              <w:rPr>
                <w:b/>
                <w:i/>
              </w:rPr>
              <w:t>vybízí k vytvoření standardizovaného procesu přezkumu žádostí o granty na provozní náklady, a k tomu, aby návrhy žádostí četli a přezkoumávali alespoň dva členové Komise nebo zaměstnanců agentur;</w:t>
            </w:r>
            <w:r>
              <w:t xml:space="preserve"> </w:t>
            </w:r>
            <w:r>
              <w:rPr>
                <w:b/>
                <w:i/>
              </w:rPr>
              <w:t>naléhavě vyzývá Komisi, aby zabránila střetu zájmů, který by se výslovně týkal hospodářských a finančních zájmů;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133b.</w:t>
            </w:r>
            <w:r>
              <w:tab/>
            </w:r>
            <w:r>
              <w:rPr>
                <w:b/>
                <w:i/>
              </w:rPr>
              <w:t>konstatuje, že balíčky pracovních úkolů tvoří hlavní součást grantů na provozní náklady a jsou klíčové ve všech fázích smlouvy, včetně výzvy k podávání žádostí, procesu přezkumu a schvalování žádostí, vypracování a schválení smlouvy mezi subjektem a Komisí, provádění akce včetně výstupů, kromě toho jsou podmínkou pro vyplacení finančních prostředků, a jsou součástí auditu, jak je právně stanoveno v právních předpisech týkajících se programu LIFE, v právním dokumentu výzvy k podávání žádostí a v samotných smlouvách;</w:t>
            </w:r>
            <w:r>
              <w:t xml:space="preserve"> </w:t>
            </w:r>
            <w:r>
              <w:rPr>
                <w:b/>
                <w:i/>
              </w:rPr>
              <w:t>kritizuje skutečnost, že Komise se o úloze balíčků pracovních úkolů vyjádřila zavádějícím způsobem, tj. odlišně od výše uvedených právních definic a od toho, jak tuto úlohu popsal ředitel agentury CINEA;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134 – podbod iii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iiia)</w:t>
            </w:r>
            <w:r>
              <w:tab/>
            </w:r>
            <w:r>
              <w:rPr>
                <w:b/>
                <w:i/>
              </w:rPr>
              <w:t>průběžně informovala orgán příslušný k udělení absolutoria o míře zpětného získávání prostředků na zemědělství, zejména s ohledem na změny pravidel v rámci SZP na období 2023-2027, a aby urychleně odstranila příčiny jakéhokoli zhoršení míry zpětného získávání prostředků, přičemž by mohla zvážit zavedení nových pobídek pro členské státy, které by je k zpětnému získávání prostředků motivovaly;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134 – podbod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 xml:space="preserve">zlepšila řádné finanční řízení současné </w:t>
            </w:r>
            <w:r>
              <w:rPr>
                <w:b/>
                <w:i/>
              </w:rPr>
              <w:t>i</w:t>
            </w:r>
            <w:r>
              <w:t xml:space="preserve"> budoucí SZP </w:t>
            </w:r>
            <w:r>
              <w:rPr>
                <w:b/>
                <w:i/>
              </w:rPr>
              <w:t>tím, že se zajistí, aby</w:t>
            </w:r>
            <w:r>
              <w:t xml:space="preserve"> přímá podpora příjmů </w:t>
            </w:r>
            <w:r>
              <w:rPr>
                <w:b/>
                <w:i/>
              </w:rPr>
              <w:t>byla poskytována pouze aktivním zemědělcům, se zvláštním zaměřením na ty, kteří to nejvíce potřebují, jako jsou rodinné a malé zemědělské podniky, zemědělské podniky</w:t>
            </w:r>
            <w:r>
              <w:t xml:space="preserve"> v oblastech s přírodními nebo jinými specifickými problémy, </w:t>
            </w:r>
            <w:r>
              <w:rPr>
                <w:b/>
                <w:i/>
              </w:rPr>
              <w:t>mladí zemědělci a ženy</w:t>
            </w:r>
            <w:r>
              <w:t>;</w:t>
            </w:r>
          </w:p>
        </w:tc>
        <w:tc>
          <w:tcPr>
            <w:tcW w:w="4876" w:type="dxa"/>
            <w:tcBorders>
              <w:top w:val="nil"/>
              <w:left w:val="nil"/>
              <w:bottom w:val="nil"/>
              <w:right w:val="nil"/>
            </w:tcBorders>
          </w:tcPr>
          <w:p>
            <w:pPr>
              <w:pStyle w:val="Normal6a"/>
            </w:pPr>
            <w:r>
              <w:t>iv)</w:t>
            </w:r>
            <w:r>
              <w:tab/>
            </w:r>
            <w:r>
              <w:t xml:space="preserve">zlepšila řádné finanční řízení současné </w:t>
            </w:r>
            <w:r>
              <w:rPr>
                <w:b/>
                <w:i/>
              </w:rPr>
              <w:t>a</w:t>
            </w:r>
            <w:r>
              <w:t xml:space="preserve"> budoucí SZP </w:t>
            </w:r>
            <w:r>
              <w:rPr>
                <w:b/>
                <w:i/>
              </w:rPr>
              <w:t>zajištěním toho, aby všem zemědělcům, kteří splňují právní požadavky, byla poskytována</w:t>
            </w:r>
            <w:r>
              <w:t xml:space="preserve"> přímá podpora příjmů</w:t>
            </w:r>
            <w:r>
              <w:rPr>
                <w:b/>
                <w:i/>
              </w:rPr>
              <w:t>;</w:t>
            </w:r>
            <w:r>
              <w:t xml:space="preserve"> </w:t>
            </w:r>
            <w:r>
              <w:rPr>
                <w:b/>
                <w:i/>
              </w:rPr>
              <w:t>zvláštní pozornost by měla být věnována rodinným a malým zemědělským podnikům, zemědělským podnikům</w:t>
            </w:r>
            <w:r>
              <w:t xml:space="preserve"> v oblastech s přírodními nebo jinými specifickými problémy, </w:t>
            </w:r>
            <w:r>
              <w:rPr>
                <w:b/>
                <w:i/>
              </w:rPr>
              <w:t>mladým zemědělcům a zemědělkyním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134 – podbod viii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viii)</w:t>
            </w:r>
            <w:r>
              <w:tab/>
            </w:r>
            <w:r>
              <w:t>sledovala možné střety zájmů, které mají vliv na finanční prostředky Unie, a zajistila, aby byly střety zájmů skutečně vyřešeny</w:t>
            </w:r>
            <w:r>
              <w:rPr>
                <w:b/>
                <w:i/>
              </w:rPr>
              <w:t>, a to i v případě členů Evropské rady, a zejména zajistila, aby nebyly přímo ani nepřímo vypláceny žádné finanční prostředky Unie společnosti Agrofert nebo jiným obchodním zájmům Andreje Babiše, dokud nebude zjištěný střet zájmů prokazatelně a ověřitelně vyřešen</w:t>
            </w:r>
            <w:r>
              <w:t>;</w:t>
            </w:r>
          </w:p>
        </w:tc>
        <w:tc>
          <w:tcPr>
            <w:tcW w:w="4876" w:type="dxa"/>
            <w:tcBorders>
              <w:top w:val="nil"/>
              <w:left w:val="nil"/>
              <w:bottom w:val="nil"/>
              <w:right w:val="nil"/>
            </w:tcBorders>
          </w:tcPr>
          <w:p>
            <w:pPr>
              <w:pStyle w:val="Normal6a"/>
            </w:pPr>
            <w:r>
              <w:t>viii)</w:t>
            </w:r>
            <w:r>
              <w:tab/>
            </w:r>
            <w:r>
              <w:t>sledovala možné střety zájmů, které mají vliv na finanční prostředky Unie, a zajistila, aby byly střety zájmů skutečně vyřešeny;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134 – podbod viii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viii)</w:t>
            </w:r>
            <w:r>
              <w:tab/>
            </w:r>
            <w:r>
              <w:t xml:space="preserve">sledovala možné střety zájmů, které mají vliv na finanční prostředky Unie, a zajistila, aby byly střety zájmů skutečně vyřešeny, a to i v případě členů Evropské rady, a zejména zajistila, aby nebyly přímo ani nepřímo vypláceny žádné finanční prostředky Unie </w:t>
            </w:r>
            <w:r>
              <w:rPr>
                <w:b/>
                <w:i/>
              </w:rPr>
              <w:t>společnosti Agrofert nebo jiným obchodním zájmům Andreje Babiše, dokud nebude zjištěný</w:t>
            </w:r>
            <w:r>
              <w:t xml:space="preserve"> střet zájmů prokazatelně a ověřitelně vyřešen;</w:t>
            </w:r>
          </w:p>
        </w:tc>
        <w:tc>
          <w:tcPr>
            <w:tcW w:w="4876" w:type="dxa"/>
            <w:tcBorders>
              <w:top w:val="nil"/>
              <w:left w:val="nil"/>
              <w:bottom w:val="nil"/>
              <w:right w:val="nil"/>
            </w:tcBorders>
          </w:tcPr>
          <w:p>
            <w:pPr>
              <w:pStyle w:val="Normal6a"/>
            </w:pPr>
            <w:r>
              <w:t>viii)</w:t>
            </w:r>
            <w:r>
              <w:tab/>
            </w:r>
            <w:r>
              <w:t xml:space="preserve">sledovala možné střety zájmů, které mají vliv na finanční prostředky Unie, a zajistila, aby byly střety zájmů skutečně vyřešeny, a to i v případě členů Evropské rady, a zejména zajistila, aby nebyly přímo ani nepřímo vypláceny žádné finanční prostředky Unie </w:t>
            </w:r>
            <w:r>
              <w:rPr>
                <w:b/>
                <w:i/>
              </w:rPr>
              <w:t>jakýmkoli příjemcům, u nichž byl zjištěn</w:t>
            </w:r>
            <w:r>
              <w:t xml:space="preserve"> střet zájmů</w:t>
            </w:r>
            <w:r>
              <w:rPr>
                <w:b/>
                <w:i/>
              </w:rPr>
              <w:t>, dokud tento nebude</w:t>
            </w:r>
            <w:r>
              <w:t xml:space="preserve"> prokazatelně a ověřitelně vyřešen;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134 – podbod xi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xi)</w:t>
            </w:r>
            <w:r>
              <w:tab/>
            </w:r>
            <w:r>
              <w:t xml:space="preserve">zlepšila svou metodiku používanou ke sledování výdajů Unie na činnosti související s klimatem a biologickou rozmanitostí v rámci VFR na období 2021–2027, a to i tím, že se bude zabývat příslušnými doporučeními uvedenými ve zvláštních zprávách Účetního dvora </w:t>
            </w:r>
            <w:r>
              <w:rPr>
                <w:b/>
                <w:i/>
              </w:rPr>
              <w:t>a bude rovněž sledovat negativní dopady</w:t>
            </w:r>
            <w:r>
              <w:t xml:space="preserve"> výdajů Unie na cíle v oblasti životního prostředí a biologické rozmanitosti;</w:t>
            </w:r>
          </w:p>
        </w:tc>
        <w:tc>
          <w:tcPr>
            <w:tcW w:w="4876" w:type="dxa"/>
            <w:tcBorders>
              <w:top w:val="nil"/>
              <w:left w:val="nil"/>
              <w:bottom w:val="nil"/>
              <w:right w:val="nil"/>
            </w:tcBorders>
          </w:tcPr>
          <w:p>
            <w:pPr>
              <w:pStyle w:val="Normal6a"/>
            </w:pPr>
            <w:r>
              <w:t>xi)</w:t>
            </w:r>
            <w:r>
              <w:tab/>
            </w:r>
            <w:r>
              <w:t>zlepšila svou metodiku používanou ke sledování výdajů Unie na činnosti související s klimatem a biologickou rozmanitostí v rámci VFR na období 2021–2027, a to i tím, že se bude zabývat příslušnými doporučeními uvedenými ve zvláštních zprávách Účetního dvora</w:t>
            </w:r>
            <w:r>
              <w:rPr>
                <w:b/>
                <w:i/>
              </w:rPr>
              <w:t>, a také zlepšila monitorování a vykazování skutečných výsledků investic a negativních dopadů</w:t>
            </w:r>
            <w:r>
              <w:t xml:space="preserve"> výdajů Unie na cíle v oblasti životního prostředí a biologické rozmanitosti;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134 – podbod xii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xii)</w:t>
            </w:r>
            <w:r>
              <w:tab/>
            </w:r>
            <w:r>
              <w:rPr>
                <w:b/>
                <w:i/>
              </w:rPr>
              <w:t>vypracovala a zavedla v příštím VFR komplexní metodiku ekologického sestavování rozpočtu tím, že do všech kroků rozpočtového cyklu zahrne hlediska klimatu, biologické rozmanitosti a životního prostředí;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134 – podbod xii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xii)</w:t>
            </w:r>
            <w:r>
              <w:tab/>
            </w:r>
            <w:r>
              <w:rPr>
                <w:b/>
                <w:i/>
              </w:rPr>
              <w:t>vypracovala a zavedla v příštím VFR komplexní metodiku ekologického sestavování rozpočtu tím, že do všech kroků rozpočtového cyklu zahrne hlediska klimatu, biologické rozmanitosti a životního prostředí;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134 – podbod xiv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 a)</w:t>
            </w:r>
            <w:r>
              <w:tab/>
            </w:r>
            <w:r>
              <w:rPr>
                <w:b/>
                <w:i/>
              </w:rPr>
              <w:t>zveřejnila obsah balíčků pracovních úkolů u grantů na provozní náklady uzavřených mezi Komisí a externími organizacemi a nevládními organizacemi, pokud to neohrozí citlivé bezpečnostní a obchodní informace;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134 – podbod xiv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 b)</w:t>
            </w:r>
            <w:r>
              <w:tab/>
            </w:r>
            <w:r>
              <w:rPr>
                <w:b/>
                <w:i/>
              </w:rPr>
              <w:t>vybízela Útvar interního auditu, aby systematicky přezkoumával balíčky pracovních úkolů a další operativní aspekty provozních a grantových dohod, je-li zjištěn nevhodný lobbistický obsah vůči orgánům EU a vládám a parlamentům členských států, či dojde-li k jednání v rozporu s právními předpisy a podání žalob proti orgánům EU a vládám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134 – podbod xiv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 c)</w:t>
            </w:r>
            <w:r>
              <w:tab/>
            </w:r>
            <w:r>
              <w:rPr>
                <w:b/>
                <w:i/>
              </w:rPr>
              <w:t>provedla hloubkovou analýzu nevládních organizací s cílem zajistit, aby finanční prostředky EU nefinancovaly nevládní organizace, které pod zástěrkou nevládní organizace zneužívají finanční prostředky EU nebo je předávají teroristickým skupinám nebo jiným zlovolným a zločineckým organizacím či jednotlivcům;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134 – podbod xiv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 d)</w:t>
            </w:r>
            <w:r>
              <w:tab/>
            </w:r>
            <w:r>
              <w:rPr>
                <w:b/>
                <w:i/>
              </w:rPr>
              <w:t>spolupracovala na konkrétnějším vymezení obhajoby s cílem rozlišovat mezi přijatelným využíváním finančních prostředků EU pro některé druhy obhajoby, jako je prezentace výsledků a problémů projektů, a nepřijatelným využíváním finančních prostředků EU, například k financování předkládání pozměňovacích návrhů poslanci parlamentu nebo členy Rady, k financování soudních sporů nebo k financování lobbingu jednoho generálního ředitelství Komise jménem jiného generálního ředitelství Komise, neboť se jedná o zneužití finančních prostředků EU a může poškodit pověst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134 – podbod xiv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 a)</w:t>
            </w:r>
            <w:r>
              <w:tab/>
            </w:r>
            <w:r>
              <w:rPr>
                <w:b/>
                <w:i/>
              </w:rPr>
              <w:t>vyzvala ke komplexnímu, nezávislému a veřejnému auditu veškerého financování programu LIFE od roku 2021 pro nevládní organizace financované z programu LIFE, které se rovněž podílejí na navrhování, propagaci a hodnocení politik EU v oblasti životního prostředí;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136a)</w:t>
            </w:r>
            <w:r>
              <w:tab/>
            </w:r>
            <w:r>
              <w:rPr>
                <w:b/>
                <w:i/>
              </w:rPr>
              <w:t>konstatuje, že EU vyčlenila 9,88 miliardy EUR na Azylový, migrační a integrační fond na období 2021–2027;</w:t>
            </w:r>
            <w:r>
              <w:t xml:space="preserve"> </w:t>
            </w:r>
            <w:r>
              <w:rPr>
                <w:b/>
                <w:i/>
              </w:rPr>
              <w:t>tento fond rovněž financuje integraci migrantů, a to i prostřednictvím sdružení, jejichž financování je často neprůhledné;</w:t>
            </w:r>
            <w:r>
              <w:t xml:space="preserve"> </w:t>
            </w:r>
            <w:r>
              <w:rPr>
                <w:b/>
                <w:i/>
              </w:rPr>
              <w:t>vzhledem k neúspěchu této politiky, která se s ohledem na rostoucí míru trestné činnosti a neschopnost některých jednotlivců integrovat se ukázala jako nákladná a neúčinná, by tento druh plýtvání evropskými finančními prostředky měl být odstraněn nebo přesměrován</w:t>
            </w:r>
            <w:r>
              <w:rPr>
                <w:b/>
                <w:i/>
                <w:vertAlign w:val="superscript"/>
              </w:rPr>
              <w:t>7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 a</w:t>
            </w:r>
            <w:r>
              <w:t xml:space="preserve"> </w:t>
            </w:r>
            <w:r>
              <w:rPr>
                <w:b/>
                <w:i/>
              </w:rPr>
              <w:t>https://social-economy-gateway.ec.europa.eu/eu-funding-programmes/asylum-migration-and-integration-fund_en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136b)</w:t>
            </w:r>
            <w:r>
              <w:tab/>
            </w:r>
            <w:r>
              <w:rPr>
                <w:b/>
                <w:i/>
              </w:rPr>
              <w:t>dále konstatuje, že pokud jsou finanční prostředky určeny zranitelným skupinám, je třeba dbát zvýšené opatrnosti, neboť tyto osoby mohou být někdy pod záminkou získání finančních prostředků zneužity;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141.</w:t>
            </w:r>
            <w:r>
              <w:tab/>
            </w:r>
            <w:r>
              <w:t>konstatuje, že členské státy předložily své první národní roční účetní závěrky programů AMIF a BMVI na období 2021–2027 v roce 2024; dále konstatuje, že Účetní dvůr přezkoumal práci pěti auditních orgánů v</w:t>
            </w:r>
            <w:r>
              <w:rPr>
                <w:b/>
                <w:i/>
              </w:rPr>
              <w:t xml:space="preserve">  </w:t>
            </w:r>
            <w:r>
              <w:t>souvislosti s jejich výročními kontrolními zprávami a audity výdajů v rámci fondů AMIF a BMVI; vítá závěr Účetního dvora, že auditní orgány vypracovaly a zavedly podrobné a dostatečně kvalitní postupy, které jim umožňují informovat ve výroční kontrolní zprávě o své práci;</w:t>
            </w:r>
          </w:p>
        </w:tc>
        <w:tc>
          <w:tcPr>
            <w:tcW w:w="4876" w:type="dxa"/>
            <w:tcBorders>
              <w:top w:val="nil"/>
              <w:left w:val="nil"/>
              <w:bottom w:val="nil"/>
              <w:right w:val="nil"/>
            </w:tcBorders>
          </w:tcPr>
          <w:p>
            <w:pPr>
              <w:pStyle w:val="Normal6a"/>
            </w:pPr>
            <w:r>
              <w:t>141.</w:t>
            </w:r>
            <w:r>
              <w:tab/>
            </w:r>
            <w:r>
              <w:t xml:space="preserve">konstatuje, že členské státy předložily své první národní roční účetní závěrky programů AMIF a BMVI na období 2021–2027 v roce 2024; </w:t>
            </w:r>
            <w:r>
              <w:rPr>
                <w:b/>
                <w:i/>
              </w:rPr>
              <w:t>poukazuje na neúspěch politik Unie, pokud jde o předcházení migračním tokům a obchodování s lidmi;</w:t>
            </w:r>
            <w:r>
              <w:t xml:space="preserve"> </w:t>
            </w:r>
            <w:r>
              <w:rPr>
                <w:b/>
                <w:i/>
              </w:rPr>
              <w:t>opakuje, že je znepokojen úlohou Azylového, migračního a integračního fondu (AMIF);</w:t>
            </w:r>
            <w:r>
              <w:t xml:space="preserve"> dále konstatuje, že Účetní dvůr přezkoumal práci pěti auditních orgánů v souvislosti s jejich výročními kontrolními zprávami a audity výdajů v rámci fondů AMIF a BMVI; vítá závěr Účetního dvora, že auditní orgány vypracovaly a zavedly podrobné a dostatečně kvalitní postupy, které jim umožňují informovat ve výroční kontrolní zprávě o své práci;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Eero Heinäluoma,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143.</w:t>
            </w:r>
            <w:r>
              <w:tab/>
            </w:r>
            <w:r>
              <w:rPr>
                <w:b/>
                <w:i/>
              </w:rPr>
              <w:t>bere na vědomí</w:t>
            </w:r>
            <w:r>
              <w:t xml:space="preserve"> přijetí Paktu o migraci a azylu v roce </w:t>
            </w:r>
            <w:r>
              <w:rPr>
                <w:b/>
                <w:i/>
              </w:rPr>
              <w:t>2024 a</w:t>
            </w:r>
            <w:r>
              <w:t xml:space="preserve"> přidělení dalších 2 miliard EUR na okruh 4 VFR na období 2024–2027 v souvislosti s revizí VFR na období 2021–2027 v polovině období, a to i s cílem umožnit plné provádění nových pravidel Paktu; oceňuje písemné odpovědi Komise, které potvrzují, že v rámci fondů AMIF a BMVI uvolnila další 3 miliardy EUR na roky 2025–2027, mimo jiné na podporu členských států, které přijímají osoby prchající před válkou na Ukrajině;</w:t>
            </w:r>
          </w:p>
        </w:tc>
        <w:tc>
          <w:tcPr>
            <w:tcW w:w="4876" w:type="dxa"/>
            <w:tcBorders>
              <w:top w:val="nil"/>
              <w:left w:val="nil"/>
              <w:bottom w:val="nil"/>
              <w:right w:val="nil"/>
            </w:tcBorders>
          </w:tcPr>
          <w:p>
            <w:pPr>
              <w:pStyle w:val="Normal6a"/>
            </w:pPr>
            <w:r>
              <w:t>143.</w:t>
            </w:r>
            <w:r>
              <w:tab/>
            </w:r>
            <w:r>
              <w:rPr>
                <w:b/>
                <w:i/>
              </w:rPr>
              <w:t>vítá</w:t>
            </w:r>
            <w:r>
              <w:t xml:space="preserve"> přijetí Paktu o migraci a azylu v roce </w:t>
            </w:r>
            <w:r>
              <w:rPr>
                <w:b/>
                <w:i/>
              </w:rPr>
              <w:t>2014 a připomíná, že jeho provádění je základem nového systému řízení migrace a azylu v EU, který začne v polovině roku 2026 platit ve všech členských státech;</w:t>
            </w:r>
            <w:r>
              <w:t xml:space="preserve"> </w:t>
            </w:r>
            <w:r>
              <w:rPr>
                <w:b/>
                <w:i/>
              </w:rPr>
              <w:t>dále vítá</w:t>
            </w:r>
            <w:r>
              <w:t xml:space="preserve"> přidělení dalších 2 miliard EUR na okruh 4 VFR na období 2024–2027 v souvislosti s revizí VFR na období 2021–2027 v polovině období, a to i s cílem umožnit plné provádění nových pravidel Paktu </w:t>
            </w:r>
            <w:r>
              <w:rPr>
                <w:b/>
                <w:i/>
              </w:rPr>
              <w:t>a řešit rostoucí výzvy v oblasti migrace a správy hranic vyplývající ze současného geopolitického kontextu</w:t>
            </w:r>
            <w:r>
              <w:t xml:space="preserve">; oceňuje písemné odpovědi Komise, které potvrzují, že v rámci fondů AMIF a BMVI uvolnila další 3 miliardy EUR na roky 2025–2027, mimo jiné na podporu členských států, které přijímají osoby prchající před válkou na Ukrajině; </w:t>
            </w:r>
            <w:r>
              <w:rPr>
                <w:b/>
                <w:i/>
              </w:rPr>
              <w:t>vyzývá Komisi, aby upřednostnila plné a včasné provádění paktu a zároveň zajistila, aby měl Parlament přístup ke všem relevantním dokumentům, a mohl tak účinně vykonávat dohled;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Eero Heinäluoma,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t>zdůrazňuje, že ostraha vnějších hranic Unie je jedním z pilířů Paktu o migraci a azylu; trvá na tom, že Unie musí lépe chránit zranitelné osoby před sítěmi převaděčů a obchodníků s lidmi; konstatuje, že v návaznosti na přijetí sdělení Komise ze dne 11. prosince 2024</w:t>
            </w:r>
            <w:r>
              <w:rPr>
                <w:vertAlign w:val="superscript"/>
              </w:rPr>
              <w:t>15</w:t>
            </w:r>
            <w:r>
              <w:t>Komise prostřednictvím nástroje BMVI přidělila členským státům Unie sousedícím s Ruskem a Běloruskem přibližně 520 milionů EUR;</w:t>
            </w:r>
          </w:p>
        </w:tc>
        <w:tc>
          <w:tcPr>
            <w:tcW w:w="4876" w:type="dxa"/>
            <w:tcBorders>
              <w:top w:val="nil"/>
              <w:left w:val="nil"/>
              <w:bottom w:val="nil"/>
              <w:right w:val="nil"/>
            </w:tcBorders>
          </w:tcPr>
          <w:p>
            <w:pPr>
              <w:pStyle w:val="Normal6a"/>
            </w:pPr>
            <w:r>
              <w:t>144.</w:t>
            </w:r>
            <w:r>
              <w:tab/>
            </w:r>
            <w:r>
              <w:t xml:space="preserve">zdůrazňuje, že ostraha vnějších hranic Unie je jedním z pilířů Paktu o migraci a azylu </w:t>
            </w:r>
            <w:r>
              <w:rPr>
                <w:b/>
                <w:i/>
              </w:rPr>
              <w:t>a základním předpokladem pro fungování schengenského prostoru volného pohybu;</w:t>
            </w:r>
            <w:r>
              <w:t xml:space="preserve"> </w:t>
            </w:r>
            <w:r>
              <w:rPr>
                <w:b/>
                <w:i/>
              </w:rPr>
              <w:t>uvědomuje si, že projekty financované EU, které podporují ochranu vnějších hranic, slouží ke zmírnění tlaku na ochranu vnitřních hranic, jak uvedl komisař pro rozpočet, boj proti podvodům a veřejnou správu při svém slyšení ve výboru CONT dne 8. prosince 2025;</w:t>
            </w:r>
            <w:r>
              <w:t xml:space="preserve"> </w:t>
            </w:r>
            <w:r>
              <w:rPr>
                <w:b/>
                <w:i/>
              </w:rPr>
              <w:t>uvědomuje si, že zatímco celkový počet migrantů nelegálně přicházejících do Unie se v roce 2024 snížil o 38 %, vzorce se na celém kontinentu změnily, přičemž na některých trasách došlo k výraznému nárůstu, zejména na trase přes východní hranice, kde byl v roce 2024 hlášen trojnásobný nárůst případů překročení hranic</w:t>
            </w:r>
            <w:r>
              <w:t xml:space="preserve">; trvá na tom, že Unie musí lépe chránit zranitelné osoby před sítěmi převaděčů a obchodníků s lidmi </w:t>
            </w:r>
            <w:r>
              <w:rPr>
                <w:b/>
                <w:i/>
              </w:rPr>
              <w:t>a řešit hybridní útoky a účelové využívání migrace ze strany třetích zemí nebo nepřátelských nestátních subjektů</w:t>
            </w:r>
            <w:r>
              <w:t>; konstatuje, že v návaznosti na přijetí sdělení Komise ze dne 11. prosince 2024</w:t>
            </w:r>
            <w:r>
              <w:rPr>
                <w:vertAlign w:val="superscript"/>
              </w:rPr>
              <w:t>15</w:t>
            </w:r>
            <w:r>
              <w:t xml:space="preserve"> Komise prostřednictvím nástroje BMVI přidělila členským státům Unie sousedícím s Ruskem a Běloruskem přibližně 520 milionů EUR; </w:t>
            </w:r>
            <w:r>
              <w:rPr>
                <w:b/>
                <w:i/>
              </w:rPr>
              <w:t>zdůrazňuje především potřebu podpory členských států v přední linii pro účely zabezpečení vnějších hranic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COM(2024)0570.</w:t>
            </w:r>
          </w:p>
        </w:tc>
        <w:tc>
          <w:tcPr>
            <w:tcW w:w="4876" w:type="dxa"/>
            <w:tcBorders>
              <w:top w:val="nil"/>
              <w:left w:val="nil"/>
              <w:bottom w:val="nil"/>
              <w:right w:val="nil"/>
            </w:tcBorders>
          </w:tcPr>
          <w:p>
            <w:pPr>
              <w:pStyle w:val="Normal6a"/>
            </w:pPr>
            <w:r>
              <w:rPr>
                <w:vertAlign w:val="superscript"/>
              </w:rPr>
              <w:t>15</w:t>
            </w:r>
            <w:r>
              <w:t xml:space="preserve"> </w:t>
            </w:r>
            <w:r>
              <w:t>COM(2024)0570.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t xml:space="preserve">zdůrazňuje, že ostraha vnějších hranic Unie je jedním z pilířů Paktu o migraci a azylu; trvá na tom, že </w:t>
            </w:r>
            <w:r>
              <w:rPr>
                <w:b/>
                <w:i/>
              </w:rPr>
              <w:t>Unie musí lépe chránit zranitelné osoby</w:t>
            </w:r>
            <w:r>
              <w:t xml:space="preserve"> před sítěmi převaděčů a obchodníků s lidmi; konstatuje, že v návaznosti na přijetí sdělení Komise ze dne 11. prosince 2024</w:t>
            </w:r>
            <w:r>
              <w:rPr>
                <w:b/>
                <w:i/>
                <w:vertAlign w:val="superscript"/>
              </w:rPr>
              <w:t>15</w:t>
            </w:r>
            <w:r>
              <w:t xml:space="preserve">Komise prostřednictvím nástroje </w:t>
            </w:r>
            <w:r>
              <w:rPr>
                <w:b/>
                <w:i/>
              </w:rPr>
              <w:t>BMVI</w:t>
            </w:r>
            <w:r>
              <w:t xml:space="preserve"> přidělila členským státům Unie sousedícím s Ruskem a Běloruskem přibližně 520 milionů EUR;</w:t>
            </w:r>
          </w:p>
        </w:tc>
        <w:tc>
          <w:tcPr>
            <w:tcW w:w="4876" w:type="dxa"/>
            <w:tcBorders>
              <w:top w:val="nil"/>
              <w:left w:val="nil"/>
              <w:bottom w:val="nil"/>
              <w:right w:val="nil"/>
            </w:tcBorders>
          </w:tcPr>
          <w:p>
            <w:pPr>
              <w:pStyle w:val="Normal6a"/>
            </w:pPr>
            <w:r>
              <w:t>144.</w:t>
            </w:r>
            <w:r>
              <w:tab/>
            </w:r>
            <w:r>
              <w:t xml:space="preserve">zdůrazňuje, že ostraha vnějších hranic Unie je jedním z pilířů Paktu o migraci a azylu; trvá na tom, že </w:t>
            </w:r>
            <w:r>
              <w:rPr>
                <w:b/>
                <w:i/>
              </w:rPr>
              <w:t>by Unie měla dále zvýšit úsilí o ochranu zranitelných osob</w:t>
            </w:r>
            <w:r>
              <w:t xml:space="preserve"> před sítěmi převaděčů a obchodníků s lidmi; konstatuje, že v návaznosti na přijetí sdělení Komise ze dne 11. prosince 2024</w:t>
            </w:r>
            <w:r>
              <w:rPr>
                <w:b/>
                <w:i/>
              </w:rPr>
              <w:t>[15]</w:t>
            </w:r>
            <w:r>
              <w:t xml:space="preserve"> Komise prostřednictvím nástroje </w:t>
            </w:r>
            <w:r>
              <w:rPr>
                <w:b/>
                <w:i/>
              </w:rPr>
              <w:t>NSHV</w:t>
            </w:r>
            <w:r>
              <w:t xml:space="preserve"> přidělila členským státům Unie sousedícím s Ruskem a Běloruskem přibližně 520 milionů EUR </w:t>
            </w:r>
            <w:r>
              <w:rPr>
                <w:b/>
                <w:i/>
              </w:rPr>
              <w:t>s cílem posílit kapacity správy hranic a řešit výzvy související s bezpečností a migrací</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COM(2024)0570.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rPr>
                <w:b/>
                <w:i/>
              </w:rPr>
              <w:t>zdůrazňuje, že ostraha vnějších hranic Unie je jedním z pilířů Paktu o migraci a azylu;</w:t>
            </w:r>
            <w:r>
              <w:t xml:space="preserve"> trvá na tom, že Unie musí lépe chránit zranitelné osoby před sítěmi převaděčů a obchodníků s lidmi; konstatuje, že v návaznosti na přijetí sdělení Komise ze dne 11. prosince 2024</w:t>
            </w:r>
            <w:r>
              <w:rPr>
                <w:vertAlign w:val="superscript"/>
              </w:rPr>
              <w:t>15</w:t>
            </w:r>
            <w:r>
              <w:t>Komise prostřednictvím nástroje BMVI přidělila členským státům Unie sousedícím s Ruskem a Běloruskem přibližně 520 milionů EUR;</w:t>
            </w:r>
          </w:p>
        </w:tc>
        <w:tc>
          <w:tcPr>
            <w:tcW w:w="4876" w:type="dxa"/>
            <w:tcBorders>
              <w:top w:val="nil"/>
              <w:left w:val="nil"/>
              <w:bottom w:val="nil"/>
              <w:right w:val="nil"/>
            </w:tcBorders>
          </w:tcPr>
          <w:p>
            <w:pPr>
              <w:pStyle w:val="Normal6a"/>
            </w:pPr>
            <w:r>
              <w:t>144.</w:t>
            </w:r>
            <w:r>
              <w:tab/>
            </w:r>
            <w:r>
              <w:t>trvá na tom, že Unie musí lépe chránit zranitelné osoby před sítěmi převaděčů a obchodníků s lidmi; konstatuje, že v návaznosti na přijetí sdělení Komise ze dne 11. prosince 2024</w:t>
            </w:r>
            <w:r>
              <w:rPr>
                <w:vertAlign w:val="superscript"/>
              </w:rPr>
              <w:t>15</w:t>
            </w:r>
            <w:r>
              <w:t xml:space="preserve"> Komise prostřednictvím nástroje BMVI přidělila členským státům Unie sousedícím s Ruskem a Běloruskem přibližně 520 milionů EUR;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COM(2024)0570.</w:t>
            </w:r>
          </w:p>
        </w:tc>
        <w:tc>
          <w:tcPr>
            <w:tcW w:w="4876" w:type="dxa"/>
            <w:tcBorders>
              <w:top w:val="nil"/>
              <w:left w:val="nil"/>
              <w:bottom w:val="nil"/>
              <w:right w:val="nil"/>
            </w:tcBorders>
          </w:tcPr>
          <w:p>
            <w:pPr>
              <w:pStyle w:val="Normal6a"/>
            </w:pPr>
            <w:r>
              <w:rPr>
                <w:vertAlign w:val="superscript"/>
              </w:rPr>
              <w:t>15</w:t>
            </w:r>
            <w:r>
              <w:t xml:space="preserve"> </w:t>
            </w:r>
            <w:r>
              <w:t>COM(2024)0570.</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t>zdůrazňuje, že ostraha vnějších hranic Unie je jedním z pilířů Paktu o migraci a azylu; trvá na tom, že Unie musí lépe chránit zranitelné osoby před sítěmi převaděčů a obchodníků s lidmi; konstatuje, že v návaznosti na přijetí sdělení Komise ze dne 11. prosince 2024</w:t>
            </w:r>
            <w:r>
              <w:rPr>
                <w:vertAlign w:val="superscript"/>
              </w:rPr>
              <w:t>15</w:t>
            </w:r>
            <w:r>
              <w:t>Komise prostřednictvím nástroje BMVI přidělila členským státům Unie sousedícím s Ruskem a Běloruskem přibližně 520 milionů EUR;</w:t>
            </w:r>
          </w:p>
        </w:tc>
        <w:tc>
          <w:tcPr>
            <w:tcW w:w="4876" w:type="dxa"/>
            <w:tcBorders>
              <w:top w:val="nil"/>
              <w:left w:val="nil"/>
              <w:bottom w:val="nil"/>
              <w:right w:val="nil"/>
            </w:tcBorders>
          </w:tcPr>
          <w:p>
            <w:pPr>
              <w:pStyle w:val="Normal6a"/>
            </w:pPr>
            <w:r>
              <w:t>144.</w:t>
            </w:r>
            <w:r>
              <w:tab/>
            </w:r>
            <w:r>
              <w:t xml:space="preserve">zdůrazňuje, že ostraha vnějších hranic Unie je jedním z pilířů Paktu o migraci a azylu; trvá na tom, že Unie musí lépe chránit zranitelné osoby před sítěmi převaděčů a obchodníků s lidmi </w:t>
            </w:r>
            <w:r>
              <w:rPr>
                <w:b/>
                <w:i/>
              </w:rPr>
              <w:t>a že na boj proti těmto sítím je zapotřebí více finančních zdrojů</w:t>
            </w:r>
            <w:r>
              <w:t>; konstatuje, že v návaznosti na přijetí sdělení Komise ze dne 11. prosince 2024</w:t>
            </w:r>
            <w:r>
              <w:rPr>
                <w:vertAlign w:val="superscript"/>
              </w:rPr>
              <w:t>15</w:t>
            </w:r>
            <w:r>
              <w:t xml:space="preserve"> Komise prostřednictvím nástroje BMVI přidělila členským státům Unie sousedícím s Ruskem a Běloruskem přibližně 520 milionů EUR;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COM(2024)0570.</w:t>
            </w:r>
          </w:p>
        </w:tc>
        <w:tc>
          <w:tcPr>
            <w:tcW w:w="4876" w:type="dxa"/>
            <w:tcBorders>
              <w:top w:val="nil"/>
              <w:left w:val="nil"/>
              <w:bottom w:val="nil"/>
              <w:right w:val="nil"/>
            </w:tcBorders>
          </w:tcPr>
          <w:p>
            <w:pPr>
              <w:pStyle w:val="Normal6a"/>
            </w:pPr>
            <w:r>
              <w:rPr>
                <w:vertAlign w:val="superscript"/>
              </w:rPr>
              <w:t>15</w:t>
            </w:r>
            <w:r>
              <w:t xml:space="preserve"> </w:t>
            </w:r>
            <w:r>
              <w:t>COM(2024)0570.</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144a.</w:t>
            </w:r>
            <w:r>
              <w:tab/>
            </w:r>
            <w:r>
              <w:rPr>
                <w:b/>
                <w:i/>
              </w:rPr>
              <w:t>zdůrazňuje, že účinná správa vnějších hranic Unie vyžaduje jak provozní kapacitu, tak fyzickou infrastrukturu;</w:t>
            </w:r>
            <w:r>
              <w:t xml:space="preserve"> </w:t>
            </w:r>
            <w:r>
              <w:rPr>
                <w:b/>
                <w:i/>
              </w:rPr>
              <w:t>konstatuje, že několik členských států investovalo značné vnitrostátní zdroje do fyzických opatření na ochranu hranic;</w:t>
            </w:r>
            <w:r>
              <w:t xml:space="preserve"> </w:t>
            </w:r>
            <w:r>
              <w:rPr>
                <w:b/>
                <w:i/>
              </w:rPr>
              <w:t>vyzývá Komisi, aby zajistila, aby finanční prostředky Unie, a to i v rámci Fondu pro integrovanou správu hranic, mohly být použity na podporu výstavby a údržby fyzických překážek na vnějších hranicích Unie, pokud členské státy určí taková opatření jako nezbytná pro účinnou správu hranic;</w:t>
            </w:r>
            <w:r>
              <w:t xml:space="preserve"> </w:t>
            </w:r>
            <w:r>
              <w:rPr>
                <w:b/>
                <w:i/>
              </w:rPr>
              <w:t>zdůrazňuje, že ochrana vnějších hranic Unie je předpokladem pro řádné finanční řízení finančních prostředků Unie souvisejících s migrací;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145.</w:t>
            </w:r>
            <w:r>
              <w:tab/>
            </w:r>
            <w:r>
              <w:rPr>
                <w:b/>
                <w:i/>
              </w:rPr>
              <w:t>připomíná, že solidarita a spravedlivé sdílení odpovědnosti jsou základními zásadami migrační a azylové politiky Unie;</w:t>
            </w:r>
            <w:r>
              <w:t xml:space="preserve"> </w:t>
            </w:r>
            <w:r>
              <w:rPr>
                <w:b/>
                <w:i/>
              </w:rPr>
              <w:t>v této souvislosti zdůrazňuje úlohu fondu AMIF při podpoře členských států v oblasti přijímání, azylového řízení, integračních opatření a přesídlování, včetně osob prchajících před konflikty a humanitárními krizemi;</w:t>
            </w:r>
            <w:r>
              <w:t xml:space="preserve"> </w:t>
            </w:r>
            <w:r>
              <w:rPr>
                <w:b/>
                <w:i/>
              </w:rPr>
              <w:t>zdůrazňuje, že účinné provádění Paktu o migraci a azylu vyžaduje dostatečné, dobře řízené a včasné financování na podporu solidárních opatření v celé Unii;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Joachim Stanisław Brudziński,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145.</w:t>
            </w:r>
            <w:r>
              <w:tab/>
            </w:r>
            <w:r>
              <w:rPr>
                <w:b/>
                <w:i/>
              </w:rPr>
              <w:t>připomíná, že solidarita a spravedlivé sdílení odpovědnosti jsou základními zásadami migrační a azylové politiky Unie;</w:t>
            </w:r>
            <w:r>
              <w:t xml:space="preserve"> </w:t>
            </w:r>
            <w:r>
              <w:rPr>
                <w:b/>
                <w:i/>
              </w:rPr>
              <w:t>v této souvislosti zdůrazňuje úlohu fondu AMIF při podpoře členských států v oblasti přijímání, azylového řízení, integračních opatření a přesídlování, včetně osob prchajících před konflikty a humanitárními krizemi;</w:t>
            </w:r>
            <w:r>
              <w:t xml:space="preserve"> </w:t>
            </w:r>
            <w:r>
              <w:rPr>
                <w:b/>
                <w:i/>
              </w:rPr>
              <w:t>zdůrazňuje, že účinné provádění Paktu o migraci a azylu vyžaduje dostatečné, dobře řízené a včasné financování na podporu solidárních opatření v celé Unii;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145.</w:t>
            </w:r>
            <w:r>
              <w:tab/>
            </w:r>
            <w:r>
              <w:rPr>
                <w:b/>
                <w:i/>
              </w:rPr>
              <w:t>připomíná, že solidarita a spravedlivé sdílení odpovědnosti jsou základními zásadami migrační a azylové politiky Unie;</w:t>
            </w:r>
            <w:r>
              <w:t xml:space="preserve"> </w:t>
            </w:r>
            <w:r>
              <w:rPr>
                <w:b/>
                <w:i/>
              </w:rPr>
              <w:t>v této souvislosti zdůrazňuje úlohu fondu AMIF při podpoře členských států v oblasti přijímání, azylového řízení, integračních opatření a přesídlování, včetně osob prchajících před konflikty a humanitárními krizemi;</w:t>
            </w:r>
            <w:r>
              <w:t xml:space="preserve"> </w:t>
            </w:r>
            <w:r>
              <w:rPr>
                <w:b/>
                <w:i/>
              </w:rPr>
              <w:t>zdůrazňuje, že účinné provádění Paktu o migraci a azylu vyžaduje dostatečné, dobře řízené a včasné financování na podporu solidárních opatření v celé Unii;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145.</w:t>
            </w:r>
            <w:r>
              <w:tab/>
            </w:r>
            <w:r>
              <w:t>připomíná, že solidarita a spravedlivé sdílení odpovědnosti jsou základními zásadami migrační a azylové politiky Unie; v této souvislosti zdůrazňuje úlohu fondu AMIF při podpoře členských států v oblasti přijímání, azylového řízení, integračních opatření a přesídlování, včetně osob prchajících před konflikty a humanitárními krizemi; zdůrazňuje, že účinné provádění Paktu o migraci a azylu vyžaduje dostatečné, dobře řízené a včasné financování na podporu solidárních opatření v celé Unii;</w:t>
            </w:r>
          </w:p>
        </w:tc>
        <w:tc>
          <w:tcPr>
            <w:tcW w:w="4876" w:type="dxa"/>
            <w:tcBorders>
              <w:top w:val="nil"/>
              <w:left w:val="nil"/>
              <w:bottom w:val="nil"/>
              <w:right w:val="nil"/>
            </w:tcBorders>
          </w:tcPr>
          <w:p>
            <w:pPr>
              <w:pStyle w:val="Normal6a"/>
            </w:pPr>
            <w:r>
              <w:t>145.</w:t>
            </w:r>
            <w:r>
              <w:tab/>
            </w:r>
            <w:r>
              <w:t>připomíná, že solidarita a spravedlivé sdílení odpovědnosti jsou základními zásadami migrační a azylové politiky Unie</w:t>
            </w:r>
            <w:r>
              <w:rPr>
                <w:b/>
                <w:i/>
              </w:rPr>
              <w:t>;</w:t>
            </w:r>
            <w:r>
              <w:t xml:space="preserve"> </w:t>
            </w:r>
            <w:r>
              <w:rPr>
                <w:b/>
                <w:i/>
              </w:rPr>
              <w:t>zároveň poukazuje na to, že skutečná solidarita je možná pouze tehdy, budou-li zohledněny rozdíly mezi členskými státy, pokud jde o hustotu obyvatelstva a územní plánování</w:t>
            </w:r>
            <w:r>
              <w:t>; v této souvislosti zdůrazňuje úlohu fondu AMIF při podpoře členských států v oblasti přijímání, azylového řízení, integračních opatření a přesídlování, včetně osob prchajících před konflikty a humanitárními krizemi; zdůrazňuje, že účinné provádění Paktu o migraci a azylu vyžaduje dostatečné, dobře řízené a včasné financování na podporu solidárních opatření v celé Unii;</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145.</w:t>
            </w:r>
            <w:r>
              <w:tab/>
            </w:r>
            <w:r>
              <w:t>připomíná, že solidarita a spravedlivé sdílení odpovědnosti jsou základními zásadami migrační a azylové politiky Unie; v této souvislosti zdůrazňuje úlohu fondu AMIF při podpoře členských států v oblasti přijímání, azylového řízení, integračních opatření a přesídlování, včetně osob prchajících před konflikty a humanitárními krizemi; zdůrazňuje, že účinné provádění Paktu o migraci a azylu vyžaduje dostatečné, dobře řízené a včasné financování na podporu solidárních opatření v celé Unii;</w:t>
            </w:r>
          </w:p>
        </w:tc>
        <w:tc>
          <w:tcPr>
            <w:tcW w:w="4876" w:type="dxa"/>
            <w:tcBorders>
              <w:top w:val="nil"/>
              <w:left w:val="nil"/>
              <w:bottom w:val="nil"/>
              <w:right w:val="nil"/>
            </w:tcBorders>
          </w:tcPr>
          <w:p>
            <w:pPr>
              <w:pStyle w:val="Normal6a"/>
            </w:pPr>
            <w:r>
              <w:t>145.</w:t>
            </w:r>
            <w:r>
              <w:tab/>
            </w:r>
            <w:r>
              <w:t xml:space="preserve">připomíná, že solidarita a spravedlivé sdílení odpovědnosti </w:t>
            </w:r>
            <w:r>
              <w:rPr>
                <w:b/>
                <w:i/>
              </w:rPr>
              <w:t>v souladu se Smlouvami</w:t>
            </w:r>
            <w:r>
              <w:t xml:space="preserve"> jsou základními zásadami migrační a azylové politiky Unie; v této souvislosti zdůrazňuje úlohu fondu AMIF při podpoře členských států v oblasti přijímání, azylového řízení, integračních opatření a přesídlování, včetně osob prchajících před konflikty a humanitárními krizemi; zdůrazňuje, že účinné provádění Paktu o migraci a azylu vyžaduje dostatečné, dobře řízené a včasné financování na podporu solidárních opatření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145a)</w:t>
            </w:r>
            <w:r>
              <w:tab/>
            </w:r>
            <w:r>
              <w:rPr>
                <w:b/>
                <w:i/>
              </w:rPr>
              <w:t>zdůrazňuje, že Pakt Evropské unie o migraci a azylu je neúspěšným pokusem o provedení rozsáhlých reforem;</w:t>
            </w:r>
            <w:r>
              <w:t xml:space="preserve"> </w:t>
            </w:r>
            <w:r>
              <w:rPr>
                <w:b/>
                <w:i/>
              </w:rPr>
              <w:t>poukazuje na to, že je třeba si uvědomit, že nelegální migraci je třeba zastavit dříve, než se dostane na vnější hranice, a že namísto kvót pro migranty musí být zaveden účinný systém pro navracení migrantů a předcházení novým nelegálním tokům;</w:t>
            </w:r>
            <w:r>
              <w:t xml:space="preserve"> </w:t>
            </w:r>
            <w:r>
              <w:rPr>
                <w:b/>
                <w:i/>
              </w:rPr>
              <w:t>konstatuje, že je třeba změnit regulační rámec Unie v oblasti migrace a azylu, včetně vytvoření systému exteritoriality a posuzování žádostí o azyl mimo Evropskou unii;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145a)</w:t>
            </w:r>
            <w:r>
              <w:tab/>
            </w:r>
            <w:r>
              <w:rPr>
                <w:b/>
                <w:i/>
              </w:rPr>
              <w:t>poukazuje na to, že členské státy dosahují svých mezí, pokud jde o organizaci přijímání žadatelů o azyl, a že jsou nezbytná nová opatření k omezení přílivu migrantů;</w:t>
            </w:r>
            <w:r>
              <w:t xml:space="preserve"> </w:t>
            </w:r>
            <w:r>
              <w:rPr>
                <w:b/>
                <w:i/>
              </w:rPr>
              <w:t>konstatuje, že Evropský pakt o azylu a migraci stanoví, že zrychlená řízení na hranicích mohou být použita v případě žadatelů o azyl, kteří mají malou šanci na úspěch, tj. těch, kteří mají maximálně 20% šanci na udělení azylu;</w:t>
            </w:r>
            <w:r>
              <w:t xml:space="preserve"> </w:t>
            </w:r>
            <w:r>
              <w:rPr>
                <w:b/>
                <w:i/>
              </w:rPr>
              <w:t>konstatuje, že tento procentní podíl by měl být zvýšen, aby odrážel finanční kapacitu členských států;</w:t>
            </w:r>
            <w:r>
              <w:t xml:space="preserve"> </w:t>
            </w:r>
            <w:r>
              <w:rPr>
                <w:b/>
                <w:i/>
              </w:rPr>
              <w:t>poukazuje na význam dostatečných finančních prostředků, aby bylo možné tato řízení na hranicích účinně uplatňovat;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konstatuje, že v roce 2024 bylo 37,7 % finančních prostředků Unie na migraci a správu hranic přiděleno decentralizovaným agenturám působícím v oblasti migrace a vnitřních věcí; připomíná, že ačkoli jsou decentralizované agentury na Komisi právně, finančně a při plnění svých povinností nezávislé, Komise vykonává nad jejich činností dohled; připomíná, že migrace musí být řízena v plném souladu s právem Unie, včetně základních práv; </w:t>
            </w:r>
            <w:r>
              <w:rPr>
                <w:b/>
                <w:i/>
              </w:rPr>
              <w:t>vyjadřuje hluboké znepokojení nad zprávami o vytlačování migrantů</w:t>
            </w:r>
            <w:r>
              <w:t xml:space="preserve"> na vnějších hranicích Unie</w:t>
            </w:r>
            <w:r>
              <w:rPr>
                <w:b/>
                <w:i/>
              </w:rPr>
              <w:t>, mimo jiné agenturou Frontex v Řecku, a nad souvisejícím rozsudkem</w:t>
            </w:r>
            <w:r>
              <w:t xml:space="preserve"> Evropského soudu pro lidská práva ze dne 7. ledna 2025</w:t>
            </w:r>
            <w:r>
              <w:rPr>
                <w:vertAlign w:val="superscript"/>
              </w:rPr>
              <w:t>16</w:t>
            </w:r>
            <w:r>
              <w:t xml:space="preserve">; </w:t>
            </w:r>
            <w:r>
              <w:rPr>
                <w:b/>
                <w:i/>
              </w:rPr>
              <w:t>oceňuje</w:t>
            </w:r>
            <w:r>
              <w:t xml:space="preserve"> písemné odpovědi Komise, že </w:t>
            </w:r>
            <w:r>
              <w:rPr>
                <w:b/>
                <w:i/>
              </w:rPr>
              <w:t>je třeba více monitorovat činnost</w:t>
            </w:r>
            <w:r>
              <w:t xml:space="preserve"> agentury Frontex </w:t>
            </w:r>
            <w:r>
              <w:rPr>
                <w:b/>
                <w:i/>
              </w:rPr>
              <w:t>v Řecku</w:t>
            </w:r>
            <w:r>
              <w:t>;</w:t>
            </w:r>
          </w:p>
        </w:tc>
        <w:tc>
          <w:tcPr>
            <w:tcW w:w="4876" w:type="dxa"/>
            <w:tcBorders>
              <w:top w:val="nil"/>
              <w:left w:val="nil"/>
              <w:bottom w:val="nil"/>
              <w:right w:val="nil"/>
            </w:tcBorders>
          </w:tcPr>
          <w:p>
            <w:pPr>
              <w:pStyle w:val="Normal6a"/>
            </w:pPr>
            <w:r>
              <w:t>146.</w:t>
            </w:r>
            <w:r>
              <w:tab/>
            </w:r>
            <w:r>
              <w:t xml:space="preserve">konstatuje, že v roce 2024 bylo 37,7 % finančních prostředků Unie na migraci a správu hranic přiděleno decentralizovaným agenturám působícím v oblasti migrace a vnitřních věcí; připomíná, že ačkoli jsou decentralizované agentury na Komisi právně, finančně a při plnění svých povinností nezávislé, Komise vykonává nad jejich činností dohled; připomíná, že migrace musí být řízena v plném souladu s právem Unie, včetně základních práv; </w:t>
            </w:r>
            <w:r>
              <w:rPr>
                <w:b/>
                <w:i/>
              </w:rPr>
              <w:t>uvědomuje si, že členské státy, které se nacházejí</w:t>
            </w:r>
            <w:r>
              <w:t xml:space="preserve"> na vnějších hranicích </w:t>
            </w:r>
            <w:r>
              <w:rPr>
                <w:b/>
                <w:i/>
              </w:rPr>
              <w:t>jako první země vstupu, čelí neúměrně vyšším objemům migračních toků;</w:t>
            </w:r>
            <w:r>
              <w:t xml:space="preserve"> </w:t>
            </w:r>
            <w:r>
              <w:rPr>
                <w:b/>
                <w:i/>
              </w:rPr>
              <w:t>oceňuje úsilí Řecka o účinnou ochranu hranic</w:t>
            </w:r>
            <w:r>
              <w:t xml:space="preserve"> Unie </w:t>
            </w:r>
            <w:r>
              <w:rPr>
                <w:b/>
                <w:i/>
              </w:rPr>
              <w:t>před trvalými a rozsáhlými migračními tlaky, které zároveň plně dodržuje své závazky podle mezinárodního a evropského práva a při provádění svých operací zajišťuje ochranu základních práv;</w:t>
            </w:r>
            <w:r>
              <w:t xml:space="preserve"> </w:t>
            </w:r>
            <w:r>
              <w:rPr>
                <w:b/>
                <w:i/>
              </w:rPr>
              <w:t>připomíná, že řecká pobřežní stráž zachránila v posledních deseti letech v Egejském moři a ve východním Středomoří více než 300 000 nelegálních migrantů;</w:t>
            </w:r>
            <w:r>
              <w:t xml:space="preserve"> </w:t>
            </w:r>
            <w:r>
              <w:rPr>
                <w:b/>
                <w:i/>
              </w:rPr>
              <w:t>bere na vědomí rozsudek</w:t>
            </w:r>
            <w:r>
              <w:t xml:space="preserve"> Evropského soudu pro lidská práva ze dne 7. ledna 2025</w:t>
            </w:r>
            <w:r>
              <w:rPr>
                <w:vertAlign w:val="superscript"/>
              </w:rPr>
              <w:t>16</w:t>
            </w:r>
            <w:r>
              <w:t xml:space="preserve">; </w:t>
            </w:r>
            <w:r>
              <w:rPr>
                <w:b/>
                <w:i/>
              </w:rPr>
              <w:t>zdůrazňuje, že Turecko se jako kandidátská země na přistoupení k EU považuje za bezpečnou třetí zemi;</w:t>
            </w:r>
            <w:r>
              <w:t xml:space="preserve"> </w:t>
            </w:r>
            <w:r>
              <w:rPr>
                <w:b/>
                <w:i/>
              </w:rPr>
              <w:t>bere na vědomí</w:t>
            </w:r>
            <w:r>
              <w:t xml:space="preserve"> písemné odpovědi Komise, že </w:t>
            </w:r>
            <w:r>
              <w:rPr>
                <w:b/>
                <w:i/>
              </w:rPr>
              <w:t>monitorování činnosti</w:t>
            </w:r>
            <w:r>
              <w:t xml:space="preserve"> agentury Frontex </w:t>
            </w:r>
            <w:r>
              <w:rPr>
                <w:b/>
                <w:i/>
              </w:rPr>
              <w:t>spadá do její odpovědnosti v oblasti dohledu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Evropský soud pro lidská práva, věc A.R.E. proti Řecku (stížnost č. 15783/21).</w:t>
            </w:r>
          </w:p>
        </w:tc>
        <w:tc>
          <w:tcPr>
            <w:tcW w:w="4876" w:type="dxa"/>
            <w:tcBorders>
              <w:top w:val="nil"/>
              <w:left w:val="nil"/>
              <w:bottom w:val="nil"/>
              <w:right w:val="nil"/>
            </w:tcBorders>
          </w:tcPr>
          <w:p>
            <w:pPr>
              <w:pStyle w:val="Normal6a"/>
            </w:pPr>
            <w:r>
              <w:rPr>
                <w:vertAlign w:val="superscript"/>
              </w:rPr>
              <w:t>16</w:t>
            </w:r>
            <w:r>
              <w:t xml:space="preserve"> </w:t>
            </w:r>
            <w:r>
              <w:t>Evropský soud pro lidská práva, věc A.R.E. proti Řecku (stížnost č. 15783/21).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konstatuje, že v roce 2024 bylo 37,7 % finančních prostředků Unie na migraci a správu hranic přiděleno decentralizovaným agenturám působícím v oblasti migrace a vnitřních věcí; připomíná, že ačkoli jsou decentralizované agentury na Komisi právně, finančně a při plnění svých povinností nezávislé, Komise vykonává nad jejich činností dohled; připomíná, že migrace musí být řízena v plném souladu s právem Unie, včetně základních práv; </w:t>
            </w:r>
            <w:r>
              <w:rPr>
                <w:b/>
                <w:i/>
              </w:rPr>
              <w:t>vyjadřuje hluboké znepokojení nad zprávami o vytlačování migrantů na vnějších hranicích Unie, mimo jiné agenturou Frontex v Řecku, a nad souvisejícím rozsudkem Evropského soudu pro lidská práva ze dne 7. ledna 2025</w:t>
            </w:r>
            <w:r>
              <w:rPr>
                <w:b/>
                <w:i/>
                <w:vertAlign w:val="superscript"/>
              </w:rPr>
              <w:t>16</w:t>
            </w:r>
            <w:r>
              <w:rPr>
                <w:b/>
                <w:i/>
              </w:rPr>
              <w:t>;</w:t>
            </w:r>
            <w:r>
              <w:t xml:space="preserve"> </w:t>
            </w:r>
            <w:r>
              <w:rPr>
                <w:b/>
                <w:i/>
              </w:rPr>
              <w:t>oceňuje písemné odpovědi Komise, že je třeba více monitorovat činnost agentury Frontex v Řecku;</w:t>
            </w:r>
          </w:p>
        </w:tc>
        <w:tc>
          <w:tcPr>
            <w:tcW w:w="4876" w:type="dxa"/>
            <w:tcBorders>
              <w:top w:val="nil"/>
              <w:left w:val="nil"/>
              <w:bottom w:val="nil"/>
              <w:right w:val="nil"/>
            </w:tcBorders>
          </w:tcPr>
          <w:p>
            <w:pPr>
              <w:pStyle w:val="Normal6a"/>
            </w:pPr>
            <w:r>
              <w:t>146.</w:t>
            </w:r>
            <w:r>
              <w:tab/>
            </w:r>
            <w:r>
              <w:t>konstatuje, že v roce 2024 bylo 37,7 % finančních prostředků Unie na migraci a správu hranic přiděleno decentralizovaným agenturám působícím v oblasti migrace a vnitřních věcí; připomíná, že ačkoli jsou decentralizované agentury na Komisi právně, finančně a při plnění svých povinností nezávislé, Komise vykonává nad jejich činností dohled; připomíná, že migrace musí být řízena v plném souladu s právem Unie, včetně základních práv;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Evropský soud pro lidská práva, věc A.R.E. proti Řecku (stížnost č. 15783/21).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konstatuje, že v roce 2024 bylo 37,7 % finančních prostředků Unie na migraci a správu hranic přiděleno decentralizovaným agenturám působícím v oblasti migrace a vnitřních věcí; připomíná, že ačkoli jsou decentralizované agentury na Komisi právně, finančně a při plnění svých povinností nezávislé, Komise vykonává nad jejich činností dohled; </w:t>
            </w:r>
            <w:r>
              <w:rPr>
                <w:b/>
                <w:i/>
              </w:rPr>
              <w:t>připomíná, že migrace musí být řízena v plném souladu s právem Unie, včetně základních práv;</w:t>
            </w:r>
            <w:r>
              <w:t xml:space="preserve"> </w:t>
            </w:r>
            <w:r>
              <w:rPr>
                <w:b/>
                <w:i/>
              </w:rPr>
              <w:t>vyjadřuje hluboké znepokojení nad zprávami</w:t>
            </w:r>
            <w:r>
              <w:t xml:space="preserve"> o vytlačování migrantů na vnějších hranicích Unie, mimo jiné agenturou Frontex v Řecku, a </w:t>
            </w:r>
            <w:r>
              <w:rPr>
                <w:b/>
                <w:i/>
              </w:rPr>
              <w:t>nad souvisejícím rozsudkem</w:t>
            </w:r>
            <w:r>
              <w:t xml:space="preserve"> Evropského soudu pro lidská práva ze dne 7. ledna 2025</w:t>
            </w:r>
            <w:r>
              <w:rPr>
                <w:vertAlign w:val="superscript"/>
              </w:rPr>
              <w:t>16</w:t>
            </w:r>
            <w:r>
              <w:t>; oceňuje písemné odpovědi Komise, že je třeba více monitorovat činnost agentury Frontex v Řecku;</w:t>
            </w:r>
          </w:p>
        </w:tc>
        <w:tc>
          <w:tcPr>
            <w:tcW w:w="4876" w:type="dxa"/>
            <w:tcBorders>
              <w:top w:val="nil"/>
              <w:left w:val="nil"/>
              <w:bottom w:val="nil"/>
              <w:right w:val="nil"/>
            </w:tcBorders>
          </w:tcPr>
          <w:p>
            <w:pPr>
              <w:pStyle w:val="Normal6a"/>
            </w:pPr>
            <w:r>
              <w:t>146.</w:t>
            </w:r>
            <w:r>
              <w:tab/>
            </w:r>
            <w:r>
              <w:t xml:space="preserve">konstatuje, že v roce 2024 bylo 37,7 % finančních prostředků Unie na migraci a správu hranic přiděleno decentralizovaným agenturám působícím v oblasti migrace a vnitřních věcí; připomíná, že ačkoli jsou decentralizované agentury na Komisi právně, finančně a při plnění svých povinností nezávislé, Komise vykonává nad jejich činností dohled; </w:t>
            </w:r>
            <w:r>
              <w:rPr>
                <w:b/>
                <w:i/>
              </w:rPr>
              <w:t>bere na vědomí zprávy</w:t>
            </w:r>
            <w:r>
              <w:t xml:space="preserve"> o vytlačování migrantů na vnějších hranicích Unie, mimo jiné agenturou Frontex v Řecku, a </w:t>
            </w:r>
            <w:r>
              <w:rPr>
                <w:b/>
                <w:i/>
              </w:rPr>
              <w:t>související rozsudek</w:t>
            </w:r>
            <w:r>
              <w:t xml:space="preserve"> Evropského soudu pro lidská práva ze dne 7. ledna 2025</w:t>
            </w:r>
            <w:r>
              <w:rPr>
                <w:vertAlign w:val="superscript"/>
              </w:rPr>
              <w:t>16</w:t>
            </w:r>
            <w:r>
              <w:t>; oceňuje písemné odpovědi Komise, že je třeba více monitorovat činnost agentury Frontex v Řecku;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 xml:space="preserve">Evropský soud pro lidská práva, věc </w:t>
            </w:r>
            <w:r>
              <w:rPr>
                <w:b/>
                <w:i/>
              </w:rPr>
              <w:t>A.R.E</w:t>
            </w:r>
            <w:r>
              <w:t>. proti Řecku (stížnost č. 15783/21).</w:t>
            </w:r>
          </w:p>
        </w:tc>
        <w:tc>
          <w:tcPr>
            <w:tcW w:w="4876" w:type="dxa"/>
            <w:tcBorders>
              <w:top w:val="nil"/>
              <w:left w:val="nil"/>
              <w:bottom w:val="nil"/>
              <w:right w:val="nil"/>
            </w:tcBorders>
          </w:tcPr>
          <w:p>
            <w:pPr>
              <w:pStyle w:val="Normal6a"/>
            </w:pPr>
            <w:r>
              <w:rPr>
                <w:vertAlign w:val="superscript"/>
              </w:rPr>
              <w:t>16</w:t>
            </w:r>
            <w:r>
              <w:t xml:space="preserve"> </w:t>
            </w:r>
            <w:r>
              <w:t xml:space="preserve">Evropský soud pro lidská práva, věc </w:t>
            </w:r>
            <w:r>
              <w:rPr>
                <w:b/>
                <w:i/>
              </w:rPr>
              <w:t>A.</w:t>
            </w:r>
            <w:r>
              <w:t xml:space="preserve"> </w:t>
            </w:r>
            <w:r>
              <w:rPr>
                <w:b/>
                <w:i/>
              </w:rPr>
              <w:t>R.</w:t>
            </w:r>
            <w:r>
              <w:t xml:space="preserve"> </w:t>
            </w:r>
            <w:r>
              <w:rPr>
                <w:b/>
                <w:i/>
              </w:rPr>
              <w:t>E</w:t>
            </w:r>
            <w:r>
              <w:t>. proti Řecku (stížnost č. 15783/21).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konstatuje, že v roce 2024 bylo 37,7 % finančních prostředků Unie na migraci a správu hranic přiděleno decentralizovaným agenturám působícím v oblasti migrace a vnitřních věcí; připomíná, že ačkoli jsou decentralizované agentury na Komisi právně, finančně a při plnění svých povinností nezávislé, Komise vykonává nad jejich činností dohled; </w:t>
            </w:r>
            <w:r>
              <w:rPr>
                <w:b/>
                <w:i/>
              </w:rPr>
              <w:t>připomíná, že migrace musí být řízena v plném souladu s právem Unie, včetně základních práv;</w:t>
            </w:r>
            <w:r>
              <w:t xml:space="preserve"> </w:t>
            </w:r>
            <w:r>
              <w:rPr>
                <w:b/>
                <w:i/>
              </w:rPr>
              <w:t>vyjadřuje hluboké znepokojení nad zprávami o vytlačování migrantů na</w:t>
            </w:r>
            <w:r>
              <w:t xml:space="preserve"> vnějších </w:t>
            </w:r>
            <w:r>
              <w:rPr>
                <w:b/>
                <w:i/>
              </w:rPr>
              <w:t>hranicích Unie, mimo jiné agenturou Frontex v Řecku, a nad souvisejícím rozsudkem Evropského soudu pro lidská práva ze dne 7. ledna 2025</w:t>
            </w:r>
            <w:r>
              <w:rPr>
                <w:b/>
                <w:i/>
                <w:vertAlign w:val="superscript"/>
              </w:rPr>
              <w:t>16</w:t>
            </w:r>
            <w:r>
              <w:rPr>
                <w:b/>
                <w:i/>
              </w:rPr>
              <w:t>;</w:t>
            </w:r>
            <w:r>
              <w:t xml:space="preserve"> </w:t>
            </w:r>
            <w:r>
              <w:rPr>
                <w:b/>
                <w:i/>
              </w:rPr>
              <w:t>oceňuje písemné odpovědi Komise, že je třeba více monitorovat činnost agentury Frontex v Řecku</w:t>
            </w:r>
            <w:r>
              <w:t>;</w:t>
            </w:r>
          </w:p>
        </w:tc>
        <w:tc>
          <w:tcPr>
            <w:tcW w:w="4876" w:type="dxa"/>
            <w:tcBorders>
              <w:top w:val="nil"/>
              <w:left w:val="nil"/>
              <w:bottom w:val="nil"/>
              <w:right w:val="nil"/>
            </w:tcBorders>
          </w:tcPr>
          <w:p>
            <w:pPr>
              <w:pStyle w:val="Normal6a"/>
            </w:pPr>
            <w:r>
              <w:t>146.</w:t>
            </w:r>
            <w:r>
              <w:tab/>
            </w:r>
            <w:r>
              <w:t xml:space="preserve">konstatuje, že v roce 2024 bylo 37,7 % finančních prostředků Unie na migraci a správu hranic přiděleno decentralizovaným agenturám působícím v oblasti migrace a vnitřních věcí; připomíná, že ačkoli jsou decentralizované agentury na Komisi právně, finančně a při plnění svých povinností nezávislé, Komise vykonává nad jejich činností dohled; </w:t>
            </w:r>
            <w:r>
              <w:rPr>
                <w:b/>
                <w:i/>
              </w:rPr>
              <w:t>zdůrazňuje, že účinná ochrana vnějších hranic Unie má zásadní význam pro vnitřní bezpečnost a řádné řízení finančních prostředků Unie souvisejících s migrací;</w:t>
            </w:r>
            <w:r>
              <w:t xml:space="preserve"> </w:t>
            </w:r>
            <w:r>
              <w:rPr>
                <w:b/>
                <w:i/>
              </w:rPr>
              <w:t>vyzývá Komisi, aby zajistila, že finanční prostředky přidělené agenturám pro správu hranic budou účinně využívány k posílení ochrany</w:t>
            </w:r>
            <w:r>
              <w:t xml:space="preserve"> vnějších </w:t>
            </w:r>
            <w:r>
              <w:rPr>
                <w:b/>
                <w:i/>
              </w:rPr>
              <w:t>hranic a k boji proti nelegální migraci a sítím převaděčů a obchodníků s lidmi;</w:t>
            </w:r>
            <w:r>
              <w:t xml:space="preserve"> </w:t>
            </w:r>
            <w:r>
              <w:rPr>
                <w:b/>
                <w:i/>
              </w:rPr>
              <w:t>zdůrazňuje, že orgán příslušný k udělení absolutoria vyžaduje komplexní údaje o výkonnosti týkající se provozní účinnosti výdajů na správu hranic</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Evropský soud pro lidská práva, věc A.R.E. proti Řecku (stížnost č. 15783/21).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konstatuje, že v roce 2024 bylo 37,7 % finančních prostředků Unie na migraci a správu hranic přiděleno decentralizovaným agenturám působícím v oblasti migrace a vnitřních věcí; připomíná, že ačkoli jsou decentralizované agentury na Komisi právně</w:t>
            </w:r>
            <w:r>
              <w:rPr>
                <w:b/>
                <w:i/>
              </w:rPr>
              <w:t>,</w:t>
            </w:r>
            <w:r>
              <w:t xml:space="preserve"> finančně </w:t>
            </w:r>
            <w:r>
              <w:rPr>
                <w:b/>
                <w:i/>
              </w:rPr>
              <w:t>a při plnění svých povinností</w:t>
            </w:r>
            <w:r>
              <w:t xml:space="preserve"> nezávislé, Komise </w:t>
            </w:r>
            <w:r>
              <w:rPr>
                <w:b/>
                <w:i/>
              </w:rPr>
              <w:t>vykonává</w:t>
            </w:r>
            <w:r>
              <w:t xml:space="preserve"> nad jejich činností </w:t>
            </w:r>
            <w:r>
              <w:rPr>
                <w:b/>
                <w:i/>
              </w:rPr>
              <w:t>dohled</w:t>
            </w:r>
            <w:r>
              <w:t xml:space="preserve">; připomíná, že migrace musí být </w:t>
            </w:r>
            <w:r>
              <w:rPr>
                <w:b/>
                <w:i/>
              </w:rPr>
              <w:t>řízena</w:t>
            </w:r>
            <w:r>
              <w:t xml:space="preserve"> v plném souladu s právem Unie, včetně základních práv; </w:t>
            </w:r>
            <w:r>
              <w:rPr>
                <w:b/>
                <w:i/>
              </w:rPr>
              <w:t>vyjadřuje hluboké znepokojení nad zprávami o vytlačování migrantů</w:t>
            </w:r>
            <w:r>
              <w:t xml:space="preserve"> na vnějších hranicích Unie</w:t>
            </w:r>
            <w:r>
              <w:rPr>
                <w:b/>
                <w:i/>
              </w:rPr>
              <w:t>, mimo jiné agenturou Frontex v Řecku, a nad souvisejícím rozsudkem Evropského soudu pro lidská práva ze dne 7. ledna 2025</w:t>
            </w:r>
            <w:r>
              <w:rPr>
                <w:b/>
                <w:i/>
                <w:vertAlign w:val="superscript"/>
              </w:rPr>
              <w:t>16</w:t>
            </w:r>
            <w:r>
              <w:rPr>
                <w:b/>
                <w:i/>
              </w:rPr>
              <w:t>;</w:t>
            </w:r>
            <w:r>
              <w:t xml:space="preserve"> </w:t>
            </w:r>
            <w:r>
              <w:rPr>
                <w:b/>
                <w:i/>
              </w:rPr>
              <w:t>oceňuje</w:t>
            </w:r>
            <w:r>
              <w:t xml:space="preserve"> písemné odpovědi Komise, že je třeba </w:t>
            </w:r>
            <w:r>
              <w:rPr>
                <w:b/>
                <w:i/>
              </w:rPr>
              <w:t>více monitorovat činnost</w:t>
            </w:r>
            <w:r>
              <w:t xml:space="preserve"> agentury Frontex </w:t>
            </w:r>
            <w:r>
              <w:rPr>
                <w:b/>
                <w:i/>
              </w:rPr>
              <w:t>v Řecku</w:t>
            </w:r>
            <w:r>
              <w:t>;</w:t>
            </w:r>
          </w:p>
        </w:tc>
        <w:tc>
          <w:tcPr>
            <w:tcW w:w="4876" w:type="dxa"/>
            <w:tcBorders>
              <w:top w:val="nil"/>
              <w:left w:val="nil"/>
              <w:bottom w:val="nil"/>
              <w:right w:val="nil"/>
            </w:tcBorders>
          </w:tcPr>
          <w:p>
            <w:pPr>
              <w:pStyle w:val="Normal6a"/>
            </w:pPr>
            <w:r>
              <w:t>146.</w:t>
            </w:r>
            <w:r>
              <w:tab/>
            </w:r>
            <w:r>
              <w:t xml:space="preserve">konstatuje, že v roce 2024 bylo 37,7 % finančních prostředků Unie na migraci a správu hranic přiděleno decentralizovaným agenturám působícím v oblasti migrace a vnitřních věcí; připomíná, že ačkoli jsou decentralizované agentury na Komisi právně </w:t>
            </w:r>
            <w:r>
              <w:rPr>
                <w:b/>
                <w:i/>
              </w:rPr>
              <w:t>a</w:t>
            </w:r>
            <w:r>
              <w:t xml:space="preserve"> finančně nezávislé, Komise </w:t>
            </w:r>
            <w:r>
              <w:rPr>
                <w:b/>
                <w:i/>
              </w:rPr>
              <w:t>si ponechává odpovědnost za dohled</w:t>
            </w:r>
            <w:r>
              <w:t xml:space="preserve"> nad jejich činností; připomíná, že </w:t>
            </w:r>
            <w:r>
              <w:rPr>
                <w:b/>
                <w:i/>
              </w:rPr>
              <w:t>řízení</w:t>
            </w:r>
            <w:r>
              <w:t xml:space="preserve"> migrace musí být </w:t>
            </w:r>
            <w:r>
              <w:rPr>
                <w:b/>
                <w:i/>
              </w:rPr>
              <w:t>prováděno</w:t>
            </w:r>
            <w:r>
              <w:t xml:space="preserve"> v plném souladu s právem Unie, včetně základních práv; </w:t>
            </w:r>
            <w:r>
              <w:rPr>
                <w:b/>
                <w:i/>
              </w:rPr>
              <w:t>bere na vědomí zprávy a příslušný vývoj v oblasti soudnictví týkající se provádění práva Unie</w:t>
            </w:r>
            <w:r>
              <w:t xml:space="preserve"> na vnějších hranicích Unie</w:t>
            </w:r>
            <w:r>
              <w:rPr>
                <w:b/>
                <w:i/>
              </w:rPr>
              <w:t>;</w:t>
            </w:r>
            <w:r>
              <w:t xml:space="preserve"> </w:t>
            </w:r>
            <w:r>
              <w:rPr>
                <w:b/>
                <w:i/>
              </w:rPr>
              <w:t>vítá</w:t>
            </w:r>
            <w:r>
              <w:t xml:space="preserve"> písemné odpovědi Komise, </w:t>
            </w:r>
            <w:r>
              <w:rPr>
                <w:b/>
                <w:i/>
              </w:rPr>
              <w:t>v nichž se zdůrazňuje,</w:t>
            </w:r>
            <w:r>
              <w:t xml:space="preserve"> že je třeba </w:t>
            </w:r>
            <w:r>
              <w:rPr>
                <w:b/>
                <w:i/>
              </w:rPr>
              <w:t>dále posílit mechanismy monitorování a odpovědnosti, a to i pokud jde o činnosti</w:t>
            </w:r>
            <w:r>
              <w:t xml:space="preserve"> agentury Frontex;</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Evropský soud pro lidská práva, věc A.R.E. proti Řecku (stížnost č. 15783/21).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146a)</w:t>
            </w:r>
            <w:r>
              <w:tab/>
            </w:r>
            <w:r>
              <w:rPr>
                <w:b/>
                <w:i/>
              </w:rPr>
              <w:t>vyjadřuje politování nad tím, že Soudní dvůr Evropské unie uložil Maďarsku pokutu, protože nenechalo migranty vstoupit do země dříve, než bylo s konečnou platností rozhodnuto o jejich žádosti;</w:t>
            </w:r>
            <w:r>
              <w:t xml:space="preserve"> </w:t>
            </w:r>
            <w:r>
              <w:rPr>
                <w:b/>
                <w:i/>
              </w:rPr>
              <w:t>vyzývá Komisi, aby část ze 2 miliard EUR dlužných Maďarsku na vnitrostátní výdaje na ochranu hranic použila na financování pokuty, kterou Maďarsku uložil Soudní dvůr Evropské unie;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148 – podbod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nadále sledovala a kontrolovala kroky, které členské státy a agentury Unie musí vykonat k úplnému provedení Paktu o migraci a azylu do roku 2026, a podala Parlamentu zprávy o pokroku při jeho provádění;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148 – podbod iii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iiia)</w:t>
            </w:r>
            <w:r>
              <w:tab/>
            </w:r>
            <w:r>
              <w:rPr>
                <w:b/>
                <w:i/>
              </w:rPr>
              <w:t>poskytovala podporu členským státům v přední linii pro účely zabezpečení vnějších hranic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148 – podbod iii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b)</w:t>
            </w:r>
            <w:r>
              <w:tab/>
            </w:r>
            <w:r>
              <w:rPr>
                <w:b/>
                <w:i/>
              </w:rPr>
              <w:t>zvýšila transparentnost a odpovědnost při plánování a provádění fondů Unie v oblasti vnitřních věcí zajištěním podrobných a komplexních údajů, zejména pokud jde o finanční prostředky vynaložené ve třetích zemích, a zároveň ochránila úlohu Parlamentu při zajišťování demokratické kontroly výdajů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148 – podbod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pečlivě sledovala akce financované Unií v oblasti správy hranic, zejména s cílem zajistit plné dodržování základních práv v Unii a zásady nenavracení;</w:t>
            </w:r>
          </w:p>
        </w:tc>
        <w:tc>
          <w:tcPr>
            <w:tcW w:w="4876" w:type="dxa"/>
            <w:tcBorders>
              <w:top w:val="nil"/>
              <w:left w:val="nil"/>
              <w:bottom w:val="nil"/>
              <w:right w:val="nil"/>
            </w:tcBorders>
          </w:tcPr>
          <w:p>
            <w:pPr>
              <w:pStyle w:val="Normal6a"/>
            </w:pPr>
            <w:r>
              <w:t>iv)</w:t>
            </w:r>
            <w:r>
              <w:tab/>
            </w:r>
            <w:r>
              <w:t xml:space="preserve">pečlivě sledovala akce financované Unií v oblasti správy hranic, zejména s cílem zajistit </w:t>
            </w:r>
            <w:r>
              <w:rPr>
                <w:b/>
                <w:i/>
              </w:rPr>
              <w:t>účinnost opatření přijatých za účelem omezit toky a</w:t>
            </w:r>
            <w:r>
              <w:t xml:space="preserve"> plné dodržování základních práv v Unii a zásady nenavracení;</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148 – podbod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rPr>
                <w:b/>
                <w:i/>
              </w:rPr>
              <w:t>pečlivě</w:t>
            </w:r>
            <w:r>
              <w:t xml:space="preserve"> sledovala akce financované Unií v oblasti správy hranic, zejména s cílem zajistit </w:t>
            </w:r>
            <w:r>
              <w:rPr>
                <w:b/>
                <w:i/>
              </w:rPr>
              <w:t>plné dodržování</w:t>
            </w:r>
            <w:r>
              <w:t xml:space="preserve"> základních práv </w:t>
            </w:r>
            <w:r>
              <w:rPr>
                <w:b/>
                <w:i/>
              </w:rPr>
              <w:t>v Unii a zásady nenavracení</w:t>
            </w:r>
            <w:r>
              <w:t>;</w:t>
            </w:r>
          </w:p>
        </w:tc>
        <w:tc>
          <w:tcPr>
            <w:tcW w:w="4876" w:type="dxa"/>
            <w:tcBorders>
              <w:top w:val="nil"/>
              <w:left w:val="nil"/>
              <w:bottom w:val="nil"/>
              <w:right w:val="nil"/>
            </w:tcBorders>
          </w:tcPr>
          <w:p>
            <w:pPr>
              <w:pStyle w:val="Normal6a"/>
            </w:pPr>
            <w:r>
              <w:t>iv)</w:t>
            </w:r>
            <w:r>
              <w:tab/>
            </w:r>
            <w:r>
              <w:rPr>
                <w:b/>
                <w:i/>
              </w:rPr>
              <w:t>pozorně</w:t>
            </w:r>
            <w:r>
              <w:t xml:space="preserve"> sledovala akce financované Unií v oblasti správy hranic, zejména s cílem zajistit </w:t>
            </w:r>
            <w:r>
              <w:rPr>
                <w:b/>
                <w:i/>
              </w:rPr>
              <w:t>plný soulad s povinnostmi Unie v oblasti</w:t>
            </w:r>
            <w:r>
              <w:t xml:space="preserve"> základních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152.</w:t>
            </w:r>
            <w:r>
              <w:tab/>
            </w:r>
            <w:r>
              <w:t xml:space="preserve">připomíná, že </w:t>
            </w:r>
            <w:r>
              <w:rPr>
                <w:b/>
                <w:i/>
              </w:rPr>
              <w:t>vysoce nestabilní</w:t>
            </w:r>
            <w:r>
              <w:t xml:space="preserve"> geopolitická situace v sousedství Unie přináší větší výzvy, pokud jde o bezpečnost a obranu, včetně hybridních hrozeb</w:t>
            </w:r>
            <w:r>
              <w:rPr>
                <w:b/>
                <w:i/>
              </w:rPr>
              <w:t>;</w:t>
            </w:r>
            <w:r>
              <w:t xml:space="preserve"> </w:t>
            </w:r>
            <w:r>
              <w:rPr>
                <w:b/>
                <w:i/>
              </w:rPr>
              <w:t>zdůrazňuje, že značnou hrozbu pro bezpečnost Unie</w:t>
            </w:r>
            <w:r>
              <w:t xml:space="preserve"> představuje </w:t>
            </w:r>
            <w:r>
              <w:rPr>
                <w:b/>
                <w:i/>
              </w:rPr>
              <w:t>Rusko</w:t>
            </w:r>
            <w:r>
              <w:t>; připomíná, že Evropský parlament vyzval Unii a její členské státy, aby zavedly právní rámec, který umožní, aby bylo Rusko zařazeno mezi státy podporující terorismus;</w:t>
            </w:r>
          </w:p>
        </w:tc>
        <w:tc>
          <w:tcPr>
            <w:tcW w:w="4876" w:type="dxa"/>
            <w:tcBorders>
              <w:top w:val="nil"/>
              <w:left w:val="nil"/>
              <w:bottom w:val="nil"/>
              <w:right w:val="nil"/>
            </w:tcBorders>
          </w:tcPr>
          <w:p>
            <w:pPr>
              <w:pStyle w:val="Normal6a"/>
            </w:pPr>
            <w:r>
              <w:t>152.</w:t>
            </w:r>
            <w:r>
              <w:tab/>
            </w:r>
            <w:r>
              <w:t xml:space="preserve">připomíná, že </w:t>
            </w:r>
            <w:r>
              <w:rPr>
                <w:b/>
                <w:i/>
              </w:rPr>
              <w:t>od začátku ruské útočné války proti Ukrajině je</w:t>
            </w:r>
            <w:r>
              <w:t xml:space="preserve"> geopolitická situace v sousedství Unie </w:t>
            </w:r>
            <w:r>
              <w:rPr>
                <w:b/>
                <w:i/>
              </w:rPr>
              <w:t>vysoce nestabilní, což</w:t>
            </w:r>
            <w:r>
              <w:t xml:space="preserve"> přináší větší výzvy, pokud jde o bezpečnost a obranu, včetně hybridních hrozeb</w:t>
            </w:r>
            <w:r>
              <w:rPr>
                <w:b/>
                <w:i/>
              </w:rPr>
              <w:t>, a tím i větší investiční potřeby v oblasti bezpečnosti, obrany a připravenosti;</w:t>
            </w:r>
            <w:r>
              <w:t xml:space="preserve"> </w:t>
            </w:r>
            <w:r>
              <w:rPr>
                <w:b/>
                <w:i/>
              </w:rPr>
              <w:t>upozorňuje na skutečnost, že okruh 5 VFR věnovaný bezpečnosti a obraně je nejmenší ze všech okruhů VFR, a vyjadřuje politování nad tím, že současný rozpočet Unie na zajištění bezpečnosti a obrany jejích občanů neodpovídá výzvám, které je třeba v krátkodobém nebo dlouhodobém horizontu řešit;</w:t>
            </w:r>
            <w:r>
              <w:t xml:space="preserve"> </w:t>
            </w:r>
            <w:r>
              <w:rPr>
                <w:b/>
                <w:i/>
              </w:rPr>
              <w:t>znovu potvrzuje svůj postoj, že Rusko</w:t>
            </w:r>
            <w:r>
              <w:t xml:space="preserve"> představuje </w:t>
            </w:r>
            <w:r>
              <w:rPr>
                <w:b/>
                <w:i/>
              </w:rPr>
              <w:t>pro EU a její členské státy hlavní a nejvýznamnější hrozbu</w:t>
            </w:r>
            <w:r>
              <w:t>; připomíná, že Evropský parlament vyzval Unii a její členské státy, aby zavedly právní rámec, který umožní, aby bylo Rusko zařazeno mezi státy podporující terorismus;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153.</w:t>
            </w:r>
            <w:r>
              <w:tab/>
            </w:r>
            <w:r>
              <w:t>připomíná, že obranné schopnosti Unie trpí desítkami let nedostatečných investic a že podle Komise činí v současné době rozdíl ve výdajích na obranu pro příští desetiletí 500 miliard EUR; konstatuje, že vzhledem k naléhavé potřebě posílit obranné schopnosti se od začátku ruské útočné války proti Ukrajině zvýšil počet nástrojů financování obrany Unie; poznamenává, že mezi obranné nástroje Unie patří mimorozpočtové nástroje, jako je Evropský mírový nástroj (EPF) a Bezpečnostní akce pro Evropu (SAFE), dočasný nástroj půjček na obranu; dále zdůrazňuje, že kromě programů financování obrany mohou k dvojímu užití sloužit i další programy Unie, zejména složka vojenské mobility Nástroje pro propojení Evropy (CEF) a Program Unie pro bezpečnou konektivitu, který byl zřízen v roce 2023 především s cílem poskytnout členským státům Unie zaručený přístup k vysoce bezpečným, suverénním a globálním službám konektivity; rovněž konstatuje, že po přezkumu v polovině období v září 2025 mohou být prostředky politiky soudržnosti využity také na zlepšení vojenské mobility a rozvoj obranné infrastruktury, zejména ve východních příhraničních regionech;</w:t>
            </w:r>
          </w:p>
        </w:tc>
        <w:tc>
          <w:tcPr>
            <w:tcW w:w="4876" w:type="dxa"/>
            <w:tcBorders>
              <w:top w:val="nil"/>
              <w:left w:val="nil"/>
              <w:bottom w:val="nil"/>
              <w:right w:val="nil"/>
            </w:tcBorders>
          </w:tcPr>
          <w:p>
            <w:pPr>
              <w:pStyle w:val="Normal6a"/>
            </w:pPr>
            <w:r>
              <w:t>153.</w:t>
            </w:r>
            <w:r>
              <w:tab/>
            </w:r>
            <w:r>
              <w:t xml:space="preserve">připomíná, že obranné schopnosti Unie trpí desítkami let nedostatečných investic a že podle Komise činí v současné době rozdíl ve výdajích na obranu pro příští desetiletí 500 miliard EUR; konstatuje, že vzhledem k naléhavé potřebě posílit obranné schopnosti se od začátku ruské útočné války proti Ukrajině zvýšil počet nástrojů financování obrany Unie; poznamenává, že mezi obranné nástroje Unie patří mimorozpočtové nástroje, jako je Evropský mírový nástroj (EPF) a Bezpečnostní akce pro Evropu (SAFE), dočasný nástroj půjček na obranu; dále zdůrazňuje, že kromě programů financování obrany mohou k dvojímu užití sloužit i další programy Unie, zejména složka vojenské mobility Nástroje pro propojení Evropy (CEF) a Program Unie pro bezpečnou konektivitu, který byl zřízen v roce 2023 především s cílem poskytnout členským státům Unie zaručený přístup k vysoce bezpečným, suverénním a globálním službám konektivity; rovněž konstatuje, že po přezkumu v polovině období v září 2025 mohou být prostředky politiky soudržnosti využity také na zlepšení vojenské mobility a rozvoj obranné infrastruktury, zejména ve východních příhraničních regionech; </w:t>
            </w:r>
            <w:r>
              <w:rPr>
                <w:b/>
                <w:i/>
              </w:rPr>
              <w:t>vyjadřuje politování nad tím, že omezení a podmínky navržené v nástroji SAFE oslabují jeho schopnost dosáhnout cílů, pro něž byl vytvořen, brání účinnosti přidělování finančních prostředků a omezují jeho plné využití členskými státy, zejména těmi, které jsou vůči vnějším hrozbám nejzranitelnější;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153.</w:t>
            </w:r>
            <w:r>
              <w:tab/>
            </w:r>
            <w:r>
              <w:t xml:space="preserve">připomíná, že obranné schopnosti Unie trpí desítkami let nedostatečných investic a že podle Komise činí v současné době rozdíl ve výdajích na obranu pro příští desetiletí 500 miliard EUR; </w:t>
            </w:r>
            <w:r>
              <w:rPr>
                <w:b/>
                <w:i/>
              </w:rPr>
              <w:t>konstatuje</w:t>
            </w:r>
            <w:r>
              <w:t>, že vzhledem k naléhavé potřebě posílit obranné schopnosti se od začátku ruské útočné války proti Ukrajině zvýšil počet nástrojů financování obrany Unie; poznamenává, že mezi obranné nástroje Unie patří mimorozpočtové nástroje, jako je Evropský mírový nástroj (EPF) a Bezpečnostní akce pro Evropu (SAFE), dočasný nástroj půjček na obranu; dále zdůrazňuje, že kromě programů financování obrany mohou k dvojímu užití sloužit i další programy Unie, zejména složka vojenské mobility Nástroje pro propojení Evropy (CEF) a Program Unie pro bezpečnou konektivitu, který byl zřízen v roce 2023 především s cílem poskytnout členským státům Unie zaručený přístup k vysoce bezpečným, suverénním a globálním službám konektivity; rovněž konstatuje, že po přezkumu v polovině období v září 2025 mohou být prostředky politiky soudržnosti využity také na zlepšení vojenské mobility a rozvoj obranné infrastruktury, zejména ve východních příhraničních regionech;</w:t>
            </w:r>
          </w:p>
        </w:tc>
        <w:tc>
          <w:tcPr>
            <w:tcW w:w="4876" w:type="dxa"/>
            <w:tcBorders>
              <w:top w:val="nil"/>
              <w:left w:val="nil"/>
              <w:bottom w:val="nil"/>
              <w:right w:val="nil"/>
            </w:tcBorders>
          </w:tcPr>
          <w:p>
            <w:pPr>
              <w:pStyle w:val="Normal6a"/>
            </w:pPr>
            <w:r>
              <w:t>153.</w:t>
            </w:r>
            <w:r>
              <w:tab/>
            </w:r>
            <w:r>
              <w:t xml:space="preserve">připomíná, že obranné schopnosti Unie trpí desítkami let nedostatečných investic a že podle Komise činí v současné době rozdíl ve výdajích na obranu pro příští desetiletí 500 miliard EUR; </w:t>
            </w:r>
            <w:r>
              <w:rPr>
                <w:b/>
                <w:i/>
              </w:rPr>
              <w:t>vítá skutečnost</w:t>
            </w:r>
            <w:r>
              <w:t>, že vzhledem k naléhavé potřebě posílit obranné schopnosti se od začátku ruské útočné války proti Ukrajině zvýšil počet nástrojů financování obrany Unie; poznamenává, že mezi obranné nástroje Unie patří mimorozpočtové nástroje, jako je Evropský mírový nástroj (EPF) a Bezpečnostní akce pro Evropu (SAFE), dočasný nástroj půjček na obranu; dále zdůrazňuje, že kromě programů financování obrany mohou k dvojímu užití sloužit i další programy Unie, zejména složka vojenské mobility Nástroje pro propojení Evropy (CEF) a Program Unie pro bezpečnou konektivitu, který byl zřízen v roce 2023 především s cílem poskytnout členským státům Unie zaručený přístup k vysoce bezpečným, suverénním a globálním službám konektivity; rovněž konstatuje, že po přezkumu v polovině období v září 2025 mohou být prostředky politiky soudržnosti využity také na zlepšení vojenské mobility a rozvoj obranné infrastruktury, zejména ve východních příhraničních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Eero Heinäluoma, Jens Geier,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154.</w:t>
            </w:r>
            <w:r>
              <w:tab/>
            </w:r>
            <w:r>
              <w:t>oceňuje písemné odpovědi Komise, v nichž se uznává, že velký počet nástrojů v oblasti obrany vedl k roztříštěnému financování s určitým překrýváním a mezerami; zdůrazňuje, že je třeba dále zlepšit transparentnost financování obrany ze strany Unie, mimo jiné tím, že se zaručí právo Účetního dvora na audit všech nástrojů a zajistí, aby orgán příslušný k udělení absolutoria mohl provádět demokratickou kontrolu všech činností financovaných Unií; zdůrazňuje, že je třeba zvýšit uživatelskou přívětivost zveřejňovaných informací o financování obrany ze strany Unie, aby z nich měli prospěch i žadatelé a příjemci, zejména MSP;</w:t>
            </w:r>
          </w:p>
        </w:tc>
        <w:tc>
          <w:tcPr>
            <w:tcW w:w="4876" w:type="dxa"/>
            <w:tcBorders>
              <w:top w:val="nil"/>
              <w:left w:val="nil"/>
              <w:bottom w:val="nil"/>
              <w:right w:val="nil"/>
            </w:tcBorders>
          </w:tcPr>
          <w:p>
            <w:pPr>
              <w:pStyle w:val="Normal6a"/>
            </w:pPr>
            <w:r>
              <w:t>154.</w:t>
            </w:r>
            <w:r>
              <w:tab/>
            </w:r>
            <w:r>
              <w:t>oceňuje písemné odpovědi Komise, v nichž se uznává, že velký počet nástrojů v oblasti obrany vedl k roztříštěnému financování s určitým překrýváním a mezerami</w:t>
            </w:r>
            <w:r>
              <w:rPr>
                <w:b/>
                <w:i/>
              </w:rPr>
              <w:t>;</w:t>
            </w:r>
            <w:r>
              <w:t xml:space="preserve"> </w:t>
            </w:r>
            <w:r>
              <w:rPr>
                <w:b/>
                <w:i/>
              </w:rPr>
              <w:t>zdůrazňuje potřebu komplexního a dlouhodobého přístupu Unie k financování bezpečnosti a obrany, který by reagoval jak na konvenční vojenské hrozby, tak na nekonvenční hrozby</w:t>
            </w:r>
            <w:r>
              <w:t xml:space="preserve">; zdůrazňuje, že je třeba dále zlepšit transparentnost financování obrany ze strany Unie, mimo jiné tím, že se zaručí právo Účetního dvora na audit všech nástrojů a zajistí, aby orgán příslušný k udělení absolutoria mohl provádět demokratickou kontrolu všech činností financovaných Unií; zdůrazňuje, že je třeba zvýšit uživatelskou přívětivost zveřejňovaných informací o financování obrany ze strany Unie, aby z nich měli prospěch i žadatelé a příjemci, zejména MSP; </w:t>
            </w:r>
            <w:r>
              <w:rPr>
                <w:b/>
                <w:i/>
              </w:rPr>
              <w:t>zdůrazňuje, že by ve všech členských státech měla být usnadněna a podporována účast malých a středních podniků, přičemž by se mělo zajistit, aby tyto podniky měly spravedlivý a rovný přístup k projektům financovaným EU;</w:t>
            </w:r>
            <w:r>
              <w:t xml:space="preserve"> </w:t>
            </w:r>
            <w:r>
              <w:rPr>
                <w:b/>
                <w:i/>
              </w:rPr>
              <w:t>vybízí k trvalým investicím a podpoře malých a středních podniků a vyzývá ke zjednodušení přístupu k financování EU;</w:t>
            </w:r>
            <w:r>
              <w:t xml:space="preserve"> </w:t>
            </w:r>
            <w:r>
              <w:rPr>
                <w:b/>
                <w:i/>
              </w:rPr>
              <w:t>zdůrazňuje, že všechny iniciativy a finanční nástroje obranného průmyslu EU musí zajistit rovné podmínky pro všechny aktéry obranného průmyslu v celé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155.</w:t>
            </w:r>
            <w:r>
              <w:tab/>
            </w:r>
            <w:r>
              <w:t xml:space="preserve">zdůrazňuje, že rychlý nárůst výdajů Unie na obranu a bezpečnost v roce 2024 vyžaduje auditní opatření, která </w:t>
            </w:r>
            <w:r>
              <w:rPr>
                <w:b/>
                <w:i/>
              </w:rPr>
              <w:t>jsou v praxi rovnocenná těm, jež se vztahují na civilní výdaje, včetně účinného přístupu Evropského účetního dvora</w:t>
            </w:r>
            <w:r>
              <w:t xml:space="preserve">, úřadu OLAF a úřadu EPPO ke všem příslušným dokumentům, </w:t>
            </w:r>
            <w:r>
              <w:rPr>
                <w:b/>
                <w:i/>
              </w:rPr>
              <w:t>a to i v případech, kdy projekty zahrnují technologie podléhající utajení nebo technologie</w:t>
            </w:r>
            <w:r>
              <w:t xml:space="preserve"> dvojího užití; připomíná, že sama Komise uznala, že přístup k utajovaným výstupům může být zpožděn </w:t>
            </w:r>
            <w:r>
              <w:rPr>
                <w:b/>
                <w:i/>
              </w:rPr>
              <w:t>nebo znemožněn</w:t>
            </w:r>
            <w:r>
              <w:t xml:space="preserve">, pokud členské státy zadali požadavek na utajení, a </w:t>
            </w:r>
            <w:r>
              <w:rPr>
                <w:b/>
                <w:i/>
              </w:rPr>
              <w:t>že v případě znemožnění přístupu auditním orgánům mohou být nezbytná nápravná</w:t>
            </w:r>
            <w:r>
              <w:t xml:space="preserve"> opatření</w:t>
            </w:r>
            <w:r>
              <w:rPr>
                <w:b/>
                <w:i/>
              </w:rPr>
              <w:t>, včetně pozastavení nebo ukončení financování</w:t>
            </w:r>
            <w:r>
              <w:t>;</w:t>
            </w:r>
          </w:p>
        </w:tc>
        <w:tc>
          <w:tcPr>
            <w:tcW w:w="4876" w:type="dxa"/>
            <w:tcBorders>
              <w:top w:val="nil"/>
              <w:left w:val="nil"/>
              <w:bottom w:val="nil"/>
              <w:right w:val="nil"/>
            </w:tcBorders>
          </w:tcPr>
          <w:p>
            <w:pPr>
              <w:pStyle w:val="Normal6a"/>
            </w:pPr>
            <w:r>
              <w:t>155.</w:t>
            </w:r>
            <w:r>
              <w:tab/>
            </w:r>
            <w:r>
              <w:t xml:space="preserve">zdůrazňuje, že rychlý nárůst výdajů Unie na obranu a bezpečnost v roce 2024 vyžaduje </w:t>
            </w:r>
            <w:r>
              <w:rPr>
                <w:b/>
                <w:i/>
              </w:rPr>
              <w:t>přiměřená</w:t>
            </w:r>
            <w:r>
              <w:t xml:space="preserve"> auditní opatření, která </w:t>
            </w:r>
            <w:r>
              <w:rPr>
                <w:b/>
                <w:i/>
              </w:rPr>
              <w:t>Evropskému účetnímu dvoru</w:t>
            </w:r>
            <w:r>
              <w:t xml:space="preserve">, úřadu OLAF a úřadu EPPO </w:t>
            </w:r>
            <w:r>
              <w:rPr>
                <w:b/>
                <w:i/>
              </w:rPr>
              <w:t>umožní účinný přístup</w:t>
            </w:r>
            <w:r>
              <w:t xml:space="preserve"> ke všem příslušným dokumentům, </w:t>
            </w:r>
            <w:r>
              <w:rPr>
                <w:b/>
                <w:i/>
              </w:rPr>
              <w:t>včetně projektů s technologiemi</w:t>
            </w:r>
            <w:r>
              <w:t xml:space="preserve"> dvojího užití</w:t>
            </w:r>
            <w:r>
              <w:rPr>
                <w:b/>
                <w:i/>
              </w:rPr>
              <w:t>, v souladu s požadavky EU</w:t>
            </w:r>
            <w:r>
              <w:t xml:space="preserve">; připomíná, že sama Komise uznala, že přístup k utajovaným výstupům může být zpožděn, pokud členské státy zadali požadavek na utajení, a </w:t>
            </w:r>
            <w:r>
              <w:rPr>
                <w:b/>
                <w:i/>
              </w:rPr>
              <w:t>zdůrazňuje, že v případech, kdy je přístup k auditu omezený, je třeba usilovat o vhodná</w:t>
            </w:r>
            <w:r>
              <w:t xml:space="preserve"> opatření </w:t>
            </w:r>
            <w:r>
              <w:rPr>
                <w:b/>
                <w:i/>
              </w:rPr>
              <w:t>a konstruktivní řešení, aby byl zajištěn plný soulad s požadavky finančního dohledu a řádné řízení finančních prostředků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156.</w:t>
            </w:r>
            <w:r>
              <w:tab/>
            </w:r>
            <w:r>
              <w:rPr>
                <w:b/>
                <w:i/>
              </w:rPr>
              <w:t>znovu vyjadřuje znepokojení nad rozhodnutím Komise přistoupit k přijetí iniciativy „ReArm Europe“ bez předchozí konzultace s Evropským parlamentem;</w:t>
            </w:r>
            <w:r>
              <w:t xml:space="preserve"> </w:t>
            </w:r>
            <w:r>
              <w:rPr>
                <w:b/>
                <w:i/>
              </w:rPr>
              <w:t>vyjadřuje politování nad tím, že takové rozhodnutí obchází zásadu institucionální rovnováhy a oslabuje úlohu Parlamentu jako spolunormotvůrce při utváření strategických a rozpočtových priorit;</w:t>
            </w:r>
            <w:r>
              <w:t xml:space="preserve"> </w:t>
            </w:r>
            <w:r>
              <w:rPr>
                <w:b/>
                <w:i/>
              </w:rPr>
              <w:t>trvá na tom, že Komise by se měla zdržet zavádění významných politických nástrojů, které mají dopad na finanční a strategickou strukturu Unie, aniž by zajistila plné respektování výsad Parlamentu;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Eero Heinäluoma,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157.</w:t>
            </w:r>
            <w:r>
              <w:tab/>
            </w:r>
            <w:r>
              <w:t xml:space="preserve">připomíná, že obecným cílem EDF je podporovat konkurenceschopnost, účinnost a inovační kapacitu evropské technologické a průmyslové základny obrany (EDTIB) v celé Unii; konstatuje, že jak je uvedeno v písemných odpovědích Komise, finanční prostředky z EDF ve výši 227,9 milionu EUR byly přiděleny na 20 projektů souvisejících s umělou inteligencí a dalších 171,1 milionu EUR bylo přiděleno na 18 projektů zaměřených na technologie leteckých dronů, zatímco 50 projektů zaměřených na to, co lze klasifikovat jako tradiční obranné vybavení, týkající se pozemního, vzdušného a námořního boje, podvodní obrany, protiraketové obrany a zmírňování chemických, biologických, radiologických a jaderných rizik (CBRN), bylo z EDF podpořeno celkovou částkou 1,49 miliardy EUR; </w:t>
            </w:r>
            <w:r>
              <w:rPr>
                <w:b/>
                <w:i/>
              </w:rPr>
              <w:t>vyjadřuje znepokojení nad tím, že od roku 2021 bylo na projekty související s umělou inteligencí a technologiemi bezpilotních letounů vynaloženo z EDF méně než 400 milionů EUR, a to navzdory skutečnosti, že ze zkušeností z probíhajících i nedávných konfliktů jasně vyplývá rychle rostoucí úloha kybernetických schopností, umělé inteligence a bezpilotních systémů, včetně bezpilotních letounů, v moderním vedení války;</w:t>
            </w:r>
          </w:p>
        </w:tc>
        <w:tc>
          <w:tcPr>
            <w:tcW w:w="4876" w:type="dxa"/>
            <w:tcBorders>
              <w:top w:val="nil"/>
              <w:left w:val="nil"/>
              <w:bottom w:val="nil"/>
              <w:right w:val="nil"/>
            </w:tcBorders>
          </w:tcPr>
          <w:p>
            <w:pPr>
              <w:pStyle w:val="Normal6a"/>
            </w:pPr>
            <w:r>
              <w:t>157.</w:t>
            </w:r>
            <w:r>
              <w:tab/>
            </w:r>
            <w:r>
              <w:t>připomíná, že obecným cílem EDF je podporovat konkurenceschopnost, účinnost a inovační kapacitu evropské technologické a průmyslové základny obrany (EDTIB) v celé Unii; konstatuje, že jak je uvedeno v písemných odpovědích Komise, finanční prostředky z EDF ve výši 227,9 milionu EUR byly přiděleny na 20 projektů souvisejících s umělou inteligencí a dalších 171,1 milionu EUR bylo přiděleno na 18 projektů zaměřených na technologie leteckých dronů, zatímco 50 projektů zaměřených na to, co lze klasifikovat jako tradiční obranné vybavení, týkající se pozemního, vzdušného a námořního boje, podvodní obrany, protiraketové obrany a zmírňování chemických, biologických, radiologických a jaderných rizik (CBRN), bylo z EDF podpořeno celkovou částkou 1,49 miliardy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157.</w:t>
            </w:r>
            <w:r>
              <w:tab/>
            </w:r>
            <w:r>
              <w:t>připomíná, že obecným cílem EDF je podporovat konkurenceschopnost, účinnost a inovační kapacitu evropské technologické a průmyslové základny obrany (EDTIB) v celé Unii; konstatuje, že jak je uvedeno v písemných odpovědích Komise, finanční prostředky z EDF ve výši 227,9 milionu EUR byly přiděleny na 20 projektů souvisejících s umělou inteligencí a dalších 171,1 milionu EUR bylo přiděleno na 18 projektů zaměřených na technologie leteckých dronů, zatímco 50 projektů zaměřených na to, co lze klasifikovat jako tradiční obranné vybavení, týkající se pozemního, vzdušného a námořního boje, podvodní obrany, protiraketové obrany a zmírňování chemických, biologických, radiologických a jaderných rizik (CBRN), bylo z EDF podpořeno celkovou částkou 1,49 miliardy EUR; vyjadřuje znepokojení nad tím, že od roku 2021 bylo na projekty související s umělou inteligencí a technologiemi bezpilotních letounů vynaloženo z EDF méně než 400 milionů EUR, a to navzdory skutečnosti, že ze zkušeností z probíhajících i nedávných konfliktů jasně vyplývá rychle rostoucí úloha kybernetických schopností, umělé inteligence a bezpilotních systémů, včetně bezpilotních letounů, v moderním vedení války;</w:t>
            </w:r>
          </w:p>
        </w:tc>
        <w:tc>
          <w:tcPr>
            <w:tcW w:w="4876" w:type="dxa"/>
            <w:tcBorders>
              <w:top w:val="nil"/>
              <w:left w:val="nil"/>
              <w:bottom w:val="nil"/>
              <w:right w:val="nil"/>
            </w:tcBorders>
          </w:tcPr>
          <w:p>
            <w:pPr>
              <w:pStyle w:val="Normal6a"/>
            </w:pPr>
            <w:r>
              <w:t>157.</w:t>
            </w:r>
            <w:r>
              <w:tab/>
            </w:r>
            <w:r>
              <w:t xml:space="preserve">připomíná, že obecným cílem EDF je podporovat konkurenceschopnost, účinnost a inovační kapacitu evropské technologické a průmyslové základny obrany (EDTIB) v celé Unii; konstatuje, že jak je uvedeno v písemných odpovědích Komise, finanční prostředky z EDF ve výši 227,9 milionu EUR byly přiděleny na 20 projektů souvisejících s umělou inteligencí a dalších 171,1 milionu EUR bylo přiděleno na 18 projektů zaměřených na technologie leteckých dronů, zatímco 50 projektů zaměřených na to, co lze klasifikovat jako tradiční obranné vybavení, týkající se pozemního, vzdušného a námořního boje, podvodní obrany, protiraketové obrany a zmírňování chemických, biologických, radiologických a jaderných rizik (CBRN), bylo z EDF podpořeno celkovou částkou 1,49 miliardy EUR; vyjadřuje znepokojení nad tím, že od roku 2021 bylo na projekty související s umělou inteligencí a technologiemi bezpilotních letounů vynaloženo z EDF méně než 400 milionů EUR, a to navzdory skutečnosti, že ze zkušeností z probíhajících i nedávných konfliktů jasně vyplývá rychle rostoucí úloha kybernetických schopností, umělé inteligence a bezpilotních systémů, včetně bezpilotních letounů, v moderním vedení války; </w:t>
            </w:r>
            <w:r>
              <w:rPr>
                <w:b/>
                <w:i/>
              </w:rPr>
              <w:t>vyzývá Komisi, aby provedla posouzení nákladové efektivnosti výdajů EDF a aby v budoucnu znovu vyvážila priority financování směrem k technologiím, které prokazatelně poskytují největší provozní výhodu na investované euro;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158.</w:t>
            </w:r>
            <w:r>
              <w:tab/>
            </w:r>
            <w:r>
              <w:t xml:space="preserve">bere na vědomí zvláštní zprávu Účetního dvora 04/2025 o vojenské mobilitě v EU a odpovědi Komise; je znepokojen celkovým závěrem Účetního dvora, že druhý akční plán EU o vojenské mobilitě, který byl zveřejněn v listopadu 2022, nebyl postaven na dostatečně pevných základech a že pokrok při plnění jeho cíle, totiž zajištění rychlého a bezproblémového pohybu pracovníků, materiálu a majetku v krátké lhůtě a ve velkém měřítku, je v důsledku nedostatků v koncepci a překážek provádění různý; se znepokojením bere na vědomí připomínku Účetního dvora, že Komise neprovedla důkladné posouzení celkového financování potřebného k tomu, aby její cíle a úkoly byly dosažitelné; </w:t>
            </w:r>
            <w:r>
              <w:rPr>
                <w:b/>
                <w:i/>
              </w:rPr>
              <w:t>lituje skutečnosti</w:t>
            </w:r>
            <w:r>
              <w:t xml:space="preserve">, na kterou upozornil Účetní dvůr, že parlamentní dohled nad všemi aktivitami Unie v oblasti vojenské mobility není </w:t>
            </w:r>
            <w:r>
              <w:rPr>
                <w:b/>
                <w:i/>
              </w:rPr>
              <w:t>možný</w:t>
            </w:r>
            <w:r>
              <w:t>, neboť ne všechny projekty jsou financovány z rozpočtu Unie</w:t>
            </w:r>
            <w:r>
              <w:rPr>
                <w:b/>
                <w:i/>
              </w:rPr>
              <w:t>;</w:t>
            </w:r>
            <w:r>
              <w:t xml:space="preserve"> </w:t>
            </w:r>
            <w:r>
              <w:rPr>
                <w:b/>
                <w:i/>
              </w:rPr>
              <w:t>konstatuje, že Evropský parlament nemá pravomoc dohlížet na činnosti</w:t>
            </w:r>
            <w:r>
              <w:t xml:space="preserve"> Evropské obranné agentury (EDA) </w:t>
            </w:r>
            <w:r>
              <w:rPr>
                <w:b/>
                <w:i/>
              </w:rPr>
              <w:t>v oblasti vojenské mobility, která je mezivládní agenturou, ani na činnosti</w:t>
            </w:r>
            <w:r>
              <w:t xml:space="preserve"> PESCO</w:t>
            </w:r>
            <w:r>
              <w:rPr>
                <w:b/>
                <w:i/>
              </w:rPr>
              <w:t>, jež je rámcem spolupráce řízeným členskými státy</w:t>
            </w:r>
            <w:r>
              <w:t>;</w:t>
            </w:r>
          </w:p>
        </w:tc>
        <w:tc>
          <w:tcPr>
            <w:tcW w:w="4876" w:type="dxa"/>
            <w:tcBorders>
              <w:top w:val="nil"/>
              <w:left w:val="nil"/>
              <w:bottom w:val="nil"/>
              <w:right w:val="nil"/>
            </w:tcBorders>
          </w:tcPr>
          <w:p>
            <w:pPr>
              <w:pStyle w:val="Normal6a"/>
            </w:pPr>
            <w:r>
              <w:t>158.</w:t>
            </w:r>
            <w:r>
              <w:tab/>
            </w:r>
            <w:r>
              <w:t xml:space="preserve">bere na vědomí zvláštní zprávu Účetního dvora 04/2025 o vojenské mobilitě v EU a odpovědi Komise; je znepokojen celkovým závěrem Účetního dvora, že druhý akční plán EU o vojenské mobilitě, který byl zveřejněn v listopadu 2022, nebyl postaven na dostatečně pevných základech a že pokrok při plnění jeho cíle, totiž zajištění rychlého a bezproblémového pohybu pracovníků, materiálu a majetku v krátké lhůtě a ve velkém měřítku, je v důsledku nedostatků v koncepci a překážek provádění různý; se znepokojením bere na vědomí připomínku Účetního dvora, že Komise neprovedla důkladné posouzení celkového financování potřebného k tomu, aby její cíle a úkoly byly dosažitelné; </w:t>
            </w:r>
            <w:r>
              <w:rPr>
                <w:b/>
                <w:i/>
              </w:rPr>
              <w:t>bere na vědomí skutečnost</w:t>
            </w:r>
            <w:r>
              <w:t xml:space="preserve">, na kterou upozornil Účetní dvůr, že parlamentní dohled nad všemi aktivitami Unie v oblasti vojenské mobility není </w:t>
            </w:r>
            <w:r>
              <w:rPr>
                <w:b/>
                <w:i/>
              </w:rPr>
              <w:t>vždy uskutečnitelný</w:t>
            </w:r>
            <w:r>
              <w:t>, neboť ne všechny projekty jsou financovány z rozpočtu Unie</w:t>
            </w:r>
            <w:r>
              <w:rPr>
                <w:b/>
                <w:i/>
              </w:rPr>
              <w:t>, jak je tomu v případě</w:t>
            </w:r>
            <w:r>
              <w:t xml:space="preserve"> Evropské obranné agentury (EDA) </w:t>
            </w:r>
            <w:r>
              <w:rPr>
                <w:b/>
                <w:i/>
              </w:rPr>
              <w:t>nebo</w:t>
            </w:r>
            <w:r>
              <w:t xml:space="preserve"> PESCO;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159.</w:t>
            </w:r>
            <w:r>
              <w:tab/>
            </w:r>
            <w:r>
              <w:t>vyjadřuje znepokojení nad tím, že po třech výzvách k předkládání návrhů uspořádaných v letech 2021, 2022 a 2023 již bylo vyčerpáno celé finanční krytí pro vojenskou mobilitu v rámci nástroje CEF na stávající programové období, přičemž se odhaduje, že na řešení 500 hotspotů, které Unie označila za místa vyžadující naléhavou modernizaci, bude zapotřebí investic ve výši nejméně 100 miliard EUR</w:t>
            </w:r>
            <w:r>
              <w:rPr>
                <w:vertAlign w:val="superscript"/>
              </w:rPr>
              <w:t>17</w:t>
            </w:r>
            <w:r>
              <w:t xml:space="preserve">; bere na vědomí písemnou odpověď Komise, že revize nařízení o síti TEN-T v roce 2024 zavedla prvky pro začlenění vojenské mobility do dopravní politiky Unie; dále konstatuje, že Evropská komise a vysoká představitelka přijaly balíček týkající se vojenské mobility z roku 2025; </w:t>
            </w:r>
            <w:r>
              <w:rPr>
                <w:b/>
                <w:i/>
              </w:rPr>
              <w:t>znovu vyjadřuje znepokojení nad současnou nedostatečnou reaktivitou a efektivitou</w:t>
            </w:r>
            <w:r>
              <w:t xml:space="preserve"> vojenské mobility</w:t>
            </w:r>
            <w:r>
              <w:rPr>
                <w:b/>
                <w:i/>
              </w:rPr>
              <w:t>, které brání složitost předpisů a postupů a nedostatečná harmonizace, což vede k pomalé</w:t>
            </w:r>
            <w:r>
              <w:t xml:space="preserve"> koordinaci </w:t>
            </w:r>
            <w:r>
              <w:rPr>
                <w:b/>
                <w:i/>
              </w:rPr>
              <w:t>a časovým ztrátám</w:t>
            </w:r>
            <w:r>
              <w:t>;</w:t>
            </w:r>
          </w:p>
        </w:tc>
        <w:tc>
          <w:tcPr>
            <w:tcW w:w="4876" w:type="dxa"/>
            <w:tcBorders>
              <w:top w:val="nil"/>
              <w:left w:val="nil"/>
              <w:bottom w:val="nil"/>
              <w:right w:val="nil"/>
            </w:tcBorders>
          </w:tcPr>
          <w:p>
            <w:pPr>
              <w:pStyle w:val="Normal6a"/>
            </w:pPr>
            <w:r>
              <w:t>159.</w:t>
            </w:r>
            <w:r>
              <w:tab/>
            </w:r>
            <w:r>
              <w:t>vyjadřuje znepokojení nad tím, že po třech výzvách k předkládání návrhů uspořádaných v letech 2021, 2022 a 2023 již bylo vyčerpáno celé finanční krytí pro vojenskou mobilitu v rámci nástroje CEF na stávající programové období, přičemž se odhaduje, že na řešení 500 hotspotů, které Unie označila za místa vyžadující naléhavou modernizaci, bude zapotřebí investic ve výši nejméně 100 miliard EUR</w:t>
            </w:r>
            <w:r>
              <w:rPr>
                <w:vertAlign w:val="superscript"/>
              </w:rPr>
              <w:t>17</w:t>
            </w:r>
            <w:r>
              <w:t xml:space="preserve">; bere na vědomí písemnou odpověď Komise, že revize nařízení o síti TEN-T v roce 2024 zavedla prvky pro začlenění vojenské mobility do dopravní politiky Unie; dále konstatuje, že Evropská komise a vysoká představitelka přijaly balíček týkající se vojenské mobility z roku 2025; </w:t>
            </w:r>
            <w:r>
              <w:rPr>
                <w:b/>
                <w:i/>
              </w:rPr>
              <w:t>opakuje, že je důležité dále posilovat reaktivitu a efektivitu</w:t>
            </w:r>
            <w:r>
              <w:t xml:space="preserve"> vojenské mobility </w:t>
            </w:r>
            <w:r>
              <w:rPr>
                <w:b/>
                <w:i/>
              </w:rPr>
              <w:t>v celé Unii s cílem posílit harmonizaci a zefektivnit</w:t>
            </w:r>
            <w:r>
              <w:t xml:space="preserve"> koordinaci</w:t>
            </w:r>
            <w:r>
              <w:rPr>
                <w:b/>
                <w:i/>
              </w:rPr>
              <w:t>, a snížit tak zpoždění a zlepšit operační připravenost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Společné sdělení Komise a vysoké představitelky Unie pro zahraniční věci a bezpečnostní politiku ze dne 16. října 2025 nazvané „Zachování míru – Plán obranné připravenosti 2030“ (JOIN(2025)0027).</w:t>
            </w:r>
          </w:p>
        </w:tc>
        <w:tc>
          <w:tcPr>
            <w:tcW w:w="4876" w:type="dxa"/>
            <w:tcBorders>
              <w:top w:val="nil"/>
              <w:left w:val="nil"/>
              <w:bottom w:val="nil"/>
              <w:right w:val="nil"/>
            </w:tcBorders>
          </w:tcPr>
          <w:p>
            <w:pPr>
              <w:pStyle w:val="Normal6a"/>
            </w:pPr>
            <w:r>
              <w:rPr>
                <w:vertAlign w:val="superscript"/>
              </w:rPr>
              <w:t>17</w:t>
            </w:r>
            <w:r>
              <w:t xml:space="preserve"> </w:t>
            </w:r>
            <w:r>
              <w:t>Společné sdělení Komise a vysoké představitelky Unie pro zahraniční věci a bezpečnostní politiku ze dne 16. října 2025 nazvané „Zachování míru – Plán obranné připravenosti 2030“ (JOIN(2025)0027).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161 – podbod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přijala opatření ke zlepšení</w:t>
            </w:r>
            <w:r>
              <w:t xml:space="preserve"> transparentnosti výdajů Unie na obranu v rámci všech nástrojů, </w:t>
            </w:r>
            <w:r>
              <w:rPr>
                <w:b/>
                <w:i/>
              </w:rPr>
              <w:t>včetně zaručení práv</w:t>
            </w:r>
            <w:r>
              <w:t xml:space="preserve"> Účetního dvora </w:t>
            </w:r>
            <w:r>
              <w:rPr>
                <w:b/>
                <w:i/>
              </w:rPr>
              <w:t>na audit všech nástrojů a zajištění toho, aby</w:t>
            </w:r>
            <w:r>
              <w:t xml:space="preserve"> orgán příslušný k udělení absolutoria </w:t>
            </w:r>
            <w:r>
              <w:rPr>
                <w:b/>
                <w:i/>
              </w:rPr>
              <w:t>mohl</w:t>
            </w:r>
            <w:r>
              <w:t xml:space="preserve"> provádět demokratickou kontrolu </w:t>
            </w:r>
            <w:r>
              <w:rPr>
                <w:b/>
                <w:i/>
              </w:rPr>
              <w:t>všech</w:t>
            </w:r>
            <w:r>
              <w:t xml:space="preserve"> činností financovaných Unií, </w:t>
            </w:r>
            <w:r>
              <w:rPr>
                <w:b/>
                <w:i/>
              </w:rPr>
              <w:t>a to nejen během vyjednávání, ale i ve fázi</w:t>
            </w:r>
            <w:r>
              <w:t xml:space="preserve"> provádění;</w:t>
            </w:r>
          </w:p>
        </w:tc>
        <w:tc>
          <w:tcPr>
            <w:tcW w:w="4876" w:type="dxa"/>
            <w:tcBorders>
              <w:top w:val="nil"/>
              <w:left w:val="nil"/>
              <w:bottom w:val="nil"/>
              <w:right w:val="nil"/>
            </w:tcBorders>
          </w:tcPr>
          <w:p>
            <w:pPr>
              <w:pStyle w:val="Normal6a"/>
            </w:pPr>
            <w:r>
              <w:t>i)</w:t>
            </w:r>
            <w:r>
              <w:tab/>
            </w:r>
            <w:r>
              <w:rPr>
                <w:b/>
                <w:i/>
              </w:rPr>
              <w:t>pokračovala v úsilí o zvýšení</w:t>
            </w:r>
            <w:r>
              <w:t xml:space="preserve"> transparentnosti výdajů Unie na obranu v rámci všech </w:t>
            </w:r>
            <w:r>
              <w:rPr>
                <w:b/>
                <w:i/>
              </w:rPr>
              <w:t>příslušných</w:t>
            </w:r>
            <w:r>
              <w:t xml:space="preserve"> nástrojů, </w:t>
            </w:r>
            <w:r>
              <w:rPr>
                <w:b/>
                <w:i/>
              </w:rPr>
              <w:t>mimo jiné usnadněním auditní činnosti</w:t>
            </w:r>
            <w:r>
              <w:t xml:space="preserve"> Účetního dvora </w:t>
            </w:r>
            <w:r>
              <w:rPr>
                <w:b/>
                <w:i/>
              </w:rPr>
              <w:t>v souladu s platným právním rámcem a zajištěním toho, aby byl</w:t>
            </w:r>
            <w:r>
              <w:t xml:space="preserve"> orgán příslušný k udělení absolutoria </w:t>
            </w:r>
            <w:r>
              <w:rPr>
                <w:b/>
                <w:i/>
              </w:rPr>
              <w:t>náležitě informován, a mohl tak</w:t>
            </w:r>
            <w:r>
              <w:t xml:space="preserve"> provádět demokratickou kontrolu činností financovaných Unií, </w:t>
            </w:r>
            <w:r>
              <w:rPr>
                <w:b/>
                <w:i/>
              </w:rPr>
              <w:t>zejména po celou dobu</w:t>
            </w:r>
            <w:r>
              <w:t xml:space="preserve"> provádění;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161 – podbod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poskytla orgánu příslušnému k udělení absolutoria </w:t>
            </w:r>
            <w:r>
              <w:rPr>
                <w:b/>
                <w:i/>
              </w:rPr>
              <w:t>výroční</w:t>
            </w:r>
            <w:r>
              <w:t xml:space="preserve"> konsolidované </w:t>
            </w:r>
            <w:r>
              <w:rPr>
                <w:b/>
                <w:i/>
              </w:rPr>
              <w:t>zprávy zahrnující veškeré výdaje na obranu</w:t>
            </w:r>
            <w:r>
              <w:t xml:space="preserve"> z rozpočtu Unie</w:t>
            </w:r>
            <w:r>
              <w:rPr>
                <w:b/>
                <w:i/>
              </w:rPr>
              <w:t>, mimorozpočtových nástrojů a všech</w:t>
            </w:r>
            <w:r>
              <w:t xml:space="preserve"> dalších relevantních nástrojů</w:t>
            </w:r>
            <w:r>
              <w:rPr>
                <w:b/>
                <w:i/>
              </w:rPr>
              <w:t>, jako je vojenská mobilita a programy související s bezpečností, aby byla umožněna demokratická kontrola a zabránilo se roztříštěnosti</w:t>
            </w:r>
            <w:r>
              <w:t>;</w:t>
            </w:r>
          </w:p>
        </w:tc>
        <w:tc>
          <w:tcPr>
            <w:tcW w:w="4876" w:type="dxa"/>
            <w:tcBorders>
              <w:top w:val="nil"/>
              <w:left w:val="nil"/>
              <w:bottom w:val="nil"/>
              <w:right w:val="nil"/>
            </w:tcBorders>
          </w:tcPr>
          <w:p>
            <w:pPr>
              <w:pStyle w:val="Normal6a"/>
            </w:pPr>
            <w:r>
              <w:t>ii)</w:t>
            </w:r>
            <w:r>
              <w:tab/>
            </w:r>
            <w:r>
              <w:t xml:space="preserve">poskytla orgánu příslušnému k udělení absolutoria </w:t>
            </w:r>
            <w:r>
              <w:rPr>
                <w:b/>
                <w:i/>
              </w:rPr>
              <w:t>pravidelné</w:t>
            </w:r>
            <w:r>
              <w:t xml:space="preserve"> konsolidované </w:t>
            </w:r>
            <w:r>
              <w:rPr>
                <w:b/>
                <w:i/>
              </w:rPr>
              <w:t>informace o výdajích na obranou</w:t>
            </w:r>
            <w:r>
              <w:t xml:space="preserve"> z rozpočtu Unie </w:t>
            </w:r>
            <w:r>
              <w:rPr>
                <w:b/>
                <w:i/>
              </w:rPr>
              <w:t>a</w:t>
            </w:r>
            <w:r>
              <w:t xml:space="preserve"> dalších relevantních nástrojů </w:t>
            </w:r>
            <w:r>
              <w:rPr>
                <w:b/>
                <w:i/>
              </w:rPr>
              <w:t>s cílem umožnit demokratickou kontrolu a zlepšit celkovou soudržnost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161 – podbod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t>znovu vyzývá k dalšímu posílení bezpečnostních a obranných opatření Unie podstatným navýšením dostupných finančních prostředků na zlepšení koridorů dopravní infrastruktury dvojího užití a přijetím opatření k odstranění administrativních, procesních a regulačních překážek přeshraničního vojenského pohybu a zároveň upřednostnila financování Unie pro projekty, které nejlépe reagují na současnou situaci, pokud jde o hrozby v Evropě;</w:t>
            </w:r>
          </w:p>
        </w:tc>
        <w:tc>
          <w:tcPr>
            <w:tcW w:w="4876" w:type="dxa"/>
            <w:tcBorders>
              <w:top w:val="nil"/>
              <w:left w:val="nil"/>
              <w:bottom w:val="nil"/>
              <w:right w:val="nil"/>
            </w:tcBorders>
          </w:tcPr>
          <w:p>
            <w:pPr>
              <w:pStyle w:val="Normal6a"/>
            </w:pPr>
            <w:r>
              <w:t>v)</w:t>
            </w:r>
            <w:r>
              <w:tab/>
            </w:r>
            <w:r>
              <w:t>znovu vyzývá k dalšímu posílení bezpečnostních a obranných opatření Unie podstatným navýšením dostupných finančních prostředků na zlepšení koridorů dopravní infrastruktury dvojího užití a přijetím opatření k odstranění administrativních, procesních a regulačních překážek přeshraničního vojenského pohybu a zároveň upřednostnila financování Unie pro projekty, které nejlépe reagují na současnou situaci, pokud jde o hrozby v Evropě</w:t>
            </w:r>
            <w:r>
              <w:rPr>
                <w:b/>
                <w:i/>
              </w:rPr>
              <w:t>, a zdůrazňuje, že je důležité harmonizovat společné zadávání veřejných zakázek v oblasti obrany a související postupy mezi členskými státy s cílem zvýšit interoperabilitu, účinnost a strategickou soudržnost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podbod v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odstranila omezení a podmínky navržené v obranných nástrojích, zejména v nástroji SAFE, které oslabují schopnost členských států přidělovat tyto prostředky co nejúčinněji, s cílem dosáhnout všech cílů, pro něž byl nástroj zřízen;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podbod v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poukázala na to, že se Unie podílela na dosažení trvalého míru v Evropě a že musí učinit vše, co je v jejích silách, aby v Evropě znovu zavládl mír, který je nezbytný pro hospodářskou prosperitu, stabilitu a bezpečnost Evropské unie a celého kontinentu;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167a.</w:t>
            </w:r>
            <w:r>
              <w:tab/>
            </w:r>
            <w:r>
              <w:rPr>
                <w:b/>
                <w:i/>
              </w:rPr>
              <w:t>se znepokojením bere na vědomí zjištění zvláštní zprávy Účetního dvora č. 20/2025 o podpoře Komise v boji proti hladu v subsaharské Africe, v níž se uvádí, že Komise systematicky neposuzovala přiměřenost projektových nákladů a neposkytla podrobnou rozpočtovou analýzu nebo srovnání podobných nákladů mezi různými projekty;</w:t>
            </w:r>
            <w:r>
              <w:t xml:space="preserve"> </w:t>
            </w:r>
            <w:r>
              <w:rPr>
                <w:b/>
                <w:i/>
              </w:rPr>
              <w:t>je znepokojen konkrétními příklady plýtvání zdroji, na něž upozornil Účetní dvůr, včetně počítačů poskytnutých bez připojení k internetu, nepoužitých motocyklů, nákladních vozidel s pneumatikami, které byly příliš ojeté pro bezpečnou jízdu, a o zakoupených, ale nikdy nepoužitých elektronických zařízení;</w:t>
            </w:r>
            <w:r>
              <w:t xml:space="preserve"> </w:t>
            </w:r>
            <w:r>
              <w:rPr>
                <w:b/>
                <w:i/>
              </w:rPr>
              <w:t>zdůrazňuje, že tyto nedostatky představují zásadní porušení povinnosti řádného finančního řízení;</w:t>
            </w:r>
            <w:r>
              <w:t xml:space="preserve"> </w:t>
            </w:r>
            <w:r>
              <w:rPr>
                <w:b/>
                <w:i/>
              </w:rPr>
              <w:t>vyzývá Komisi, aby zajistila, že všechny rozpočty na projekty budou před schválením podrobeny podrobné analýze nákladů a přínosů a že zadávání zakázek na vybavení bude důsledně kontrolováno s ohledem na skutečné potřeby a místní kapacitu údržby;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168a.</w:t>
            </w:r>
            <w:r>
              <w:tab/>
            </w:r>
            <w:r>
              <w:rPr>
                <w:b/>
                <w:i/>
              </w:rPr>
              <w:t>konstatuje, že rozpočtová podpora prostřednictvím INTPA a GŘ NEAR zemím mimo EU v roce 2024 činila 1,56 miliardy EUR, a konstatuje, že v roce 2024 zahrnovalo rozdělení operací rozpočtové podpory podle regionů 52 % operací v rámci evropského sousedství, 22 % v subsaharské Africe, 15 % v Asii a Tichomoří, 5 % v zámořských zemích a územích, 3 % na západním Balkáně a 3 % v Karibiku;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169a.</w:t>
            </w:r>
            <w:r>
              <w:tab/>
            </w:r>
            <w:r>
              <w:rPr>
                <w:b/>
                <w:i/>
              </w:rPr>
              <w:t>připomíná, že vzdělávání je ústředním pilířem budování míru, soužití a přípravy na vyjednané dvoustátní řešení a klíčovým prostředkem boje proti extremismu, nesnášenlivosti a radikálním ideologiím;</w:t>
            </w:r>
            <w:r>
              <w:t xml:space="preserve"> </w:t>
            </w:r>
            <w:r>
              <w:rPr>
                <w:b/>
                <w:i/>
              </w:rPr>
              <w:t>v této souvislosti zdůrazňuje vzdělávací iniciativy vedené Palestinci v Gaze, včetně dětské vesničky v Gaze, které prokazatelně podporují soužití, dialog, úctu k „druhým“ a nenásilí prostřednictvím svých výukových postupů a učebních materiálů v souladu s normami UNESCO;</w:t>
            </w:r>
            <w:r>
              <w:t xml:space="preserve"> </w:t>
            </w:r>
            <w:r>
              <w:rPr>
                <w:b/>
                <w:i/>
              </w:rPr>
              <w:t>vyzývá k tomu, aby se při posuzování angažovanosti Unie v oblasti vzdělávání jasně rozlišovalo mezi vzdělávacími iniciativami zaměřenými na mír a oficiálními osnovami Palestinské správy;</w:t>
            </w:r>
            <w:r>
              <w:t xml:space="preserve"> </w:t>
            </w:r>
            <w:r>
              <w:rPr>
                <w:b/>
                <w:i/>
              </w:rPr>
              <w:t>kontrastuje tyto praktiky přímo s pokračující přítomností antisemitismu, podněcování k násilí, glorifikace džihádu a mučednictví v učebnicích Palestinské správy – schválených a znovu vytištěných pro školní rok 2025–2026 – a odmítáním mírového řešení konfliktů, a to navzdory opakovaným veřejným prohlášením, že byla dokončena reforma učebních osnov, a to i pro 12. třídu;</w:t>
            </w:r>
            <w:r>
              <w:t xml:space="preserve"> </w:t>
            </w:r>
            <w:r>
              <w:rPr>
                <w:b/>
                <w:i/>
              </w:rPr>
              <w:t>zdůrazňuje, že skutečná reforma musí být posuzována na základě obsahu vyučovaného ve třídách;</w:t>
            </w:r>
            <w:r>
              <w:t xml:space="preserve"> </w:t>
            </w:r>
            <w:r>
              <w:rPr>
                <w:b/>
                <w:i/>
              </w:rPr>
              <w:t>naléhavě vyzývá Komisi, aby v rámci svého budoucího zapojení uznala a aktivně podporovala vzdělávací subjekty, které prokazatelně používají na místě učební osnovy zaměřené na mír, a zároveň zachovala pevný a transparentní postoj vůči Palestinské správě, dokud nebudou všechny oficiální učebnice a výukové materiály plně uvedeny do souladu s normami UNESCO v oblasti míru a tolerance;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169a.</w:t>
            </w:r>
            <w:r>
              <w:tab/>
            </w:r>
            <w:r>
              <w:rPr>
                <w:b/>
                <w:i/>
              </w:rPr>
              <w:t>připomíná, že při slyšení výboru CONT dne 21. listopadu 2024 komisař pro sousedství a rozšíření uvedl, že reformní program Palestinské správy financovaný EU zahrnuje ukončení programu „výplatné za vraždění“;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169a.</w:t>
            </w:r>
            <w:r>
              <w:tab/>
            </w:r>
            <w:r>
              <w:rPr>
                <w:b/>
                <w:i/>
              </w:rPr>
              <w:t>vyzývá Komisi, aby zajistila, že finanční prostředky Unie nebudou přímo ani nepřímo poskytovány subjektům, které se podílejí na infiltraci, radikalizaci nebo činnostech neslučitelných s hodnotami zakotvenými v článku 2 SEU nebo je usnadňují;</w:t>
            </w:r>
            <w:r>
              <w:t xml:space="preserve"> </w:t>
            </w:r>
            <w:r>
              <w:rPr>
                <w:b/>
                <w:i/>
              </w:rPr>
              <w:t>dále ji vyzývá, aby posílila mechanismy náležité péče, monitorování a kontroly s cílem zabránit jakékoli formě ideologické infiltrace do programů financovaných Unií;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Monika Hohlmeier, Tomáš Zdechovský,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169a.</w:t>
            </w:r>
            <w:r>
              <w:tab/>
            </w:r>
            <w:r>
              <w:rPr>
                <w:b/>
                <w:i/>
              </w:rPr>
              <w:t>je znepokojen zprávami založenými na interních dokumentech, které údajně hovoří o pokusech Hamásu proniknout do mezinárodních humanitárních projektů v Pásmu Gazy, včetně projektů financovaných EU, nebo tyto projekty monitorovat;</w:t>
            </w:r>
            <w:r>
              <w:t xml:space="preserve"> </w:t>
            </w:r>
            <w:r>
              <w:rPr>
                <w:b/>
                <w:i/>
              </w:rPr>
              <w:t>připomíná, že konkrétně na žádost Parlamentu byly od roku 2023 posíleny ověřovací mechanismy prostřednictvím posílených auditů, analýz rizik a externího monitorování;</w:t>
            </w:r>
            <w:r>
              <w:t xml:space="preserve"> </w:t>
            </w:r>
            <w:r>
              <w:rPr>
                <w:b/>
                <w:i/>
              </w:rPr>
              <w:t>zdůrazňuje, že veškerá tvrzení o zneužití finančních prostředků EU musí být důkladně ověřena, a naléhavě vyzývá Komisi, aby prošetřila všechna tvrzení o nepatřičné infiltraci do projektů financovaných EU nebo o jejich ovlivňování a aby pozastavila nebo získala zpět finanční prostředky, pokud se porušení potvrdí;</w:t>
            </w:r>
            <w:r>
              <w:t xml:space="preserve"> </w:t>
            </w:r>
            <w:r>
              <w:rPr>
                <w:b/>
                <w:i/>
              </w:rPr>
              <w:t>zdůrazňuje, že jakékoli přesměrování finančních prostředků EU teroristickým organizacím by narušilo integritu pomoci EU;</w:t>
            </w:r>
            <w:r>
              <w:t xml:space="preserve"> </w:t>
            </w:r>
            <w:r>
              <w:rPr>
                <w:b/>
                <w:i/>
              </w:rPr>
              <w:t>vyzývá Komisi a ESVČ, aby zajistily, že žádné finanční prostředky Unie nebudou přidělovány jednotlivcům nebo organizacím spojeným s teroristickými nebo extremistickými hnutími, která jsou v rozporu se základními hodnotami Unie;</w:t>
            </w:r>
            <w:r>
              <w:t xml:space="preserve"> </w:t>
            </w:r>
            <w:r>
              <w:rPr>
                <w:b/>
                <w:i/>
              </w:rPr>
              <w:t>připomíná význam nezávislé kontroly agentury UNRWA externími odborníky, Účetním dvorem a zkušenými mezinárodními partnery;</w:t>
            </w:r>
            <w:r>
              <w:t xml:space="preserve"> </w:t>
            </w:r>
            <w:r>
              <w:rPr>
                <w:b/>
                <w:i/>
              </w:rPr>
              <w:t>vyzývá Komisi, aby v případě potřeby spolupracovala se spolehlivými partnery v Gaze a na palestinských územích s cílem zajistit nepřetržité dodávky humanitární pomoci palestinskému obyvatelstvu;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170.</w:t>
            </w:r>
            <w:r>
              <w:tab/>
            </w:r>
            <w:r>
              <w:rPr>
                <w:b/>
                <w:i/>
              </w:rPr>
              <w:t>vítá pokračující spolupráci Komise s Palestinskou správou na reformě vzdělávacích programů a oceňuje hmatatelný pokrok, který byl zaznamenán v roce 2025, včetně probíhající revize a změn učebnic provádění palestinským ministerstvem školství a vysokého školství s cílem zajistit soulad s normami UNESCO;</w:t>
            </w:r>
            <w:r>
              <w:t xml:space="preserve"> </w:t>
            </w:r>
            <w:r>
              <w:rPr>
                <w:b/>
                <w:i/>
              </w:rPr>
              <w:t>upozorňuje zejména na to, že revidované učebnice pro 12. třídu byly dokončeny a zveřejněny na začátku října 2025 a v současné době jsou přezkoumávány Unií;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Monika Hohlmeier, Tomáš Zdechovský,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170.</w:t>
            </w:r>
            <w:r>
              <w:tab/>
            </w:r>
            <w:r>
              <w:rPr>
                <w:b/>
                <w:i/>
              </w:rPr>
              <w:t>vítá</w:t>
            </w:r>
            <w:r>
              <w:t xml:space="preserve"> pokračující spolupráci Komise s Palestinskou správou na reformě vzdělávacích programů a </w:t>
            </w:r>
            <w:r>
              <w:rPr>
                <w:b/>
                <w:i/>
              </w:rPr>
              <w:t>oceňuje hmatatelný pokrok, který byl zaznamenán v roce 2025, včetně</w:t>
            </w:r>
            <w:r>
              <w:t xml:space="preserve"> probíhající </w:t>
            </w:r>
            <w:r>
              <w:rPr>
                <w:b/>
                <w:i/>
              </w:rPr>
              <w:t>revize a změn</w:t>
            </w:r>
            <w:r>
              <w:t xml:space="preserve"> učebnic </w:t>
            </w:r>
            <w:r>
              <w:rPr>
                <w:b/>
                <w:i/>
              </w:rPr>
              <w:t>provádění</w:t>
            </w:r>
            <w:r>
              <w:t xml:space="preserve"> palestinským ministerstvem školství a vysokého školství s cílem zajistit soulad s normami UNESCO</w:t>
            </w:r>
            <w:r>
              <w:rPr>
                <w:b/>
                <w:i/>
              </w:rPr>
              <w:t>;</w:t>
            </w:r>
            <w:r>
              <w:t xml:space="preserve"> </w:t>
            </w:r>
            <w:r>
              <w:rPr>
                <w:b/>
                <w:i/>
              </w:rPr>
              <w:t>upozorňuje zejména na to, že revidované</w:t>
            </w:r>
            <w:r>
              <w:t xml:space="preserve"> učebnice </w:t>
            </w:r>
            <w:r>
              <w:rPr>
                <w:b/>
                <w:i/>
              </w:rPr>
              <w:t>pro 12. třídu byly dokončeny a zveřejněny na začátku října 2025 a v současné době jsou přezkoumávány Unií</w:t>
            </w:r>
            <w:r>
              <w:t>;</w:t>
            </w:r>
          </w:p>
        </w:tc>
        <w:tc>
          <w:tcPr>
            <w:tcW w:w="4876" w:type="dxa"/>
            <w:tcBorders>
              <w:top w:val="nil"/>
              <w:left w:val="nil"/>
              <w:bottom w:val="nil"/>
              <w:right w:val="nil"/>
            </w:tcBorders>
          </w:tcPr>
          <w:p>
            <w:pPr>
              <w:pStyle w:val="Normal6a"/>
            </w:pPr>
            <w:r>
              <w:t>170.</w:t>
            </w:r>
            <w:r>
              <w:tab/>
            </w:r>
            <w:r>
              <w:rPr>
                <w:b/>
                <w:i/>
              </w:rPr>
              <w:t>bere na vědomí</w:t>
            </w:r>
            <w:r>
              <w:t xml:space="preserve"> pokračující spolupráci Komise s Palestinskou správou na reformě vzdělávacích programů a probíhající </w:t>
            </w:r>
            <w:r>
              <w:rPr>
                <w:b/>
                <w:i/>
              </w:rPr>
              <w:t>revizi a změny</w:t>
            </w:r>
            <w:r>
              <w:t xml:space="preserve"> učebnic </w:t>
            </w:r>
            <w:r>
              <w:rPr>
                <w:b/>
                <w:i/>
              </w:rPr>
              <w:t>prováděné</w:t>
            </w:r>
            <w:r>
              <w:t xml:space="preserve"> palestinským ministerstvem školství a vysokého školství s cílem zajistit soulad s normami UNESCO </w:t>
            </w:r>
            <w:r>
              <w:rPr>
                <w:b/>
                <w:i/>
              </w:rPr>
              <w:t>konstatuje však, že palestinské</w:t>
            </w:r>
            <w:r>
              <w:t xml:space="preserve"> učebnice </w:t>
            </w:r>
            <w:r>
              <w:rPr>
                <w:b/>
                <w:i/>
              </w:rPr>
              <w:t>obsahující antisemitský obsah jsou údajně stále v oběhu a byly nově vytištěny, přičemž členové Výboru pro rozpočtovou kontrolu obdrželi nedávné exempláře zveřejněné v roce 2025;</w:t>
            </w:r>
            <w:r>
              <w:t xml:space="preserve"> </w:t>
            </w:r>
            <w:r>
              <w:rPr>
                <w:b/>
                <w:i/>
              </w:rPr>
              <w:t>vyzývá Komisi, aby společně s ESVČ zajistila, aby žádné finanční prostředky Unie nebyly přímo ani nepřímo přidělovány na vypracovávání, výuku nebo šíření vzdělávacích materiálů, které podporují nenávist, násilí nebo antisemitismus, včetně případů, kdy jsou tyto materiály distribuovány prostřednictvím organizací OSN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170a.</w:t>
            </w:r>
            <w:r>
              <w:tab/>
            </w:r>
            <w:r>
              <w:rPr>
                <w:b/>
                <w:i/>
              </w:rPr>
              <w:t>důrazně odsuzuje Palestinskou správu za to, že ve školním roce 2025–2026 vytiskla a schválila učebnice, které nadále obsahují antisemitismus, podněcování k násilí, oslavování džihádu a mučednictví, odmítání nastolení míru a popírání existence Izraele, což je v jasném rozporu s normami UNESCO a formálními závazky Palestinské správy vůči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170b.</w:t>
            </w:r>
            <w:r>
              <w:tab/>
            </w:r>
            <w:r>
              <w:rPr>
                <w:b/>
                <w:i/>
              </w:rPr>
              <w:t>odmítá tvrzení, že byla dokončena reforma učebních osnov stupně 12, a konstatuje, že učebnice, které jsou v současné době v třídách, nadále zobrazují stejný ideologický obsah, který Parlament opakovaně označil za neslučitelný s mírem, tolerancí a nenásilím, a to i v předchozích usneseních o udělení absolutoria a rozpočtové kontrole;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170c.</w:t>
            </w:r>
            <w:r>
              <w:tab/>
            </w:r>
            <w:r>
              <w:rPr>
                <w:b/>
                <w:i/>
              </w:rPr>
              <w:t>požaduje, aby Komise nepřijímala, neschvalovala ani nepotvrzovala žádná tvrzení o reformě učebních osnov pro stupeň 12 nebo jiné stupně, pokud a dokud nebudou Parlamentu neposkytnuty jasné, veřejné a ověřitelné důkazy prokazující odstranění veškerého antisemitského, nenávistného a násilného obsahu z učebnic a příruček pro učitele při aktivním používání ve třídě;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170d.</w:t>
            </w:r>
            <w:r>
              <w:tab/>
            </w:r>
            <w:r>
              <w:rPr>
                <w:b/>
                <w:i/>
              </w:rPr>
              <w:t>připomíná, že mimořádná a víceletá finanční pomoc Unie, včetně vyplácení mezd palestinským státním úředníkům odpovědným za tvorbu, výuku a zavádění vzdělávacích materiálů, byla v rámci dohodnuté reformní matice výslovně podmíněna měřitelnou a ověřitelnou reformou učebních osnov;</w:t>
            </w:r>
            <w:r>
              <w:t xml:space="preserve"> </w:t>
            </w:r>
            <w:r>
              <w:rPr>
                <w:b/>
                <w:i/>
              </w:rPr>
              <w:t>zdůrazňuje, že tyto podmínky nebyly splněny;</w:t>
            </w:r>
            <w:r>
              <w:t xml:space="preserve"> </w:t>
            </w:r>
            <w:r>
              <w:rPr>
                <w:b/>
                <w:i/>
              </w:rPr>
              <w:t>domnívá se proto, že jakékoli další vyplácení prostředků souvisejících se vzděláváním nelze považovat za slučitelné s dohodnutým rámcem podmíněnosti, dokud nebude prokázán plný soulad;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170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170e.</w:t>
            </w:r>
            <w:r>
              <w:tab/>
            </w:r>
            <w:r>
              <w:rPr>
                <w:b/>
                <w:i/>
              </w:rPr>
              <w:t>varuje, že spoléhání se na neveřejná posouzení, důvěrná podání nebo neověřitelné záruky by oslabilo parlamentní dohled, oslabilo podmíněnost Unie a hrozilo by, že Unie bude i nadále podporovat šíření vzdělávacího obsahu, který podněcuje nenávist a násilí;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171.</w:t>
            </w:r>
            <w:r>
              <w:tab/>
            </w:r>
            <w:r>
              <w:rPr>
                <w:b/>
                <w:i/>
              </w:rPr>
              <w:t>konstatuje, že stejně jako v předchozích letech nebyly žádné finanční prostředky Unie v roce 2024 použity na podporu tvorby palestinských učebnic a že pomoc Unie v rámci balíčku mimořádné podpory na rok 2024 i víceletého komplexního programu pro obnovu a odolnost Palestiny (2025–2027) je důsledně omezena na sledovatelné výdajové položky, jako jsou platy, sociální dávky a nedoplatky nemocnicím;</w:t>
            </w:r>
            <w:r>
              <w:t xml:space="preserve"> </w:t>
            </w:r>
            <w:r>
              <w:rPr>
                <w:b/>
                <w:i/>
              </w:rPr>
              <w:t>konstatuje, že tento víceletý program je podmíněn ambiciózní reformní maticí dohodnutou s Palestinskou správou, která zahrnuje systematický přezkum učebních materiálů;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Monika Hohlmeier, Tomáš Zdechovský,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171.</w:t>
            </w:r>
            <w:r>
              <w:tab/>
            </w:r>
            <w:r>
              <w:t>konstatuje, že stejně jako v předchozích letech nebyly žádné finanční prostředky Unie v roce 2024 použity na podporu tvorby palestinských učebnic a že pomoc Unie v rámci balíčku mimořádné podpory na rok 2024 i víceletého komplexního programu pro obnovu a odolnost Palestiny (2025–2027) je důsledně omezena na sledovatelné výdajové položky, jako jsou platy, sociální dávky a nedoplatky nemocnicím; konstatuje, že tento víceletý program je podmíněn ambiciózní reformní maticí dohodnutou s Palestinskou správou, která zahrnuje systematický přezkum učebních materiálů;</w:t>
            </w:r>
          </w:p>
        </w:tc>
        <w:tc>
          <w:tcPr>
            <w:tcW w:w="4876" w:type="dxa"/>
            <w:tcBorders>
              <w:top w:val="nil"/>
              <w:left w:val="nil"/>
              <w:bottom w:val="nil"/>
              <w:right w:val="nil"/>
            </w:tcBorders>
          </w:tcPr>
          <w:p>
            <w:pPr>
              <w:pStyle w:val="Normal6a"/>
            </w:pPr>
            <w:r>
              <w:t>171.</w:t>
            </w:r>
            <w:r>
              <w:tab/>
            </w:r>
            <w:r>
              <w:t xml:space="preserve"> konstatuje, že stejně jako v předchozích letech nebyly žádné finanční prostředky Unie v roce 2024 použity na podporu tvorby palestinských učebnic a že pomoc Unie v rámci balíčku mimořádné podpory na rok 2024 i víceletého komplexního programu pro obnovu a odolnost Palestiny (2025–2027) je důsledně omezena na sledovatelné výdajové položky, jako jsou platy, sociální dávky a nedoplatky nemocnicím; konstatuje, že tento víceletý program je podmíněn ambiciózní reformní maticí dohodnutou s Palestinskou správou, která zahrnuje systematický přezkum učebních materiálů; </w:t>
            </w:r>
            <w:r>
              <w:rPr>
                <w:b/>
                <w:i/>
              </w:rPr>
              <w:t>zdůrazňuje, že finanční podpora Unie Palestinské správě v oblasti vzdělávání by měla být poskytována pod podmínkou, že obsah učebnic bude v souladu se standardy UNESCO, že všechny antisemitské odkazy budou vypuštěny a že budou odstraněny příklady podněcující k nenávisti a násilí, jak bylo opakovaně požadováno v usneseních připojených k rozhodnutím o udělení absolutoria;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Monika Hohlmeier, Tomáš Zdechovský,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t xml:space="preserve">naléhavě vyzývá Komisi, aby v souvislosti s poskytováním podpory a humanitární pomoci palestinskému obyvatelstvu </w:t>
            </w:r>
            <w:r>
              <w:rPr>
                <w:b/>
                <w:i/>
              </w:rPr>
              <w:t>zvýšila podporu agentuře</w:t>
            </w:r>
            <w:r>
              <w:t xml:space="preserve"> UNRWA </w:t>
            </w:r>
            <w:r>
              <w:rPr>
                <w:b/>
                <w:i/>
              </w:rPr>
              <w:t>a všem důvěryhodným partnerům, včetně místních organizací občanské společnosti</w:t>
            </w:r>
            <w:r>
              <w:t>; připomíná, že je důležité, aby Komise zaručila nezávislé kontroly agentury UNRWA prováděné externími odborníky, Účetním dvorem a zkušenými mezinárodními partnery;</w:t>
            </w:r>
          </w:p>
        </w:tc>
        <w:tc>
          <w:tcPr>
            <w:tcW w:w="4876" w:type="dxa"/>
            <w:tcBorders>
              <w:top w:val="nil"/>
              <w:left w:val="nil"/>
              <w:bottom w:val="nil"/>
              <w:right w:val="nil"/>
            </w:tcBorders>
          </w:tcPr>
          <w:p>
            <w:pPr>
              <w:pStyle w:val="Normal6a"/>
            </w:pPr>
            <w:r>
              <w:t>172.</w:t>
            </w:r>
            <w:r>
              <w:tab/>
            </w:r>
            <w:r>
              <w:t xml:space="preserve">naléhavě vyzývá Komisi, aby v souvislosti s poskytováním podpory a humanitární pomoci palestinskému obyvatelstvu </w:t>
            </w:r>
            <w:r>
              <w:rPr>
                <w:b/>
                <w:i/>
              </w:rPr>
              <w:t>spolupracovala se spolehlivými partnery na místě s cílem zaručit nepřetržité a bezpečné poskytování humanitární pomoci a zajistit, aby žádné finanční prostředky Unie nebyly přidělovány jednotlivcům nebo organizacím spojeným s teroristickými nebo extremistickými hnutími, která jsou v rozporu se základními hodnotami Unie;</w:t>
            </w:r>
            <w:r>
              <w:t xml:space="preserve"> </w:t>
            </w:r>
            <w:r>
              <w:rPr>
                <w:b/>
                <w:i/>
              </w:rPr>
              <w:t>vyjadřuje vážné znepokojení nad tvrzením, že zaměstnanci</w:t>
            </w:r>
            <w:r>
              <w:t xml:space="preserve"> UNRWA </w:t>
            </w:r>
            <w:r>
              <w:rPr>
                <w:b/>
                <w:i/>
              </w:rPr>
              <w:t>v pásmu Gazy byli zapojeni do zavrženíhodných teroristických útoků organizace Hamás na Izrael dne 7. října 2023</w:t>
            </w:r>
            <w:r>
              <w:t xml:space="preserve">; připomíná, že je důležité, aby Komise zaručila nezávislé kontroly agentury UNRWA prováděné externími odborníky, Účetním dvorem a zkušenými mezinárodními partnery; </w:t>
            </w:r>
            <w:r>
              <w:rPr>
                <w:b/>
                <w:i/>
              </w:rPr>
              <w:t>vyzývá ESVČ, aby v případě potřeby spolupracovala s dalšími spolehlivými partnery v Gaze a na palestinských územích s cílem zajistit nepřetržité dodávky humanitární pomoci palestinskému obyvatelstvu;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rPr>
                <w:b/>
                <w:i/>
              </w:rPr>
              <w:t>naléhavě vyzývá Komisi, aby v souvislosti s poskytováním podpory a humanitární pomoci palestinskému obyvatelstvu zvýšila podporu agentuře UNRWA a všem důvěryhodným partnerům, včetně místních organizací občanské společnosti;</w:t>
            </w:r>
            <w:r>
              <w:t xml:space="preserve"> připomíná, že je důležité, aby Komise zaručila nezávislé kontroly agentury UNRWA prováděné externími odborníky, Účetním dvorem a zkušenými mezinárodními partnery;</w:t>
            </w:r>
          </w:p>
        </w:tc>
        <w:tc>
          <w:tcPr>
            <w:tcW w:w="4876" w:type="dxa"/>
            <w:tcBorders>
              <w:top w:val="nil"/>
              <w:left w:val="nil"/>
              <w:bottom w:val="nil"/>
              <w:right w:val="nil"/>
            </w:tcBorders>
          </w:tcPr>
          <w:p>
            <w:pPr>
              <w:pStyle w:val="Normal6a"/>
            </w:pPr>
            <w:r>
              <w:t>172.</w:t>
            </w:r>
            <w:r>
              <w:tab/>
            </w:r>
            <w:r>
              <w:t>připomíná, že je důležité, aby Komise zaručila nezávislé kontroly agentury UNRWA prováděné externími odborníky, Účetním dvorem a zkušenými mezinárodními partnery;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rPr>
                <w:b/>
                <w:i/>
              </w:rPr>
              <w:t>naléhavě</w:t>
            </w:r>
            <w:r>
              <w:t xml:space="preserve"> vyzývá Komisi, aby v souvislosti s poskytováním podpory a humanitární pomoci palestinskému obyvatelstvu </w:t>
            </w:r>
            <w:r>
              <w:rPr>
                <w:b/>
                <w:i/>
              </w:rPr>
              <w:t>zvýšila podporu agentuře</w:t>
            </w:r>
            <w:r>
              <w:t xml:space="preserve"> UNRWA </w:t>
            </w:r>
            <w:r>
              <w:rPr>
                <w:b/>
                <w:i/>
              </w:rPr>
              <w:t>a všem důvěryhodným partnerům, včetně místních organizací občanské společnosti;</w:t>
            </w:r>
            <w:r>
              <w:t xml:space="preserve"> </w:t>
            </w:r>
            <w:r>
              <w:rPr>
                <w:b/>
                <w:i/>
              </w:rPr>
              <w:t>připomíná, že je důležité, aby Komise zaručila nezávislé kontroly agentury UNRWA prováděné externími odborníky, Účetním dvorem a zkušenými mezinárodními partnery</w:t>
            </w:r>
            <w:r>
              <w:t>;</w:t>
            </w:r>
          </w:p>
        </w:tc>
        <w:tc>
          <w:tcPr>
            <w:tcW w:w="4876" w:type="dxa"/>
            <w:tcBorders>
              <w:top w:val="nil"/>
              <w:left w:val="nil"/>
              <w:bottom w:val="nil"/>
              <w:right w:val="nil"/>
            </w:tcBorders>
          </w:tcPr>
          <w:p>
            <w:pPr>
              <w:pStyle w:val="Normal6a"/>
            </w:pPr>
            <w:r>
              <w:t>172.</w:t>
            </w:r>
            <w:r>
              <w:tab/>
            </w:r>
            <w:r>
              <w:t xml:space="preserve">vyzývá Komisi, aby v souvislosti s poskytováním podpory a humanitární pomoci palestinskému obyvatelstvu </w:t>
            </w:r>
            <w:r>
              <w:rPr>
                <w:b/>
                <w:i/>
              </w:rPr>
              <w:t>přezkoumala svou finanční spolupráci s agenturou</w:t>
            </w:r>
            <w:r>
              <w:t xml:space="preserve"> UNRWA </w:t>
            </w:r>
            <w:r>
              <w:rPr>
                <w:b/>
                <w:i/>
              </w:rPr>
              <w:t>s cílem chránit finanční zájmy Unie a zajistit, aby finanční prostředky Unie byly poskytovány prostřednictvím partnerů, kteří splňují nejvyšší standardy odpovědnosti a dohledu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t xml:space="preserve">naléhavě vyzývá Komisi, aby v souvislosti s poskytováním podpory a humanitární pomoci palestinskému obyvatelstvu zvýšila podporu </w:t>
            </w:r>
            <w:r>
              <w:rPr>
                <w:b/>
                <w:i/>
              </w:rPr>
              <w:t>agentuře UNRWA a</w:t>
            </w:r>
            <w:r>
              <w:t xml:space="preserve"> všem důvěryhodným partnerům, včetně místních organizací občanské společnosti; připomíná, že je důležité, aby Komise zaručila nezávislé kontroly agentury UNRWA prováděné externími odborníky, Účetním dvorem a zkušenými mezinárodními partnery;</w:t>
            </w:r>
          </w:p>
        </w:tc>
        <w:tc>
          <w:tcPr>
            <w:tcW w:w="4876" w:type="dxa"/>
            <w:tcBorders>
              <w:top w:val="nil"/>
              <w:left w:val="nil"/>
              <w:bottom w:val="nil"/>
              <w:right w:val="nil"/>
            </w:tcBorders>
          </w:tcPr>
          <w:p>
            <w:pPr>
              <w:pStyle w:val="Normal6a"/>
            </w:pPr>
            <w:r>
              <w:t>172.</w:t>
            </w:r>
            <w:r>
              <w:tab/>
            </w:r>
            <w:r>
              <w:t>naléhavě vyzývá Komisi, aby v souvislosti s poskytováním podpory a humanitární pomoci palestinskému obyvatelstvu zvýšila podporu všem důvěryhodným partnerům, včetně místních organizací občanské společnosti; připomíná, že je důležité, aby Komise zaručila nezávislé kontroly agentury UNRWA prováděné externími odborníky, Účetním dvorem a zkušenými mezinárodními partnery;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172a.</w:t>
            </w:r>
            <w:r>
              <w:tab/>
            </w:r>
            <w:r>
              <w:rPr>
                <w:b/>
                <w:i/>
              </w:rPr>
              <w:t>s vážným znepokojením bere na vědomí interní dokumenty Hamásu, které odhalují vazby mezi mechanismem vnitřní bezpečnosti Hamásu a nevládními organizacemi financovanými EU;</w:t>
            </w:r>
            <w:r>
              <w:t xml:space="preserve"> </w:t>
            </w:r>
            <w:r>
              <w:rPr>
                <w:b/>
                <w:i/>
              </w:rPr>
              <w:t>je hluboce znepokojen rizikem, že finanční prostředky daňových poplatníků EU budou nepřímo podporovat teroristické činnosti;</w:t>
            </w:r>
            <w:r>
              <w:t xml:space="preserve"> </w:t>
            </w:r>
            <w:r>
              <w:rPr>
                <w:b/>
                <w:i/>
              </w:rPr>
              <w:t>vyzývá Komisi, aby přijala okamžitá opatření k prošetření těchto obvinění a v případě potřeby pozastavila a získala zpět finanční prostředky od nevládních organizací, které nedodržují pravidla;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173.</w:t>
            </w:r>
            <w:r>
              <w:tab/>
            </w:r>
            <w:r>
              <w:rPr>
                <w:b/>
                <w:i/>
              </w:rPr>
              <w:t>vyjadřuje vážné znepokojení nad závažnými nedostatky v řízení GŘ NEAR, za které je odpovědný komisař Várhelyi, během jeho mandátu komisaře pro sousedství a rozšíření (2019–2024);</w:t>
            </w:r>
            <w:r>
              <w:t xml:space="preserve"> </w:t>
            </w:r>
            <w:r>
              <w:rPr>
                <w:b/>
                <w:i/>
              </w:rPr>
              <w:t>konstatuje, že v tomto období zůstal mimořádně dlouhou dobu neobsazen nebývalý počet vedoucích pozic, což vážně narušilo schopnosti vedení generálního ředitelství;</w:t>
            </w:r>
            <w:r>
              <w:t xml:space="preserve"> </w:t>
            </w:r>
            <w:r>
              <w:rPr>
                <w:b/>
                <w:i/>
              </w:rPr>
              <w:t>konstatuje zejména, že místo generálního ředitele zůstalo neobsazeno po dobu 28 měsíců, místo ředitele ředitelství A po dobu 25 měsíců, místo ředitele NEAR B (jižní sousedství) po dobu 48 měsíců, místo ředitele NEAR D (západní Balkán) po dobu 35 měsíců, místo ředitele podpůrné skupiny pro Ukrajinu po dobu 32 měsíců a místo ředitele R po dobu 22 měsíců;</w:t>
            </w:r>
            <w:r>
              <w:t xml:space="preserve"> </w:t>
            </w:r>
            <w:r>
              <w:rPr>
                <w:b/>
                <w:i/>
              </w:rPr>
              <w:t>zdůrazňuje, že v případě těchto dlouhodobě neobsazených míst se jedná o jedna z politicky nejcitlivějších portfolií Unie, která jsou kriticky důležitá pro provoz, mimo jiné během ruské invaze na Ukrajinu a teroristického útoku Hamásu proti Izraeli;</w:t>
            </w:r>
            <w:r>
              <w:t xml:space="preserve"> </w:t>
            </w:r>
            <w:r>
              <w:rPr>
                <w:b/>
                <w:i/>
              </w:rPr>
              <w:t>dále bere na vědomí výsledky průzkumu mezi zaměstnanci GŘ NEAR z dubna 2022, které svědčí o výrazným poklesu důvěry ve vrcholném vedení, což jsou nejhorší výsledky průzkumu mezi zaměstnanci GŘ, jaké kdy byly zaznamenány;</w:t>
            </w:r>
            <w:r>
              <w:t xml:space="preserve"> </w:t>
            </w:r>
            <w:r>
              <w:rPr>
                <w:b/>
                <w:i/>
              </w:rPr>
              <w:t>domnívá se, že ponechání GŘ NEAR po dobu mnoha let bez stabilního vyššího vedení nelze sladit s povinností řádné správy a účinného řízení, která se od komisaře očekává;</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173.</w:t>
            </w:r>
            <w:r>
              <w:tab/>
            </w:r>
            <w:r>
              <w:rPr>
                <w:b/>
                <w:i/>
              </w:rPr>
              <w:t>vyjadřuje vážné znepokojení nad závažnými nedostatky v řízení GŘ NEAR, za které je odpovědný komisař Várhelyi, během jeho mandátu komisaře pro sousedství a rozšíření (2019–2024);</w:t>
            </w:r>
            <w:r>
              <w:t xml:space="preserve"> </w:t>
            </w:r>
            <w:r>
              <w:rPr>
                <w:b/>
                <w:i/>
              </w:rPr>
              <w:t>konstatuje, že v tomto období zůstal mimořádně dlouhou dobu neobsazen nebývalý počet vedoucích pozic, což vážně narušilo schopnosti vedení generálního ředitelství;</w:t>
            </w:r>
            <w:r>
              <w:t xml:space="preserve"> </w:t>
            </w:r>
            <w:r>
              <w:rPr>
                <w:b/>
                <w:i/>
              </w:rPr>
              <w:t>konstatuje zejména, že místo generálního ředitele zůstalo neobsazeno po dobu 28 měsíců, místo ředitele ředitelství A po dobu 25 měsíců, místo ředitele NEAR B (jižní sousedství) po dobu 48 měsíců, místo ředitele NEAR D (západní Balkán) po dobu 35 měsíců, místo ředitele podpůrné skupiny pro Ukrajinu po dobu 32 měsíců a místo ředitele R po dobu 22 měsíců;</w:t>
            </w:r>
            <w:r>
              <w:t xml:space="preserve"> </w:t>
            </w:r>
            <w:r>
              <w:rPr>
                <w:b/>
                <w:i/>
              </w:rPr>
              <w:t>zdůrazňuje, že v případě těchto dlouhodobě neobsazených míst se jedná o jedna z politicky nejcitlivějších portfolií Unie, která jsou kriticky důležitá pro provoz, mimo jiné během ruské invaze na Ukrajinu a teroristického útoku Hamásu proti Izraeli;</w:t>
            </w:r>
            <w:r>
              <w:t xml:space="preserve"> </w:t>
            </w:r>
            <w:r>
              <w:rPr>
                <w:b/>
                <w:i/>
              </w:rPr>
              <w:t>dále bere na vědomí výsledky průzkumu mezi zaměstnanci GŘ NEAR z dubna 2022, které svědčí o výrazným poklesu důvěry ve vrcholném vedení, což jsou nejhorší výsledky průzkumu mezi zaměstnanci GŘ, jaké kdy byly zaznamenány;</w:t>
            </w:r>
            <w:r>
              <w:t xml:space="preserve"> </w:t>
            </w:r>
            <w:r>
              <w:rPr>
                <w:b/>
                <w:i/>
              </w:rPr>
              <w:t>domnívá se, že ponechání GŘ NEAR po dobu mnoha let bez stabilního vyššího vedení nelze sladit s povinností řádné správy a účinného řízení, která se od komisaře očekává;</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173.</w:t>
            </w:r>
            <w:r>
              <w:tab/>
            </w:r>
            <w:r>
              <w:rPr>
                <w:b/>
                <w:i/>
              </w:rPr>
              <w:t>vyjadřuje vážné znepokojení nad závažnými nedostatky v řízení GŘ NEAR, za které je odpovědný komisař Várhelyi, během jeho mandátu komisaře pro sousedství a rozšíření (2019–2024);</w:t>
            </w:r>
            <w:r>
              <w:t xml:space="preserve"> </w:t>
            </w:r>
            <w:r>
              <w:rPr>
                <w:b/>
                <w:i/>
              </w:rPr>
              <w:t>konstatuje, že v tomto období zůstal mimořádně dlouhou dobu neobsazen nebývalý počet vedoucích pozic, což vážně narušilo schopnosti vedení generálního ředitelství;</w:t>
            </w:r>
            <w:r>
              <w:t xml:space="preserve"> </w:t>
            </w:r>
            <w:r>
              <w:rPr>
                <w:b/>
                <w:i/>
              </w:rPr>
              <w:t>konstatuje zejména, že místo generálního ředitele zůstalo neobsazeno po dobu 28 měsíců, místo ředitele ředitelství A po dobu 25 měsíců, místo ředitele NEAR B (jižní sousedství) po dobu 48 měsíců, místo ředitele NEAR D (západní Balkán) po dobu 35 měsíců, místo ředitele podpůrné skupiny pro Ukrajinu po dobu 32 měsíců a místo ředitele R po dobu 22 měsíců;</w:t>
            </w:r>
            <w:r>
              <w:t xml:space="preserve"> </w:t>
            </w:r>
            <w:r>
              <w:rPr>
                <w:b/>
                <w:i/>
              </w:rPr>
              <w:t>zdůrazňuje, že v případě těchto dlouhodobě neobsazených míst se jedná o jedna z politicky nejcitlivějších portfolií Unie, která jsou kriticky důležitá pro provoz, mimo jiné během ruské invaze na Ukrajinu a teroristického útoku Hamásu proti Izraeli;</w:t>
            </w:r>
            <w:r>
              <w:t xml:space="preserve"> </w:t>
            </w:r>
            <w:r>
              <w:rPr>
                <w:b/>
                <w:i/>
              </w:rPr>
              <w:t>dále bere na vědomí výsledky průzkumu mezi zaměstnanci GŘ NEAR z dubna 2022, které svědčí o výrazným poklesu důvěry ve vrcholném vedení, což jsou nejhorší výsledky průzkumu mezi zaměstnanci GŘ, jaké kdy byly zaznamenány;</w:t>
            </w:r>
            <w:r>
              <w:t xml:space="preserve"> </w:t>
            </w:r>
            <w:r>
              <w:rPr>
                <w:b/>
                <w:i/>
              </w:rPr>
              <w:t>domnívá se, že ponechání GŘ NEAR po dobu mnoha let bez stabilního vyššího vedení nelze sladit s povinností řádné správy a účinného řízení, která se od komisaře očekává;</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Monika Hohlmeier,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173.</w:t>
            </w:r>
            <w:r>
              <w:tab/>
            </w:r>
            <w:r>
              <w:rPr>
                <w:b/>
                <w:i/>
              </w:rPr>
              <w:t>vyjadřuje vážné znepokojení nad závažnými nedostatky v řízení GŘ NEAR, za které je odpovědný komisař Várhelyi, během jeho mandátu komisaře pro sousedství a rozšíření (2019–2024);</w:t>
            </w:r>
            <w:r>
              <w:t xml:space="preserve"> konstatuje, že v </w:t>
            </w:r>
            <w:r>
              <w:rPr>
                <w:b/>
                <w:i/>
              </w:rPr>
              <w:t>tomto</w:t>
            </w:r>
            <w:r>
              <w:t xml:space="preserve"> období </w:t>
            </w:r>
            <w:r>
              <w:rPr>
                <w:b/>
                <w:i/>
              </w:rPr>
              <w:t>zůstal mimořádně dlouhou dobu neobsazen nebývalý počet</w:t>
            </w:r>
            <w:r>
              <w:t xml:space="preserve"> vedoucích </w:t>
            </w:r>
            <w:r>
              <w:rPr>
                <w:b/>
                <w:i/>
              </w:rPr>
              <w:t>pozic, což vážně narušilo schopnosti vedení generálního ředitelství</w:t>
            </w:r>
            <w:r>
              <w:t xml:space="preserve">; konstatuje zejména, že </w:t>
            </w:r>
            <w:r>
              <w:rPr>
                <w:b/>
                <w:i/>
              </w:rPr>
              <w:t>místo generálního ředitele zůstalo neobsazeno po dobu 28 měsíců, místo ředitele ředitelství A po dobu 25 měsíců, místo ředitele NEAR B (jižní sousedství) po dobu 48 měsíců, místo ředitele NEAR D (západní Balkán) po dobu 35 měsíců, místo ředitele podpůrné skupiny pro Ukrajinu po dobu 32 měsíců a místo ředitele R po dobu 22 měsíců;</w:t>
            </w:r>
            <w:r>
              <w:t xml:space="preserve"> </w:t>
            </w:r>
            <w:r>
              <w:rPr>
                <w:b/>
                <w:i/>
              </w:rPr>
              <w:t>zdůrazňuje, že v případě těchto dlouhodobě neobsazených míst se jedná o jedna z politicky nejcitlivějších portfolií Unie, která jsou kriticky důležitá pro provoz, mimo jiné během ruské invaze na Ukrajinu a teroristického útoku Hamásu proti Izraeli</w:t>
            </w:r>
            <w:r>
              <w:t xml:space="preserve">; </w:t>
            </w:r>
            <w:r>
              <w:rPr>
                <w:b/>
                <w:i/>
              </w:rPr>
              <w:t>dále</w:t>
            </w:r>
            <w:r>
              <w:t xml:space="preserve"> bere na vědomí výsledky průzkumu mezi zaměstnanci GŘ NEAR z dubna 2022</w:t>
            </w:r>
            <w:r>
              <w:rPr>
                <w:b/>
                <w:i/>
              </w:rPr>
              <w:t>, které svědčí o výrazným poklesu důvěry ve vrcholném vedení, což jsou nejhorší výsledky průzkumu mezi zaměstnanci GŘ, jaké kdy byly zaznamenány;</w:t>
            </w:r>
            <w:r>
              <w:t xml:space="preserve"> </w:t>
            </w:r>
            <w:r>
              <w:rPr>
                <w:b/>
                <w:i/>
              </w:rPr>
              <w:t>domnívá se, že ponechání GŘ NEAR po dobu mnoha let bez stabilního vyššího</w:t>
            </w:r>
            <w:r>
              <w:t xml:space="preserve"> vedení </w:t>
            </w:r>
            <w:r>
              <w:rPr>
                <w:b/>
                <w:i/>
              </w:rPr>
              <w:t>nelze sladit s povinností</w:t>
            </w:r>
            <w:r>
              <w:t xml:space="preserve"> řádné správy </w:t>
            </w:r>
            <w:r>
              <w:rPr>
                <w:b/>
                <w:i/>
              </w:rPr>
              <w:t>a účinného řízení, která se od komisaře očekává</w:t>
            </w:r>
            <w:r>
              <w:t>;</w:t>
            </w:r>
          </w:p>
        </w:tc>
        <w:tc>
          <w:tcPr>
            <w:tcW w:w="4876" w:type="dxa"/>
            <w:tcBorders>
              <w:top w:val="nil"/>
              <w:left w:val="nil"/>
              <w:bottom w:val="nil"/>
              <w:right w:val="nil"/>
            </w:tcBorders>
          </w:tcPr>
          <w:p>
            <w:pPr>
              <w:pStyle w:val="Normal6a"/>
            </w:pPr>
            <w:r>
              <w:t>173.</w:t>
            </w:r>
            <w:r>
              <w:tab/>
            </w:r>
            <w:r>
              <w:t xml:space="preserve">konstatuje, že v období </w:t>
            </w:r>
            <w:r>
              <w:rPr>
                <w:b/>
                <w:i/>
              </w:rPr>
              <w:t>2019–2024 zůstala řada vyšších</w:t>
            </w:r>
            <w:r>
              <w:t xml:space="preserve"> vedoucích </w:t>
            </w:r>
            <w:r>
              <w:rPr>
                <w:b/>
                <w:i/>
              </w:rPr>
              <w:t>pracovníků v GŘ NEAR po delší dobu neobsazena</w:t>
            </w:r>
            <w:r>
              <w:t xml:space="preserve">; konstatuje zejména, že </w:t>
            </w:r>
            <w:r>
              <w:rPr>
                <w:b/>
                <w:i/>
              </w:rPr>
              <w:t>volná pracovní místa byla na úrovni generálních ředitelů a ředitelů</w:t>
            </w:r>
            <w:r>
              <w:t xml:space="preserve">; bere na vědomí výsledky průzkumu mezi zaměstnanci GŘ NEAR z dubna 2022 </w:t>
            </w:r>
            <w:r>
              <w:rPr>
                <w:b/>
                <w:i/>
              </w:rPr>
              <w:t>a vybízí Komisi, aby se poučila a zajistila včasné jmenování, kontinuitu</w:t>
            </w:r>
            <w:r>
              <w:t xml:space="preserve"> vedení </w:t>
            </w:r>
            <w:r>
              <w:rPr>
                <w:b/>
                <w:i/>
              </w:rPr>
              <w:t>a účinné řídicí struktury ve všech generálních ředitelstvích v souladu se zásadami</w:t>
            </w:r>
            <w:r>
              <w:t xml:space="preserve"> řádné správy;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173.</w:t>
            </w:r>
            <w:r>
              <w:tab/>
            </w:r>
            <w:r>
              <w:t>vyjadřuje vážné znepokojení nad závažnými nedostatky v řízení GŘ NEAR, za které je odpovědný komisař Várhelyi, během jeho mandátu komisaře pro sousedství a rozšíření (2019–2024); konstatuje, že v tomto období zůstal mimořádně dlouhou dobu neobsazen nebývalý počet vedoucích pozic, což vážně narušilo schopnosti vedení generálního ředitelství; konstatuje zejména, že místo generálního ředitele zůstalo neobsazeno po dobu 28 měsíců, místo ředitele ředitelství A po dobu 25 měsíců, místo ředitele NEAR B (jižní sousedství) po dobu 48 měsíců, místo ředitele NEAR D (západní Balkán) po dobu 35 měsíců, místo ředitele podpůrné skupiny pro Ukrajinu po dobu 32 měsíců a místo ředitele R po dobu 22 měsíců; zdůrazňuje, že v případě těchto dlouhodobě neobsazených míst se jedná o jedna z politicky nejcitlivějších portfolií Unie, která jsou kriticky důležitá pro provoz, mimo jiné během ruské invaze na Ukrajinu a teroristického útoku Hamásu proti Izraeli; dále bere na vědomí výsledky průzkumu mezi zaměstnanci GŘ NEAR z dubna 2022, které svědčí o výrazným poklesu důvěry ve vrcholném vedení, což jsou nejhorší výsledky průzkumu mezi zaměstnanci GŘ, jaké kdy byly zaznamenány; domnívá se, že ponechání GŘ NEAR po dobu mnoha let bez stabilního vyššího vedení nelze sladit s povinností řádné správy a účinného řízení, která se od komisaře očekává;</w:t>
            </w:r>
          </w:p>
        </w:tc>
        <w:tc>
          <w:tcPr>
            <w:tcW w:w="4876" w:type="dxa"/>
            <w:tcBorders>
              <w:top w:val="nil"/>
              <w:left w:val="nil"/>
              <w:bottom w:val="nil"/>
              <w:right w:val="nil"/>
            </w:tcBorders>
          </w:tcPr>
          <w:p>
            <w:pPr>
              <w:pStyle w:val="Normal6a"/>
            </w:pPr>
            <w:r>
              <w:t>173.</w:t>
            </w:r>
            <w:r>
              <w:tab/>
            </w:r>
            <w:r>
              <w:t xml:space="preserve">vyjadřuje vážné znepokojení nad závažnými nedostatky v řízení GŘ NEAR, za které je odpovědný komisař Várhelyi, během jeho mandátu komisaře pro sousedství a rozšíření (2019–2024); konstatuje, že v tomto období zůstal mimořádně dlouhou dobu neobsazen nebývalý počet vedoucích pozic, což vážně narušilo schopnosti vedení generálního ředitelství; konstatuje zejména, že místo generálního ředitele zůstalo neobsazeno po dobu 28 měsíců, místo ředitele ředitelství A po dobu 25 měsíců, místo ředitele NEAR B (jižní sousedství) po dobu 48 měsíců, místo ředitele NEAR D (západní Balkán) po dobu 35 měsíců, místo ředitele podpůrné skupiny pro Ukrajinu po dobu 32 měsíců a místo ředitele R po dobu 22 měsíců; zdůrazňuje, že v případě těchto dlouhodobě neobsazených míst se jedná o jedna z politicky nejcitlivějších portfolií Unie, která jsou kriticky důležitá pro provoz, mimo jiné během ruské invaze na Ukrajinu a teroristického útoku Hamásu proti Izraeli; dále bere na vědomí výsledky průzkumu mezi zaměstnanci GŘ NEAR z dubna 2022, které svědčí o výrazným poklesu důvěry ve vrcholném vedení, což jsou nejhorší výsledky průzkumu mezi zaměstnanci GŘ, jaké kdy byly zaznamenány; domnívá se, že ponechání GŘ NEAR po dobu mnoha let bez stabilního vyššího vedení nelze sladit s povinností řádné správy a účinného řízení, která se od komisaře očekává; </w:t>
            </w:r>
            <w:r>
              <w:rPr>
                <w:b/>
                <w:i/>
              </w:rPr>
              <w:t>vyzývá Komisi, aby zajistila, že kritické vedoucí pozice budou neprodleně obsazeny a že budou zavedeny nouzové mechanismy, které zabrání dlouhodobým administrativním nedostatkům v budoucnu;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174.</w:t>
            </w:r>
            <w:r>
              <w:tab/>
            </w:r>
            <w:r>
              <w:rPr>
                <w:b/>
                <w:i/>
              </w:rPr>
              <w:t>bere na vědomí prohlášení komisaře Várhelyiho během výměny názorů ve Výboru pro rozpočtovou kontrolu dne 12. ledna 2026, kde tvrdil, že místo ředitele podpůrné skupiny pro Ukrajinu bylo vytvořeno až v roce 2022 a ihned poté obsazeno;</w:t>
            </w:r>
            <w:r>
              <w:t xml:space="preserve"> </w:t>
            </w:r>
            <w:r>
              <w:rPr>
                <w:b/>
                <w:i/>
              </w:rPr>
              <w:t>lituje, že tato informace poskytnutá Parlamentu byla nepřesná, neboť podpůrná skupina pro Ukrajinu byla zřízena v roce 2014 a v letech 2020 až 2023 její vedení vedle mnoha dalších funkcí dočasně zajišťovala náměstkyně generálního ředitele GŘ NEAR;</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174.</w:t>
            </w:r>
            <w:r>
              <w:tab/>
            </w:r>
            <w:r>
              <w:rPr>
                <w:b/>
                <w:i/>
              </w:rPr>
              <w:t>bere na vědomí prohlášení komisaře Várhelyiho během výměny názorů ve Výboru pro rozpočtovou kontrolu dne 12. ledna 2026, kde tvrdil, že místo ředitele podpůrné skupiny pro Ukrajinu bylo vytvořeno až v roce 2022 a ihned poté obsazeno;</w:t>
            </w:r>
            <w:r>
              <w:t xml:space="preserve"> </w:t>
            </w:r>
            <w:r>
              <w:rPr>
                <w:b/>
                <w:i/>
              </w:rPr>
              <w:t>lituje, že tato informace poskytnutá Parlamentu byla nepřesná, neboť podpůrná skupina pro Ukrajinu byla zřízena v roce 2014 a v letech 2020 až 2023 její vedení vedle mnoha dalších funkcí dočasně zajišťovala náměstkyně generálního ředitele GŘ NEAR;</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174.</w:t>
            </w:r>
            <w:r>
              <w:tab/>
            </w:r>
            <w:r>
              <w:rPr>
                <w:b/>
                <w:i/>
              </w:rPr>
              <w:t>bere na vědomí prohlášení komisaře Várhelyiho během výměny názorů ve Výboru pro rozpočtovou kontrolu dne 12. ledna 2026, kde tvrdil, že místo ředitele podpůrné skupiny pro Ukrajinu bylo vytvořeno až v roce 2022 a ihned poté obsazeno;</w:t>
            </w:r>
            <w:r>
              <w:t xml:space="preserve"> </w:t>
            </w:r>
            <w:r>
              <w:rPr>
                <w:b/>
                <w:i/>
              </w:rPr>
              <w:t>lituje, že tato informace poskytnutá Parlamentu byla nepřesná, neboť podpůrná skupina pro Ukrajinu byla zřízena v roce 2014 a v letech 2020 až 2023 její vedení vedle mnoha dalších funkcí dočasně zajišťovala náměstkyně generálního ředitele GŘ NEAR;</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174.</w:t>
            </w:r>
            <w:r>
              <w:tab/>
            </w:r>
            <w:r>
              <w:rPr>
                <w:b/>
                <w:i/>
              </w:rPr>
              <w:t>bere na vědomí prohlášení komisaře Várhelyiho</w:t>
            </w:r>
            <w:r>
              <w:t xml:space="preserve"> během </w:t>
            </w:r>
            <w:r>
              <w:rPr>
                <w:b/>
                <w:i/>
              </w:rPr>
              <w:t>výměny názorů ve Výboru pro rozpočtovou kontrolu dne 12. ledna 2026, kde tvrdil, že místo ředitele podpůrné</w:t>
            </w:r>
            <w:r>
              <w:t xml:space="preserve"> skupiny pro Ukrajinu </w:t>
            </w:r>
            <w:r>
              <w:rPr>
                <w:b/>
                <w:i/>
              </w:rPr>
              <w:t>bylo vytvořeno až v roce 2022 a ihned poté obsazeno;</w:t>
            </w:r>
            <w:r>
              <w:t xml:space="preserve"> </w:t>
            </w:r>
            <w:r>
              <w:rPr>
                <w:b/>
                <w:i/>
              </w:rPr>
              <w:t>lituje, že tato informace poskytnutá</w:t>
            </w:r>
            <w:r>
              <w:t xml:space="preserve"> Parlamentu </w:t>
            </w:r>
            <w:r>
              <w:rPr>
                <w:b/>
                <w:i/>
              </w:rPr>
              <w:t>byla nepřesná, neboť podpůrná skupina pro Ukrajinu byla zřízena v roce 2014 a v letech 2020 až 2023 její</w:t>
            </w:r>
            <w:r>
              <w:t xml:space="preserve"> vedení </w:t>
            </w:r>
            <w:r>
              <w:rPr>
                <w:b/>
                <w:i/>
              </w:rPr>
              <w:t>vedle mnoha dalších funkcí dočasně zajišťovala náměstkyně generálního ředitele GŘ NEAR</w:t>
            </w:r>
            <w:r>
              <w:t>;</w:t>
            </w:r>
          </w:p>
        </w:tc>
        <w:tc>
          <w:tcPr>
            <w:tcW w:w="4876" w:type="dxa"/>
            <w:tcBorders>
              <w:top w:val="nil"/>
              <w:left w:val="nil"/>
              <w:bottom w:val="nil"/>
              <w:right w:val="nil"/>
            </w:tcBorders>
          </w:tcPr>
          <w:p>
            <w:pPr>
              <w:pStyle w:val="Normal6a"/>
            </w:pPr>
            <w:r>
              <w:t>174.</w:t>
            </w:r>
            <w:r>
              <w:tab/>
            </w:r>
            <w:r>
              <w:rPr>
                <w:b/>
                <w:i/>
              </w:rPr>
              <w:t>konstatuje, že</w:t>
            </w:r>
            <w:r>
              <w:t xml:space="preserve"> během </w:t>
            </w:r>
            <w:r>
              <w:rPr>
                <w:b/>
                <w:i/>
              </w:rPr>
              <w:t>zřízení a provozu</w:t>
            </w:r>
            <w:r>
              <w:t xml:space="preserve"> Skupiny </w:t>
            </w:r>
            <w:r>
              <w:rPr>
                <w:b/>
                <w:i/>
              </w:rPr>
              <w:t>na podporu Ukrajiny bylo zajištěno prozatímní vedení, zatímco byla prováděna trvalá ujednání, konstatuje, že Skupina na podporu Ukrajiny byla v roce 2023 rozpuštěna a portfolia byla přerozdělena do Nástroje</w:t>
            </w:r>
            <w:r>
              <w:t xml:space="preserve"> pro Ukrajinu </w:t>
            </w:r>
            <w:r>
              <w:rPr>
                <w:b/>
                <w:i/>
              </w:rPr>
              <w:t>a dalších oddělení, a vybízí Komisi, aby zajistila jasné a přesné podávání zpráv</w:t>
            </w:r>
            <w:r>
              <w:t xml:space="preserve"> Parlamentu </w:t>
            </w:r>
            <w:r>
              <w:rPr>
                <w:b/>
                <w:i/>
              </w:rPr>
              <w:t>o řízení a</w:t>
            </w:r>
            <w:r>
              <w:t xml:space="preserve"> vedení </w:t>
            </w:r>
            <w:r>
              <w:rPr>
                <w:b/>
                <w:i/>
              </w:rPr>
              <w:t>oddělení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175.</w:t>
            </w:r>
            <w:r>
              <w:tab/>
            </w:r>
            <w:r>
              <w:rPr>
                <w:b/>
                <w:i/>
              </w:rPr>
              <w:t>bere na vědomí nedávné vyšetřovací zprávy zveřejněné v říjnu 2025 několika evropskými médii, podle nichž se maďarské zpravodajské služby zapojily do špionážních aktivit v Bruselu, včetně pokusů o nábor maďarských státních příslušníků pracujících v institucích Unie;</w:t>
            </w:r>
            <w:r>
              <w:t xml:space="preserve"> </w:t>
            </w:r>
            <w:r>
              <w:rPr>
                <w:b/>
                <w:i/>
              </w:rPr>
              <w:t>konstatuje, že tyto aktivity údajně zesílily v letech 2015–2019, kdy pan Várhelyi působil jako stálý představitel Maďarska při Unii a byl formálně nadřízeným zpravodajských důstojníků působících pod diplomatickým krytím;</w:t>
            </w:r>
            <w:r>
              <w:t xml:space="preserve"> </w:t>
            </w:r>
            <w:r>
              <w:rPr>
                <w:b/>
                <w:i/>
              </w:rPr>
              <w:t>zdůrazňuje, že ačkoli se tato obvinění týkají období před jeho jmenováním komisařem, dále přispívají k vážným obavám ohledně jeho chování a nezávislosti;</w:t>
            </w:r>
            <w:r>
              <w:t xml:space="preserve"> </w:t>
            </w:r>
            <w:r>
              <w:rPr>
                <w:b/>
                <w:i/>
              </w:rPr>
              <w:t>bere na vědomí, že Komise potvrdila, že tato obvinění interně prověřuje, a očekává, že bude o výsledku tohoto šetření informován, jakmile bude ukončeno;</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175.</w:t>
            </w:r>
            <w:r>
              <w:tab/>
            </w:r>
            <w:r>
              <w:rPr>
                <w:b/>
                <w:i/>
              </w:rPr>
              <w:t>bere na vědomí nedávné vyšetřovací zprávy zveřejněné v říjnu 2025 několika evropskými médii, podle nichž se maďarské zpravodajské služby zapojily do špionážních aktivit v Bruselu, včetně pokusů o nábor maďarských státních příslušníků pracujících v institucích Unie;</w:t>
            </w:r>
            <w:r>
              <w:t xml:space="preserve"> </w:t>
            </w:r>
            <w:r>
              <w:rPr>
                <w:b/>
                <w:i/>
              </w:rPr>
              <w:t>konstatuje, že tyto aktivity údajně zesílily v letech 2015–2019, kdy pan Várhelyi působil jako stálý představitel Maďarska při Unii a byl formálně nadřízeným zpravodajských důstojníků působících pod diplomatickým krytím;</w:t>
            </w:r>
            <w:r>
              <w:t xml:space="preserve"> </w:t>
            </w:r>
            <w:r>
              <w:rPr>
                <w:b/>
                <w:i/>
              </w:rPr>
              <w:t>zdůrazňuje, že ačkoli se tato obvinění týkají období před jeho jmenováním komisařem, dále přispívají k vážným obavám ohledně jeho chování a nezávislosti;</w:t>
            </w:r>
            <w:r>
              <w:t xml:space="preserve"> </w:t>
            </w:r>
            <w:r>
              <w:rPr>
                <w:b/>
                <w:i/>
              </w:rPr>
              <w:t>bere na vědomí, že Komise potvrdila, že tato obvinění interně prověřuje, a očekává, že bude o výsledku tohoto šetření informován, jakmile bude ukončeno;</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175.</w:t>
            </w:r>
            <w:r>
              <w:tab/>
            </w:r>
            <w:r>
              <w:rPr>
                <w:b/>
                <w:i/>
              </w:rPr>
              <w:t>bere na vědomí nedávné vyšetřovací zprávy zveřejněné v říjnu 2025 několika evropskými médii, podle nichž se maďarské zpravodajské služby zapojily do špionážních aktivit v Bruselu, včetně pokusů o nábor maďarských státních příslušníků pracujících v institucích Unie;</w:t>
            </w:r>
            <w:r>
              <w:t xml:space="preserve"> </w:t>
            </w:r>
            <w:r>
              <w:rPr>
                <w:b/>
                <w:i/>
              </w:rPr>
              <w:t>konstatuje, že tyto aktivity údajně zesílily v letech 2015–2019, kdy pan Várhelyi působil jako stálý představitel Maďarska při Unii a byl formálně nadřízeným zpravodajských důstojníků působících pod diplomatickým krytím;</w:t>
            </w:r>
            <w:r>
              <w:t xml:space="preserve"> </w:t>
            </w:r>
            <w:r>
              <w:rPr>
                <w:b/>
                <w:i/>
              </w:rPr>
              <w:t>zdůrazňuje, že ačkoli se tato obvinění týkají období před jeho jmenováním komisařem, dále přispívají k vážným obavám ohledně jeho chování a nezávislosti;</w:t>
            </w:r>
            <w:r>
              <w:t xml:space="preserve"> </w:t>
            </w:r>
            <w:r>
              <w:rPr>
                <w:b/>
                <w:i/>
              </w:rPr>
              <w:t>bere na vědomí, že Komise potvrdila, že tato obvinění interně prověřuje, a očekává, že bude o výsledku tohoto šetření informován, jakmile bude ukončeno;</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175.</w:t>
            </w:r>
            <w:r>
              <w:tab/>
            </w:r>
            <w:r>
              <w:t xml:space="preserve">bere na vědomí nedávné vyšetřovací zprávy zveřejněné v říjnu 2025 několika evropskými médii, podle nichž se maďarské zpravodajské služby zapojily do špionážních aktivit v Bruselu, včetně pokusů o nábor maďarských státních příslušníků pracujících v institucích Unie; konstatuje, že tyto </w:t>
            </w:r>
            <w:r>
              <w:rPr>
                <w:b/>
                <w:i/>
              </w:rPr>
              <w:t>aktivity údajně zesílily v letech 2015–2019, kdy pan Várhelyi působil jako stálý představitel Maďarska při Unii a byl formálně nadřízeným zpravodajských důstojníků působících pod diplomatickým krytím;</w:t>
            </w:r>
            <w:r>
              <w:t xml:space="preserve"> </w:t>
            </w:r>
            <w:r>
              <w:rPr>
                <w:b/>
                <w:i/>
              </w:rPr>
              <w:t>zdůrazňuje, že ačkoli se tato obvinění</w:t>
            </w:r>
            <w:r>
              <w:t xml:space="preserve"> týkají období </w:t>
            </w:r>
            <w:r>
              <w:rPr>
                <w:b/>
                <w:i/>
              </w:rPr>
              <w:t>před jeho jmenováním komisařem, dále přispívají k vážným obavám ohledně jeho chování a nezávislosti;</w:t>
            </w:r>
            <w:r>
              <w:t xml:space="preserve"> </w:t>
            </w:r>
            <w:r>
              <w:rPr>
                <w:b/>
                <w:i/>
              </w:rPr>
              <w:t>bere na vědomí</w:t>
            </w:r>
            <w:r>
              <w:t xml:space="preserve">, že Komise potvrdila, že tato obvinění interně </w:t>
            </w:r>
            <w:r>
              <w:rPr>
                <w:b/>
                <w:i/>
              </w:rPr>
              <w:t>prověřuje, a očekává, že bude o výsledku tohoto</w:t>
            </w:r>
            <w:r>
              <w:t xml:space="preserve"> šetření </w:t>
            </w:r>
            <w:r>
              <w:rPr>
                <w:b/>
                <w:i/>
              </w:rPr>
              <w:t>informován</w:t>
            </w:r>
            <w:r>
              <w:t xml:space="preserve">, jakmile bude </w:t>
            </w:r>
            <w:r>
              <w:rPr>
                <w:b/>
                <w:i/>
              </w:rPr>
              <w:t>ukončeno</w:t>
            </w:r>
            <w:r>
              <w:t>;</w:t>
            </w:r>
          </w:p>
        </w:tc>
        <w:tc>
          <w:tcPr>
            <w:tcW w:w="4876" w:type="dxa"/>
            <w:tcBorders>
              <w:top w:val="nil"/>
              <w:left w:val="nil"/>
              <w:bottom w:val="nil"/>
              <w:right w:val="nil"/>
            </w:tcBorders>
          </w:tcPr>
          <w:p>
            <w:pPr>
              <w:pStyle w:val="Normal6a"/>
            </w:pPr>
            <w:r>
              <w:t>175.</w:t>
            </w:r>
            <w:r>
              <w:tab/>
            </w:r>
            <w:r>
              <w:t xml:space="preserve">bere na vědomí nedávné vyšetřovací zprávy zveřejněné v říjnu 2025 několika evropskými médii, podle nichž se maďarské zpravodajské služby zapojily do špionážních aktivit v Bruselu, včetně pokusů o nábor maďarských státních příslušníků pracujících v institucích Unie; konstatuje, že tyto </w:t>
            </w:r>
            <w:r>
              <w:rPr>
                <w:b/>
                <w:i/>
              </w:rPr>
              <w:t>zprávy se</w:t>
            </w:r>
            <w:r>
              <w:t xml:space="preserve"> týkají období </w:t>
            </w:r>
            <w:r>
              <w:rPr>
                <w:b/>
                <w:i/>
              </w:rPr>
              <w:t>2015–2019;</w:t>
            </w:r>
            <w:r>
              <w:t xml:space="preserve"> </w:t>
            </w:r>
            <w:r>
              <w:rPr>
                <w:b/>
                <w:i/>
              </w:rPr>
              <w:t>konstatuje</w:t>
            </w:r>
            <w:r>
              <w:t xml:space="preserve">, že Komise potvrdila, že tato obvinění </w:t>
            </w:r>
            <w:r>
              <w:rPr>
                <w:b/>
                <w:i/>
              </w:rPr>
              <w:t>prošetřuje</w:t>
            </w:r>
            <w:r>
              <w:t xml:space="preserve"> interně</w:t>
            </w:r>
            <w:r>
              <w:rPr>
                <w:b/>
                <w:i/>
              </w:rPr>
              <w:t>;</w:t>
            </w:r>
            <w:r>
              <w:t xml:space="preserve"> </w:t>
            </w:r>
            <w:r>
              <w:rPr>
                <w:b/>
                <w:i/>
              </w:rPr>
              <w:t>uvádí, že očekáváme, že Komise provede důkladnou analýzu a</w:t>
            </w:r>
            <w:r>
              <w:t xml:space="preserve"> šetření </w:t>
            </w:r>
            <w:r>
              <w:rPr>
                <w:b/>
                <w:i/>
              </w:rPr>
              <w:t>na základě skutečných důkazů a že bude Parlament informovat</w:t>
            </w:r>
            <w:r>
              <w:t xml:space="preserve">, jakmile bude </w:t>
            </w:r>
            <w:r>
              <w:rPr>
                <w:b/>
                <w:i/>
              </w:rPr>
              <w:t>šetření dokončeno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176.</w:t>
            </w:r>
            <w:r>
              <w:tab/>
            </w:r>
            <w:r>
              <w:rPr>
                <w:b/>
                <w:i/>
              </w:rPr>
              <w:t>domnívá se, že závažná a dlouhodobá selhání v řízení GŘ NEAR, poskytování nepřesných informací Parlamentu v souvislosti s postupem udělování absolutoria a další výše uvedené obavy týkající se chování a nezávislosti ukazují, že se jedná o postup, který je neslučitelný s normami odpovědnosti, spolehlivosti a řádné správy, které jsou vyžadovány od člena Komise;</w:t>
            </w:r>
            <w:r>
              <w:t xml:space="preserve"> </w:t>
            </w:r>
            <w:r>
              <w:rPr>
                <w:b/>
                <w:i/>
              </w:rPr>
              <w:t>dochází proto k závěru, že komisaře Várhelyiho nelze považovat za způsobilého vykonávat povinnosti komisaře pověřeného správou politicky citlivých portfolií a významných finančních prostředků Unie;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176.</w:t>
            </w:r>
            <w:r>
              <w:tab/>
            </w:r>
            <w:r>
              <w:rPr>
                <w:b/>
                <w:i/>
              </w:rPr>
              <w:t>domnívá se, že závažná a dlouhodobá selhání v řízení GŘ NEAR, poskytování nepřesných informací Parlamentu v souvislosti s postupem udělování absolutoria a další výše uvedené obavy týkající se chování a nezávislosti ukazují, že se jedná o postup, který je neslučitelný s normami odpovědnosti, spolehlivosti a řádné správy, které jsou vyžadovány od člena Komise;</w:t>
            </w:r>
            <w:r>
              <w:t xml:space="preserve"> </w:t>
            </w:r>
            <w:r>
              <w:rPr>
                <w:b/>
                <w:i/>
              </w:rPr>
              <w:t>dochází proto k závěru, že komisaře Várhelyiho nelze považovat za způsobilého vykonávat povinnosti komisaře pověřeného správou politicky citlivých portfolií a významných finančních prostředků Unie;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176.</w:t>
            </w:r>
            <w:r>
              <w:tab/>
            </w:r>
            <w:r>
              <w:rPr>
                <w:b/>
                <w:i/>
              </w:rPr>
              <w:t>domnívá se, že závažná a dlouhodobá selhání v řízení GŘ NEAR, poskytování nepřesných informací Parlamentu v souvislosti s postupem udělování absolutoria a další výše uvedené obavy týkající se chování a nezávislosti ukazují, že se jedná o postup, který je neslučitelný s normami odpovědnosti, spolehlivosti a řádné správy, které jsou vyžadovány od člena Komise;</w:t>
            </w:r>
            <w:r>
              <w:t xml:space="preserve"> </w:t>
            </w:r>
            <w:r>
              <w:rPr>
                <w:b/>
                <w:i/>
              </w:rPr>
              <w:t>dochází proto k závěru, že komisaře Várhelyiho nelze považovat za způsobilého vykonávat povinnosti komisaře pověřeného správou politicky citlivých portfolií a významných finančních prostředků Unie;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176.</w:t>
            </w:r>
            <w:r>
              <w:tab/>
            </w:r>
            <w:r>
              <w:rPr>
                <w:b/>
                <w:i/>
              </w:rPr>
              <w:t>domnívá se, že závažná a dlouhodobá selhání v řízení GŘ NEAR, poskytování nepřesných informací</w:t>
            </w:r>
            <w:r>
              <w:t xml:space="preserve"> Parlamentu </w:t>
            </w:r>
            <w:r>
              <w:rPr>
                <w:b/>
                <w:i/>
              </w:rPr>
              <w:t>v souvislosti s postupem udělování absolutoria a další výše uvedené obavy týkající se chování a nezávislosti ukazují, že se jedná o postup, který je neslučitelný s normami odpovědnosti, spolehlivosti a řádné správy, které jsou vyžadovány od člena Komise;</w:t>
            </w:r>
            <w:r>
              <w:t xml:space="preserve"> </w:t>
            </w:r>
            <w:r>
              <w:rPr>
                <w:b/>
                <w:i/>
              </w:rPr>
              <w:t>dochází proto k závěru, že komisaře Várhelyiho nelze považovat za způsobilého vykonávat povinnosti komisaře pověřeného správou</w:t>
            </w:r>
            <w:r>
              <w:t xml:space="preserve"> politicky citlivých portfolií </w:t>
            </w:r>
            <w:r>
              <w:rPr>
                <w:b/>
                <w:i/>
              </w:rPr>
              <w:t>a významných finančních prostředků</w:t>
            </w:r>
            <w:r>
              <w:t xml:space="preserve"> Unie;</w:t>
            </w:r>
          </w:p>
        </w:tc>
        <w:tc>
          <w:tcPr>
            <w:tcW w:w="4876" w:type="dxa"/>
            <w:tcBorders>
              <w:top w:val="nil"/>
              <w:left w:val="nil"/>
              <w:bottom w:val="nil"/>
              <w:right w:val="nil"/>
            </w:tcBorders>
          </w:tcPr>
          <w:p>
            <w:pPr>
              <w:pStyle w:val="Normal6a"/>
            </w:pPr>
            <w:r>
              <w:t>176.</w:t>
            </w:r>
            <w:r>
              <w:tab/>
            </w:r>
            <w:r>
              <w:rPr>
                <w:b/>
                <w:i/>
              </w:rPr>
              <w:t>vybízí Komisi, aby začlenila získané zkušenosti a přijala opatření k posílení včasného jmenování vedoucích pozic ve všech generálních ředitelstvích a aby</w:t>
            </w:r>
            <w:r>
              <w:t xml:space="preserve"> Parlamentu </w:t>
            </w:r>
            <w:r>
              <w:rPr>
                <w:b/>
                <w:i/>
              </w:rPr>
              <w:t>poskytovala přesné a včasné informace s cílem zachovat důvěru ve správu</w:t>
            </w:r>
            <w:r>
              <w:t xml:space="preserve"> politicky citlivých portfolií </w:t>
            </w:r>
            <w:r>
              <w:rPr>
                <w:b/>
                <w:i/>
              </w:rPr>
              <w:t>s dopadem na finanční prostředky</w:t>
            </w:r>
            <w:r>
              <w:t xml:space="preserv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176.</w:t>
            </w:r>
            <w:r>
              <w:tab/>
            </w:r>
            <w:r>
              <w:rPr>
                <w:b/>
                <w:i/>
              </w:rPr>
              <w:t>domnívá se, že závažná a dlouhodobá selhání v řízení GŘ NEAR, poskytování nepřesných informací</w:t>
            </w:r>
            <w:r>
              <w:t xml:space="preserve"> Parlamentu </w:t>
            </w:r>
            <w:r>
              <w:rPr>
                <w:b/>
                <w:i/>
              </w:rPr>
              <w:t>v souvislosti s postupem udělování absolutoria a další výše uvedené obavy týkající se chování a nezávislosti ukazují, že se jedná o postup, který je neslučitelný s normami odpovědnosti, spolehlivosti a řádné správy, které jsou vyžadovány od člena Komise;</w:t>
            </w:r>
            <w:r>
              <w:t xml:space="preserve"> </w:t>
            </w:r>
            <w:r>
              <w:rPr>
                <w:b/>
                <w:i/>
              </w:rPr>
              <w:t>dochází proto k závěru, že komisaře Várhelyiho nelze považovat za způsobilého vykonávat povinnosti komisaře pověřeného správou</w:t>
            </w:r>
            <w:r>
              <w:t xml:space="preserve"> politicky citlivých portfolií </w:t>
            </w:r>
            <w:r>
              <w:rPr>
                <w:b/>
                <w:i/>
              </w:rPr>
              <w:t>a významných finančních prostředků</w:t>
            </w:r>
            <w:r>
              <w:t xml:space="preserve"> Unie;</w:t>
            </w:r>
          </w:p>
        </w:tc>
        <w:tc>
          <w:tcPr>
            <w:tcW w:w="4876" w:type="dxa"/>
            <w:tcBorders>
              <w:top w:val="nil"/>
              <w:left w:val="nil"/>
              <w:bottom w:val="nil"/>
              <w:right w:val="nil"/>
            </w:tcBorders>
          </w:tcPr>
          <w:p>
            <w:pPr>
              <w:pStyle w:val="Normal6a"/>
            </w:pPr>
            <w:r>
              <w:t>176.</w:t>
            </w:r>
            <w:r>
              <w:tab/>
            </w:r>
            <w:r>
              <w:rPr>
                <w:b/>
                <w:i/>
              </w:rPr>
              <w:t>vybízí Komisi, aby začlenila získané zkušenosti a přijala opatření k posílení včasného jmenování vedoucích pozic ve všech generálních ředitelstvích a aby</w:t>
            </w:r>
            <w:r>
              <w:t xml:space="preserve"> Parlamentu </w:t>
            </w:r>
            <w:r>
              <w:rPr>
                <w:b/>
                <w:i/>
              </w:rPr>
              <w:t>poskytovala přesné a včasné informace s cílem zachovat důvěru ve správu</w:t>
            </w:r>
            <w:r>
              <w:t xml:space="preserve"> politicky citlivých portfolií</w:t>
            </w:r>
            <w:r>
              <w:rPr>
                <w:b/>
                <w:i/>
              </w:rPr>
              <w:t>, která mají dopad na finanční prostředky</w:t>
            </w:r>
            <w:r>
              <w:t xml:space="preserv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178.</w:t>
            </w:r>
            <w:r>
              <w:tab/>
            </w:r>
            <w:r>
              <w:t xml:space="preserve">konstatuje, že ukrajinské specializované protikorupční orgány (NABU, SAPO a HACC) pokračují ve vyšetřování, stíhání a vynášení rozsudků v případech vysoce postavených osob, což dokazuje, že nezávislé protikorupční instituce začínají fungovat a že nedávné rezignace obviněných ministrů svědčí o určité míře </w:t>
            </w:r>
            <w:r>
              <w:rPr>
                <w:b/>
                <w:i/>
              </w:rPr>
              <w:t>reakceschopnosti</w:t>
            </w:r>
            <w:r>
              <w:t xml:space="preserve"> a odpovědnosti vlády</w:t>
            </w:r>
            <w:r>
              <w:rPr>
                <w:b/>
                <w:i/>
              </w:rPr>
              <w:t>;</w:t>
            </w:r>
            <w:r>
              <w:t xml:space="preserve"> </w:t>
            </w:r>
            <w:r>
              <w:rPr>
                <w:b/>
                <w:i/>
              </w:rPr>
              <w:t>lituje však, že pokrok je stále omezený, že vyšetřování prováděná jinými orgány činnými v trestním řízení stagnují a že legislativní iniciativy přijaté nebo předložené v roce 2024, včetně pokusů podřídit úřady NABU a SAPO nejvyššímu státnímu zástupci, mohou ohrozit nezávislost a účinnost protikorupčního rámce;</w:t>
            </w:r>
            <w:r>
              <w:t xml:space="preserve"> </w:t>
            </w:r>
            <w:r>
              <w:rPr>
                <w:b/>
                <w:i/>
              </w:rPr>
              <w:t>vítá rychlé zrušení těchto změn po domácím a mezinárodním tlaku, ale vyjadřuje znepokojení nad zprávami protikorupčních institucí a občanské společnosti o rostoucím tlaku ze strany státních orgánů, snížené transparentnosti a snaze omezit odpovědnost za korupční trestné činy</w:t>
            </w:r>
            <w:r>
              <w:t>; vyzývá orgány, aby zabránily návratu k předchozímu stavu, řešily procesní průtahy a obstrukce v případech vysoce postavených osob a revidovaly promlčecí lhůty v souladu s evropskými normami;</w:t>
            </w:r>
          </w:p>
        </w:tc>
        <w:tc>
          <w:tcPr>
            <w:tcW w:w="4876" w:type="dxa"/>
            <w:tcBorders>
              <w:top w:val="nil"/>
              <w:left w:val="nil"/>
              <w:bottom w:val="nil"/>
              <w:right w:val="nil"/>
            </w:tcBorders>
          </w:tcPr>
          <w:p>
            <w:pPr>
              <w:pStyle w:val="Normal6a"/>
            </w:pPr>
            <w:r>
              <w:t>178.</w:t>
            </w:r>
            <w:r>
              <w:tab/>
            </w:r>
            <w:r>
              <w:t xml:space="preserve">konstatuje, že ukrajinské specializované protikorupční orgány (NABU, SAPO a HACC) pokračují ve vyšetřování, stíhání a vynášení rozsudků v případech vysoce postavených osob, což dokazuje, že nezávislé protikorupční instituce začínají fungovat a že nedávné rezignace obviněných ministrů svědčí o určité míře </w:t>
            </w:r>
            <w:r>
              <w:rPr>
                <w:b/>
                <w:i/>
              </w:rPr>
              <w:t>akceschopnosti</w:t>
            </w:r>
            <w:r>
              <w:t xml:space="preserve"> a odpovědnosti vlády; vyzývá orgány, aby zabránily návratu k předchozímu stavu, řešily procesní průtahy a obstrukce v případech vysoce postavených osob a revidovaly promlčecí lhůty v souladu s evropskými normami;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Gilles Boyer,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178.</w:t>
            </w:r>
            <w:r>
              <w:tab/>
            </w:r>
            <w:r>
              <w:t>konstatuje, že ukrajinské specializované protikorupční orgány (NABU, SAPO a HACC) pokračují ve vyšetřování, stíhání a vynášení rozsudků v případech vysoce postavených osob, což dokazuje, že nezávislé protikorupční instituce začínají fungovat a že nedávné rezignace obviněných ministrů svědčí o určité míře reakceschopnosti a odpovědnosti vlády; lituje však, že pokrok je stále omezený, že vyšetřování prováděná jinými orgány činnými v trestním řízení stagnují a že legislativní iniciativy přijaté nebo předložené v roce 2024, včetně pokusů podřídit úřady NABU a SAPO nejvyššímu státnímu zástupci, mohou ohrozit nezávislost a účinnost protikorupčního rámce; vítá rychlé zrušení těchto změn po domácím a mezinárodním tlaku, ale vyjadřuje znepokojení nad zprávami protikorupčních institucí a občanské společnosti o rostoucím tlaku ze strany státních orgánů, snížené transparentnosti a snaze omezit odpovědnost za korupční trestné činy; vyzývá orgány, aby zabránily návratu k předchozímu stavu, řešily procesní průtahy a obstrukce v případech vysoce postavených osob a revidovaly promlčecí lhůty v souladu s evropskými normami;</w:t>
            </w:r>
          </w:p>
        </w:tc>
        <w:tc>
          <w:tcPr>
            <w:tcW w:w="4876" w:type="dxa"/>
            <w:tcBorders>
              <w:top w:val="nil"/>
              <w:left w:val="nil"/>
              <w:bottom w:val="nil"/>
              <w:right w:val="nil"/>
            </w:tcBorders>
          </w:tcPr>
          <w:p>
            <w:pPr>
              <w:pStyle w:val="Normal6a"/>
            </w:pPr>
            <w:r>
              <w:t>178.</w:t>
            </w:r>
            <w:r>
              <w:tab/>
            </w:r>
            <w:r>
              <w:t>konstatuje, že ukrajinské specializované protikorupční orgány (NABU, SAPO a HACC) pokračují ve vyšetřování, stíhání a vynášení rozsudků v případech vysoce postavených osob, což dokazuje, že nezávislé protikorupční instituce začínají fungovat a že nedávné rezignace obviněných ministrů svědčí o určité míře reakceschopnosti a odpovědnosti vlády</w:t>
            </w:r>
            <w:r>
              <w:rPr>
                <w:b/>
                <w:i/>
              </w:rPr>
              <w:t>;</w:t>
            </w:r>
            <w:r>
              <w:t xml:space="preserve"> </w:t>
            </w:r>
            <w:r>
              <w:rPr>
                <w:b/>
                <w:i/>
              </w:rPr>
              <w:t>zdůrazňuje reformy, které Ukrajina provedla uprostřed plnoformátové invaze</w:t>
            </w:r>
            <w:r>
              <w:t>; lituje však, že pokrok je stále omezený, že vyšetřování prováděná jinými orgány činnými v trestním řízení stagnují a že legislativní iniciativy přijaté nebo předložené v roce 2024, včetně pokusů podřídit úřady NABU a SAPO nejvyššímu státnímu zástupci, mohou ohrozit nezávislost a účinnost protikorupčního rámce; vítá rychlé zrušení těchto změn po domácím a mezinárodním tlaku, ale vyjadřuje znepokojení nad zprávami protikorupčních institucí a občanské společnosti o rostoucím tlaku ze strany státních orgánů, snížené transparentnosti a snaze omezit odpovědnost za korupční trestné činy; vyzývá orgány, aby zabránily návratu k předchozímu stavu, řešily procesní průtahy a obstrukce v případech vysoce postavených osob a revidovaly promlčecí lhůty v souladu s evropskými normami;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179.</w:t>
            </w:r>
            <w:r>
              <w:tab/>
            </w:r>
            <w:r>
              <w:rPr>
                <w:b/>
                <w:i/>
              </w:rPr>
              <w:t>se znepokojením</w:t>
            </w:r>
            <w:r>
              <w:t xml:space="preserve"> bere na vědomí nedávná obvinění z podvodů v ukrajinském </w:t>
            </w:r>
            <w:r>
              <w:rPr>
                <w:b/>
                <w:i/>
              </w:rPr>
              <w:t>energetickém sektoru, včetně podezření na rozsáhlé zpronevěry, manipulace při zadávání zakázek a nezákonné obohacování, do nichž jsou zapojeny státní energetické společnosti a regulační orgány</w:t>
            </w:r>
            <w:r>
              <w:t xml:space="preserve">; zdůrazňuje, že tato obvinění, pokud se potvrdí, poukazují na strukturální nedostatky v systémech řízení, dohledu a vnitřní kontroly; zdůrazňuje, že </w:t>
            </w:r>
            <w:r>
              <w:rPr>
                <w:b/>
                <w:i/>
              </w:rPr>
              <w:t>takové případy mohou podkopat</w:t>
            </w:r>
            <w:r>
              <w:t xml:space="preserve"> důvěru veřejnosti, </w:t>
            </w:r>
            <w:r>
              <w:rPr>
                <w:b/>
                <w:i/>
              </w:rPr>
              <w:t>oslabit</w:t>
            </w:r>
            <w:r>
              <w:t xml:space="preserve"> důvěryhodnost </w:t>
            </w:r>
            <w:r>
              <w:rPr>
                <w:b/>
                <w:i/>
              </w:rPr>
              <w:t>ukrajinských</w:t>
            </w:r>
            <w:r>
              <w:t xml:space="preserve"> reforem </w:t>
            </w:r>
            <w:r>
              <w:rPr>
                <w:b/>
                <w:i/>
              </w:rPr>
              <w:t>a ohrozit</w:t>
            </w:r>
            <w:r>
              <w:t xml:space="preserve"> finanční podporu EU;</w:t>
            </w:r>
          </w:p>
        </w:tc>
        <w:tc>
          <w:tcPr>
            <w:tcW w:w="4876" w:type="dxa"/>
            <w:tcBorders>
              <w:top w:val="nil"/>
              <w:left w:val="nil"/>
              <w:bottom w:val="nil"/>
              <w:right w:val="nil"/>
            </w:tcBorders>
          </w:tcPr>
          <w:p>
            <w:pPr>
              <w:pStyle w:val="Normal6a"/>
            </w:pPr>
            <w:r>
              <w:t>179.</w:t>
            </w:r>
            <w:r>
              <w:tab/>
            </w:r>
            <w:r>
              <w:t xml:space="preserve">bere na vědomí nedávná obvinění z podvodů v ukrajinském </w:t>
            </w:r>
            <w:r>
              <w:rPr>
                <w:b/>
                <w:i/>
              </w:rPr>
              <w:t>odvětví energetiky</w:t>
            </w:r>
            <w:r>
              <w:t xml:space="preserve">; zdůrazňuje, že tato obvinění, pokud se potvrdí, poukazují na strukturální nedostatky v systémech řízení, dohledu a vnitřní kontroly; zdůrazňuje, že </w:t>
            </w:r>
            <w:r>
              <w:rPr>
                <w:b/>
                <w:i/>
              </w:rPr>
              <w:t>je třeba budovat</w:t>
            </w:r>
            <w:r>
              <w:t xml:space="preserve"> důvěru veřejnosti, </w:t>
            </w:r>
            <w:r>
              <w:rPr>
                <w:b/>
                <w:i/>
              </w:rPr>
              <w:t>aby se posílila</w:t>
            </w:r>
            <w:r>
              <w:t xml:space="preserve"> důvěryhodnost reforem </w:t>
            </w:r>
            <w:r>
              <w:rPr>
                <w:b/>
                <w:i/>
              </w:rPr>
              <w:t>na Ukrajině, a to prostřednictvím posílených systémů zadávání veřejných zakázek a vnitřní kontroly, zejména pokud jde o</w:t>
            </w:r>
            <w:r>
              <w:t xml:space="preserve"> finanční podporu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181a.</w:t>
            </w:r>
            <w:r>
              <w:tab/>
            </w:r>
            <w:r>
              <w:rPr>
                <w:b/>
                <w:i/>
              </w:rPr>
              <w:t>zdůrazňuje strategický význam zapojení EU na západním Balkáně prostřednictvím předvstupní pomoci a souvisejících nástrojů, které hrají klíčovou úlohu při podpoře reforem, posilování institucionální odolnosti a podpoře stability a hospodářského rozvoje v regionu, což jsou všechny předpoklady silnější Unie;</w:t>
            </w:r>
            <w:r>
              <w:t xml:space="preserve"> </w:t>
            </w:r>
            <w:r>
              <w:rPr>
                <w:b/>
                <w:i/>
              </w:rPr>
              <w:t>zdůrazňuje, že trvalou finanční podporu EU musí doprovázet řádné finanční řízení, transparentnost a monitorování výkonnosti, aby se zajistilo účinné využívání finančních prostředků Unie a zachovala důvěryhodnost politiky rozšíření;</w:t>
            </w:r>
            <w:r>
              <w:t xml:space="preserve"> </w:t>
            </w:r>
            <w:r>
              <w:rPr>
                <w:b/>
                <w:i/>
              </w:rPr>
              <w:t>konstatuje, že provádění vnější činnosti EU a předvstupní pomoci na západním Balkáně probíhá ve složitém politickém, hospodářském a institucionálním kontextu;</w:t>
            </w:r>
            <w:r>
              <w:t xml:space="preserve"> </w:t>
            </w:r>
            <w:r>
              <w:rPr>
                <w:b/>
                <w:i/>
              </w:rPr>
              <w:t>vyzývá Komisi, aby i nadále posilovala správní kapacitu, správní struktury a technickou podporu v přijímajících zemích s cílem zlepšit čerpání, zajistit řádné finanční řízení a zvýšit účinnost výdajů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181.</w:t>
            </w:r>
            <w:r>
              <w:tab/>
            </w:r>
            <w:r>
              <w:t xml:space="preserve">zdůrazňuje, že nad rámec své kontrolní funkce může kontrolní komise vydávat ukrajinským orgánům doporučení k řešení finančních nesrovnalostí nebo strukturálních nedostatků při hospodaření s finančními prostředky Unie; zdůrazňuje, že Ukrajina zastoupená ministerstvem hospodářství musí na každé doporučení písemně odpovědět a buď uvést prováděcí opatření, nebo odůvodnit, proč doporučení nebyla provedena; </w:t>
            </w:r>
            <w:r>
              <w:rPr>
                <w:b/>
                <w:i/>
              </w:rPr>
              <w:t>zdůrazňuje, že zjištění kontrolní komise mohou mít významné finanční důsledky, neboť její zprávy, podobně jako zprávy úřadu OLAF, mohou být pro Komisi důvodem ke snížení, pozastavení nebo zadržení finančních prostředků Unie v rámci Nástroje pro Ukrajinu;</w:t>
            </w:r>
          </w:p>
        </w:tc>
        <w:tc>
          <w:tcPr>
            <w:tcW w:w="4876" w:type="dxa"/>
            <w:tcBorders>
              <w:top w:val="nil"/>
              <w:left w:val="nil"/>
              <w:bottom w:val="nil"/>
              <w:right w:val="nil"/>
            </w:tcBorders>
          </w:tcPr>
          <w:p>
            <w:pPr>
              <w:pStyle w:val="Normal6a"/>
            </w:pPr>
            <w:r>
              <w:t>181.</w:t>
            </w:r>
            <w:r>
              <w:tab/>
            </w:r>
            <w:r>
              <w:t>zdůrazňuje, že nad rámec své kontrolní funkce může kontrolní komise vydávat ukrajinským orgánům doporučení k řešení finančních nesrovnalostí nebo strukturálních nedostatků při hospodaření s finančními prostředky Unie; zdůrazňuje, že Ukrajina zastoupená ministerstvem hospodářství musí na každé doporučení písemně odpovědět a buď uvést prováděcí opatření, nebo odůvodnit, proč doporučení nebyla provedena;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184.</w:t>
            </w:r>
            <w:r>
              <w:tab/>
            </w:r>
            <w:r>
              <w:t xml:space="preserve">je znepokojen přidělením fondu EFSD+ v rámci nového flexibilního finančního krytí na „podporu investic“ ve prospěch přijímajících zemí, kde je snazší realizovat investice strategie Global Gateway, a to na úkor upřednostňování nejméně rozvinutých </w:t>
            </w:r>
            <w:r>
              <w:rPr>
                <w:b/>
                <w:i/>
              </w:rPr>
              <w:t>zemí</w:t>
            </w:r>
            <w:r>
              <w:t xml:space="preserve"> a nestabilních zemí a zemí zasažených konfliktem;</w:t>
            </w:r>
          </w:p>
        </w:tc>
        <w:tc>
          <w:tcPr>
            <w:tcW w:w="4876" w:type="dxa"/>
            <w:tcBorders>
              <w:top w:val="nil"/>
              <w:left w:val="nil"/>
              <w:bottom w:val="nil"/>
              <w:right w:val="nil"/>
            </w:tcBorders>
          </w:tcPr>
          <w:p>
            <w:pPr>
              <w:pStyle w:val="Normal6a"/>
            </w:pPr>
            <w:r>
              <w:t>184.</w:t>
            </w:r>
            <w:r>
              <w:tab/>
            </w:r>
            <w:r>
              <w:t xml:space="preserve">je znepokojen přidělením fondu EFSD+ v rámci nového flexibilního finančního krytí na „podporu investic“ ve prospěch přijímajících zemí, kde je snazší realizovat investice strategie Global Gateway, a to na úkor </w:t>
            </w:r>
            <w:r>
              <w:rPr>
                <w:b/>
                <w:i/>
              </w:rPr>
              <w:t>evropských zemí nebo</w:t>
            </w:r>
            <w:r>
              <w:t xml:space="preserve"> upřednostňování nejméně rozvinutých a nestabilních zemí a zemí zasažených konfliktem;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185.</w:t>
            </w:r>
            <w:r>
              <w:tab/>
            </w:r>
            <w:r>
              <w:rPr>
                <w:b/>
                <w:i/>
              </w:rPr>
              <w:t>konstatuje, že navzdory dlouhodobému financování Unie na posílení libyjských hraničních a migračních kontrol zprávy naznačují, že tato pomoc nezabránila pokračujícímu systémovému porušování předpisů, včetně nucených návratů, nelidských podmínek zadržování a úmrtí, a mohla způsobit riziko poškození dobrého jména Unie;</w:t>
            </w:r>
            <w:r>
              <w:t xml:space="preserve"> </w:t>
            </w:r>
            <w:r>
              <w:rPr>
                <w:b/>
                <w:i/>
              </w:rPr>
              <w:t>zdůrazňuje, že nález hromadných hrobů v Libyi v roce 2025 a přetrvávající obvinění vznášená občanskou společností a organizacemi na ochranu lidských práv ohledně zacházení s migranty zvyšují obavy, zda je financování Unie v této souvislosti v souladu se základními hodnotami Unie, včetně dodržování lidských práv, a zdůrazňuje, že je zapotřebí důsledného monitorování, transparentnosti a mechanismů odpovědnosti, aby se zajistilo, že pomoc související s migrací nepřímo nepřispívá k další újmě;</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185.</w:t>
            </w:r>
            <w:r>
              <w:tab/>
            </w:r>
            <w:r>
              <w:rPr>
                <w:b/>
                <w:i/>
              </w:rPr>
              <w:t>konstatuje, že navzdory dlouhodobému financování Unie na posílení libyjských hraničních a migračních kontrol zprávy naznačují, že tato pomoc nezabránila pokračujícímu systémovému porušování předpisů, včetně nucených návratů, nelidských podmínek zadržování a úmrtí, a mohla způsobit riziko poškození dobrého jména Unie;</w:t>
            </w:r>
            <w:r>
              <w:t xml:space="preserve"> </w:t>
            </w:r>
            <w:r>
              <w:rPr>
                <w:b/>
                <w:i/>
              </w:rPr>
              <w:t>zdůrazňuje, že nález hromadných hrobů v Libyi v roce 2025 a přetrvávající obvinění vznášená občanskou společností a organizacemi na ochranu lidských práv ohledně zacházení s migranty zvyšují obavy, zda je financování Unie v této souvislosti v souladu se základními hodnotami Unie, včetně dodržování lidských práv, a zdůrazňuje, že je zapotřebí důsledného monitorování, transparentnosti a mechanismů odpovědnosti, aby se zajistilo, že pomoc související s migrací nepřímo nepřispívá k další újmě;</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185.</w:t>
            </w:r>
            <w:r>
              <w:tab/>
            </w:r>
            <w:r>
              <w:rPr>
                <w:b/>
                <w:i/>
              </w:rPr>
              <w:t>konstatuje, že navzdory dlouhodobému financování Unie na posílení libyjských hraničních a migračních kontrol zprávy naznačují, že tato pomoc nezabránila pokračujícímu systémovému porušování předpisů, včetně nucených návratů, nelidských podmínek zadržování a úmrtí, a mohla způsobit riziko poškození dobrého jména Unie;</w:t>
            </w:r>
            <w:r>
              <w:t xml:space="preserve"> </w:t>
            </w:r>
            <w:r>
              <w:rPr>
                <w:b/>
                <w:i/>
              </w:rPr>
              <w:t>zdůrazňuje, že nález hromadných hrobů v Libyi v roce 2025 a přetrvávající obvinění vznášená občanskou společností a organizacemi na ochranu lidských práv ohledně zacházení s migranty zvyšují obavy, zda je financování Unie v této souvislosti v souladu se základními hodnotami Unie, včetně dodržování lidských práv, a zdůrazňuje, že je zapotřebí důsledného monitorování, transparentnosti a mechanismů odpovědnosti, aby se zajistilo, že pomoc související s migrací nepřímo nepřispívá k další újmě;</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185b.</w:t>
            </w:r>
            <w:r>
              <w:tab/>
            </w:r>
            <w:r>
              <w:rPr>
                <w:b/>
                <w:i/>
              </w:rPr>
              <w:t>připomíná, že EU a její členské státy jsou trvale odhodlány podporovat oživení a odolnost syrských vnitrostátních služeb a že nedávné financování EU na období 2025–2027 je výslovně spojeno s pokrokem v mírové a inkluzivní transformaci;</w:t>
            </w:r>
            <w:r>
              <w:t xml:space="preserve"> </w:t>
            </w:r>
            <w:r>
              <w:rPr>
                <w:b/>
                <w:i/>
              </w:rPr>
              <w:t>se znepokojením konstatuje, že nedávné revize syrských národních učebních osnov vyvolávají vážné otázky týkající se islamizace, podpory džihádu, antisemitismu, zastoupení žen a dívek, začlenění náboženských a etnických menšin a podpory míru a tolerance;</w:t>
            </w:r>
            <w:r>
              <w:t xml:space="preserve"> </w:t>
            </w:r>
            <w:r>
              <w:rPr>
                <w:b/>
                <w:i/>
              </w:rPr>
              <w:t>vyzývá Komisi, aby zajistila, že podpora odvětví vzdělávání financovaná EU bude plně v souladu s jejími deklarovanými závazky v oblasti práv žen, začleňování menšin a norem UNESCO, a aby podala Parlamentu zprávu o tom, jak jsou tato ustanovení monitorována a prosazována;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185a.</w:t>
            </w:r>
            <w:r>
              <w:tab/>
            </w:r>
            <w:r>
              <w:rPr>
                <w:b/>
                <w:i/>
              </w:rPr>
              <w:t>připomíná, že strategické a komplexní partnerství mezi EU a Jordánskem na období 2025–2027, podpořené balíčkem zhruba ve výši 3 miliard EUR, staví vzdělávání do středu rozvoje lidského kapitálu a dlouhodobé stability;</w:t>
            </w:r>
            <w:r>
              <w:t xml:space="preserve"> </w:t>
            </w:r>
            <w:r>
              <w:rPr>
                <w:b/>
                <w:i/>
              </w:rPr>
              <w:t>se znepokojením konstatuje, že prvky jordánských národních osnov obsahují antisemitské stereotypy, netolerantní narativy a v některých případech glorifikaci násilí, což může ohrozit sociální soudržnost a cíle partnerství;</w:t>
            </w:r>
            <w:r>
              <w:t xml:space="preserve"> </w:t>
            </w:r>
            <w:r>
              <w:rPr>
                <w:b/>
                <w:i/>
              </w:rPr>
              <w:t>vyzývá Komisi, aby zajistila, aby finanční pomoc EU Jordánsku, včetně grantů a makrofinanční pomoci, byla v souladu s hodnotami EU a přispívala ke vzdělávání, které podporuje mír, toleranci a soužití;</w:t>
            </w:r>
            <w:r>
              <w:t xml:space="preserve"> </w:t>
            </w:r>
            <w:r>
              <w:rPr>
                <w:b/>
                <w:i/>
              </w:rPr>
              <w:t>vyzývá Komisi, aby podala Parlamentu zprávu o tom, jak je posuzováno a řešeno dodržování těchto norem;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185.</w:t>
            </w:r>
            <w:r>
              <w:tab/>
            </w:r>
            <w:r>
              <w:rPr>
                <w:b/>
                <w:i/>
              </w:rPr>
              <w:t>konstatuje</w:t>
            </w:r>
            <w:r>
              <w:t xml:space="preserve">, že navzdory dlouhodobému financování Unie na posílení libyjských hraničních a migračních kontrol zprávy naznačují, že tato pomoc </w:t>
            </w:r>
            <w:r>
              <w:rPr>
                <w:b/>
                <w:i/>
              </w:rPr>
              <w:t>nezabránila pokračujícímu systémovému porušování předpisů, včetně nucených návratů, nelidských podmínek zadržování a úmrtí</w:t>
            </w:r>
            <w:r>
              <w:t xml:space="preserve">, </w:t>
            </w:r>
            <w:r>
              <w:rPr>
                <w:b/>
                <w:i/>
              </w:rPr>
              <w:t>a mohla způsobit riziko</w:t>
            </w:r>
            <w:r>
              <w:t xml:space="preserve"> poškození </w:t>
            </w:r>
            <w:r>
              <w:rPr>
                <w:b/>
                <w:i/>
              </w:rPr>
              <w:t>dobrého jména Unie</w:t>
            </w:r>
            <w:r>
              <w:t xml:space="preserve">; </w:t>
            </w:r>
            <w:r>
              <w:rPr>
                <w:b/>
                <w:i/>
              </w:rPr>
              <w:t>zdůrazňuje, že nález hromadných hrobů v Libyi v roce 2025 a přetrvávající obvinění vznášená občanskou společností a organizacemi na ochranu lidských práv ohledně zacházení s migranty zvyšují obavy, zda je financování Unie v této souvislosti v souladu se základními hodnotami Unie, včetně dodržování lidských práv, a</w:t>
            </w:r>
            <w:r>
              <w:t xml:space="preserve"> zdůrazňuje, že je zapotřebí důsledného monitorování, transparentnosti a mechanismů odpovědnosti, aby se zajistilo, že pomoc související s migrací nepřímo nepřispívá k další újmě;</w:t>
            </w:r>
          </w:p>
        </w:tc>
        <w:tc>
          <w:tcPr>
            <w:tcW w:w="4876" w:type="dxa"/>
            <w:tcBorders>
              <w:top w:val="nil"/>
              <w:left w:val="nil"/>
              <w:bottom w:val="nil"/>
              <w:right w:val="nil"/>
            </w:tcBorders>
          </w:tcPr>
          <w:p>
            <w:pPr>
              <w:pStyle w:val="Normal6a"/>
            </w:pPr>
            <w:r>
              <w:t>185.</w:t>
            </w:r>
            <w:r>
              <w:tab/>
            </w:r>
            <w:r>
              <w:rPr>
                <w:b/>
                <w:i/>
              </w:rPr>
              <w:t>onstatuje</w:t>
            </w:r>
            <w:r>
              <w:t xml:space="preserve">, že navzdory dlouhodobému financování Unie na posílení libyjských hraničních a migračních kontrol zprávy naznačují, že tato pomoc </w:t>
            </w:r>
            <w:r>
              <w:rPr>
                <w:b/>
                <w:i/>
              </w:rPr>
              <w:t>dosud nevedla k účinnému a udržitelnému řízení migračních toků a nadále vzbuzuje vážné provozní</w:t>
            </w:r>
            <w:r>
              <w:t xml:space="preserve">, </w:t>
            </w:r>
            <w:r>
              <w:rPr>
                <w:b/>
                <w:i/>
              </w:rPr>
              <w:t>humanitární a administrativní obavy, což může Unii vystavit riziku</w:t>
            </w:r>
            <w:r>
              <w:t xml:space="preserve"> poškození </w:t>
            </w:r>
            <w:r>
              <w:rPr>
                <w:b/>
                <w:i/>
              </w:rPr>
              <w:t>dobré pověsti</w:t>
            </w:r>
            <w:r>
              <w:t>; zdůrazňuje, že je zapotřebí důsledného monitorování, transparentnosti a mechanismů odpovědnosti, aby se zajistilo, že pomoc související s migrací nepřímo nepřispívá k další újmě;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189a.</w:t>
            </w:r>
            <w:r>
              <w:tab/>
            </w:r>
            <w:r>
              <w:rPr>
                <w:b/>
                <w:i/>
              </w:rPr>
              <w:t>upozorňuje na plýtvání finančními prostředky EU mimo Unii, zejména v Africe, např. pokud jde o nouzový svěřenský fond EU pro Afriku (EUTF pro Afriku) ve výši 5 miliard EUR (2015–2024), který byl zřízen s cílem řešit základní příčiny nelegální migrace prostřednictvím projektů v oblasti rozvoje, bezpečnosti a správy hranic;</w:t>
            </w:r>
            <w:r>
              <w:t xml:space="preserve"> </w:t>
            </w:r>
            <w:r>
              <w:rPr>
                <w:b/>
                <w:i/>
              </w:rPr>
              <w:t>Evropský účetní dvůr (EÚD) tento fond důrazně kritizoval v několika zprávách, mimo jiné v roce 2024 (zvláštní zpráva SR-2024–17), přičemž použil příklad mixérů, které byly poskytnuty školám, jež nejsou napojeny na elektrickou síť</w:t>
            </w:r>
            <w:r>
              <w:rPr>
                <w:b/>
                <w:i/>
                <w:vertAlign w:val="superscript"/>
              </w:rPr>
              <w:t>6a</w:t>
            </w:r>
            <w:r>
              <w:rPr>
                <w:b/>
                <w:i/>
              </w:rP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195a.</w:t>
            </w:r>
            <w:r>
              <w:tab/>
            </w:r>
            <w:r>
              <w:rPr>
                <w:b/>
                <w:i/>
              </w:rPr>
              <w:t>připomíná, že cílem rozvojové pomoci a zejména rozpočtové podpory je posílení partnerství s partnerskými zeměmi Unie, podpora udržitelného rozvoje, vymýcení chudoby, snížení nerovností a upevnění míru a demokracie, což má v konečném důsledku přispět k dosažení cílů udržitelného rozvoje;</w:t>
            </w:r>
            <w:r>
              <w:t xml:space="preserve"> </w:t>
            </w:r>
            <w:r>
              <w:rPr>
                <w:b/>
                <w:i/>
              </w:rPr>
              <w:t>konstatuje, že rozpočtová podpora Unie se řídí mezinárodně dohodnutými zásadami v oblasti účinnosti rozvoje, které byly přijaty v Pusanu, jako je vlastní odpovědnost partnerských zemí, důraz na výsledky, inkluzivnost a odpovědnost;</w:t>
            </w:r>
            <w:r>
              <w:t xml:space="preserve"> </w:t>
            </w:r>
            <w:r>
              <w:rPr>
                <w:b/>
                <w:i/>
              </w:rPr>
              <w:t>zdůrazňuje, že rozpočtová podpora přispívá také k boji proti korupci a podvodům, neboť podporuje transparentnost a řádnou správu věcí veřejných;</w:t>
            </w:r>
            <w:r>
              <w:t xml:space="preserve"> </w:t>
            </w:r>
            <w:r>
              <w:rPr>
                <w:b/>
                <w:i/>
              </w:rPr>
              <w:t>připomíná, že rozpočtová podpora musí odpovídat potřebám partnerských zemí i klíčovým politikám EU;</w:t>
            </w:r>
            <w:r>
              <w:t xml:space="preserve"> </w:t>
            </w:r>
            <w:r>
              <w:rPr>
                <w:b/>
                <w:i/>
              </w:rPr>
              <w:t>připomíná, že je rovněž nezbytné měřit výkonnost programů a jejich dopad na partnerské země a civilní obyvatelstvo;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195b.</w:t>
            </w:r>
            <w:r>
              <w:tab/>
            </w:r>
            <w:r>
              <w:rPr>
                <w:b/>
                <w:i/>
              </w:rPr>
              <w:t>připomíná, že v rámci ERF byly zřízeny 2 svěřenské fondy EU, konkrétně Nouzový svěřenský fond Evropské unie pro stabilitu a řešení hlavních příčin nelegální migrace a vysídlených osob v Africe (dále jen „svěřenský fond EU pro Afriku“) a Svěřenský fond Evropské unie Bêkou pro Středoafrickou republiku (dále jen „svěřenský fond EU Bêkou“); připomíná pravidelný postoj Parlamentu požadující, aby Komise zajistila, aby jakýkoli svěřenský fond zřízený jako nový nástroj rozvoje byl vždy v souladu s celkovou strategií a cíli rozvojové politiky Unie, tj. se snižováním a v dlouhodobém horizontu i s vymýcením chudoby, jak je zakotveno v článku 208 SFEU;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195c.</w:t>
            </w:r>
            <w:r>
              <w:tab/>
            </w:r>
            <w:r>
              <w:rPr>
                <w:b/>
                <w:i/>
              </w:rPr>
              <w:t>připomíná, že nouzový svěřenský fond EU pro Afriku uvolnil více než 5 miliard EUR, přičemž 88 % příspěvků (4,4 miliardy EUR) pochází z ERF a rozpočtu Unie;</w:t>
            </w:r>
            <w:r>
              <w:t xml:space="preserve"> </w:t>
            </w:r>
            <w:r>
              <w:rPr>
                <w:b/>
                <w:i/>
              </w:rPr>
              <w:t>fond se zaměřil na tři klíčové regiony:</w:t>
            </w:r>
            <w:r>
              <w:t xml:space="preserve"> </w:t>
            </w:r>
            <w:r>
              <w:rPr>
                <w:b/>
                <w:i/>
              </w:rPr>
              <w:t>Sahel a Čadské jezero, Africký roh a severní Afriku, v nichž podporuje celkem 27 afrických zemí;</w:t>
            </w:r>
            <w:r>
              <w:t xml:space="preserve"> </w:t>
            </w:r>
            <w:r>
              <w:rPr>
                <w:b/>
                <w:i/>
              </w:rPr>
              <w:t>vyjadřuje politování nad tím, že navzdory opakovaným žádostem Parlamentu je proces řízení a přidělování těchto prostředků stále netransparentní a že nelze zajistit, aby tato opatření byla v souladu se zásadami oficiální rozvojové pomoci;</w:t>
            </w:r>
            <w:r>
              <w:t xml:space="preserve"> </w:t>
            </w:r>
            <w:r>
              <w:rPr>
                <w:b/>
                <w:i/>
              </w:rPr>
              <w:t>připomíná, že EÚD uvedl, že systém monitorování a podávání zpráv je nepřesný;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195b.</w:t>
            </w:r>
            <w:r>
              <w:tab/>
            </w:r>
            <w:r>
              <w:rPr>
                <w:b/>
                <w:i/>
              </w:rPr>
              <w:t>zdůrazňuje, že ve zvláštní zprávě EÚD č. 17/2024 o svěřenském fondu EU pro Afriku zaznělo politování nad tím, že navzdory inovativnímu přístupu k identifikaci rizik v oblasti lidských práv v obtížném prostředí nebyla tato rizika komplexně řešena;</w:t>
            </w:r>
            <w:r>
              <w:t xml:space="preserve"> </w:t>
            </w:r>
            <w:r>
              <w:rPr>
                <w:b/>
                <w:i/>
              </w:rPr>
              <w:t>vyjadřuje politování zejména nad zjištěním, že posouzení možných rizik pro lidská práva nebylo komplexní a že monitorování a podávání zpráv v oblasti lidských práv nebylo dostatečně důkladné;</w:t>
            </w:r>
            <w:r>
              <w:t xml:space="preserve"> </w:t>
            </w:r>
            <w:r>
              <w:rPr>
                <w:b/>
                <w:i/>
              </w:rPr>
              <w:t>vyjadřuje politování nad tím, že svěřenský fond EU narazil již mnohokrát na případy závažného porušování lidských práv;</w:t>
            </w:r>
            <w:r>
              <w:t xml:space="preserve"> </w:t>
            </w:r>
            <w:r>
              <w:rPr>
                <w:b/>
                <w:i/>
              </w:rPr>
              <w:t>poukazuje zejména na podporu poskytovanou orgánům a libyjské pobřežní stráži, které se podílely na očividném porušování práv, svévolném zadržování a nedodržování zásady nenavracení;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196 – podbod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vyzývá k ukončení financování třetích zemí ze strany EU, pokud tyto země neuzavřou s členskými státy dohody o navracení svých státních příslušníků, kteří jsou pachateli trestné činnosti nebo byli z Evropy vyhoštěni;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196 – podbod vii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t>zajistila, aby pomoc Unie nebyla poskytována subjektům, které se podílejí na porušování lidských práv, represi nebo úpadku demokracie, a důsledně uplatňovala podmíněnost, včetně pozastavení pomoci v případech, kdy jsou ohrožovány základní hodnoty Unie;</w:t>
            </w:r>
          </w:p>
        </w:tc>
        <w:tc>
          <w:tcPr>
            <w:tcW w:w="4876" w:type="dxa"/>
            <w:tcBorders>
              <w:top w:val="nil"/>
              <w:left w:val="nil"/>
              <w:bottom w:val="nil"/>
              <w:right w:val="nil"/>
            </w:tcBorders>
          </w:tcPr>
          <w:p>
            <w:pPr>
              <w:pStyle w:val="Normal6a"/>
            </w:pPr>
            <w:r>
              <w:t>vii)</w:t>
            </w:r>
            <w:r>
              <w:tab/>
            </w:r>
            <w:r>
              <w:t>zajistila, aby pomoc Unie nebyla poskytována subjektům, které se podílejí na porušování lidských práv, represi nebo úpadku demokracie, a důsledně uplatňovala podmíněnost, včetně pozastavení pomoci v případech, kdy jsou ohrožovány základní hodnoty Unie</w:t>
            </w:r>
            <w:r>
              <w:rPr>
                <w:b/>
                <w:i/>
              </w:rPr>
              <w:t>, nebo pokud dotčená země odmítá přijmout zpět své státní příslušníky, kteří jsou vyhoštěni z Evropské unie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196 – podbod vii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 a)</w:t>
            </w:r>
            <w:r>
              <w:tab/>
            </w:r>
            <w:r>
              <w:rPr>
                <w:b/>
                <w:i/>
              </w:rPr>
              <w:t>zajistila, aby pomoc Unie třetím zemím byla spojena s dodržováním hodnot a cílů EU, zejména s ochranou křesťanů, kteří jsou často menšinou ohroženou pronásledováním v místních komunitách, a se spoluprací při správě hranic a ochraně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Gilles Boyer,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196 – podbod vii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 a)</w:t>
            </w:r>
            <w:r>
              <w:tab/>
            </w:r>
            <w:r>
              <w:rPr>
                <w:b/>
                <w:i/>
              </w:rPr>
              <w:t>zajistila, aby žádné programy Unie nepřinášely prospěch subjektům, které nerespektují základní hodnoty Unie, a důsledně uplatňovala podmíněnost, mimo jiné pozastavením programů s partnery, kteří podkopávají základní hodnoty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196 – podbod viii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viii)</w:t>
            </w:r>
            <w:r>
              <w:tab/>
            </w:r>
            <w:r>
              <w:rPr>
                <w:b/>
                <w:i/>
              </w:rPr>
              <w:t>nadále podporovala agenturu UNRWA a spolehlivé humanitární partnery spolu s nezávislým dohledem ze strany externích odborníků a Účetního dvora, aby byla zajištěna účinná kontrola a důvěra ve využívání finančních prostředků Unie;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196 – podbod viii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viii)</w:t>
            </w:r>
            <w:r>
              <w:tab/>
            </w:r>
            <w:r>
              <w:rPr>
                <w:b/>
                <w:i/>
              </w:rPr>
              <w:t>nadále podporovala agenturu UNRWA a spolehlivé humanitární partnery spolu s nezávislým dohledem ze strany externích odborníků a Účetního dvora, aby byla zajištěna účinná kontrola a důvěra ve využívání finančních prostředků Unie;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Gilles Boyer,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196 – podbod viii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viii a)</w:t>
            </w:r>
            <w:r>
              <w:tab/>
            </w:r>
            <w:r>
              <w:rPr>
                <w:b/>
                <w:i/>
              </w:rPr>
              <w:t>vyzývá Komisi, aby objasnila, jaké kroky podniká k zajištění plného souladu humanitárních partnerů financovaných EU s finančními předpisy Unie a rámci pro boj proti terorismu;</w:t>
            </w:r>
            <w:r>
              <w:t xml:space="preserve"> </w:t>
            </w:r>
            <w:r>
              <w:rPr>
                <w:b/>
                <w:i/>
              </w:rPr>
              <w:t>požaduje podrobnou odpověď nastiňující záruky, monitorovací mechanismy a nápravná opatření zavedená za účelem zachování integrity a odpovědnosti vnější pomoci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196 – podbod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vyzývá předsedkyni Komise, aby v souladu s čl. 17 odst. 6 SEU vyslovila nedůvěru komisaři Várhelyimu;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196 – podbod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vyzývá předsedkyni Komise, aby v souladu s čl. 17 odst. 6 SEU vyslovila nedůvěru komisaři Várhelyimu;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196 – podbod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vyzývá předsedkyni Komise, aby v souladu s čl. 17 odst. 6 SEU vyslovila nedůvěru komisaři Várhelyimu;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196 – podbod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vyzývá předsedkyni Komise, aby v souladu s čl. 17 odst. 6 SEU vyslovila nedůvěru komisaři Várhelyimu;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196 – podbod xiv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 a)</w:t>
            </w:r>
            <w:r>
              <w:tab/>
            </w:r>
            <w:r>
              <w:rPr>
                <w:b/>
                <w:i/>
              </w:rPr>
              <w:t>spolupracovala s Evropskou investiční bankou s cílem zajistit, aby poskytování úvěrů EIB zemím mimo EU bylo podmíněno účinnou spoluprací s Unií v oblasti řízení migrace, včetně uzavírání a provádění dohod o zpětném přebírání osob;</w:t>
            </w:r>
            <w:r>
              <w:t xml:space="preserve"> </w:t>
            </w:r>
            <w:r>
              <w:rPr>
                <w:b/>
                <w:i/>
              </w:rPr>
              <w:t>zdůrazňuje, že daňoví poplatníci mají legitimní očekávání, že úvěry podporované EU slouží jako páka pro strategické zájmy Unie, včetně bezpečnosti hranic;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nadále kritizuje proces, jímž se Komise v roce 2023 rozhodla prodat 23 svých kancelářských budov v Bruselu a 17 z nich zpětně pronajmout na období do roku 2029; konstatuje, že rozhodnutí o tomto kroku bylo zřejmě přijato bez jasného posouzení dopadů všech transakcí; považuje za obzvláště znepokojující, že Komise obdržela pouze jednu nabídku na transakci od belgického státního podniku, který předložil orientační nabídku předtím, než Komise vypsala výzvu k podávání nabídek, a že tato nabídka nesplňovala požadavky výzvy k podávání nabídek týkající se doby platnosti bankovní záruky; vyjadřuje hluboké znepokojení nad tím, že hodnotící výbor Komise nebyl nezávislý, neboť všichni jeho členové byli podřízení schvalující osoby;</w:t>
            </w:r>
          </w:p>
        </w:tc>
        <w:tc>
          <w:tcPr>
            <w:tcW w:w="4876" w:type="dxa"/>
            <w:tcBorders>
              <w:top w:val="nil"/>
              <w:left w:val="nil"/>
              <w:bottom w:val="nil"/>
              <w:right w:val="nil"/>
            </w:tcBorders>
          </w:tcPr>
          <w:p>
            <w:pPr>
              <w:pStyle w:val="Normal6a"/>
            </w:pPr>
            <w:r>
              <w:t>198.</w:t>
            </w:r>
            <w:r>
              <w:tab/>
            </w:r>
            <w:r>
              <w:t xml:space="preserve">nadále kritizuje proces, jímž se Komise v roce 2023 rozhodla prodat 23 svých kancelářských budov v Bruselu a 17 z nich zpětně pronajmout na období do roku 2029; konstatuje, že rozhodnutí o tomto kroku bylo zřejmě přijato bez jasného posouzení dopadů všech transakcí; považuje za obzvláště znepokojující, že Komise obdržela pouze jednu nabídku na transakci od belgického státního podniku, který předložil orientační nabídku předtím, než Komise vypsala výzvu k podávání nabídek, a že tato nabídka nesplňovala požadavky výzvy k podávání nabídek týkající se doby platnosti bankovní záruky; vyjadřuje hluboké znepokojení nad tím, že hodnotící výbor Komise nebyl nezávislý, neboť všichni jeho členové byli podřízení schvalující osoby; </w:t>
            </w:r>
            <w:r>
              <w:rPr>
                <w:b/>
                <w:i/>
              </w:rPr>
              <w:t>s vážným znepokojením konstatuje, že Úřad evropského veřejného žalobce (EPPO) zahájil vyšetřování prodeje 23 nemovitostí Unie belgickému státnímu investičnímu fondu v hodnotě přibližně 900 milionů EUR v roce 2024 a že belgická federální policie provedla dne 12. února 2026 v rámci shromažďování důkazů prohlídky v několika budovách Komise;</w:t>
            </w:r>
            <w:r>
              <w:t xml:space="preserve"> </w:t>
            </w:r>
            <w:r>
              <w:rPr>
                <w:b/>
                <w:i/>
              </w:rPr>
              <w:t>zdůrazňuje, že prodej unijních nemovitostí takového rozsahu vyžaduje nejvyšší standardy transparentnosti, nabídkových řízení a nezávislého hodnocení;</w:t>
            </w:r>
            <w:r>
              <w:t xml:space="preserve"> </w:t>
            </w:r>
            <w:r>
              <w:rPr>
                <w:b/>
                <w:i/>
              </w:rPr>
              <w:t>vyzývá Komisi, aby při vyšetřování s úřadem EPPO plně spolupracovala a aby orgánu příslušnému k udělení absolutoria poskytla podrobný přehled všech procesních kroků přijatých při prodeji, včetně použité metodiky oceňování, posouzení konkurenčních nabídek a úlohy bývalého komisaře pro rozpočet v rozhodovacím procesu;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nadále kritizuje proces, jímž se Komise v roce 2023 rozhodla prodat 23 svých kancelářských budov v Bruselu a 17 z nich zpětně pronajmout na období do roku 2029; konstatuje, že rozhodnutí o tomto kroku bylo zřejmě přijato bez jasného posouzení dopadů všech transakcí; považuje za obzvláště znepokojující, že Komise obdržela pouze jednu nabídku na transakci od belgického státního podniku, který předložil orientační nabídku předtím, než Komise vypsala výzvu k podávání nabídek, a že tato nabídka nesplňovala požadavky výzvy k podávání nabídek týkající se doby platnosti bankovní záruky; vyjadřuje hluboké znepokojení nad tím, že hodnotící výbor Komise nebyl nezávislý, neboť všichni jeho členové byli podřízení schvalující osoby;</w:t>
            </w:r>
          </w:p>
        </w:tc>
        <w:tc>
          <w:tcPr>
            <w:tcW w:w="4876" w:type="dxa"/>
            <w:tcBorders>
              <w:top w:val="nil"/>
              <w:left w:val="nil"/>
              <w:bottom w:val="nil"/>
              <w:right w:val="nil"/>
            </w:tcBorders>
          </w:tcPr>
          <w:p>
            <w:pPr>
              <w:pStyle w:val="Normal6a"/>
            </w:pPr>
            <w:r>
              <w:t>198.</w:t>
            </w:r>
            <w:r>
              <w:tab/>
            </w:r>
            <w:r>
              <w:t xml:space="preserve">nadále kritizuje proces, jímž se Komise v roce 2023 rozhodla prodat 23 svých kancelářských budov v Bruselu a 17 z nich zpětně pronajmout na období do roku 2029; konstatuje, že rozhodnutí o tomto kroku bylo zřejmě přijato bez jasného posouzení dopadů všech transakcí; považuje za obzvláště znepokojující, že Komise obdržela pouze jednu nabídku na transakci od belgického státního podniku, který předložil orientační nabídku předtím, než Komise vypsala výzvu k podávání nabídek, a že tato nabídka nesplňovala požadavky výzvy k podávání nabídek týkající se doby platnosti bankovní záruky; vyjadřuje hluboké znepokojení nad tím, že hodnotící výbor Komise nebyl nezávislý, neboť všichni jeho členové byli podřízení schvalující osoby; </w:t>
            </w:r>
            <w:r>
              <w:rPr>
                <w:b/>
                <w:i/>
              </w:rPr>
              <w:t>v této souvislosti bere na vědomí nedávnou činnost Úřadu evropského veřejného žalobce v oblasti shromažďování důkazů v souvislosti s touto transakcí, která dále posiluje vážné pochybnosti ohledně nakládání s prodejem a jeho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 xml:space="preserve">nadále kritizuje proces, jímž se Komise v roce 2023 rozhodla prodat 23 svých kancelářských budov v Bruselu a 17 z nich zpětně pronajmout na období do roku 2029; konstatuje, že rozhodnutí o tomto kroku bylo zřejmě přijato bez jasného posouzení dopadů všech transakcí; považuje za obzvláště znepokojující, že Komise obdržela pouze jednu nabídku na transakci od belgického státního podniku, který předložil orientační nabídku předtím, než Komise vypsala výzvu k podávání nabídek, a že tato nabídka nesplňovala požadavky výzvy k podávání nabídek týkající se doby platnosti bankovní záruky; </w:t>
            </w:r>
            <w:r>
              <w:rPr>
                <w:b/>
                <w:i/>
              </w:rPr>
              <w:t>vyjadřuje hluboké znepokojení nad tím, že hodnotící výbor Komise nebyl nezávislý, neboť všichni jeho členové byli podřízení schvalující osoby</w:t>
            </w:r>
            <w:r>
              <w:t>;</w:t>
            </w:r>
          </w:p>
        </w:tc>
        <w:tc>
          <w:tcPr>
            <w:tcW w:w="4876" w:type="dxa"/>
            <w:tcBorders>
              <w:top w:val="nil"/>
              <w:left w:val="nil"/>
              <w:bottom w:val="nil"/>
              <w:right w:val="nil"/>
            </w:tcBorders>
          </w:tcPr>
          <w:p>
            <w:pPr>
              <w:pStyle w:val="Normal6a"/>
            </w:pPr>
            <w:r>
              <w:t>198.</w:t>
            </w:r>
            <w:r>
              <w:tab/>
            </w:r>
            <w:r>
              <w:t xml:space="preserve">nadále kritizuje proces, jímž se Komise v roce 2023 rozhodla prodat 23 svých kancelářských budov v Bruselu a 17 z nich zpětně pronajmout na období do roku 2029; konstatuje, že rozhodnutí o tomto kroku bylo zřejmě přijato bez jasného posouzení dopadů všech transakcí; považuje za obzvláště znepokojující, že Komise obdržela pouze jednu nabídku na transakci od belgického státního podniku, který předložil orientační nabídku předtím, než Komise vypsala výzvu k podávání nabídek, a že tato nabídka nesplňovala požadavky výzvy k podávání nabídek týkající se doby platnosti bankovní záruky; </w:t>
            </w:r>
            <w:r>
              <w:rPr>
                <w:b/>
                <w:i/>
              </w:rPr>
              <w:t>konstatuje, že v současné době vede vyšetřování Úřad evropského veřejného žalobce;</w:t>
            </w:r>
            <w:r>
              <w:t xml:space="preserve"> </w:t>
            </w:r>
            <w:r>
              <w:rPr>
                <w:b/>
                <w:i/>
              </w:rPr>
              <w:t>vyzývá Komisi, aby orgánu příslušnému k udělení absolutoria poskytla veškeré relevantní informace a dokumentaci týkající se této transakce, a to zcela transparentně a s náležitým ohledem na probíhající vyšetřování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 xml:space="preserve">nadále kritizuje proces, </w:t>
            </w:r>
            <w:r>
              <w:rPr>
                <w:b/>
                <w:i/>
              </w:rPr>
              <w:t>jímž</w:t>
            </w:r>
            <w:r>
              <w:t xml:space="preserve"> se Komise v roce 2023 rozhodla prodat 23 svých kancelářských budov v Bruselu a 17 z nich </w:t>
            </w:r>
            <w:r>
              <w:rPr>
                <w:b/>
                <w:i/>
              </w:rPr>
              <w:t>zpětně</w:t>
            </w:r>
            <w:r>
              <w:t xml:space="preserve"> pronajmout na období do roku 2029; konstatuje, že rozhodnutí o tomto kroku bylo zřejmě přijato bez jasného posouzení dopadů všech transakcí; považuje za obzvláště znepokojující, že Komise obdržela pouze jednu nabídku na transakci od belgického státního podniku, který předložil orientační nabídku předtím, než Komise vypsala výzvu k podávání nabídek, a že tato nabídka nesplňovala požadavky výzvy k podávání nabídek týkající se doby platnosti bankovní záruky; vyjadřuje hluboké znepokojení nad tím, že hodnotící výbor Komise nebyl nezávislý, neboť všichni jeho členové byli podřízení schvalující osoby;</w:t>
            </w:r>
          </w:p>
        </w:tc>
        <w:tc>
          <w:tcPr>
            <w:tcW w:w="4876" w:type="dxa"/>
            <w:tcBorders>
              <w:top w:val="nil"/>
              <w:left w:val="nil"/>
              <w:bottom w:val="nil"/>
              <w:right w:val="nil"/>
            </w:tcBorders>
          </w:tcPr>
          <w:p>
            <w:pPr>
              <w:pStyle w:val="Normal6a"/>
            </w:pPr>
            <w:r>
              <w:t>198.</w:t>
            </w:r>
            <w:r>
              <w:tab/>
            </w:r>
            <w:r>
              <w:t xml:space="preserve">nadále kritizuje proces, </w:t>
            </w:r>
            <w:r>
              <w:rPr>
                <w:b/>
                <w:i/>
              </w:rPr>
              <w:t>v jehož rámci</w:t>
            </w:r>
            <w:r>
              <w:t xml:space="preserve"> se Komise v roce 2023 rozhodla prodat 23 svých kancelářských budov v Bruselu </w:t>
            </w:r>
            <w:r>
              <w:rPr>
                <w:b/>
                <w:i/>
              </w:rPr>
              <w:t>za cenu téměř 1 milionu EUR</w:t>
            </w:r>
            <w:r>
              <w:t xml:space="preserve"> a 17 z nich </w:t>
            </w:r>
            <w:r>
              <w:rPr>
                <w:b/>
                <w:i/>
              </w:rPr>
              <w:t>si</w:t>
            </w:r>
            <w:r>
              <w:t xml:space="preserve"> pronajmout </w:t>
            </w:r>
            <w:r>
              <w:rPr>
                <w:b/>
                <w:i/>
              </w:rPr>
              <w:t>zpět</w:t>
            </w:r>
            <w:r>
              <w:t xml:space="preserve"> na období do roku 2029; konstatuje, že rozhodnutí o tomto kroku bylo zřejmě přijato bez jasného posouzení dopadů všech transakcí; považuje za obzvláště znepokojující, že Komise obdržela pouze jednu nabídku na transakci od belgického státního podniku, který předložil orientační nabídku předtím, než Komise vypsala výzvu k podávání nabídek, a že tato nabídka nesplňovala požadavky výzvy k podávání nabídek týkající se doby platnosti bankovní záruky; vyjadřuje hluboké znepokojení nad tím, že hodnotící výbor Komise nebyl nezávislý, neboť všichni jeho členové byli podřízení schvalující osoby;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198a.</w:t>
            </w:r>
            <w:r>
              <w:tab/>
            </w:r>
            <w:r>
              <w:rPr>
                <w:b/>
                <w:i/>
              </w:rPr>
              <w:t>bere na vědomí prohlídku prostor Komise ze strany policie dne 12. února 2026 podnícenou podezřením z podvodu při prodeji budov ve vlastnictví Komise za téměř 1 miliardu EUR;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199.</w:t>
            </w:r>
            <w:r>
              <w:tab/>
            </w:r>
            <w:r>
              <w:t xml:space="preserve">konstatuje, že Komise uvádí, že v období 2021–2024 bylo podáno 54 žádostí o pomoc podle článku 24 služebního řádu a že pouze u 8 z nich bylo zahájeno správní šetření; </w:t>
            </w:r>
            <w:r>
              <w:rPr>
                <w:b/>
                <w:i/>
              </w:rPr>
              <w:t>konstatuje, že toto číslo</w:t>
            </w:r>
            <w:r>
              <w:t xml:space="preserve"> je znepokojivě </w:t>
            </w:r>
            <w:r>
              <w:rPr>
                <w:b/>
                <w:i/>
              </w:rPr>
              <w:t>nízké</w:t>
            </w:r>
            <w:r>
              <w:t xml:space="preserve">, neboť znamená, že 85 % žádostí bylo zamítnuto bez </w:t>
            </w:r>
            <w:r>
              <w:rPr>
                <w:b/>
                <w:i/>
              </w:rPr>
              <w:t>jakéhokoli následného</w:t>
            </w:r>
            <w:r>
              <w:t xml:space="preserve"> opatření; vítá, že byl posílen úřad hlavního důvěrného poradce, a to s ohledem na skutečnost, že během jediného roku se na něj obrátilo přibližně 300 zaměstnanců Komise s žádostí o pomoc v případech obtěžování; dále konstatuje, že 14 stížností bylo předloženo přímo Úřadu pro vyšetřování a disciplinární opatření Komise (IDOC), přičemž čtyři případy byly po posouzení uzavřeny jako bezpředmětné, dva případy byly uzavřeny bez následných opatření po provedení správního šetření; v předběžném disciplinárním řízení bylo vydáno jedno varování, jedno písemné napomenutí a tři důtky, jeden případ je stále ve fázi předběžného disciplinárního řízení a dva případy jsou v současné době projednávány disciplinární komisí, zatímco dva případy byly nahlášeny přímo úřadu OLAF a oba byly zamítnuty z důvodu nedostatečných důkazů; zdůrazňuje, že na organizaci s více než 30 000 zaměstnanci se tato čísla zdají být velmi nízká, a vyzývá Komisi, aby zlepšila možnosti zaměstnanců oznamovat případy obtěžování v bezpečném prostředí; </w:t>
            </w:r>
            <w:r>
              <w:rPr>
                <w:b/>
                <w:i/>
              </w:rPr>
              <w:t>vyjadřuje politování nad tím, že Komise nepředložila samostatnou zprávu, která by analyzovala příčiny zjevné nefunkčnosti formálního postupu při obtěžování, jak bylo požadováno v souvislosti s udělením absolutoria za rok 2023;</w:t>
            </w:r>
          </w:p>
        </w:tc>
        <w:tc>
          <w:tcPr>
            <w:tcW w:w="4876" w:type="dxa"/>
            <w:tcBorders>
              <w:top w:val="nil"/>
              <w:left w:val="nil"/>
              <w:bottom w:val="nil"/>
              <w:right w:val="nil"/>
            </w:tcBorders>
          </w:tcPr>
          <w:p>
            <w:pPr>
              <w:pStyle w:val="Normal6a"/>
            </w:pPr>
            <w:r>
              <w:t>199.</w:t>
            </w:r>
            <w:r>
              <w:tab/>
            </w:r>
            <w:r>
              <w:t xml:space="preserve">konstatuje, že Komise uvádí, že v období 2021–2024 bylo podáno 54 žádostí o pomoc podle článku 24 služebního řádu a že pouze u 8 z nich bylo zahájeno správní šetření; </w:t>
            </w:r>
            <w:r>
              <w:rPr>
                <w:b/>
                <w:i/>
              </w:rPr>
              <w:t>domnívá se, že tento počet</w:t>
            </w:r>
            <w:r>
              <w:t xml:space="preserve"> je znepokojivě </w:t>
            </w:r>
            <w:r>
              <w:rPr>
                <w:b/>
                <w:i/>
              </w:rPr>
              <w:t>nízký</w:t>
            </w:r>
            <w:r>
              <w:t xml:space="preserve">, neboť znamená, že 85 % žádostí bylo zamítnuto bez </w:t>
            </w:r>
            <w:r>
              <w:rPr>
                <w:b/>
                <w:i/>
              </w:rPr>
              <w:t>jakýchkoli následných</w:t>
            </w:r>
            <w:r>
              <w:t xml:space="preserve"> opatření; vítá, že byl posílen úřad hlavního důvěrného poradce, a to s ohledem na skutečnost, že během jediného roku se na něj obrátilo přibližně 300 zaměstnanců Komise s žádostí o pomoc v případech obtěžování; dále konstatuje, že 14 stížností bylo předloženo přímo Úřadu pro vyšetřování a disciplinární opatření Komise (IDOC), přičemž čtyři případy byly po posouzení uzavřeny jako bezpředmětné, dva případy byly uzavřeny bez následných opatření po provedení správního šetření; v předběžném disciplinárním řízení bylo vydáno jedno varování, jedno písemné napomenutí a tři důtky, jeden případ je stále ve fázi předběžného disciplinárního řízení a dva případy jsou v současné době projednávány disciplinární komisí, zatímco dva případy byly nahlášeny přímo úřadu OLAF a oba byly zamítnuty z důvodu nedostatečných důkazů; zdůrazňuje, že na organizaci s více než 30 000 zaměstnanci se tato čísla zdají být velmi nízká, a vyzývá Komisi, aby zlepšila možnosti zaměstnanců oznamovat případy obtěžování v bezpečném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202.</w:t>
            </w:r>
            <w:r>
              <w:tab/>
            </w:r>
            <w:r>
              <w:t xml:space="preserve">zdůrazňuje, že transparentnost správy a přístup k informacím a dokumentům jsou klíčovými prvky pro zajištění </w:t>
            </w:r>
            <w:r>
              <w:rPr>
                <w:b/>
                <w:i/>
              </w:rPr>
              <w:t>spravedlivé</w:t>
            </w:r>
            <w:r>
              <w:t xml:space="preserve"> a demokraticky </w:t>
            </w:r>
            <w:r>
              <w:rPr>
                <w:b/>
                <w:i/>
              </w:rPr>
              <w:t>zdravé společnosti;</w:t>
            </w:r>
            <w:r>
              <w:t xml:space="preserve"> </w:t>
            </w:r>
            <w:r>
              <w:rPr>
                <w:b/>
                <w:i/>
              </w:rPr>
              <w:t>v této souvislosti vyjadřuje politování nad tím, že v posledních letech je doloženo mnoho příkladů, kdy</w:t>
            </w:r>
            <w:r>
              <w:t xml:space="preserve"> Komise </w:t>
            </w:r>
            <w:r>
              <w:rPr>
                <w:b/>
                <w:i/>
              </w:rPr>
              <w:t>nedodržela přiměřené standardy</w:t>
            </w:r>
            <w:r>
              <w:t xml:space="preserve"> transparentnosti</w:t>
            </w:r>
            <w:r>
              <w:rPr>
                <w:b/>
                <w:i/>
              </w:rPr>
              <w:t>, jak dokládá i prohraný soudní spor týkající se textových zpráv mezi předsedkyní Komise a generálním ředitelem společnosti Pfizer</w:t>
            </w:r>
            <w:r>
              <w:rPr>
                <w:b/>
                <w:i/>
                <w:vertAlign w:val="superscript"/>
              </w:rPr>
              <w:t>19</w:t>
            </w:r>
            <w:r>
              <w:rPr>
                <w:b/>
                <w:i/>
              </w:rPr>
              <w:t>;</w:t>
            </w:r>
            <w:r>
              <w:t xml:space="preserve"> </w:t>
            </w:r>
            <w:r>
              <w:rPr>
                <w:b/>
                <w:i/>
              </w:rPr>
              <w:t>zdůrazňuje, že pro důvěryhodnost Komise je důležité, aby zajistila důsledné a důvěryhodné provádění nových pokynů týkajících se</w:t>
            </w:r>
            <w:r>
              <w:t xml:space="preserve"> používání textových zpráv </w:t>
            </w:r>
            <w:r>
              <w:rPr>
                <w:b/>
                <w:i/>
              </w:rPr>
              <w:t>v souvislosti s pracovními postupy</w:t>
            </w:r>
            <w:r>
              <w:t xml:space="preserve"> a aby </w:t>
            </w:r>
            <w:r>
              <w:rPr>
                <w:b/>
                <w:i/>
              </w:rPr>
              <w:t>alespoň dvě kvalifikované osoby kontrolovaly, zda textové zprávy vyměňované v souvislosti s prací obsahují důležité</w:t>
            </w:r>
            <w:r>
              <w:t xml:space="preserve"> informace</w:t>
            </w:r>
            <w:r>
              <w:rPr>
                <w:b/>
                <w:i/>
              </w:rPr>
              <w:t>, než budou vymazány, zejména ty textové zprávy, které si vyměňují komisaři a předseda Komise</w:t>
            </w:r>
            <w:r>
              <w:t>;</w:t>
            </w:r>
          </w:p>
        </w:tc>
        <w:tc>
          <w:tcPr>
            <w:tcW w:w="4876" w:type="dxa"/>
            <w:tcBorders>
              <w:top w:val="nil"/>
              <w:left w:val="nil"/>
              <w:bottom w:val="nil"/>
              <w:right w:val="nil"/>
            </w:tcBorders>
          </w:tcPr>
          <w:p>
            <w:pPr>
              <w:pStyle w:val="Normal6a"/>
            </w:pPr>
            <w:r>
              <w:t>202.</w:t>
            </w:r>
            <w:r>
              <w:tab/>
            </w:r>
            <w:r>
              <w:t xml:space="preserve">zdůrazňuje, že transparentnost správy a přístup k informacím a dokumentům jsou klíčovými prvky pro zajištění </w:t>
            </w:r>
            <w:r>
              <w:rPr>
                <w:b/>
                <w:i/>
              </w:rPr>
              <w:t>řádné, odpovědné</w:t>
            </w:r>
            <w:r>
              <w:t xml:space="preserve"> a demokraticky </w:t>
            </w:r>
            <w:r>
              <w:rPr>
                <w:b/>
                <w:i/>
              </w:rPr>
              <w:t>spolehlivé správy;</w:t>
            </w:r>
            <w:r>
              <w:t xml:space="preserve"> </w:t>
            </w:r>
            <w:r>
              <w:rPr>
                <w:b/>
                <w:i/>
              </w:rPr>
              <w:t>konstatuje, že cílem</w:t>
            </w:r>
            <w:r>
              <w:t xml:space="preserve"> Komise </w:t>
            </w:r>
            <w:r>
              <w:rPr>
                <w:b/>
                <w:i/>
              </w:rPr>
              <w:t>je dosáhnout vysokých standardů</w:t>
            </w:r>
            <w:r>
              <w:t xml:space="preserve"> transparentnosti</w:t>
            </w:r>
            <w:r>
              <w:rPr>
                <w:b/>
                <w:i/>
              </w:rPr>
              <w:t>;</w:t>
            </w:r>
            <w:r>
              <w:t xml:space="preserve"> </w:t>
            </w:r>
            <w:r>
              <w:rPr>
                <w:b/>
                <w:i/>
              </w:rPr>
              <w:t>domnívá se, že</w:t>
            </w:r>
            <w:r>
              <w:t xml:space="preserve"> používání textových zpráv </w:t>
            </w:r>
            <w:r>
              <w:rPr>
                <w:b/>
                <w:i/>
              </w:rPr>
              <w:t>neoslabuje transparentnost v tom smyslu, že zaručuje, aby neformální výměny nenahrazovaly oficiální komunikaci</w:t>
            </w:r>
            <w:r>
              <w:t xml:space="preserve"> a aby </w:t>
            </w:r>
            <w:r>
              <w:rPr>
                <w:b/>
                <w:i/>
              </w:rPr>
              <w:t>veškeré</w:t>
            </w:r>
            <w:r>
              <w:t xml:space="preserve"> informace </w:t>
            </w:r>
            <w:r>
              <w:rPr>
                <w:b/>
                <w:i/>
              </w:rPr>
              <w:t>týkající se rozhodování nebo pracovních postupů byly předávány oficiálními kanály při plném dodržování požadavků na transparentnost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Věc T-36/23.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202a.</w:t>
            </w:r>
            <w:r>
              <w:tab/>
            </w:r>
            <w:r>
              <w:rPr>
                <w:b/>
                <w:i/>
              </w:rPr>
              <w:t>se znepokojením konstatuje, že v roce 2024 Komise revidovala svá vnitřní pravidla pro přístup veřejnosti k dokumentům;</w:t>
            </w:r>
            <w:r>
              <w:t xml:space="preserve"> </w:t>
            </w:r>
            <w:r>
              <w:rPr>
                <w:b/>
                <w:i/>
              </w:rPr>
              <w:t>domnívá se, že tyto změny jsou neslučitelné s právem na přístup k dokumentům, jak je stanoveno v nařízení (ES) č. 1049/2001;</w:t>
            </w:r>
            <w:r>
              <w:t xml:space="preserve"> </w:t>
            </w:r>
            <w:r>
              <w:rPr>
                <w:b/>
                <w:i/>
              </w:rPr>
              <w:t>zdůrazňuje, že pravidla například stanoví, že se registruje pouze „obsah, který představuje důležitou informaci, která nemá krátkou životnost“, a vyžadují automatické zmizení textových zpráv;</w:t>
            </w:r>
            <w:r>
              <w:t xml:space="preserve"> </w:t>
            </w:r>
            <w:r>
              <w:rPr>
                <w:b/>
                <w:i/>
              </w:rPr>
              <w:t>konstatuje, že legalita těchto pravidel je v současné době zpochybňována u Soudního dvora</w:t>
            </w:r>
            <w:r>
              <w:rPr>
                <w:b/>
                <w:i/>
                <w:vertAlign w:val="superscript"/>
              </w:rPr>
              <w:t>1a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203.</w:t>
            </w:r>
            <w:r>
              <w:tab/>
            </w:r>
            <w:r>
              <w:t>zdůrazňuje, že přístup k dokumentům je jednou z klíčových zásad pro zajištění transparentnosti veřejné správy; poukazuje na to, že Komise bohužel v mnoha situacích neposkytla odpovědi ve stanovených lhůtách, zejména v případech potvrzujících žádostí, kdy evropský veřejný ochránce práv zjistil systémová a významná zpoždění na straně administrativy Komise; zdůrazňuje, že pro důvěryhodnost Komise je zásadní, aby novináři a široká veřejnost měli přístup k dokumentům v platných lhůtách stanovených právními předpisy;</w:t>
            </w:r>
          </w:p>
        </w:tc>
        <w:tc>
          <w:tcPr>
            <w:tcW w:w="4876" w:type="dxa"/>
            <w:tcBorders>
              <w:top w:val="nil"/>
              <w:left w:val="nil"/>
              <w:bottom w:val="nil"/>
              <w:right w:val="nil"/>
            </w:tcBorders>
          </w:tcPr>
          <w:p>
            <w:pPr>
              <w:pStyle w:val="Normal6a"/>
            </w:pPr>
            <w:r>
              <w:t>203.</w:t>
            </w:r>
            <w:r>
              <w:tab/>
            </w:r>
            <w:r>
              <w:t xml:space="preserve">zdůrazňuje, že přístup k dokumentům je jednou z klíčových zásad pro zajištění transparentnosti veřejné správy; poukazuje na to, že Komise bohužel v mnoha situacích neposkytla odpovědi ve stanovených lhůtách, zejména v případech potvrzujících žádostí, kdy evropský veřejný ochránce práv zjistil systémová a významná zpoždění na straně administrativy Komise; zdůrazňuje, že pro důvěryhodnost Komise je zásadní, aby novináři a široká veřejnost měli přístup k dokumentům v platných lhůtách stanovených právními předpisy; </w:t>
            </w:r>
            <w:r>
              <w:rPr>
                <w:b/>
                <w:i/>
              </w:rPr>
              <w:t>dále zdůrazňuje, že transparentnost vyžaduje nejen včasný přístup, ale také to, aby samotné dokumenty byly sepsány jasným a srozumitelným jazykem, neboť příliš technokratická a žargonově náročná komunikace fakticky znemožňuje občanům smysluplný přístup k informacím, i když jsou dokumenty formálně k dispozici;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203a.</w:t>
            </w:r>
            <w:r>
              <w:tab/>
            </w:r>
            <w:r>
              <w:rPr>
                <w:b/>
                <w:i/>
              </w:rPr>
              <w:t>vyjadřuje znepokojení nad tím, že veřejná sdělení Komise se vyznačují příliš technokratickým stylem, v jehož důsledku jsou pro běžné občany do značné míry nesrozumitelná;</w:t>
            </w:r>
            <w:r>
              <w:t xml:space="preserve"> </w:t>
            </w:r>
            <w:r>
              <w:rPr>
                <w:b/>
                <w:i/>
              </w:rPr>
              <w:t>bere na vědomí zjištění recenzované studie „Clear messages to the European public?“ (Rauh, 2022, Journal of European Integration, 45(4): 683–701), což dokazuje, že tiskové zprávy Komise používají složitější jazyk a méně známých slov než výstupy vlád členských států, a dokonce než abstraktní vědecké publikace;</w:t>
            </w:r>
            <w:r>
              <w:t xml:space="preserve"> </w:t>
            </w:r>
            <w:r>
              <w:rPr>
                <w:b/>
                <w:i/>
              </w:rPr>
              <w:t>domnívá se, že tyto komunikační postupy účinně zastírají politická rozhodnutí před veřejnou kontrolou a oslabují kvalitu správy EU;</w:t>
            </w:r>
            <w:r>
              <w:t xml:space="preserve"> </w:t>
            </w:r>
            <w:r>
              <w:rPr>
                <w:b/>
                <w:i/>
              </w:rPr>
              <w:t>vyzývá Komisi, aby přijala měřitelné normy pro jednoduchý jazyk pro veškerou komunikaci s veřejností, včetně tiskových zpráv, popisů programů a rozpočtové dokumentace, a aby každoročně podávala zprávu o dodržování těchto norem;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rPr>
                <w:b/>
                <w:i/>
              </w:rPr>
              <w:t>připomíná, že evropský veřejný ochránce práv zjistil případy nesprávného úředního postupu v souvislosti s</w:t>
            </w:r>
            <w:r>
              <w:t xml:space="preserve"> několika </w:t>
            </w:r>
            <w:r>
              <w:rPr>
                <w:b/>
                <w:i/>
              </w:rPr>
              <w:t>legislativními návrhy</w:t>
            </w:r>
            <w:r>
              <w:t>, které Komise předložila v roce 2025</w:t>
            </w:r>
            <w:r>
              <w:rPr>
                <w:b/>
                <w:i/>
              </w:rPr>
              <w:t>;</w:t>
            </w:r>
            <w:r>
              <w:t xml:space="preserve"> </w:t>
            </w:r>
            <w:r>
              <w:rPr>
                <w:b/>
                <w:i/>
              </w:rPr>
              <w:t>s velkým znepokojením konstatuje, že mezi tyto případy patří i první balíček Omnibus, u něhož byla doba konzultace mezi útvary Komise zkrácena na méně než 24 hodin během víkendu a u něhož neexistují jasné interní záznamy o provedení posouzení souladu s ochranou klimatu</w:t>
            </w:r>
            <w:r>
              <w:t xml:space="preserve">; zdůrazňuje, že je důležité dodržovat pravidla týkající se zlepšování právní úpravy; zdůrazňuje, že </w:t>
            </w:r>
            <w:r>
              <w:rPr>
                <w:b/>
                <w:i/>
              </w:rPr>
              <w:t>Evropská unie nezvítězí v žádném globálním konkurenčním klání, pokud zničí některé ze samotných</w:t>
            </w:r>
            <w:r>
              <w:t xml:space="preserve"> základů, </w:t>
            </w:r>
            <w:r>
              <w:rPr>
                <w:b/>
                <w:i/>
              </w:rPr>
              <w:t>na nichž je Unie postavena, včetně zásad, jak zajistit pevné, trvalé</w:t>
            </w:r>
            <w:r>
              <w:t xml:space="preserve"> a právně </w:t>
            </w:r>
            <w:r>
              <w:rPr>
                <w:b/>
                <w:i/>
              </w:rPr>
              <w:t>nezávadné právní předpisy</w:t>
            </w:r>
            <w:r>
              <w:t xml:space="preserve">, které </w:t>
            </w:r>
            <w:r>
              <w:rPr>
                <w:b/>
                <w:i/>
              </w:rPr>
              <w:t>zajistí</w:t>
            </w:r>
            <w:r>
              <w:t xml:space="preserve"> stabilní regulační </w:t>
            </w:r>
            <w:r>
              <w:rPr>
                <w:b/>
                <w:i/>
              </w:rPr>
              <w:t>podnikatelské</w:t>
            </w:r>
            <w:r>
              <w:t xml:space="preserve"> prostředí pro </w:t>
            </w:r>
            <w:r>
              <w:rPr>
                <w:b/>
                <w:i/>
              </w:rPr>
              <w:t>soukromý sektor</w:t>
            </w:r>
            <w:r>
              <w:t>;</w:t>
            </w:r>
          </w:p>
        </w:tc>
        <w:tc>
          <w:tcPr>
            <w:tcW w:w="4876" w:type="dxa"/>
            <w:tcBorders>
              <w:top w:val="nil"/>
              <w:left w:val="nil"/>
              <w:bottom w:val="nil"/>
              <w:right w:val="nil"/>
            </w:tcBorders>
          </w:tcPr>
          <w:p>
            <w:pPr>
              <w:pStyle w:val="Normal6a"/>
            </w:pPr>
            <w:r>
              <w:t>204.</w:t>
            </w:r>
            <w:r>
              <w:tab/>
            </w:r>
            <w:r>
              <w:rPr>
                <w:b/>
                <w:i/>
              </w:rPr>
              <w:t>bere na vědomí obavy evropské veřejné ochránkyně práv týkající se</w:t>
            </w:r>
            <w:r>
              <w:t xml:space="preserve"> několika </w:t>
            </w:r>
            <w:r>
              <w:rPr>
                <w:b/>
                <w:i/>
              </w:rPr>
              <w:t>legislativních návrhů</w:t>
            </w:r>
            <w:r>
              <w:t xml:space="preserve">, které Komise předložila v roce 2025; zdůrazňuje, že je důležité dodržovat pravidla týkající se zlepšování právní úpravy; zdůrazňuje, že </w:t>
            </w:r>
            <w:r>
              <w:rPr>
                <w:b/>
                <w:i/>
              </w:rPr>
              <w:t>globální konkurenceschopnost Unie závisí na zachování pevných</w:t>
            </w:r>
            <w:r>
              <w:t xml:space="preserve"> základů, </w:t>
            </w:r>
            <w:r>
              <w:rPr>
                <w:b/>
                <w:i/>
              </w:rPr>
              <w:t>spolehlivých</w:t>
            </w:r>
            <w:r>
              <w:t xml:space="preserve"> a právně </w:t>
            </w:r>
            <w:r>
              <w:rPr>
                <w:b/>
                <w:i/>
              </w:rPr>
              <w:t>spolehlivých právních předpisů</w:t>
            </w:r>
            <w:r>
              <w:t xml:space="preserve">, které </w:t>
            </w:r>
            <w:r>
              <w:rPr>
                <w:b/>
                <w:i/>
              </w:rPr>
              <w:t>zajišťují</w:t>
            </w:r>
            <w:r>
              <w:t xml:space="preserve"> stabilní </w:t>
            </w:r>
            <w:r>
              <w:rPr>
                <w:b/>
                <w:i/>
              </w:rPr>
              <w:t>a předvídatelné</w:t>
            </w:r>
            <w:r>
              <w:t xml:space="preserve"> regulační prostředí pro </w:t>
            </w:r>
            <w:r>
              <w:rPr>
                <w:b/>
                <w:i/>
              </w:rPr>
              <w:t>podniky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t>připomíná, že evropský veřejný ochránce práv zjistil případy nesprávného úředního postupu v souvislosti s několika legislativními návrhy, které Komise předložila v roce 2025; s velkým znepokojením konstatuje, že mezi tyto případy patří i první balíček Omnibus, u něhož byla doba konzultace mezi útvary Komise zkrácena na méně než 24 hodin během víkendu a u něhož neexistují jasné interní záznamy o provedení posouzení souladu s ochranou klimatu; zdůrazňuje, že je důležité dodržovat pravidla týkající se zlepšování právní úpravy; zdůrazňuje, že Evropská unie nezvítězí v žádném globálním konkurenčním klání, pokud zničí některé ze samotných základů, na nichž je Unie postavena, včetně zásad, jak zajistit pevné, trvalé a právně nezávadné právní předpisy, které zajistí stabilní regulační podnikatelské prostředí pro soukromý sektor;</w:t>
            </w:r>
          </w:p>
        </w:tc>
        <w:tc>
          <w:tcPr>
            <w:tcW w:w="4876" w:type="dxa"/>
            <w:tcBorders>
              <w:top w:val="nil"/>
              <w:left w:val="nil"/>
              <w:bottom w:val="nil"/>
              <w:right w:val="nil"/>
            </w:tcBorders>
          </w:tcPr>
          <w:p>
            <w:pPr>
              <w:pStyle w:val="Normal6a"/>
            </w:pPr>
            <w:r>
              <w:t>204.</w:t>
            </w:r>
            <w:r>
              <w:tab/>
            </w:r>
            <w:r>
              <w:t xml:space="preserve">připomíná, že evropský veřejný ochránce práv zjistil případy nesprávného úředního postupu v souvislosti s několika legislativními návrhy, které Komise předložila v roce 2025; s velkým znepokojením konstatuje, že mezi tyto případy patří i první balíček Omnibus, u něhož byla doba konzultace mezi útvary Komise zkrácena na méně než 24 hodin během víkendu a u něhož neexistují jasné interní záznamy o provedení posouzení souladu s ochranou klimatu; zdůrazňuje, že je důležité dodržovat pravidla týkající se zlepšování právní úpravy; zdůrazňuje, že Evropská unie nezvítězí v žádném globálním konkurenčním klání, pokud zničí některé ze samotných základů, na nichž je Unie postavena, včetně zásad, jak zajistit pevné, trvalé a právně nezávadné právní předpisy, které zajistí stabilní regulační podnikatelské prostředí pro soukromý sektor; </w:t>
            </w:r>
            <w:r>
              <w:rPr>
                <w:b/>
                <w:i/>
              </w:rPr>
              <w:t>domnívá se, že Komise by měla usilovat o zjednodušení právních předpisů prostřednictvím řádných procesních kanálů, a vyzývá k tomu, aby všechny budoucí návrhy na zjednodušení byly doprovázeny kvantifikovaným posouzením administrativní zátěže, kterou mají snížit;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t xml:space="preserve">připomíná, že evropský veřejný ochránce práv zjistil případy nesprávného úředního postupu v souvislosti s několika legislativními návrhy, které Komise předložila v roce 2025; s velkým znepokojením konstatuje, že </w:t>
            </w:r>
            <w:r>
              <w:rPr>
                <w:b/>
                <w:i/>
              </w:rPr>
              <w:t>mezi</w:t>
            </w:r>
            <w:r>
              <w:t xml:space="preserve"> tyto případy </w:t>
            </w:r>
            <w:r>
              <w:rPr>
                <w:b/>
                <w:i/>
              </w:rPr>
              <w:t>patří i první</w:t>
            </w:r>
            <w:r>
              <w:t xml:space="preserve"> balíček Omnibus</w:t>
            </w:r>
            <w:r>
              <w:rPr>
                <w:b/>
                <w:i/>
              </w:rPr>
              <w:t>, u něhož</w:t>
            </w:r>
            <w:r>
              <w:t xml:space="preserve"> byla doba </w:t>
            </w:r>
            <w:r>
              <w:rPr>
                <w:b/>
                <w:i/>
              </w:rPr>
              <w:t>konzultace</w:t>
            </w:r>
            <w:r>
              <w:t xml:space="preserve"> mezi útvary Komise zkrácena na méně než 24 hodin </w:t>
            </w:r>
            <w:r>
              <w:rPr>
                <w:b/>
                <w:i/>
              </w:rPr>
              <w:t>během</w:t>
            </w:r>
            <w:r>
              <w:t xml:space="preserve"> víkendu </w:t>
            </w:r>
            <w:r>
              <w:rPr>
                <w:b/>
                <w:i/>
              </w:rPr>
              <w:t>a u něhož neexistují jasné interní záznamy o provedení posouzení souladu s ochranou klimatu</w:t>
            </w:r>
            <w:r>
              <w:t>; zdůrazňuje, že je důležité dodržovat pravidla týkající se zlepšování právní úpravy; zdůrazňuje, že Evropská unie nezvítězí v žádném globálním konkurenčním klání, pokud zničí některé ze samotných základů, na nichž je Unie postavena, včetně zásad, jak zajistit pevné, trvalé a právně nezávadné právní předpisy, které zajistí stabilní regulační podnikatelské prostředí pro soukromý sektor;</w:t>
            </w:r>
          </w:p>
        </w:tc>
        <w:tc>
          <w:tcPr>
            <w:tcW w:w="4876" w:type="dxa"/>
            <w:tcBorders>
              <w:top w:val="nil"/>
              <w:left w:val="nil"/>
              <w:bottom w:val="nil"/>
              <w:right w:val="nil"/>
            </w:tcBorders>
          </w:tcPr>
          <w:p>
            <w:pPr>
              <w:pStyle w:val="Normal6a"/>
            </w:pPr>
            <w:r>
              <w:t>204.</w:t>
            </w:r>
            <w:r>
              <w:tab/>
            </w:r>
            <w:r>
              <w:t xml:space="preserve">připomíná, že evropský veřejný ochránce práv zjistil případy nesprávného úředního postupu v souvislosti s několika legislativními návrhy, které Komise předložila v roce 2025; s velkým znepokojením konstatuje, že tyto případy </w:t>
            </w:r>
            <w:r>
              <w:rPr>
                <w:b/>
                <w:i/>
              </w:rPr>
              <w:t>zahrnují</w:t>
            </w:r>
            <w:r>
              <w:t xml:space="preserve"> balíček Omnibus </w:t>
            </w:r>
            <w:r>
              <w:rPr>
                <w:b/>
                <w:i/>
              </w:rPr>
              <w:t>I, v němž</w:t>
            </w:r>
            <w:r>
              <w:t xml:space="preserve"> byla doba </w:t>
            </w:r>
            <w:r>
              <w:rPr>
                <w:b/>
                <w:i/>
              </w:rPr>
              <w:t>konzultací</w:t>
            </w:r>
            <w:r>
              <w:t xml:space="preserve"> mezi útvary Komise zkrácena na méně než 24 hodin </w:t>
            </w:r>
            <w:r>
              <w:rPr>
                <w:b/>
                <w:i/>
              </w:rPr>
              <w:t>o</w:t>
            </w:r>
            <w:r>
              <w:t xml:space="preserve"> víkendu; zdůrazňuje, že je důležité dodržovat pravidla týkající se zlepšování právní úpravy; zdůrazňuje, že Evropská unie nezvítězí v žádném globálním konkurenčním klání, pokud zničí některé ze samotných základů, na nichž je Unie postavena, včetně zásad, jak zajistit pevné, trvalé a právně nezávadné právní předpisy, které zajistí stabilní regulační podnikatelské prostředí pro soukromý sektor;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t xml:space="preserve">připomíná, že evropský veřejný ochránce práv zjistil případy nesprávného úředního postupu v souvislosti s několika legislativními návrhy, které Komise předložila v roce 2025; s velkým znepokojením konstatuje, že </w:t>
            </w:r>
            <w:r>
              <w:rPr>
                <w:b/>
                <w:i/>
              </w:rPr>
              <w:t>mezi</w:t>
            </w:r>
            <w:r>
              <w:t xml:space="preserve"> tyto případy </w:t>
            </w:r>
            <w:r>
              <w:rPr>
                <w:b/>
                <w:i/>
              </w:rPr>
              <w:t>patří i první</w:t>
            </w:r>
            <w:r>
              <w:t xml:space="preserve"> balíček Omnibus</w:t>
            </w:r>
            <w:r>
              <w:rPr>
                <w:b/>
                <w:i/>
              </w:rPr>
              <w:t>, u něhož</w:t>
            </w:r>
            <w:r>
              <w:t xml:space="preserve"> byla doba </w:t>
            </w:r>
            <w:r>
              <w:rPr>
                <w:b/>
                <w:i/>
              </w:rPr>
              <w:t>konzultace</w:t>
            </w:r>
            <w:r>
              <w:t xml:space="preserve"> mezi útvary Komise zkrácena na méně než 24 hodin během víkendu </w:t>
            </w:r>
            <w:r>
              <w:rPr>
                <w:b/>
                <w:i/>
              </w:rPr>
              <w:t>a u něhož neexistují</w:t>
            </w:r>
            <w:r>
              <w:t xml:space="preserve"> jasné interní záznamy o </w:t>
            </w:r>
            <w:r>
              <w:rPr>
                <w:b/>
                <w:i/>
              </w:rPr>
              <w:t>provedení</w:t>
            </w:r>
            <w:r>
              <w:t xml:space="preserve"> posouzení </w:t>
            </w:r>
            <w:r>
              <w:rPr>
                <w:b/>
                <w:i/>
              </w:rPr>
              <w:t>souladu s ochranou</w:t>
            </w:r>
            <w:r>
              <w:t xml:space="preserve"> klimatu; zdůrazňuje, že je důležité dodržovat pravidla týkající se zlepšování právní úpravy; zdůrazňuje</w:t>
            </w:r>
            <w:r>
              <w:rPr>
                <w:b/>
                <w:i/>
              </w:rPr>
              <w:t>, že Evropská unie nezvítězí v žádném globálním konkurenčním klání, pokud zničí některé ze samotných základů, na nichž je Unie postavena, včetně zásad, jak zajistit pevné, trvalé</w:t>
            </w:r>
            <w:r>
              <w:t xml:space="preserve"> a právně </w:t>
            </w:r>
            <w:r>
              <w:rPr>
                <w:b/>
                <w:i/>
              </w:rPr>
              <w:t>nezávadné právní předpisy</w:t>
            </w:r>
            <w:r>
              <w:t>, které zajistí stabilní regulační podnikatelské prostředí pro soukromý sektor;</w:t>
            </w:r>
          </w:p>
        </w:tc>
        <w:tc>
          <w:tcPr>
            <w:tcW w:w="4876" w:type="dxa"/>
            <w:tcBorders>
              <w:top w:val="nil"/>
              <w:left w:val="nil"/>
              <w:bottom w:val="nil"/>
              <w:right w:val="nil"/>
            </w:tcBorders>
          </w:tcPr>
          <w:p>
            <w:pPr>
              <w:pStyle w:val="Normal6a"/>
            </w:pPr>
            <w:r>
              <w:t>204.</w:t>
            </w:r>
            <w:r>
              <w:tab/>
            </w:r>
            <w:r>
              <w:t xml:space="preserve">připomíná, že evropský veřejný ochránce práv zjistil případy nesprávného úředního postupu v souvislosti s několika legislativními návrhy, které Komise předložila v roce 2025; s velkým znepokojením konstatuje, že tyto případy </w:t>
            </w:r>
            <w:r>
              <w:rPr>
                <w:b/>
                <w:i/>
              </w:rPr>
              <w:t>zahrnují</w:t>
            </w:r>
            <w:r>
              <w:t xml:space="preserve"> balíček Omnibus </w:t>
            </w:r>
            <w:r>
              <w:rPr>
                <w:b/>
                <w:i/>
              </w:rPr>
              <w:t>I, v jehož rámci</w:t>
            </w:r>
            <w:r>
              <w:t xml:space="preserve"> byla doba </w:t>
            </w:r>
            <w:r>
              <w:rPr>
                <w:b/>
                <w:i/>
              </w:rPr>
              <w:t>konzultací</w:t>
            </w:r>
            <w:r>
              <w:t xml:space="preserve"> mezi útvary Komise zkrácena na méně než 24 hodin během víkendu</w:t>
            </w:r>
            <w:r>
              <w:rPr>
                <w:b/>
                <w:i/>
              </w:rPr>
              <w:t>, kdy neexistovaly</w:t>
            </w:r>
            <w:r>
              <w:t xml:space="preserve"> jasné interní záznamy o </w:t>
            </w:r>
            <w:r>
              <w:rPr>
                <w:b/>
                <w:i/>
              </w:rPr>
              <w:t>provádění</w:t>
            </w:r>
            <w:r>
              <w:t xml:space="preserve"> posouzení </w:t>
            </w:r>
            <w:r>
              <w:rPr>
                <w:b/>
                <w:i/>
              </w:rPr>
              <w:t>soudržnosti v oblasti</w:t>
            </w:r>
            <w:r>
              <w:t xml:space="preserve"> klimatu </w:t>
            </w:r>
            <w:r>
              <w:rPr>
                <w:b/>
                <w:i/>
              </w:rPr>
              <w:t>a kdy Komise nebyla schopna vysvětlit, jak vybrala zúčastněné strany pro svá zasedání, když podle dokumentů sdílených s veřejnou ochránkyní práv byla většina pozvaných zúčastněných stran zástupci průmyslu</w:t>
            </w:r>
            <w:r>
              <w:t xml:space="preserve">; zdůrazňuje, že je důležité dodržovat pravidla týkající se zlepšování právní úpravy; zdůrazňuje </w:t>
            </w:r>
            <w:r>
              <w:rPr>
                <w:b/>
                <w:i/>
              </w:rPr>
              <w:t>význam pevných, trvalých</w:t>
            </w:r>
            <w:r>
              <w:t xml:space="preserve"> a právně </w:t>
            </w:r>
            <w:r>
              <w:rPr>
                <w:b/>
                <w:i/>
              </w:rPr>
              <w:t>nezávadných právních předpisů</w:t>
            </w:r>
            <w:r>
              <w:t>, které zajistí stabilní regulační podnikatelské prostředí pro soukromý sektor;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204a.</w:t>
            </w:r>
            <w:r>
              <w:tab/>
            </w:r>
            <w:r>
              <w:rPr>
                <w:b/>
                <w:i/>
              </w:rPr>
              <w:t>konstatuje, že poté, co Úřad evropského veřejného žalobce koncem roku 2024 zahájil trestní vyšetřování obvinění z korupce týkající se vyššího úředníka Komise, a v návaznosti na doporučení vydané úřadem OLAF v roce 2024 zahájila Komise proti tomuto úředníkovi vlastní disciplinární řízení;</w:t>
            </w:r>
            <w:r>
              <w:t xml:space="preserve"> </w:t>
            </w:r>
            <w:r>
              <w:rPr>
                <w:b/>
                <w:i/>
              </w:rPr>
              <w:t>konstatuje, že Komise nedávno oznámila, že tento postup uzavřela, přičemž zjistila, že dotčený úředník porušil platná pravidla služebního řádu, včetně ustanovení týkajících se střetu zájmů, transparentnosti, přijímání darů a zveřejňování dokumentů;</w:t>
            </w:r>
            <w:r>
              <w:t xml:space="preserve"> </w:t>
            </w:r>
            <w:r>
              <w:rPr>
                <w:b/>
                <w:i/>
              </w:rPr>
              <w:t>připomíná, že disciplinární řízení následovalo po zjištěních úřadu OLAF, který zkoumal tvrzení, že byly poskytnuty důvěrné informace týkající se významné letecké dohody s Katarem výměnou za dary;</w:t>
            </w:r>
            <w:r>
              <w:t xml:space="preserve"> </w:t>
            </w:r>
            <w:r>
              <w:rPr>
                <w:b/>
                <w:i/>
              </w:rPr>
              <w:t>konstatuje, že vzhledem k tomu, že vyšší úředník v té době zastával funkci generálního ředitele na Generálním ředitelství Komise pro mobilitu a dopravu, měl značný vliv na proces vyjednávání, a tudíž i na výslednou dohodu o letecké dopravě mezi Evropskou unií a jejími členskými státy a Katarem, která byla podepsána dne 18. října 2021;</w:t>
            </w:r>
            <w:r>
              <w:t xml:space="preserve"> </w:t>
            </w:r>
            <w:r>
              <w:rPr>
                <w:b/>
                <w:i/>
              </w:rPr>
              <w:t>s ohledem na povahu skutečností, které vedly Komisi k zahájení disciplinárního řízení, a na povahu opatření, o nichž rozhodl sbor komisařů ve vztahu k tomuto vyššímu úředníkovi, vyzývá proto Komisi, aby okamžitě pozastavila uplatňování této dohody;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204a.</w:t>
            </w:r>
            <w:r>
              <w:tab/>
            </w:r>
            <w:r>
              <w:rPr>
                <w:b/>
                <w:i/>
              </w:rPr>
              <w:t>připomíná kodex chování členů Evropské komise, který stanoví, že komisaři se musí vyvarovat jakékoli činnosti, která by mohla ohrozit jejich nezávislost nebo vnímání nezávislosti, zejména v politicky citlivých obdobích, jako jsou volební kampaně;</w:t>
            </w:r>
            <w:r>
              <w:t xml:space="preserve"> </w:t>
            </w:r>
            <w:r>
              <w:rPr>
                <w:b/>
                <w:i/>
              </w:rPr>
              <w:t>vyjadřuje v této souvislosti hluboké znepokojení nad tím, že dne 5. února 2026 se výkonný místopředseda pro soudržnost a reformy a komisař pro obranu a vesmír zúčastnili tiskové konference na podporu národního kandidáta ve Slovinsku v týdnech kampaně před volbami;</w:t>
            </w:r>
            <w:r>
              <w:t xml:space="preserve"> </w:t>
            </w:r>
            <w:r>
              <w:rPr>
                <w:b/>
                <w:i/>
              </w:rPr>
              <w:t>žádá Komisi, aby přezkoumala okolnosti účasti obou komisařů na tiskové konferenci;</w:t>
            </w:r>
            <w:r>
              <w:t xml:space="preserve"> </w:t>
            </w:r>
            <w:r>
              <w:rPr>
                <w:b/>
                <w:i/>
              </w:rPr>
              <w:t>očekává, že Komise znovu potvrdí svůj závazek dodržovat zásady nezávislosti a neutrality a zajistí, aby k takovým situacím v budoucnu nedocházelo;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204b.</w:t>
            </w:r>
            <w:r>
              <w:tab/>
            </w:r>
            <w:r>
              <w:rPr>
                <w:b/>
                <w:i/>
              </w:rPr>
              <w:t>s vážným znepokojením bere na vědomí nedávno ohlášené výměny mezi zaměstnanci GŘ TRADE a zástupci tabákového průmyslu, které naznačují, že zaměstnanci GŘ TRADE mohli jednat ve prospěch společnosti v tomto odvětví tím, že povzbudili třetí země k oslabení regulačních omezení a daňových politik týkajících se některých tabákových výrobků;</w:t>
            </w:r>
            <w:r>
              <w:t xml:space="preserve"> </w:t>
            </w:r>
            <w:r>
              <w:rPr>
                <w:b/>
                <w:i/>
              </w:rPr>
              <w:t>konstatuje, že evropská veřejná ochránkyně práv ve svém rozhodnutí ze dne 19. prosince 2023 dospěla k závěru, že skutečnost, že Komise nezajistila komplexní přístup k transparentnosti při schůzkách s tabákovým průmyslem ve všech odděleních, představuje nesprávný úřední postup;</w:t>
            </w:r>
            <w:r>
              <w:t xml:space="preserve"> </w:t>
            </w:r>
            <w:r>
              <w:rPr>
                <w:b/>
                <w:i/>
              </w:rPr>
              <w:t>připomíná, že jako smluvní strana Rámcové úmluvy WHO o kontrole tabáku (FCTC) musí EU chránit své politiky před obchodními a jinými zvláštními zájmy tabákového průmyslu a omezit interakce na to, co je nezbytně nutné pro regulační účely;</w:t>
            </w:r>
            <w:r>
              <w:t xml:space="preserve"> </w:t>
            </w:r>
            <w:r>
              <w:rPr>
                <w:b/>
                <w:i/>
              </w:rPr>
              <w:t>zdůrazňuje proto, že by neměly být povoleny žádné interakce týkající se politik třetích zemí v oblasti kontroly tabáku;</w:t>
            </w:r>
            <w:r>
              <w:t xml:space="preserve"> </w:t>
            </w:r>
            <w:r>
              <w:rPr>
                <w:b/>
                <w:i/>
              </w:rPr>
              <w:t>vyjadřuje politování nad tím, že údajně konané schůze nebyly zveřejněny;</w:t>
            </w:r>
            <w:r>
              <w:t xml:space="preserve"> </w:t>
            </w:r>
            <w:r>
              <w:rPr>
                <w:b/>
                <w:i/>
              </w:rPr>
              <w:t>vyzývá k plnému provedení čl. 5 odst. 3 Rámcové úmluvy o kontrole tabáku a k zajištění toho, aby interakce byly přísně omezeny a byly plně transparentní;</w:t>
            </w:r>
            <w:r>
              <w:t xml:space="preserve"> </w:t>
            </w:r>
            <w:r>
              <w:rPr>
                <w:b/>
                <w:i/>
              </w:rPr>
              <w:t>vyzývá Komisi, aby tento případ urychleně prošetřila a o svých zjištěních informovala orgán příslušný k udělení absolutoria;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204a.</w:t>
            </w:r>
            <w:r>
              <w:tab/>
            </w:r>
            <w:r>
              <w:rPr>
                <w:b/>
                <w:i/>
              </w:rPr>
              <w:t>konstatuje, že v době, kdy byl generálním ředitelem pro dopravu v Komisi, Henrik Hololei z Estonska údajně předal Kataru důvěrné dokumenty týkající se mimo jiné postoje Francie a Německa a návrhu dohody, který se nyní připravuje v Bruselu před jednáním o letecké dohodě podepsané v říjnu 2021 mezi EU a Katarem;</w:t>
            </w:r>
            <w:r>
              <w:t xml:space="preserve"> </w:t>
            </w:r>
            <w:r>
              <w:rPr>
                <w:b/>
                <w:i/>
              </w:rPr>
              <w:t>poukazuje na to, že v letech 2015 až 2021 využil zájezdů, rodinných dovolených, nákupních zájezdů a služeb řidičů, které dalece přesahovaly rámec „jednoduchých“ cest na náklady Kataru;</w:t>
            </w:r>
            <w:r>
              <w:t xml:space="preserve"> </w:t>
            </w:r>
            <w:r>
              <w:rPr>
                <w:b/>
                <w:i/>
              </w:rPr>
              <w:t>konstatuje, že novináři zveřejnili jeho anonymní propuštění</w:t>
            </w:r>
            <w:r>
              <w:rPr>
                <w:b/>
                <w:i/>
                <w:vertAlign w:val="superscript"/>
              </w:rPr>
              <w:t>1 a</w:t>
            </w:r>
            <w:r>
              <w:t xml:space="preserve"> </w:t>
            </w:r>
            <w:r>
              <w:rPr>
                <w:b/>
                <w:i/>
              </w:rPr>
              <w:t>až 29. ledna 2026, přestože Evropský úřad pro boj proti podvodům (OLAF) v polovině roku 2024 doporučil, aby Komise zvážila disciplinární opatření;</w:t>
            </w:r>
            <w:r>
              <w:t xml:space="preserve"> </w:t>
            </w:r>
            <w:r>
              <w:rPr>
                <w:b/>
                <w:i/>
              </w:rPr>
              <w:t>je znepokojen tím, že během všech těchto let pravděpodobně i nadále pobíral plat ve výši přesahující 15 000 EUR měsíčně;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https://www.contexte.com/fr/actualite/transports/informations-contre-cadeaux-lolaf-aurait-etabli-de-possibles-faits-de-corruption-de-lancien-directeur-general-des-transports-a-la-commission_207437</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204a.</w:t>
            </w:r>
            <w:r>
              <w:tab/>
            </w:r>
            <w:r>
              <w:rPr>
                <w:b/>
                <w:i/>
              </w:rPr>
              <w:t>vyjadřuje politování nad tím, že některá vyšetřování týkající se skandálů s vysoce postavenými úředníky byla vedena dlouhodobě a ne zcela transparentně, což vyvolává obavy ohledně spolehlivosti sdělovaných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204b.</w:t>
            </w:r>
            <w:r>
              <w:tab/>
            </w:r>
            <w:r>
              <w:rPr>
                <w:b/>
                <w:i/>
              </w:rPr>
              <w:t>připomíná, že veřejná ochránkyně práv kritizovala Komisi a její postup pro řešení efektu otáčivých dveří ze strany jejích zaměstnanců (OI/1/2021/KR);</w:t>
            </w:r>
            <w:r>
              <w:t xml:space="preserve"> </w:t>
            </w:r>
            <w:r>
              <w:rPr>
                <w:b/>
                <w:i/>
              </w:rPr>
              <w:t>konstatuje, že veřejná ochránkyně práv dospěla k závěru, že „Komise by měla uplatňovat důraznější přístup, pokud jde o přesuny svých nejvýše postavených zaměstnanců na pracovní místa v soukromém sektoru krátce po odchodu nebo odchodu do důchodu...“;</w:t>
            </w:r>
            <w:r>
              <w:t xml:space="preserve"> </w:t>
            </w:r>
            <w:r>
              <w:rPr>
                <w:b/>
                <w:i/>
              </w:rPr>
              <w:t>Komise však pověřila bývalého evropského komisaře a bývalého francouzského ministra financí Thierryho Bretona (2019–2024), aby se (znovu) připojil k mezinárodnímu poradnímu výboru Bank of America, což je činnost, která zabere tři dny jeho času ročně a u níž uvedl, že není ani placeným pracovníkem ani zaměstnancem, což vyvolává otázky ohledně jeho motivace a postavení;</w:t>
            </w:r>
            <w:r>
              <w:t xml:space="preserve"> </w:t>
            </w:r>
            <w:r>
              <w:rPr>
                <w:b/>
                <w:i/>
              </w:rPr>
              <w:t>vrací se na pozici, kterou zastával dříve (2013–2019);</w:t>
            </w:r>
            <w:r>
              <w:t xml:space="preserve"> </w:t>
            </w:r>
            <w:r>
              <w:rPr>
                <w:b/>
                <w:i/>
              </w:rPr>
              <w:t>kritizuje skutečnost, že tento postup nezajišťuje transparentnost, pokud jde o odměňování nebo kompenzační opatření;</w:t>
            </w:r>
            <w:r>
              <w:t xml:space="preserve"> </w:t>
            </w:r>
            <w:r>
              <w:rPr>
                <w:b/>
                <w:i/>
              </w:rPr>
              <w:t>vyzývá proto Komisi, aby na konci svého funkčního období zakázala praktiky efektu otáčivých dveří ze strany komisařů nebo generálních ředitelů směrem do mimoevropských společností nebo organizací systémové velikosti;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204a.</w:t>
            </w:r>
            <w:r>
              <w:tab/>
            </w:r>
            <w:r>
              <w:rPr>
                <w:b/>
                <w:i/>
              </w:rPr>
              <w:t>připomíná, že v návaznosti na vyšetřování úřadu OLAF zahájené v roce 2023 bylo v březnu 2025 zahájeno disciplinární řízení proti bývalému generálnímu řediteli GŘ MOVE za to, že přijal dar od Kataru, zatímco Komise jednala o dohodě o volném nebi mezi EU a Katarem;</w:t>
            </w:r>
            <w:r>
              <w:t xml:space="preserve"> </w:t>
            </w:r>
            <w:r>
              <w:rPr>
                <w:b/>
                <w:i/>
              </w:rPr>
              <w:t>bere na vědomí, že se Komise rozhodla propustit vyššího úředníka z důvodu porušení platných pravidel týkajících se střetu zájmů, transparentnosti, přijímání darů a zveřejňování dokumentů;</w:t>
            </w:r>
            <w:r>
              <w:t xml:space="preserve"> </w:t>
            </w:r>
            <w:r>
              <w:rPr>
                <w:b/>
                <w:i/>
              </w:rPr>
              <w:t>vyjadřuje znepokojení nad tím, že úřad EPPO nebyl zapojen do tohoto postupu ani do vnitrostátního soudního systému;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204c.</w:t>
            </w:r>
            <w:r>
              <w:tab/>
            </w:r>
            <w:r>
              <w:rPr>
                <w:b/>
                <w:i/>
              </w:rPr>
              <w:t>vyjadřuje politování nad intervencionismem a vměšováním Komise do volebních procesů členských států nebo cizích zemí ve jménu aktu o digitálních službách nebo z jiných důvodů, jako je dopis Thierryho Bretona, v němž kritizoval rozhovor Elona Muska s Donaldem Trumpem v létě 2024;</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205.</w:t>
            </w:r>
            <w:r>
              <w:tab/>
            </w:r>
            <w:r>
              <w:t>vyjadřuje politování nad technickými, organizačními a procesními nedostatky ve fungování úřadu EPSO v posledních letech, které vedly k vážnému poškození pověsti obecného náborového procesu Unie a měly vážné negativní důsledky pro mnoho uchazečů, kteří investovali čas a prostředky do snahy zúčastnit se výběrových řízení, která byla zrušena, zpožděna nebo vykazovala vážné technické nedostatky;</w:t>
            </w:r>
          </w:p>
        </w:tc>
        <w:tc>
          <w:tcPr>
            <w:tcW w:w="4876" w:type="dxa"/>
            <w:tcBorders>
              <w:top w:val="nil"/>
              <w:left w:val="nil"/>
              <w:bottom w:val="nil"/>
              <w:right w:val="nil"/>
            </w:tcBorders>
          </w:tcPr>
          <w:p>
            <w:pPr>
              <w:pStyle w:val="Normal6a"/>
            </w:pPr>
            <w:r>
              <w:t>205.</w:t>
            </w:r>
            <w:r>
              <w:tab/>
            </w:r>
            <w:r>
              <w:t xml:space="preserve">vyjadřuje </w:t>
            </w:r>
            <w:r>
              <w:rPr>
                <w:b/>
                <w:i/>
              </w:rPr>
              <w:t>hluboké</w:t>
            </w:r>
            <w:r>
              <w:t xml:space="preserve"> politování nad </w:t>
            </w:r>
            <w:r>
              <w:rPr>
                <w:b/>
                <w:i/>
              </w:rPr>
              <w:t>přetrvávajícími a systémovými</w:t>
            </w:r>
            <w:r>
              <w:t> technickými, organizačními a procesními nedostatky ve fungování úřadu EPSO v posledních letech</w:t>
            </w:r>
            <w:r>
              <w:rPr>
                <w:b/>
                <w:i/>
              </w:rPr>
              <w:t>, včetně opakovaných prodlev, rušení konkurzů a vážných technických nedostatků během online testování a výběrových řízení</w:t>
            </w:r>
            <w:r>
              <w:t xml:space="preserve">, které vedly k vážnému poškození pověsti obecného náborového procesu Unie a měly vážné negativní důsledky pro mnoho uchazečů, kteří investovali </w:t>
            </w:r>
            <w:r>
              <w:rPr>
                <w:b/>
                <w:i/>
              </w:rPr>
              <w:t>značný</w:t>
            </w:r>
            <w:r>
              <w:t xml:space="preserve"> čas a prostředky do snahy zúčastnit se výběrových řízení, která byla zrušena, zpožděna nebo vykazovala vážné technické nedostatky; </w:t>
            </w:r>
            <w:r>
              <w:rPr>
                <w:b/>
                <w:i/>
              </w:rPr>
              <w:t>zdůrazňuje, že tyto nedostatky mohou oslabit atraktivitu, důvěryhodnost a dlouhodobou správní kapacitu orgánů Unie, a proto vyžadují naléhavá nápravná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205a.</w:t>
            </w:r>
            <w:r>
              <w:tab/>
            </w:r>
            <w:r>
              <w:rPr>
                <w:b/>
                <w:i/>
              </w:rPr>
              <w:t>vyjadřuje znepokojení nad zjištěními evropské veřejné ochránkyně práv v několika šetřeních týkajících se fungování úřadu EPSO, v nichž byl zjištěn nesprávný úřední postup při vyřizování stížností uchazečů, zejména v souvislosti s postupy testování na dálku, technickými nedostatky a nedostatky platformy a nekonzistentní nebo nejasnou komunikací s uchazeči ohledně technických problémů;</w:t>
            </w:r>
            <w:r>
              <w:t xml:space="preserve"> </w:t>
            </w:r>
            <w:r>
              <w:rPr>
                <w:b/>
                <w:i/>
              </w:rPr>
              <w:t>bere na vědomí, že veřejná ochránkyně práv kritizovala úřad EPSO za jeho nepružnost, rozporuplné pokyny, neodůvodněná rozhodnutí a zamítání oprávněných stížností i v případech, kdy uchazeči postupovali podle oficiálních pokynů pro hlášení;</w:t>
            </w:r>
            <w:r>
              <w:t xml:space="preserve"> </w:t>
            </w:r>
            <w:r>
              <w:rPr>
                <w:b/>
                <w:i/>
              </w:rPr>
              <w:t>vítá doporučení veřejné ochránkyně práv ke zlepšení, včetně možnosti, aby uchazeči absolvovali testy ve fyzických testovacích centrech, poskytování jasných a komplexních informací o postupech podávání stížností a potřeby transparentnějšího, spravedlivějšího a pohotovějšího vyřizování stížností uchazečů;</w:t>
            </w:r>
            <w:r>
              <w:t xml:space="preserve"> </w:t>
            </w:r>
            <w:r>
              <w:rPr>
                <w:b/>
                <w:i/>
              </w:rPr>
              <w:t>vyzývá Komisi, aby ve spolupráci s úřadem EPSO a dalšími orgány Unie zajistila úplné a včasné provedení doporučení veřejné ochránkyně práv a obnovila důvěru ve spravedlnost, dostupnost a spolehlivost výběrových řízení úřadu EPSO;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206.</w:t>
            </w:r>
            <w:r>
              <w:tab/>
            </w:r>
            <w:r>
              <w:t xml:space="preserve">vybízí Komisi a vedení úřadu EPSO, aby vyhodnotily všechny </w:t>
            </w:r>
            <w:r>
              <w:rPr>
                <w:b/>
                <w:i/>
              </w:rPr>
              <w:t>aspekty</w:t>
            </w:r>
            <w:r>
              <w:t xml:space="preserve"> výběrového řízení s cílem zajistit, aby se Komise a </w:t>
            </w:r>
            <w:r>
              <w:rPr>
                <w:b/>
                <w:i/>
              </w:rPr>
              <w:t>ostatní</w:t>
            </w:r>
            <w:r>
              <w:t xml:space="preserve"> orgány Unie mohly </w:t>
            </w:r>
            <w:r>
              <w:rPr>
                <w:b/>
                <w:i/>
              </w:rPr>
              <w:t>spolehnout na úřad EPSO při vyhledávání</w:t>
            </w:r>
            <w:r>
              <w:t xml:space="preserve"> a výběru vysoce kvalifikovaných a motivovaných uchazečů pro všechny typy pracovních míst v </w:t>
            </w:r>
            <w:r>
              <w:rPr>
                <w:b/>
                <w:i/>
              </w:rPr>
              <w:t>těchto</w:t>
            </w:r>
            <w:r>
              <w:t xml:space="preserve"> orgánech; zároveň vyzývá Komisi, aby se zabývala přetrvávající nerovnováhou v zeměpisném zastoupení v rámci jednotlivých útvarů;</w:t>
            </w:r>
          </w:p>
        </w:tc>
        <w:tc>
          <w:tcPr>
            <w:tcW w:w="4876" w:type="dxa"/>
            <w:tcBorders>
              <w:top w:val="nil"/>
              <w:left w:val="nil"/>
              <w:bottom w:val="nil"/>
              <w:right w:val="nil"/>
            </w:tcBorders>
          </w:tcPr>
          <w:p>
            <w:pPr>
              <w:pStyle w:val="Normal6a"/>
            </w:pPr>
            <w:r>
              <w:t>206.</w:t>
            </w:r>
            <w:r>
              <w:tab/>
            </w:r>
            <w:r>
              <w:t xml:space="preserve">vybízí Komisi a vedení úřadu EPSO, aby </w:t>
            </w:r>
            <w:r>
              <w:rPr>
                <w:b/>
                <w:i/>
              </w:rPr>
              <w:t>se řešením těchto nedostatků zabývaly přednostně a aby</w:t>
            </w:r>
            <w:r>
              <w:t xml:space="preserve"> vyhodnotily všechny </w:t>
            </w:r>
            <w:r>
              <w:rPr>
                <w:b/>
                <w:i/>
              </w:rPr>
              <w:t>nedostatky týkající se kritických aspektů</w:t>
            </w:r>
            <w:r>
              <w:t xml:space="preserve"> výběrového řízení</w:t>
            </w:r>
            <w:r>
              <w:rPr>
                <w:b/>
                <w:i/>
              </w:rPr>
              <w:t>, včetně správy, digitální infrastruktury a komunikace s uchazeči,</w:t>
            </w:r>
            <w:r>
              <w:t xml:space="preserve"> s cílem zajistit, aby se Komise a </w:t>
            </w:r>
            <w:r>
              <w:rPr>
                <w:b/>
                <w:i/>
              </w:rPr>
              <w:t>další</w:t>
            </w:r>
            <w:r>
              <w:t xml:space="preserve"> orgány Unie mohly </w:t>
            </w:r>
            <w:r>
              <w:rPr>
                <w:b/>
                <w:i/>
              </w:rPr>
              <w:t>při určování</w:t>
            </w:r>
            <w:r>
              <w:t xml:space="preserve"> a výběru vysoce kvalifikovaných a motivovaných uchazečů pro všechny typy pracovních míst v orgánech </w:t>
            </w:r>
            <w:r>
              <w:rPr>
                <w:b/>
                <w:i/>
              </w:rPr>
              <w:t>a institucích plně a neprodleně spolehnout na úřad EPSO</w:t>
            </w:r>
            <w:r>
              <w:t>; zároveň vyzývá Komisi, aby se zabývala přetrvávající nerovnováhou v zeměpisném zastoupení v rámci jednotlivých útvarů;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206a.</w:t>
            </w:r>
            <w:r>
              <w:tab/>
            </w:r>
            <w:r>
              <w:rPr>
                <w:b/>
                <w:i/>
              </w:rPr>
              <w:t>vybízí systém JSIS, aby poskytoval krytí pro širší škálu onemocnění, včetně dalších autoimunitních onemocnění, a aby proplácel širší škálu testování a léčby;</w:t>
            </w:r>
            <w:r>
              <w:t xml:space="preserve"> </w:t>
            </w:r>
            <w:r>
              <w:rPr>
                <w:b/>
                <w:i/>
              </w:rPr>
              <w:t>vybízí rovněž systém JSIS, aby zajistil dostupnost horké linky během celé pracovní doby od 9 do 17:30 hodin a aby bylo na telefonáty rychle reagováno;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208a.</w:t>
            </w:r>
            <w:r>
              <w:tab/>
            </w:r>
            <w:r>
              <w:rPr>
                <w:b/>
                <w:i/>
              </w:rPr>
              <w:t>poukazuje na to, že účelem školy je naučit se číst, psát a počítat;</w:t>
            </w:r>
            <w:r>
              <w:t xml:space="preserve"> </w:t>
            </w:r>
            <w:r>
              <w:rPr>
                <w:b/>
                <w:i/>
              </w:rPr>
              <w:t>konstatuje, že v některých evropských školách není systematicky upřednostňováno, aby se žáci bezodkladně naučili psát;</w:t>
            </w:r>
            <w:r>
              <w:t xml:space="preserve"> </w:t>
            </w:r>
            <w:r>
              <w:rPr>
                <w:b/>
                <w:i/>
              </w:rPr>
              <w:t>konstatuje, že učitelé někdy nejsou nahrazováni;</w:t>
            </w:r>
            <w:r>
              <w:t xml:space="preserve"> </w:t>
            </w:r>
            <w:r>
              <w:rPr>
                <w:b/>
                <w:i/>
              </w:rPr>
              <w:t>je si vědom opakujících se výpadků elektřiny, které postihují některé evropské školy, a stížností zejména na čistotu prostor a toalet, přičemž je vyvíjeno úsilí o instalaci genderově neutrálních toalet a podporu ideologie woke ve školních knihovnách;</w:t>
            </w:r>
            <w:r>
              <w:t xml:space="preserve"> </w:t>
            </w:r>
            <w:r>
              <w:rPr>
                <w:b/>
                <w:i/>
              </w:rPr>
              <w:t>konstatuje, že se studiem jazyků se začíná pozdě a někdy je svěřováno cizincům, ačkoli by mělo být možné nalézt v Belgii belgické občany, kteří hovoří francouzsky;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Joachim Stanisław Brudziński,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210a.</w:t>
            </w:r>
            <w:r>
              <w:tab/>
            </w:r>
            <w:r>
              <w:rPr>
                <w:b/>
                <w:i/>
              </w:rPr>
              <w:t>se znepokojením konstatuje, že Komise v roce 2024 odpověděla ve lhůtách stanovených v jednacím řádu Parlamentu pouze na omezený počet otázek k písemnému zodpovězení, včetně zvláště nízkého počtu prioritních otázek, a že v mnoha případech odpověděla po uplynutí lhůty;</w:t>
            </w:r>
            <w:r>
              <w:t xml:space="preserve"> </w:t>
            </w:r>
            <w:r>
              <w:rPr>
                <w:b/>
                <w:i/>
              </w:rPr>
              <w:t>připomíná, že poskytování včasných a věcných odpovědí je klíčovým prvkem účinné parlamentní kontroly a demokratické odpovědnosti;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211a.</w:t>
            </w:r>
            <w:r>
              <w:tab/>
            </w:r>
            <w:r>
              <w:rPr>
                <w:b/>
                <w:i/>
              </w:rPr>
              <w:t>konstatuje, že generální ředitelka Komise pro rozpočet během svého slyšení v září 2025 nevysvětlila, v jaké rozpočtové položce ani proč Komise v roce 2024 vykázala v systému finanční transparentnosti společnosti Pfizer platbu ve výši 53,57 milionu EUR;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 podbod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rPr>
                <w:b/>
                <w:i/>
              </w:rPr>
              <w:t>zaručila důsledné a důvěryhodné provádění nových pokynů týkajících se</w:t>
            </w:r>
            <w:r>
              <w:t xml:space="preserve"> používání textových zpráv </w:t>
            </w:r>
            <w:r>
              <w:rPr>
                <w:b/>
                <w:i/>
              </w:rPr>
              <w:t>v souvislosti s pracovními postupy, zejména ve vztahu ke komisařům a předsedovi Komise, aby se předešlo budoucí oprávněné kritice způsobu, jakým Komise s těmito zprávami nakládá</w:t>
            </w:r>
            <w:r>
              <w:t>;</w:t>
            </w:r>
          </w:p>
        </w:tc>
        <w:tc>
          <w:tcPr>
            <w:tcW w:w="4876" w:type="dxa"/>
            <w:tcBorders>
              <w:top w:val="nil"/>
              <w:left w:val="nil"/>
              <w:bottom w:val="nil"/>
              <w:right w:val="nil"/>
            </w:tcBorders>
          </w:tcPr>
          <w:p>
            <w:pPr>
              <w:pStyle w:val="Normal6a"/>
            </w:pPr>
            <w:r>
              <w:t>vi)</w:t>
            </w:r>
            <w:r>
              <w:tab/>
            </w:r>
            <w:r>
              <w:rPr>
                <w:b/>
                <w:i/>
              </w:rPr>
              <w:t>zajistí, že</w:t>
            </w:r>
            <w:r>
              <w:t xml:space="preserve"> používání textových zpráv </w:t>
            </w:r>
            <w:r>
              <w:rPr>
                <w:b/>
                <w:i/>
              </w:rPr>
              <w:t>neoslabuje transparentnost v tom smyslu, že zaručuje, aby neformální výměny nenahrazovaly oficiální komunikaci a aby veškeré informace týkající se rozhodování nebo pracovních postupů byly předávány oficiálními kanály při plném dodržování požadavků na transparentnost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212 – podbod vi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via)</w:t>
            </w:r>
            <w:r>
              <w:tab/>
            </w:r>
            <w:r>
              <w:rPr>
                <w:b/>
                <w:i/>
              </w:rPr>
              <w:t>revidovat změny z roku 2024 a změnit svůj jednací řád, aby byl zajištěn plný soulad s nařízením č. 1049/2001;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212 – podbod vii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 a)</w:t>
            </w:r>
            <w:r>
              <w:tab/>
            </w:r>
            <w:r>
              <w:rPr>
                <w:b/>
                <w:i/>
              </w:rPr>
              <w:t>zajistit předvídatelné, jednotné a nesvévolné uplatňování svých pravidel pro zlepšování právní úpravy tím, že vymezí „naléhavé“ situace, které odůvodňují odchylku od požadavků stanovených v pravidlech, a v případě udělení odchylek stanoví postup, který zajistí, aby naléhavá příprava legislativních návrhů byla stále v souladu se zásadami transparentního a inkluzivního legislativního procesu založeného na důkazech;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212 – podbod vii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 b)</w:t>
            </w:r>
            <w:r>
              <w:tab/>
            </w:r>
            <w:r>
              <w:rPr>
                <w:b/>
                <w:i/>
              </w:rPr>
              <w:t>s ohledem na kodex chování členů Evropské komise přezkoumat okolnosti účasti výkonného místopředsedy pro soudržnost a reformy a komisaře pro obranu a vesmír na tiskové konferenci dne 5. února 2026 na podporu národního kandidáta ve Slovinsku během kampaně pouze několik týdnů před volbami a sdílet své posouzení s orgánem příslušným k udělení absolutoria a zajistit, aby k takovým situacím v budoucnu nedošlo;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212 – podbod ix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ix a)</w:t>
            </w:r>
            <w:r>
              <w:tab/>
            </w:r>
            <w:r>
              <w:rPr>
                <w:b/>
                <w:i/>
              </w:rPr>
              <w:t>nechává provést nezávislý audit srozumitelnosti svých hlavních výstupů určených veřejnosti, včetně tiskových zpráv, programových příruček a výročních zpráv o činnosti, ve srovnání se sděleními vnitrostátních vlád v úředních jazycích Unie;</w:t>
            </w:r>
            <w:r>
              <w:t xml:space="preserve"> </w:t>
            </w:r>
            <w:r>
              <w:rPr>
                <w:b/>
                <w:i/>
              </w:rPr>
              <w:t>trvá na tom, aby byly výsledky zveřejněny a aby Komise vypracovala konkrétní akční plán s jasnými cíli a lhůtami, aby její komunikace dosáhla úrovně, která bude přístupná občanům se středoškolským vzděláním;</w:t>
            </w:r>
            <w:r>
              <w:t xml:space="preserve"> </w:t>
            </w:r>
            <w:r>
              <w:rPr>
                <w:b/>
                <w:i/>
              </w:rPr>
              <w:t>zdůrazňuje, že finanční prostředky přidělené na komunikační činnosti Komise nelze považovat za dobře vynaložené, pokud jsou výstupy pro daňové poplatníky, kteří je financují, nepochopitelné;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215a.</w:t>
            </w:r>
            <w:r>
              <w:tab/>
            </w:r>
            <w:r>
              <w:rPr>
                <w:b/>
                <w:i/>
              </w:rPr>
              <w:t>konstatuje, že v rámci Nástroje pro oživení a odolnost jsou platby Evropské komise podmíněny uspokojivým plněním dohodnutých milníků a cílů, a nikoli ověřováním souladu jednotlivých výdajů s pravidly EU a vnitrostátními pravidly, což ztěžuje posouzení souladu s platnými právními požadavky;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215b.</w:t>
            </w:r>
            <w:r>
              <w:tab/>
            </w:r>
            <w:r>
              <w:rPr>
                <w:b/>
                <w:i/>
              </w:rPr>
              <w:t>konstatuje, že nařízení o Nástroji pro oživení a odolnost nespecifikuje kritéria pro výklad pojmu „uspokojivý“ ve vztahu k plnění milníků a cílů a že v případě kvalitativních kritérií závisí toto posouzení na více úsudcích, což vede k různým možným výkladům toho, zda byly milníky nebo cíle uspokojivě splněny. Konstatuje, že v důsledku zjištěných vágně definovaných milníků nebo cílů zůstávají kritéria pro posuzování jejich plnění nejasná.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Tomáš Zdechovský, Jacek Protas,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217.</w:t>
            </w:r>
            <w:r>
              <w:tab/>
            </w:r>
            <w:r>
              <w:t xml:space="preserve">připomíná, že supermilníky RRF pro Polsko stanovily konkrétní reformy v oblasti justice, včetně zaprvé zrušení kárného kolegia Nejvyššího soudu a jejího nahrazení nezávislým kolegiem Nejvyššího soudu a zadruhé, aby všichni soudci, kterých se rozhodnutí kárného kolegia týkají, měli právo na přezkoumání svého případu novým kolegiem v jasně stanoveném časovém rámci; konstatuje, že vláda PiS ve snaze dosáhnout splnění tohoto super milníku zrušila kárné kolegium a v červnu 2022 vytvořila novou komoru profesní odpovědnosti, a zdůrazňuje, že nebyly vyplaceny žádné finanční prostředky Unie, neboť se jednalo o kosmetickou změnu; konstatuje, že </w:t>
            </w:r>
            <w:r>
              <w:rPr>
                <w:b/>
                <w:i/>
              </w:rPr>
              <w:t>poté, co se v roce 2023 dostal k moci kabinet Donalda Tuska, využila</w:t>
            </w:r>
            <w:r>
              <w:t xml:space="preserve"> Komise </w:t>
            </w:r>
            <w:r>
              <w:rPr>
                <w:b/>
                <w:i/>
              </w:rPr>
              <w:t>stejných reforem, které o rok dříve schválila vláda PiS,</w:t>
            </w:r>
            <w:r>
              <w:t xml:space="preserve"> a prohlásila</w:t>
            </w:r>
            <w:r>
              <w:rPr>
                <w:b/>
                <w:i/>
              </w:rPr>
              <w:t>, že supermilník byl splněn;</w:t>
            </w:r>
            <w:r>
              <w:t xml:space="preserve"> </w:t>
            </w:r>
            <w:r>
              <w:rPr>
                <w:b/>
                <w:i/>
              </w:rPr>
              <w:t>zdůrazňuje, že tato posloupnost vyvolává vážné pochybnosti o tom, zda jsou milníky týkající se nezávislosti polské justice plně a trvale splněny, a že uvolnění</w:t>
            </w:r>
            <w:r>
              <w:t xml:space="preserve"> prostředků z nástroje </w:t>
            </w:r>
            <w:r>
              <w:rPr>
                <w:b/>
                <w:i/>
              </w:rPr>
              <w:t>RRF mohlo být předčasné, protože hlavní prvky supermilníků zůstávají nesplněny</w:t>
            </w:r>
            <w:r>
              <w:t xml:space="preserve">; zdůrazňuje, že </w:t>
            </w:r>
            <w:r>
              <w:rPr>
                <w:b/>
                <w:i/>
              </w:rPr>
              <w:t>Účetní dvůr rovněž zjistil závažné nedostatky v postupu jmenování soudců v Polsku, ale vzhledem k probíhajícímu řízení</w:t>
            </w:r>
            <w:r>
              <w:t xml:space="preserve"> Soudního dvora </w:t>
            </w:r>
            <w:r>
              <w:rPr>
                <w:b/>
                <w:i/>
              </w:rPr>
              <w:t>Evropské unie (SDEU) ve věci C-517/24 týkající se žádosti o rozhodnutí o předběžné otázce, která s touto věcí přímo souvisí, se Účetní dvůr rozhodl ve svých výročních zprávách za rok 2024 nepředložit závěr o uspokojivém splnění těchto dvou milníků</w:t>
            </w:r>
            <w:r>
              <w:t xml:space="preserve">; </w:t>
            </w:r>
            <w:r>
              <w:rPr>
                <w:b/>
                <w:i/>
              </w:rPr>
              <w:t>zdůrazňuje, že závěr ve věci C-517/24 bude rozhodující pro posouzení správnosti dotčených plateb z nástroje RRF;</w:t>
            </w:r>
          </w:p>
        </w:tc>
        <w:tc>
          <w:tcPr>
            <w:tcW w:w="4876" w:type="dxa"/>
            <w:tcBorders>
              <w:top w:val="nil"/>
              <w:left w:val="nil"/>
              <w:bottom w:val="nil"/>
              <w:right w:val="nil"/>
            </w:tcBorders>
          </w:tcPr>
          <w:p>
            <w:pPr>
              <w:pStyle w:val="Normal6a"/>
            </w:pPr>
            <w:r>
              <w:t>217.</w:t>
            </w:r>
            <w:r>
              <w:tab/>
            </w:r>
            <w:r>
              <w:t xml:space="preserve">připomíná, že supermilníky RRF pro Polsko stanovily konkrétní reformy v oblasti justice, včetně zaprvé zrušení kárného kolegia Nejvyššího soudu a jejího nahrazení nezávislým kolegiem Nejvyššího soudu a zadruhé, aby všichni soudci, kterých se rozhodnutí kárného kolegia týkají, měli právo na přezkoumání svého případu novým kolegiem v jasně stanoveném časovém rámci; konstatuje, že vláda PiS ve snaze dosáhnout splnění tohoto super milníku zrušila kárné kolegium a v červnu 2022 vytvořila novou komoru profesní odpovědnosti, a zdůrazňuje, že nebyly vyplaceny žádné finanční prostředky Unie, neboť se jednalo o kosmetickou změnu; konstatuje, že Komise </w:t>
            </w:r>
            <w:r>
              <w:rPr>
                <w:b/>
                <w:i/>
              </w:rPr>
              <w:t>následně posoudila další vývoj</w:t>
            </w:r>
            <w:r>
              <w:t xml:space="preserve"> a prohlásila </w:t>
            </w:r>
            <w:r>
              <w:rPr>
                <w:b/>
                <w:i/>
              </w:rPr>
              <w:t>supermilníky za splněné, což umožnilo vyplacení finančních</w:t>
            </w:r>
            <w:r>
              <w:t xml:space="preserve"> prostředků z Nástroje </w:t>
            </w:r>
            <w:r>
              <w:rPr>
                <w:b/>
                <w:i/>
              </w:rPr>
              <w:t>pro oživení a odolnost</w:t>
            </w:r>
            <w:r>
              <w:t xml:space="preserve">; zdůrazňuje, že </w:t>
            </w:r>
            <w:r>
              <w:rPr>
                <w:b/>
                <w:i/>
              </w:rPr>
              <w:t>plnění milníků nezávislosti soudnictví musí být v praxi úplné, účinné a trvalé v souladu s právem Unie a judikaturou</w:t>
            </w:r>
            <w:r>
              <w:t xml:space="preserve"> Soudního dvora</w:t>
            </w:r>
            <w:r>
              <w:rPr>
                <w:b/>
                <w:i/>
              </w:rPr>
              <w:t>, aby byla zajištěna právní jistota a ochrana rozpočtu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217.</w:t>
            </w:r>
            <w:r>
              <w:tab/>
            </w:r>
            <w:r>
              <w:t xml:space="preserve">připomíná, že supermilníky RRF pro Polsko stanovily konkrétní reformy v oblasti justice, včetně zaprvé zrušení kárného kolegia Nejvyššího soudu a jejího nahrazení nezávislým kolegiem Nejvyššího soudu a zadruhé, aby všichni soudci, kterých se rozhodnutí kárného kolegia týkají, měli právo na přezkoumání svého případu novým kolegiem v jasně stanoveném časovém rámci; konstatuje, že </w:t>
            </w:r>
            <w:r>
              <w:rPr>
                <w:b/>
                <w:i/>
              </w:rPr>
              <w:t>vláda PiS</w:t>
            </w:r>
            <w:r>
              <w:t xml:space="preserve"> ve snaze dosáhnout </w:t>
            </w:r>
            <w:r>
              <w:rPr>
                <w:b/>
                <w:i/>
              </w:rPr>
              <w:t>splnění tohoto</w:t>
            </w:r>
            <w:r>
              <w:t xml:space="preserve"> super </w:t>
            </w:r>
            <w:r>
              <w:rPr>
                <w:b/>
                <w:i/>
              </w:rPr>
              <w:t>milníku zrušila kárné kolegium a</w:t>
            </w:r>
            <w:r>
              <w:t xml:space="preserve"> v červnu 2022 vytvořila novou komoru profesní odpovědnosti</w:t>
            </w:r>
            <w:r>
              <w:rPr>
                <w:b/>
                <w:i/>
              </w:rPr>
              <w:t>, a</w:t>
            </w:r>
            <w:r>
              <w:t xml:space="preserve"> zdůrazňuje, že nebyly vyplaceny žádné finanční prostředky Unie, </w:t>
            </w:r>
            <w:r>
              <w:rPr>
                <w:b/>
                <w:i/>
              </w:rPr>
              <w:t>neboť se jednalo o kosmetickou změnu</w:t>
            </w:r>
            <w:r>
              <w:t>; konstatuje, že poté, co se v roce 2023 dostal k moci kabinet Donalda Tuska, využila Komise stejných reforem, které o rok dříve schválila vláda PiS, a prohlásila, že supermilník byl splněn; zdůrazňuje, že tato posloupnost vyvolává vážné pochybnosti o tom, zda jsou milníky týkající se nezávislosti polské justice plně a trvale splněny, a že uvolnění prostředků z nástroje RRF mohlo být předčasné, protože hlavní prvky supermilníků zůstávají nesplněny; zdůrazňuje, že Účetní dvůr rovněž zjistil závažné nedostatky v postupu jmenování soudců v Polsku, ale vzhledem k probíhajícímu řízení Soudního dvora Evropské unie (SDEU) ve věci C-517/24 týkající se žádosti o rozhodnutí o předběžné otázce, která s touto věcí přímo souvisí, se Účetní dvůr rozhodl ve svých výročních zprávách za rok 2024 nepředložit závěr o uspokojivém splnění těchto dvou milníků; zdůrazňuje, že závěr ve věci C-517/24 bude rozhodující pro posouzení správnosti dotčených plateb z nástroje RRF;</w:t>
            </w:r>
          </w:p>
        </w:tc>
        <w:tc>
          <w:tcPr>
            <w:tcW w:w="4876" w:type="dxa"/>
            <w:tcBorders>
              <w:top w:val="nil"/>
              <w:left w:val="nil"/>
              <w:bottom w:val="nil"/>
              <w:right w:val="nil"/>
            </w:tcBorders>
          </w:tcPr>
          <w:p>
            <w:pPr>
              <w:pStyle w:val="Normal6a"/>
            </w:pPr>
            <w:r>
              <w:t>217.</w:t>
            </w:r>
            <w:r>
              <w:tab/>
            </w:r>
            <w:r>
              <w:t xml:space="preserve">připomíná, že supermilníky RRF pro Polsko stanovily konkrétní reformy v oblasti justice, včetně zaprvé zrušení kárného kolegia Nejvyššího soudu a jejího nahrazení nezávislým kolegiem Nejvyššího soudu a zadruhé, aby všichni soudci, kterých se rozhodnutí kárného kolegia týkají, měli právo na přezkoumání svého případu novým kolegiem v jasně stanoveném časovém rámci; konstatuje, že ve snaze dosáhnout </w:t>
            </w:r>
            <w:r>
              <w:rPr>
                <w:b/>
                <w:i/>
              </w:rPr>
              <w:t>souladu s tímto „</w:t>
            </w:r>
            <w:r>
              <w:t xml:space="preserve">super </w:t>
            </w:r>
            <w:r>
              <w:rPr>
                <w:b/>
                <w:i/>
              </w:rPr>
              <w:t>milníkem“ vláda PiS</w:t>
            </w:r>
            <w:r>
              <w:t xml:space="preserve"> v červnu 2022 </w:t>
            </w:r>
            <w:r>
              <w:rPr>
                <w:b/>
                <w:i/>
              </w:rPr>
              <w:t>zrušila disciplinární komoru a</w:t>
            </w:r>
            <w:r>
              <w:t xml:space="preserve"> vytvořila novou komoru profesní odpovědnosti</w:t>
            </w:r>
            <w:r>
              <w:rPr>
                <w:b/>
                <w:i/>
              </w:rPr>
              <w:t>;</w:t>
            </w:r>
            <w:r>
              <w:t xml:space="preserve"> zdůrazňuje, že nebyly vyplaceny žádné finanční prostředky Unie, </w:t>
            </w:r>
            <w:r>
              <w:rPr>
                <w:b/>
                <w:i/>
              </w:rPr>
              <w:t>protože Komise chtěla vyvinout politický tlak na pravicovou lidovou a nacionalistickou vládu zvolenou polským lidem;</w:t>
            </w:r>
            <w:r>
              <w:t xml:space="preserve"> </w:t>
            </w:r>
            <w:r>
              <w:rPr>
                <w:b/>
                <w:i/>
              </w:rPr>
              <w:t>tím Komise překročila svou úlohu neutrálního ručitele</w:t>
            </w:r>
            <w:r>
              <w:t xml:space="preserve">; konstatuje, že poté, co se v roce 2023 dostal k moci </w:t>
            </w:r>
            <w:r>
              <w:rPr>
                <w:b/>
                <w:i/>
              </w:rPr>
              <w:t>proevropský</w:t>
            </w:r>
            <w:r>
              <w:t xml:space="preserve"> kabinet Donalda Tuska, využila Komise stejných reforem, které o rok dříve schválila vláda PiS, a prohlásila, že supermilník byl splněn; zdůrazňuje, že tato posloupnost vyvolává vážné pochybnosti o tom, zda jsou milníky týkající se nezávislosti polské justice plně a trvale splněny, a že uvolnění prostředků z nástroje RRF mohlo být předčasné, protože hlavní prvky supermilníků zůstávají nesplněny; zdůrazňuje, že Účetní dvůr rovněž zjistil závažné nedostatky v postupu jmenování soudců v Polsku, ale vzhledem k probíhajícímu řízení Soudního dvora Evropské unie (SDEU) ve věci C-517/24 týkající se žádosti o rozhodnutí o předběžné otázce, která s touto věcí přímo souvisí, se Účetní dvůr rozhodl ve svých výročních zprávách za rok 2024 nepředložit závěr o uspokojivém splnění těchto dvou milníků; zdůrazňuje, že závěr ve věci C-517/24 bude rozhodující pro posouzení správnosti dotčených plateb z nástroje RRF;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218.</w:t>
            </w:r>
            <w:r>
              <w:tab/>
            </w:r>
            <w:r>
              <w:rPr>
                <w:b/>
                <w:i/>
              </w:rPr>
              <w:t>se zvláštním znepokojením</w:t>
            </w:r>
            <w:r>
              <w:t xml:space="preserve"> konstatuje, že Účetní dvůr zjistil, že projekty týkající se jednoho milníku a tří cílů ve dvou platbách byly zahájeny před obdobím způsobilosti; konstatuje, že v nařízení se stanoví, že v rámci nástroje RRF mohou být financována pouze opatření zahájená 1. února 2020 a později, ale nestanoví se v něm, co se rozumí slovem „zahájení“ opatření; konstatuje, že v říjnu 2024 vydala Komise pokyny, </w:t>
            </w:r>
            <w:r>
              <w:rPr>
                <w:b/>
                <w:i/>
              </w:rPr>
              <w:t>v nichž určila, že</w:t>
            </w:r>
            <w:r>
              <w:t xml:space="preserve"> „zahájení“ opatření </w:t>
            </w:r>
            <w:r>
              <w:rPr>
                <w:b/>
                <w:i/>
              </w:rPr>
              <w:t>chápe</w:t>
            </w:r>
            <w:r>
              <w:t xml:space="preserve"> jako začátek jeho provádění v praxi </w:t>
            </w:r>
            <w:r>
              <w:rPr>
                <w:b/>
                <w:i/>
              </w:rPr>
              <w:t>v okamžiku</w:t>
            </w:r>
            <w:r>
              <w:t xml:space="preserve">, kdy náklady </w:t>
            </w:r>
            <w:r>
              <w:rPr>
                <w:b/>
                <w:i/>
              </w:rPr>
              <w:t>skutečně vzniknou;</w:t>
            </w:r>
            <w:r>
              <w:t xml:space="preserve"> </w:t>
            </w:r>
            <w:r>
              <w:rPr>
                <w:b/>
                <w:i/>
              </w:rPr>
              <w:t>připomíná však názor Účetního dvora, že za počátek</w:t>
            </w:r>
            <w:r>
              <w:t xml:space="preserve"> opatření </w:t>
            </w:r>
            <w:r>
              <w:rPr>
                <w:b/>
                <w:i/>
              </w:rPr>
              <w:t>je třeba považovat</w:t>
            </w:r>
            <w:r>
              <w:t xml:space="preserve"> datum prvního právního závazku (např. smlouvy, objednávky nebo rozhodnutí o financování), </w:t>
            </w:r>
            <w:r>
              <w:rPr>
                <w:b/>
                <w:i/>
              </w:rPr>
              <w:t>neboť to</w:t>
            </w:r>
            <w:r>
              <w:t xml:space="preserve"> představuje zahájení první činnosti související s opatřením; </w:t>
            </w:r>
            <w:r>
              <w:rPr>
                <w:b/>
                <w:i/>
              </w:rPr>
              <w:t>nesdílí výklad</w:t>
            </w:r>
            <w:r>
              <w:t xml:space="preserve"> Komise</w:t>
            </w:r>
            <w:r>
              <w:rPr>
                <w:b/>
                <w:i/>
              </w:rPr>
              <w:t>, že období způsobilosti se vztahuje pouze k datu</w:t>
            </w:r>
            <w:r>
              <w:t xml:space="preserve"> zahájení </w:t>
            </w:r>
            <w:r>
              <w:rPr>
                <w:b/>
                <w:i/>
              </w:rPr>
              <w:t>prací na konkrétním projektu, a nikoli na</w:t>
            </w:r>
            <w:r>
              <w:t xml:space="preserve"> zahájení </w:t>
            </w:r>
            <w:r>
              <w:rPr>
                <w:b/>
                <w:i/>
              </w:rPr>
              <w:t>přípravné nebo projektové fáze</w:t>
            </w:r>
            <w:r>
              <w:t>;</w:t>
            </w:r>
          </w:p>
        </w:tc>
        <w:tc>
          <w:tcPr>
            <w:tcW w:w="4876" w:type="dxa"/>
            <w:tcBorders>
              <w:top w:val="nil"/>
              <w:left w:val="nil"/>
              <w:bottom w:val="nil"/>
              <w:right w:val="nil"/>
            </w:tcBorders>
          </w:tcPr>
          <w:p>
            <w:pPr>
              <w:pStyle w:val="Normal6a"/>
            </w:pPr>
            <w:r>
              <w:t>218.</w:t>
            </w:r>
            <w:r>
              <w:tab/>
            </w:r>
            <w:r>
              <w:t xml:space="preserve">konstatuje, že Účetní dvůr zjistil, že projekty týkající se jednoho milníku a tří cílů ve dvou platbách byly zahájeny před obdobím způsobilosti; konstatuje, že v nařízení se stanoví, že v rámci nástroje RRF mohou být financována pouze opatření zahájená 1. února 2020 a později, ale nestanoví se v něm, co se rozumí slovem „zahájení“ opatření; konstatuje, že v říjnu 2024 vydala Komise pokyny, </w:t>
            </w:r>
            <w:r>
              <w:rPr>
                <w:b/>
                <w:i/>
              </w:rPr>
              <w:t>které vykládají</w:t>
            </w:r>
            <w:r>
              <w:t xml:space="preserve"> „zahájení“ opatření jako začátek jeho provádění v praxi, kdy </w:t>
            </w:r>
            <w:r>
              <w:rPr>
                <w:b/>
                <w:i/>
              </w:rPr>
              <w:t>se</w:t>
            </w:r>
            <w:r>
              <w:t xml:space="preserve"> náklady </w:t>
            </w:r>
            <w:r>
              <w:rPr>
                <w:b/>
                <w:i/>
              </w:rPr>
              <w:t>naplní, uznává, že Účetní dvůr považuje zahájení</w:t>
            </w:r>
            <w:r>
              <w:t xml:space="preserve"> opatření </w:t>
            </w:r>
            <w:r>
              <w:rPr>
                <w:b/>
                <w:i/>
              </w:rPr>
              <w:t>za</w:t>
            </w:r>
            <w:r>
              <w:t xml:space="preserve"> datum prvního právního závazku (např. smlouvy, objednávky nebo rozhodnutí o financování), </w:t>
            </w:r>
            <w:r>
              <w:rPr>
                <w:b/>
                <w:i/>
              </w:rPr>
              <w:t>což</w:t>
            </w:r>
            <w:r>
              <w:t xml:space="preserve"> představuje zahájení první činnosti související s opatřením; </w:t>
            </w:r>
            <w:r>
              <w:rPr>
                <w:b/>
                <w:i/>
              </w:rPr>
              <w:t>zatímco</w:t>
            </w:r>
            <w:r>
              <w:t xml:space="preserve"> Komise </w:t>
            </w:r>
            <w:r>
              <w:rPr>
                <w:b/>
                <w:i/>
              </w:rPr>
              <w:t>považuje</w:t>
            </w:r>
            <w:r>
              <w:t xml:space="preserve"> zahájení </w:t>
            </w:r>
            <w:r>
              <w:rPr>
                <w:b/>
                <w:i/>
              </w:rPr>
              <w:t>za začátek provádění v praxi, jakmile se náklady naplní; uznává, že existují různé výklady toho, co představuje „</w:t>
            </w:r>
            <w:r>
              <w:t>zahájení</w:t>
            </w:r>
            <w:r>
              <w:rPr>
                <w:b/>
                <w:i/>
              </w:rPr>
              <w:t>“ opatření v rámci Nástroje pro oživení a odolnost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221.</w:t>
            </w:r>
            <w:r>
              <w:tab/>
            </w:r>
            <w:r>
              <w:t>konstatuje, že do konce roku 2024 činily platby v rámci nástroje RRF 197,5 miliardy EUR z 358,9 miliardy EUR v přislíbených grantech, přičemž do konce roku 2026 zbývalo vyplatit až 161,4 miliardy EUR; konstatuje, že tento značný objem neuhrazených plateb, který se soustředí do posledních dvou let provádění tohoto nástroje, zvyšuje riziko překážek v provádění a dalších zpoždění, zejména v členských státech, které se potýkají s omezenými strukturálními kapacitami; zdůrazňuje, že včasné čerpání zbývajících grantů z nástroje RRF bude záviset na kvalitě a fázi provádění reforem a investic, stabilitě vnitrostátních řídících systémů a schopnosti Komise účinně zpracovávat velké množství žádostí o platby v krátké době;</w:t>
            </w:r>
          </w:p>
        </w:tc>
        <w:tc>
          <w:tcPr>
            <w:tcW w:w="4876" w:type="dxa"/>
            <w:tcBorders>
              <w:top w:val="nil"/>
              <w:left w:val="nil"/>
              <w:bottom w:val="nil"/>
              <w:right w:val="nil"/>
            </w:tcBorders>
          </w:tcPr>
          <w:p>
            <w:pPr>
              <w:pStyle w:val="Normal6a"/>
            </w:pPr>
            <w:r>
              <w:t>221.</w:t>
            </w:r>
            <w:r>
              <w:tab/>
            </w:r>
            <w:r>
              <w:t>konstatuje, že do konce roku 2024 činily platby v rámci nástroje RRF 197,5 miliardy EUR z 358,9 miliardy EUR v přislíbených grantech, přičemž do konce roku 2026 zbývalo vyplatit až 161,4 miliardy EUR; konstatuje, že tento značný objem neuhrazených plateb, který se soustředí do posledních dvou let provádění tohoto nástroje, zvyšuje riziko překážek v provádění a dalších zpoždění, zejména v členských státech, které se potýkají s omezenými strukturálními kapacitami; zdůrazňuje, že včasné čerpání zbývajících grantů z nástroje RRF bude záviset na kvalitě a fázi provádění reforem a investic, stabilitě vnitrostátních řídících systémů</w:t>
            </w:r>
            <w:r>
              <w:rPr>
                <w:b/>
                <w:i/>
              </w:rPr>
              <w:t>, dostupnosti správní kapacity a technické podpoře</w:t>
            </w:r>
            <w:r>
              <w:t xml:space="preserve"> a schopnosti Komise účinně zpracovávat velké množství žádostí o platby v krátké době; </w:t>
            </w:r>
            <w:r>
              <w:rPr>
                <w:b/>
                <w:i/>
              </w:rPr>
              <w:t>vyzývá Komisi, aby úzce spolupracovala s členskými státy, zejména s těmi, které čelí omezeným administrativním kapacitám, poskytováním cílené technické pomoci a poradenství s cílem zajistit plné a účinné provádění investic a reforem v rámci RRF ve všech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Tomáš Zdechovský,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224.</w:t>
            </w:r>
            <w:r>
              <w:tab/>
            </w:r>
            <w:r>
              <w:t xml:space="preserve">vyjadřuje znepokojení nad zjištěními Účetního dvora ve zvláštní zprávě č. 22/2024 o dvojím financování plynoucím z modelu nástroje RRF; upozorňuje na to, že vnitrostátní plány členských států mohou obsahovat tzv. „opatření s nulovými náklady“, tj. opatření, u nichž se nepočítá s žádnými náklady, které by měly být financovány z RRF, a v jejichž případě se neprovádí žádné kontroly dvojího financování, neboť se Komise domnívá, že opatření, na něž nejsou přijímány prostředky z nástroje RRF, nepředstavují žádné takové riziko; konstatuje, že </w:t>
            </w:r>
            <w:r>
              <w:rPr>
                <w:b/>
                <w:i/>
              </w:rPr>
              <w:t>v roce 2024</w:t>
            </w:r>
            <w:r>
              <w:t xml:space="preserve"> Účetní dvůr </w:t>
            </w:r>
            <w:r>
              <w:rPr>
                <w:b/>
                <w:i/>
              </w:rPr>
              <w:t>přesto zjistil případ dvojího financování v Chorvatsku;</w:t>
            </w:r>
            <w:r>
              <w:t xml:space="preserve"> </w:t>
            </w:r>
            <w:r>
              <w:rPr>
                <w:b/>
                <w:i/>
              </w:rPr>
              <w:t>dále konstatuje, že Komise neshromažďuje potvrzené údaje o</w:t>
            </w:r>
            <w:r>
              <w:t xml:space="preserve"> případech dvojího financování v </w:t>
            </w:r>
            <w:r>
              <w:rPr>
                <w:b/>
                <w:i/>
              </w:rPr>
              <w:t>rámci</w:t>
            </w:r>
            <w:r>
              <w:t xml:space="preserve"> nástroje </w:t>
            </w:r>
            <w:r>
              <w:rPr>
                <w:b/>
                <w:i/>
              </w:rPr>
              <w:t>RRF v roce 2024 a spoléhá se především na systémy členských států, přestože Účetní dvůr označil</w:t>
            </w:r>
            <w:r>
              <w:t xml:space="preserve"> dvojí financování </w:t>
            </w:r>
            <w:r>
              <w:rPr>
                <w:b/>
                <w:i/>
              </w:rPr>
              <w:t>za strukturální slabinu</w:t>
            </w:r>
            <w:r>
              <w:t>;</w:t>
            </w:r>
          </w:p>
        </w:tc>
        <w:tc>
          <w:tcPr>
            <w:tcW w:w="4876" w:type="dxa"/>
            <w:tcBorders>
              <w:top w:val="nil"/>
              <w:left w:val="nil"/>
              <w:bottom w:val="nil"/>
              <w:right w:val="nil"/>
            </w:tcBorders>
          </w:tcPr>
          <w:p>
            <w:pPr>
              <w:pStyle w:val="Normal6a"/>
            </w:pPr>
            <w:r>
              <w:t>224.</w:t>
            </w:r>
            <w:r>
              <w:tab/>
            </w:r>
            <w:r>
              <w:t xml:space="preserve">vyjadřuje znepokojení nad zjištěními Účetního dvora ve zvláštní zprávě č. 22/2024 o dvojím financování plynoucím z modelu nástroje RRF; upozorňuje na to, že vnitrostátní plány členských států mohou obsahovat tzv. „opatření s nulovými náklady“, tj. opatření, u nichž se nepočítá s žádnými náklady, které by měly být financovány z RRF, a v jejichž případě se neprovádí žádné kontroly dvojího financování, neboť se Komise domnívá, že opatření, na něž nejsou přijímány prostředky z nástroje RRF, nepředstavují žádné takové riziko; konstatuje, že Účetní dvůr </w:t>
            </w:r>
            <w:r>
              <w:rPr>
                <w:b/>
                <w:i/>
              </w:rPr>
              <w:t>informoval o možných</w:t>
            </w:r>
            <w:r>
              <w:t xml:space="preserve"> případech dvojího financování v </w:t>
            </w:r>
            <w:r>
              <w:rPr>
                <w:b/>
                <w:i/>
              </w:rPr>
              <w:t>souvislosti s opatřeními</w:t>
            </w:r>
            <w:r>
              <w:t xml:space="preserve"> Nástroje </w:t>
            </w:r>
            <w:r>
              <w:rPr>
                <w:b/>
                <w:i/>
              </w:rPr>
              <w:t>pro oživení a odolnost;</w:t>
            </w:r>
            <w:r>
              <w:t xml:space="preserve"> </w:t>
            </w:r>
            <w:r>
              <w:rPr>
                <w:b/>
                <w:i/>
              </w:rPr>
              <w:t>připomíná, že oznámené zjištění v Chorvatsku se týká takového opatření s nulovými náklady a že Komise ani členský stát se nedomnívají, že by některé finanční prostředky z Nástroje pro oživení a odolnost byly zdvojeny; zdůrazňuje, že zjištění Účetního dvora odráží odlišný výklad toho, co představuje „financování“ spíše než skutečné</w:t>
            </w:r>
            <w:r>
              <w:t xml:space="preserve"> dvojí financování</w:t>
            </w:r>
            <w:r>
              <w:rPr>
                <w:b/>
                <w:i/>
              </w:rPr>
              <w:t>;</w:t>
            </w:r>
            <w:r>
              <w:t xml:space="preserve"> </w:t>
            </w:r>
            <w:r>
              <w:rPr>
                <w:b/>
                <w:i/>
              </w:rPr>
              <w:t>vyzývá Komisi, aby i nadále sledovala uplatňování pravidel dvojího financování a poskytovala členským státům pokyny k jejich uplatňování, přičemž uznává právní a metodický rámec stanovený v nařízení o Nástroji pro oživení a odolnost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 xml:space="preserve">připomíná, že nařízení stanoví, že opatření a činnosti týkající se dříve splněných milníků a cílů nesmějí být zrušeny a že členské státy musí toto nezrušení potvrdit v prohlášeních řídícího subjektu, která přikládají ke svým žádostem o platbu; </w:t>
            </w:r>
            <w:r>
              <w:rPr>
                <w:b/>
                <w:i/>
              </w:rPr>
              <w:t>se znepokojením konstatuje, že Účetní dvůr zjistil jeden případ zrušení řeckého cíle týkajícího se zřízení a plného provozu 50 zařízení péče o duševní zdraví, který byl ve výroční zprávě Účetního dvora za rok 2023 považován za neuspokojivě splněný, neboť bylo zjištěno, že pět z 50 zařízení není v provozu;</w:t>
            </w:r>
            <w:r>
              <w:t xml:space="preserve"> </w:t>
            </w:r>
            <w:r>
              <w:rPr>
                <w:b/>
                <w:i/>
              </w:rPr>
              <w:t>vyjadřuje politování nad tím, že právní rámec nástroje RRF neumožňuje Komisi účinně zrušení dříve splněných milníků a cílů po 31. prosinci 2026;</w:t>
            </w:r>
          </w:p>
        </w:tc>
        <w:tc>
          <w:tcPr>
            <w:tcW w:w="4876" w:type="dxa"/>
            <w:tcBorders>
              <w:top w:val="nil"/>
              <w:left w:val="nil"/>
              <w:bottom w:val="nil"/>
              <w:right w:val="nil"/>
            </w:tcBorders>
          </w:tcPr>
          <w:p>
            <w:pPr>
              <w:pStyle w:val="Normal6a"/>
            </w:pPr>
            <w:r>
              <w:t>225.</w:t>
            </w:r>
            <w:r>
              <w:tab/>
            </w:r>
            <w:r>
              <w:t>připomíná, že nařízení stanoví, že opatření a činnosti týkající se dříve splněných milníků a cílů nesmějí být zrušeny a že členské státy musí toto nezrušení potvrdit v prohlášeních řídícího subjektu, která přikládají ke svým žádostem o platbu;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 xml:space="preserve">připomíná, že nařízení stanoví, že opatření a činnosti týkající se dříve splněných milníků a cílů nesmějí být zrušeny a že členské státy musí toto nezrušení potvrdit v prohlášeních řídícího subjektu, která přikládají ke svým žádostem o platbu; </w:t>
            </w:r>
            <w:r>
              <w:rPr>
                <w:b/>
                <w:i/>
              </w:rPr>
              <w:t>se znepokojením konstatuje, že Účetní dvůr zjistil jeden případ zrušení řeckého cíle týkajícího se zřízení a plného provozu 50 zařízení péče o duševní zdraví, který byl ve výroční zprávě Účetního dvora za rok 2023 považován za neuspokojivě splněný, neboť bylo zjištěno, že pět z 50 zařízení není v provozu;</w:t>
            </w:r>
            <w:r>
              <w:t xml:space="preserve"> vyjadřuje politování nad tím, že právní rámec nástroje RRF neumožňuje Komisi účinně zrušení dříve splněných milníků a cílů po 31. prosinci 2026;</w:t>
            </w:r>
          </w:p>
        </w:tc>
        <w:tc>
          <w:tcPr>
            <w:tcW w:w="4876" w:type="dxa"/>
            <w:tcBorders>
              <w:top w:val="nil"/>
              <w:left w:val="nil"/>
              <w:bottom w:val="nil"/>
              <w:right w:val="nil"/>
            </w:tcBorders>
          </w:tcPr>
          <w:p>
            <w:pPr>
              <w:pStyle w:val="Normal6a"/>
            </w:pPr>
            <w:r>
              <w:t>225.</w:t>
            </w:r>
            <w:r>
              <w:tab/>
            </w:r>
            <w:r>
              <w:t>připomíná, že nařízení stanoví, že opatření a činnosti týkající se dříve splněných milníků a cílů nesmějí být zrušeny a že členské státy musí toto nezrušení potvrdit v prohlášeních řídícího subjektu, která přikládají ke svým žádostem o platbu; vyjadřuje politování nad tím, že právní rámec nástroje RRF neumožňuje Komisi účinně zrušení dříve splněných milníků a cílů po 31. prosinci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připomíná, že nařízení stanoví, že opatření a činnosti týkající se dříve splněných milníků a cílů nesmějí být zrušeny a že členské státy musí toto nezrušení potvrdit v prohlášeních řídícího subjektu, která přikládají ke svým žádostem o platbu; se znepokojením konstatuje, že Účetní dvůr zjistil jeden případ zrušení řeckého cíle týkajícího se zřízení a plného provozu 50 zařízení péče o duševní zdraví, který byl ve výroční zprávě Účetního dvora za rok 2023 považován za neuspokojivě splněný, neboť bylo zjištěno, že pět z 50 zařízení není v provozu; vyjadřuje politování nad tím, že právní rámec nástroje RRF neumožňuje Komisi účinně zrušení dříve splněných milníků a cílů po 31. prosinci 2026;</w:t>
            </w:r>
          </w:p>
        </w:tc>
        <w:tc>
          <w:tcPr>
            <w:tcW w:w="4876" w:type="dxa"/>
            <w:tcBorders>
              <w:top w:val="nil"/>
              <w:left w:val="nil"/>
              <w:bottom w:val="nil"/>
              <w:right w:val="nil"/>
            </w:tcBorders>
          </w:tcPr>
          <w:p>
            <w:pPr>
              <w:pStyle w:val="Normal6a"/>
            </w:pPr>
            <w:r>
              <w:t>225.</w:t>
            </w:r>
            <w:r>
              <w:tab/>
            </w:r>
            <w:r>
              <w:t xml:space="preserve">připomíná, že nařízení stanoví, že opatření a činnosti týkající se dříve splněných milníků a cílů nesmějí být zrušeny a že členské státy musí toto nezrušení potvrdit v prohlášeních řídícího subjektu, která přikládají ke svým žádostem o platbu; se znepokojením konstatuje, že Účetní dvůr zjistil jeden případ zrušení řeckého cíle týkajícího se zřízení a plného provozu 50 zařízení péče o duševní zdraví, který byl ve výroční zprávě Účetního dvora za rok 2023 považován za neuspokojivě splněný, neboť bylo zjištěno, že pět z 50 zařízení není v provozu; vyjadřuje politování nad tím, že právní rámec nástroje RRF neumožňuje Komisi účinně zrušení dříve splněných milníků a cílů po 31. prosinci 2026; </w:t>
            </w:r>
            <w:r>
              <w:rPr>
                <w:b/>
                <w:i/>
              </w:rPr>
              <w:t>vyzývá Komisi, aby posílila monitorovací mechanismy a zajistila, aby reformy a investice financované v rámci Nástroje pro oživení a odolnost zůstaly funkční a měly trvalý dopad i po skončení období vyplácení, s cílem chránit finanční zájmy Unie a peníze daňových poplatníků;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připomíná, že nařízení stanoví, že opatření a činnosti týkající se dříve splněných milníků a cílů nesmějí být zrušeny a že členské státy musí toto nezrušení potvrdit v prohlášeních řídícího subjektu, která přikládají ke svým žádostem o platbu; se znepokojením konstatuje, že Účetní dvůr zjistil jeden případ zrušení řeckého cíle týkajícího se zřízení a plného provozu 50 zařízení péče o duševní zdraví, který byl ve výroční zprávě Účetního dvora za rok 2023 považován za neuspokojivě splněný, neboť bylo zjištěno, že pět z 50 zařízení není v provozu; vyjadřuje politování nad tím, že právní rámec nástroje RRF neumožňuje Komisi účinně zrušení dříve splněných milníků a cílů po 31. prosinci 2026;</w:t>
            </w:r>
          </w:p>
        </w:tc>
        <w:tc>
          <w:tcPr>
            <w:tcW w:w="4876" w:type="dxa"/>
            <w:tcBorders>
              <w:top w:val="nil"/>
              <w:left w:val="nil"/>
              <w:bottom w:val="nil"/>
              <w:right w:val="nil"/>
            </w:tcBorders>
          </w:tcPr>
          <w:p>
            <w:pPr>
              <w:pStyle w:val="Normal6a"/>
            </w:pPr>
            <w:r>
              <w:t>225.</w:t>
            </w:r>
            <w:r>
              <w:tab/>
            </w:r>
            <w:r>
              <w:t xml:space="preserve">připomíná, že nařízení stanoví, že opatření a činnosti týkající se dříve splněných milníků a cílů nesmějí být zrušeny a že členské státy musí toto nezrušení potvrdit v prohlášeních řídícího subjektu, která přikládají ke svým žádostem o platbu; se znepokojením konstatuje, že Účetní dvůr zjistil jeden případ zrušení řeckého cíle týkajícího se zřízení a plného provozu 50 zařízení péče o duševní zdraví, který byl ve výroční zprávě Účetního dvora za rok 2023 považován za neuspokojivě splněný, neboť bylo zjištěno, že pět z 50 zařízení není v provozu; vyjadřuje politování nad tím, že právní rámec nástroje RRF neumožňuje Komisi účinně zrušení dříve splněných milníků a cílů po 31. prosinci 2026; </w:t>
            </w:r>
            <w:r>
              <w:rPr>
                <w:b/>
                <w:i/>
              </w:rPr>
              <w:t>vyzývá k většímu zaměření na podporu zdraví, prevenci nemocí a snižování nerovností v oblasti zdraví, včetně účelového financování duševního zdraví, nepřenosných nemocí, zdravotních intervencí zohledňujících rovnost pohlaví a zdravotních potřeb dětí a mladých lidí;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 xml:space="preserve">připomíná, že nařízení stanoví, že opatření a činnosti týkající se dříve splněných milníků a cílů nesmějí být zrušeny a že členské státy musí toto nezrušení potvrdit v prohlášeních řídícího subjektu, která přikládají ke svým žádostem o platbu; se znepokojením konstatuje, že Účetní dvůr zjistil jeden případ zrušení </w:t>
            </w:r>
            <w:r>
              <w:rPr>
                <w:b/>
                <w:i/>
              </w:rPr>
              <w:t>řeckého</w:t>
            </w:r>
            <w:r>
              <w:t xml:space="preserve"> cíle týkajícího se zřízení a plného provozu 50 zařízení péče o duševní zdraví, který byl ve výroční zprávě Účetního dvora za rok 2023 považován za neuspokojivě splněný, neboť bylo zjištěno, že pět z 50 zařízení není v provozu; vyjadřuje politování nad tím, že právní rámec nástroje RRF neumožňuje Komisi účinně zrušení dříve splněných milníků a cílů po 31. prosinci 2026;</w:t>
            </w:r>
          </w:p>
        </w:tc>
        <w:tc>
          <w:tcPr>
            <w:tcW w:w="4876" w:type="dxa"/>
            <w:tcBorders>
              <w:top w:val="nil"/>
              <w:left w:val="nil"/>
              <w:bottom w:val="nil"/>
              <w:right w:val="nil"/>
            </w:tcBorders>
          </w:tcPr>
          <w:p>
            <w:pPr>
              <w:pStyle w:val="Normal6a"/>
            </w:pPr>
            <w:r>
              <w:t>225.</w:t>
            </w:r>
            <w:r>
              <w:tab/>
            </w:r>
            <w:r>
              <w:t>připomíná, že nařízení stanoví, že opatření a činnosti týkající se dříve splněných milníků a cílů nesmějí být zrušeny a že členské státy musí toto nezrušení potvrdit v prohlášeních řídícího subjektu, která přikládají ke svým žádostem o platbu; se znepokojením konstatuje, že Účetní dvůr zjistil jeden případ zrušení cíle týkajícího se zřízení a plného provozu 50 zařízení péče o duševní zdraví, který byl ve výroční zprávě Účetního dvora za rok 2023 považován za neuspokojivě splněný, neboť bylo zjištěno, že pět z 50 zařízení není v provozu; vyjadřuje politování nad tím, že právní rámec nástroje RRF neumožňuje Komisi účinně zrušení dříve splněných milníků a cílů po 31. prosinci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227.</w:t>
            </w:r>
            <w:r>
              <w:tab/>
            </w:r>
            <w:r>
              <w:t>konstatuje, že v rámci evropského semestru je provádění opatření stanovených ve střednědobých fiskálně-strukturálních plánech každoročně monitorováno a členské státy předkládají Komisi zprávy o pokroku; bere na vědomí, že v souladu s pokyny</w:t>
            </w:r>
            <w:r>
              <w:rPr>
                <w:vertAlign w:val="superscript"/>
              </w:rPr>
              <w:t>20</w:t>
            </w:r>
            <w:r>
              <w:t>pro členské státy ohledně požadavků na informace pro střednědobé fiskálně-strukturální plány a pro výroční zprávy o pokroku se po dobu provádění nástroje RRF požaduje, aby tyto zprávy obsahovaly informace o pokroku při provádění všech reforem a investic v rámci plánu RRP zahrnutých do střednědobých fiskálně-strukturálních plánů;</w:t>
            </w:r>
          </w:p>
        </w:tc>
        <w:tc>
          <w:tcPr>
            <w:tcW w:w="4876" w:type="dxa"/>
            <w:tcBorders>
              <w:top w:val="nil"/>
              <w:left w:val="nil"/>
              <w:bottom w:val="nil"/>
              <w:right w:val="nil"/>
            </w:tcBorders>
          </w:tcPr>
          <w:p>
            <w:pPr>
              <w:pStyle w:val="Normal6a"/>
            </w:pPr>
            <w:r>
              <w:t>227.</w:t>
            </w:r>
            <w:r>
              <w:tab/>
            </w:r>
            <w:r>
              <w:t>konstatuje, že v rámci evropského semestru je provádění opatření stanovených ve střednědobých fiskálně-strukturálních plánech každoročně monitorováno a členské státy předkládají Komisi zprávy o pokroku; bere na vědomí, že v souladu s pokyny</w:t>
            </w:r>
            <w:r>
              <w:rPr>
                <w:vertAlign w:val="superscript"/>
              </w:rPr>
              <w:t>20</w:t>
            </w:r>
            <w:r>
              <w:t xml:space="preserve"> pro členské státy ohledně požadavků na informace pro střednědobé fiskálně-strukturální plány a pro výroční zprávy o pokroku se po dobu provádění nástroje RRF požaduje, aby tyto zprávy obsahovaly informace o pokroku při provádění všech reforem a investic v rámci plánu RRP zahrnutých do střednědobých fiskálně-strukturálních plánů; </w:t>
            </w:r>
            <w:r>
              <w:rPr>
                <w:b/>
                <w:i/>
              </w:rPr>
              <w:t>zdůrazňuje, že tyto zprávy mají zásadní význam pro zajištění transparentnosti, odpovědnosti a účinného využívání finančních prostředků Unie, a vyzývá Komisi, aby ověřila, zda členské státy poskytují úplné, včasné a přesné informace v souladu s cíli Nástroje pro oživení a odolnost.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Pokyny C/2024/3975 ze dne 21. června 2024.</w:t>
            </w:r>
          </w:p>
        </w:tc>
        <w:tc>
          <w:tcPr>
            <w:tcW w:w="4876" w:type="dxa"/>
            <w:tcBorders>
              <w:top w:val="nil"/>
              <w:left w:val="nil"/>
              <w:bottom w:val="nil"/>
              <w:right w:val="nil"/>
            </w:tcBorders>
          </w:tcPr>
          <w:p>
            <w:pPr>
              <w:pStyle w:val="Normal6a"/>
            </w:pPr>
            <w:r>
              <w:rPr>
                <w:vertAlign w:val="superscript"/>
              </w:rPr>
              <w:t>20</w:t>
            </w:r>
            <w:r>
              <w:t xml:space="preserve"> </w:t>
            </w:r>
            <w:r>
              <w:t>Pokyny C/2024/3975 ze dne 21. června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228.</w:t>
            </w:r>
            <w:r>
              <w:tab/>
            </w:r>
            <w:r>
              <w:t>konstatuje, že od roku 2021 vydala Komise 20 závěrečných zpráv o auditu týkajících se milníků a cílů, které obsahují 591 doporučení pro 15 členských států; vyjadřuje zvláštní znepokojení nad tím, že u většiny (64 %) ze 136 doporučení týkajících se kritických a velmi důležitých zjištění již uplynula lhůta pro provedení stanovená v auditní zprávě; bere na vědomí, že Komise uznává, že tato zpoždění v provádění ze strany některých členských států představují 22 % všech doporučení týkajících se kritických a velmi důležitých zjištění;</w:t>
            </w:r>
          </w:p>
        </w:tc>
        <w:tc>
          <w:tcPr>
            <w:tcW w:w="4876" w:type="dxa"/>
            <w:tcBorders>
              <w:top w:val="nil"/>
              <w:left w:val="nil"/>
              <w:bottom w:val="nil"/>
              <w:right w:val="nil"/>
            </w:tcBorders>
          </w:tcPr>
          <w:p>
            <w:pPr>
              <w:pStyle w:val="Normal6a"/>
            </w:pPr>
            <w:r>
              <w:t>228.</w:t>
            </w:r>
            <w:r>
              <w:tab/>
            </w:r>
            <w:r>
              <w:t xml:space="preserve">konstatuje, že od roku 2021 vydala Komise 20 závěrečných zpráv o auditu týkajících se milníků a cílů, které obsahují 591 doporučení pro 15 členských států; vyjadřuje zvláštní znepokojení nad tím, že u většiny (64 %) ze 136 doporučení týkajících se kritických a velmi důležitých zjištění již uplynula lhůta pro provedení stanovená v auditní zprávě; bere na vědomí, že Komise uznává, že tato zpoždění v provádění ze strany některých členských států představují 22 % všech doporučení týkajících se kritických a velmi důležitých zjištění; </w:t>
            </w:r>
            <w:r>
              <w:rPr>
                <w:b/>
                <w:i/>
              </w:rPr>
              <w:t>dále bere na vědomí, že Komise přijala doporučení Soudního dvora analyzovat důvody zpoždění při provádění ze strany členských států a že průběžně přezkoumává stav všech dosud neprovedených doporučení;</w:t>
            </w:r>
            <w:r>
              <w:t xml:space="preserve"> </w:t>
            </w:r>
            <w:r>
              <w:rPr>
                <w:b/>
                <w:i/>
              </w:rPr>
              <w:t>očekává, že se bude naléhavě zabývat zpožděními při provádění doporučení Komise vyplývajících z následných auditů;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229.</w:t>
            </w:r>
            <w:r>
              <w:tab/>
            </w:r>
            <w:r>
              <w:t xml:space="preserve">bere na vědomí připomínku Účetního dvora, že kontrolní systémy členských států, které mají zajistit dodržování pravidel pro zadávání veřejných zakázek </w:t>
            </w:r>
            <w:r>
              <w:rPr>
                <w:b/>
                <w:i/>
              </w:rPr>
              <w:t>a státní podpory, nejsou dostatečně</w:t>
            </w:r>
            <w:r>
              <w:t xml:space="preserve"> účinné</w:t>
            </w:r>
            <w:r>
              <w:rPr>
                <w:b/>
                <w:i/>
              </w:rPr>
              <w:t>;</w:t>
            </w:r>
            <w:r>
              <w:t xml:space="preserve"> konstatuje, že Účetní dvůr zjistil nedostatky ve 22 jednotlivých zadávacích řízeních, včetně nedostatečných kontrol, které by zabránily střetům zájmů nebo je odhalily; nedostatky v odůvodnění použití naléhavého řízení; a nedostatky v odhadu hodnoty veřejné zakázky a délky trvání projektu, které vedly ke značným rozdílům mezi zadávací dokumentací a skutečně podepsanými smlouvami;</w:t>
            </w:r>
          </w:p>
        </w:tc>
        <w:tc>
          <w:tcPr>
            <w:tcW w:w="4876" w:type="dxa"/>
            <w:tcBorders>
              <w:top w:val="nil"/>
              <w:left w:val="nil"/>
              <w:bottom w:val="nil"/>
              <w:right w:val="nil"/>
            </w:tcBorders>
          </w:tcPr>
          <w:p>
            <w:pPr>
              <w:pStyle w:val="Normal6a"/>
            </w:pPr>
            <w:r>
              <w:t>229.</w:t>
            </w:r>
            <w:r>
              <w:tab/>
            </w:r>
            <w:r>
              <w:t xml:space="preserve">bere na vědomí připomínku Účetního dvora, že </w:t>
            </w:r>
            <w:r>
              <w:rPr>
                <w:b/>
                <w:i/>
              </w:rPr>
              <w:t>ačkoli Komise posílila kontroly veřejných zakázek a státní podpory,</w:t>
            </w:r>
            <w:r>
              <w:t xml:space="preserve"> kontrolní systémy členských států, které mají zajistit dodržování pravidel pro zadávání veřejných zakázek </w:t>
            </w:r>
            <w:r>
              <w:rPr>
                <w:b/>
                <w:i/>
              </w:rPr>
              <w:t>zůstávají nedostatečně</w:t>
            </w:r>
            <w:r>
              <w:t xml:space="preserve"> účinné</w:t>
            </w:r>
            <w:r>
              <w:rPr>
                <w:b/>
                <w:i/>
              </w:rPr>
              <w:t>.</w:t>
            </w:r>
            <w:r>
              <w:t xml:space="preserve"> konstatuje, že Účetní dvůr zjistil nedostatky ve 22 jednotlivých zadávacích řízeních, včetně nedostatečných kontrol, které by zabránily střetům zájmů nebo je odhalily; nedostatky v odůvodnění použití naléhavého řízení; a nedostatky v odhadu hodnoty veřejné zakázky a délky trvání projektu, které vedly ke značným rozdílům mezi zadávací dokumentací a skutečně podepsanými smlouvami; </w:t>
            </w:r>
            <w:r>
              <w:rPr>
                <w:b/>
                <w:i/>
              </w:rPr>
              <w:t>konstatuje, že Komise přezkoumává své pokyny pro členské státy s cílem zlepšit související kontroly na vnitrostátní úrovni;</w:t>
            </w:r>
            <w:r>
              <w:t xml:space="preserve"> </w:t>
            </w:r>
            <w:r>
              <w:rPr>
                <w:b/>
                <w:i/>
              </w:rPr>
              <w:t>zdůrazňuje, že ačkoli dodržování pravidel pro zadávání veřejných zakázek a státní podporu obecně nemá vliv na správnost plateb z nástroje RRF vyplácených Komisí členským státům, jsou tato pravidla zásadně důležitá pro zajištění plného fungování vnitřního trhu;</w:t>
            </w:r>
            <w:r>
              <w:t xml:space="preserve"> </w:t>
            </w:r>
            <w:r>
              <w:rPr>
                <w:b/>
                <w:i/>
              </w:rPr>
              <w:t>domnívá se proto, že financování musí podléhat dodržování platných pravidel vnitřního trhu;</w:t>
            </w:r>
            <w:r>
              <w:t xml:space="preserve"> </w:t>
            </w:r>
            <w:r>
              <w:rPr>
                <w:b/>
                <w:i/>
              </w:rPr>
              <w:t>uznává, že komisař pro rozpočet, boj proti podvodům a veřejnou správu během svého slyšení ve výboru CONT dne 8. prosince 2025 uznal, že jednou ze slabých stránek, která se nesmí opakovat, je skutečnost, že pravidla pro veřejné zakázky a státní podporu nejsou zahrnuta jako podmínky pro platby, a že se Komise zavazuje tuto situaci napravit v případě financování v rámci příštího víceletého finančního rámce;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229a.</w:t>
            </w:r>
            <w:r>
              <w:tab/>
            </w:r>
            <w:r>
              <w:rPr>
                <w:b/>
                <w:i/>
              </w:rPr>
              <w:t>připomíná, že Komise nadále přidávala kontrolní milníky poté, co zjistila nedostatky v kontrolních systémech členských států;</w:t>
            </w:r>
            <w:r>
              <w:t xml:space="preserve"> </w:t>
            </w:r>
            <w:r>
              <w:rPr>
                <w:b/>
                <w:i/>
              </w:rPr>
              <w:t>podporují názor Účetního dvora, že existence kontrolních milníků je pozitivním krokem ke zlepšení kontrolních systémů členských států, ale také naznačuje, že systémy členských států nejsou zcela účinné;</w:t>
            </w:r>
            <w:r>
              <w:t xml:space="preserve"> </w:t>
            </w:r>
            <w:r>
              <w:rPr>
                <w:b/>
                <w:i/>
              </w:rPr>
              <w:t>znovu vyjadřuje znepokojení nad přetrvávajícími nedostatky, které Účetní dvůr zjistil v provádění kontrolních systémů členských států, což představuje riziko pro ochranu finančních zájmů EU;</w:t>
            </w:r>
            <w:r>
              <w:t xml:space="preserve"> </w:t>
            </w:r>
            <w:r>
              <w:rPr>
                <w:b/>
                <w:i/>
              </w:rPr>
              <w:t>znovu vyzývá Komisi, aby v nutných případech rychle přijímala rázná opatření a plně využívala ustanovení nařízení o RRF, pokud nedostatky v kontrolních systémech členských států nebudou odstraněny;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230.</w:t>
            </w:r>
            <w:r>
              <w:tab/>
            </w:r>
            <w:r>
              <w:t>bere na vědomí, že Účetní dvůr zjistil u pěti členských států nedostatky v jejich prohlášeních řídicích subjektů, která mají poskytnout jistotu, že informace předložené spolu s žádostmi o platbu jsou úplné, přesné a spolehlivé; bere na vědomí zjištění Účetního dvora, že pět členských států</w:t>
            </w:r>
            <w:r>
              <w:rPr>
                <w:b/>
                <w:i/>
              </w:rPr>
              <w:t>, včetně Česka, Španělska, Francie, Chorvatska a Slovenska,</w:t>
            </w:r>
            <w:r>
              <w:t xml:space="preserve"> si bylo při předkládání žádosti o platbu vědomo nedostatečných důkazů o uspokojivém plnění některých milníků a cílů, ale žádný z nich neuvedl ve svém prohlášení o řízení žádnou výhradu, která by poukázala na to, že milník/cíl byl v době podání žádosti o platbu splněn pouze částečně;</w:t>
            </w:r>
          </w:p>
        </w:tc>
        <w:tc>
          <w:tcPr>
            <w:tcW w:w="4876" w:type="dxa"/>
            <w:tcBorders>
              <w:top w:val="nil"/>
              <w:left w:val="nil"/>
              <w:bottom w:val="nil"/>
              <w:right w:val="nil"/>
            </w:tcBorders>
          </w:tcPr>
          <w:p>
            <w:pPr>
              <w:pStyle w:val="Normal6a"/>
            </w:pPr>
            <w:r>
              <w:t>230.</w:t>
            </w:r>
            <w:r>
              <w:tab/>
            </w:r>
            <w:r>
              <w:t>bere na vědomí, že Účetní dvůr zjistil u pěti členských států nedostatky v jejich prohlášeních řídicích subjektů, která mají poskytnout jistotu, že informace předložené spolu s žádostmi o platbu jsou úplné, přesné a spolehlivé; bere na vědomí zjištění Účetního dvora, že pět členských států si bylo při předkládání žádosti o platbu vědomo nedostatečných důkazů o uspokojivém plnění některých milníků a cílů, ale žádný z nich neuvedl ve svém prohlášení o řízení žádnou výhradu, která by poukázala na to, že milník/cíl byl v době podání žádosti o platbu splněn pouze částečně;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232.</w:t>
            </w:r>
            <w:r>
              <w:tab/>
            </w:r>
            <w:r>
              <w:t xml:space="preserve">bere na vědomí připomínku Účetního dvora, že pokud jde o závažné nesrovnalosti, které členský stát nenapravil, generální ředitel GŘ ECFIN v návaznosti na vysoké riziko zjištěné v jednom členském státě (Česká republika) v důsledku dvou případů střetu zájmů, u nichž členský stát odmítl přijmout nápravná opatření, vznesl výhradu; konstatuje, že tato výhrada se týká dvou plateb z nástroje RRF a že Komise rovněž vyhodnotila 20 plateb jako středně rizikové a pět plateb jako platby s nízkým rizikem závažných nesrovnalostí; se znepokojením </w:t>
            </w:r>
            <w:r>
              <w:rPr>
                <w:b/>
                <w:i/>
              </w:rPr>
              <w:t>konstatuje, že vzhledem k tomu, že</w:t>
            </w:r>
            <w:r>
              <w:t xml:space="preserve"> kritéria pro </w:t>
            </w:r>
            <w:r>
              <w:rPr>
                <w:b/>
                <w:i/>
              </w:rPr>
              <w:t>posouzení</w:t>
            </w:r>
            <w:r>
              <w:t xml:space="preserve"> rizik jsou </w:t>
            </w:r>
            <w:r>
              <w:rPr>
                <w:b/>
                <w:i/>
              </w:rPr>
              <w:t>podobná kritériím, která členské</w:t>
            </w:r>
            <w:r>
              <w:t xml:space="preserve"> státy </w:t>
            </w:r>
            <w:r>
              <w:rPr>
                <w:b/>
                <w:i/>
              </w:rPr>
              <w:t>používají pro kontroly zadávání veřejných zakázek</w:t>
            </w:r>
            <w:r>
              <w:t xml:space="preserve"> a státní </w:t>
            </w:r>
            <w:r>
              <w:rPr>
                <w:b/>
                <w:i/>
              </w:rPr>
              <w:t>podpory, Účetní dvůr se domnívá, že toto</w:t>
            </w:r>
            <w:r>
              <w:t xml:space="preserve"> posouzení </w:t>
            </w:r>
            <w:r>
              <w:rPr>
                <w:b/>
                <w:i/>
              </w:rPr>
              <w:t>rovněž podhodnocuje</w:t>
            </w:r>
            <w:r>
              <w:t xml:space="preserve"> úroveň rizika</w:t>
            </w:r>
            <w:r>
              <w:rPr>
                <w:b/>
                <w:i/>
              </w:rPr>
              <w:t>;</w:t>
            </w:r>
          </w:p>
        </w:tc>
        <w:tc>
          <w:tcPr>
            <w:tcW w:w="4876" w:type="dxa"/>
            <w:tcBorders>
              <w:top w:val="nil"/>
              <w:left w:val="nil"/>
              <w:bottom w:val="nil"/>
              <w:right w:val="nil"/>
            </w:tcBorders>
          </w:tcPr>
          <w:p>
            <w:pPr>
              <w:pStyle w:val="Normal6a"/>
            </w:pPr>
            <w:r>
              <w:t>232.</w:t>
            </w:r>
            <w:r>
              <w:tab/>
            </w:r>
            <w:r>
              <w:t xml:space="preserve">bere na vědomí připomínku Účetního dvora, že pokud jde o závažné nesrovnalosti, které členský stát nenapravil, generální ředitel GŘ ECFIN v návaznosti na vysoké riziko zjištěné v jednom členském státě (Česká republika) v důsledku dvou případů střetu zájmů, u nichž členský stát odmítl přijmout nápravná opatření, vznesl výhradu; konstatuje, že tato výhrada se týká dvou plateb z nástroje RRF a že Komise rovněž vyhodnotila 20 plateb jako středně rizikové a pět plateb jako platby s nízkým rizikem závažných nesrovnalostí; se znepokojením </w:t>
            </w:r>
            <w:r>
              <w:rPr>
                <w:b/>
                <w:i/>
              </w:rPr>
              <w:t>bere na vědomí názor Účetního dvora, že jelikož</w:t>
            </w:r>
            <w:r>
              <w:t xml:space="preserve"> kritéria pro </w:t>
            </w:r>
            <w:r>
              <w:rPr>
                <w:b/>
                <w:i/>
              </w:rPr>
              <w:t>posuzování</w:t>
            </w:r>
            <w:r>
              <w:t xml:space="preserve"> rizik jsou </w:t>
            </w:r>
            <w:r>
              <w:rPr>
                <w:b/>
                <w:i/>
              </w:rPr>
              <w:t>v zásadě v souladu s kritérii používanými členskými</w:t>
            </w:r>
            <w:r>
              <w:t xml:space="preserve"> státy </w:t>
            </w:r>
            <w:r>
              <w:rPr>
                <w:b/>
                <w:i/>
              </w:rPr>
              <w:t>v oblastech, jako jsou veřejné zakázky</w:t>
            </w:r>
            <w:r>
              <w:t xml:space="preserve"> a státní </w:t>
            </w:r>
            <w:r>
              <w:rPr>
                <w:b/>
                <w:i/>
              </w:rPr>
              <w:t>podpora, celkové</w:t>
            </w:r>
            <w:r>
              <w:t xml:space="preserve"> posouzení </w:t>
            </w:r>
            <w:r>
              <w:rPr>
                <w:b/>
                <w:i/>
              </w:rPr>
              <w:t>nemusí plně odrážet</w:t>
            </w:r>
            <w:r>
              <w:t xml:space="preserve"> úroveň </w:t>
            </w:r>
            <w:r>
              <w:rPr>
                <w:b/>
                <w:i/>
              </w:rPr>
              <w:t>základního</w:t>
            </w:r>
            <w:r>
              <w:t xml:space="preserve"> rizika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232.</w:t>
            </w:r>
            <w:r>
              <w:tab/>
            </w:r>
            <w:r>
              <w:t xml:space="preserve">bere na vědomí připomínku Účetního dvora, že pokud jde o závažné nesrovnalosti, které členský stát nenapravil, generální ředitel GŘ ECFIN v návaznosti na vysoké riziko zjištěné v jednom členském státě </w:t>
            </w:r>
            <w:r>
              <w:rPr>
                <w:b/>
                <w:i/>
              </w:rPr>
              <w:t>(Česká republika)</w:t>
            </w:r>
            <w:r>
              <w:t xml:space="preserve"> v důsledku dvou případů střetu zájmů, u nichž členský stát odmítl přijmout nápravná opatření, vznesl výhradu; konstatuje, že tato výhrada se týká dvou plateb z nástroje RRF a že Komise rovněž vyhodnotila 20 plateb jako středně rizikové a pět plateb jako platby s nízkým rizikem závažných nesrovnalostí; se znepokojením konstatuje, že vzhledem k tomu, že kritéria pro posouzení rizik jsou podobná kritériím, která členské státy používají pro kontroly zadávání veřejných zakázek a státní podpory, Účetní dvůr se domnívá, že toto posouzení rovněž podhodnocuje úroveň rizika;</w:t>
            </w:r>
          </w:p>
        </w:tc>
        <w:tc>
          <w:tcPr>
            <w:tcW w:w="4876" w:type="dxa"/>
            <w:tcBorders>
              <w:top w:val="nil"/>
              <w:left w:val="nil"/>
              <w:bottom w:val="nil"/>
              <w:right w:val="nil"/>
            </w:tcBorders>
          </w:tcPr>
          <w:p>
            <w:pPr>
              <w:pStyle w:val="Normal6a"/>
            </w:pPr>
            <w:r>
              <w:t>232.</w:t>
            </w:r>
            <w:r>
              <w:tab/>
            </w:r>
            <w:r>
              <w:t>bere na vědomí připomínku Účetního dvora, že pokud jde o závažné nesrovnalosti, které členský stát nenapravil, generální ředitel GŘ ECFIN v návaznosti na vysoké riziko zjištěné v jednom členském státě v důsledku dvou případů střetu zájmů, u nichž členský stát odmítl přijmout nápravná opatření, vznesl výhradu; konstatuje, že tato výhrada se týká dvou plateb z nástroje RRF a že Komise rovněž vyhodnotila 20 plateb jako středně rizikové a pět plateb jako platby s nízkým rizikem závažných nesrovnalostí; se znepokojením konstatuje, že vzhledem k tomu, že kritéria pro posouzení rizik jsou podobná kritériím, která členské státy používají pro kontroly zadávání veřejných zakázek a státní podpory, Účetní dvůr se domnívá, že toto posouzení rovněž podhodnocuje úroveň rizika;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je znepokojen zprávou Účetního dvora, že informace, které má Komise k dispozici o zjištěných podvodech, jsou omezené; upozorňuje, že na konci roku 2024 se úřad EPPO zabýval 311 aktivními případy souvisejícími s nástrojem NGEU a že všechny kromě čtyř se týkaly nástroje RRF, což představuje přibližně 17 % všech aktivních vyšetřování podvodů v oblasti výdajů; konstatuje, že odhadovaná škoda na finančních zájmech Unie činí 2,8 miliardy EUR, což představuje 30 % (2023: 25 %) z celkové odhadované škody způsobené všemi podvody týkajícími se výdajů EU; je znepokojen tím, že v roce 2024 bylo v prohlášeních řídicích subjektů členských států uvedeno pouze pět případů zjištěných podezření na podvod, což znamená, že velmi malou část otevřených případů úřadu EPPO oznámily samy členské státy, což vyvolává pochybnosti o schopnosti členských států odhalovat podvody a bojovat proti nim; zdůrazňuje, že údaje předložené úřadem EPPO potvrzují, že riziko podvodů v RRF existuje, a že zpochybňují schopnost členských států identifikovat a hlásit podezření na podvod a přijatá nápravná opatření;</w:t>
            </w:r>
          </w:p>
        </w:tc>
        <w:tc>
          <w:tcPr>
            <w:tcW w:w="4876" w:type="dxa"/>
            <w:tcBorders>
              <w:top w:val="nil"/>
              <w:left w:val="nil"/>
              <w:bottom w:val="nil"/>
              <w:right w:val="nil"/>
            </w:tcBorders>
          </w:tcPr>
          <w:p>
            <w:pPr>
              <w:pStyle w:val="Normal6a"/>
            </w:pPr>
            <w:r>
              <w:t>233.</w:t>
            </w:r>
            <w:r>
              <w:tab/>
            </w:r>
            <w:r>
              <w:t xml:space="preserve">je znepokojen zprávou Účetního dvora, že informace, které má Komise k dispozici o zjištěných podvodech, jsou omezené; upozorňuje, že na konci roku 2024 se úřad EPPO zabýval 311 aktivními případy souvisejícími s nástrojem NGEU a že všechny kromě čtyř se týkaly nástroje RRF, což představuje přibližně 17 % všech aktivních vyšetřování podvodů v oblasti výdajů; konstatuje, že odhadovaná škoda na finančních zájmech Unie činí 2,8 miliardy EUR, což představuje 30 % (2023: 25 %) z celkové odhadované škody způsobené všemi podvody týkajícími se výdajů EU; je znepokojen tím, že v roce 2024 bylo v prohlášeních řídicích subjektů členských států uvedeno pouze pět případů zjištěných podezření na podvod, což znamená, že velmi malou část otevřených případů úřadu EPPO oznámily samy členské státy, což vyvolává pochybnosti o schopnosti členských států odhalovat podvody a bojovat proti nim; zdůrazňuje, že údaje předložené úřadem EPPO potvrzují, že riziko podvodů v RRF existuje, a že zpochybňují schopnost členských států identifikovat a hlásit podezření na podvod a přijatá nápravná opatření; </w:t>
            </w:r>
            <w:r>
              <w:rPr>
                <w:b/>
                <w:i/>
              </w:rPr>
              <w:t>je znepokojen tím, že hlášení případů z orgánů EU, včetně Komise, nepředstavují ani 3 %, což vyvolává další obavy ohledně schopnosti Komise dohlížet na Nástroj pro oživení a odolnost;</w:t>
            </w:r>
            <w:r>
              <w:t xml:space="preserve"> </w:t>
            </w:r>
            <w:r>
              <w:rPr>
                <w:b/>
                <w:i/>
              </w:rPr>
              <w:t>je rovněž znepokojen tím, že vzhledem k tomu, že provádění Nástroje pro oživení a odolnost je teprve v polovině, úřad EPPO očekává, že počet případů bude nadále narůstat;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 xml:space="preserve">je znepokojen zprávou Účetního dvora, že informace, které má Komise k dispozici o zjištěných podvodech, jsou omezené; upozorňuje, že na konci roku 2024 se úřad EPPO zabýval 311 aktivními případy souvisejícími s nástrojem NGEU a že všechny kromě čtyř se týkaly nástroje RRF, což představuje přibližně 17 % všech aktivních vyšetřování podvodů v oblasti výdajů; konstatuje, že odhadovaná škoda na finančních zájmech Unie činí 2,8 miliardy EUR, což představuje 30 % (2023: 25 %) z celkové odhadované škody způsobené všemi podvody týkajícími se výdajů EU; </w:t>
            </w:r>
            <w:r>
              <w:rPr>
                <w:b/>
                <w:i/>
              </w:rPr>
              <w:t>je znepokojen tím</w:t>
            </w:r>
            <w:r>
              <w:t xml:space="preserve">, že v roce 2024 bylo v prohlášeních řídicích subjektů členských států uvedeno </w:t>
            </w:r>
            <w:r>
              <w:rPr>
                <w:b/>
                <w:i/>
              </w:rPr>
              <w:t>pouze</w:t>
            </w:r>
            <w:r>
              <w:t xml:space="preserve"> pět případů zjištěných podezření na podvod</w:t>
            </w:r>
            <w:r>
              <w:rPr>
                <w:b/>
                <w:i/>
              </w:rPr>
              <w:t>, což znamená, že velmi malou část otevřených případů úřadu EPPO oznámily samy členské státy, což vyvolává pochybnosti o schopnosti členských států odhalovat podvody a bojovat proti nim</w:t>
            </w:r>
            <w:r>
              <w:t xml:space="preserve">; zdůrazňuje, že údaje předložené </w:t>
            </w:r>
            <w:r>
              <w:rPr>
                <w:b/>
                <w:i/>
              </w:rPr>
              <w:t>úřadem</w:t>
            </w:r>
            <w:r>
              <w:t xml:space="preserve"> EPPO potvrzují, že riziko podvodů v </w:t>
            </w:r>
            <w:r>
              <w:rPr>
                <w:b/>
                <w:i/>
              </w:rPr>
              <w:t>RRF</w:t>
            </w:r>
            <w:r>
              <w:t xml:space="preserve"> existuje</w:t>
            </w:r>
            <w:r>
              <w:rPr>
                <w:b/>
                <w:i/>
              </w:rPr>
              <w:t>, a že zpochybňují schopnost členských států identifikovat a hlásit podezření na podvod a přijatá nápravná opatření;</w:t>
            </w:r>
          </w:p>
        </w:tc>
        <w:tc>
          <w:tcPr>
            <w:tcW w:w="4876" w:type="dxa"/>
            <w:tcBorders>
              <w:top w:val="nil"/>
              <w:left w:val="nil"/>
              <w:bottom w:val="nil"/>
              <w:right w:val="nil"/>
            </w:tcBorders>
          </w:tcPr>
          <w:p>
            <w:pPr>
              <w:pStyle w:val="Normal6a"/>
            </w:pPr>
            <w:r>
              <w:t>233.</w:t>
            </w:r>
            <w:r>
              <w:tab/>
            </w:r>
            <w:r>
              <w:t>je znepokojen zprávou Účetního dvora, že informace, které má Komise k dispozici o zjištěných podvodech, jsou omezené</w:t>
            </w:r>
            <w:r>
              <w:rPr>
                <w:b/>
                <w:i/>
              </w:rPr>
              <w:t>, a zdůrazňuje, že je třeba zlepšit tok informací s cílem zajistit ochranu finančních zájmů Unie, zejména prostřednictvím posílených preventivních opatření</w:t>
            </w:r>
            <w:r>
              <w:t xml:space="preserve">; upozorňuje, že na konci roku 2024 se úřad EPPO zabýval 311 aktivními případy souvisejícími s nástrojem NGEU a že všechny kromě čtyř se týkaly nástroje RRF, což představuje přibližně 17 % všech aktivních vyšetřování podvodů v oblasti výdajů; konstatuje, že odhadovaná škoda na finančních zájmech Unie činí 2,8 miliardy EUR, což představuje 30 % (2023: 25 %) z celkové odhadované škody způsobené všemi podvody týkajícími se výdajů EU; </w:t>
            </w:r>
            <w:r>
              <w:rPr>
                <w:b/>
                <w:i/>
              </w:rPr>
              <w:t>uznává, že členské státy mohou podezření na podvod oznámit různými způsoby, mimo jiné prostřednictvím prohlášení vedení přiloženého k žádostem o platbu, a že jsou v každém případě povinny oznámit podezření na podvod příslušným orgánům, zejména úřadům OLAF a EPPO;</w:t>
            </w:r>
            <w:r>
              <w:t xml:space="preserve"> </w:t>
            </w:r>
            <w:r>
              <w:rPr>
                <w:b/>
                <w:i/>
              </w:rPr>
              <w:t>konstatuje</w:t>
            </w:r>
            <w:r>
              <w:t>, že v roce 2024 bylo v prohlášeních řídicích subjektů členských států uvedeno pět případů zjištěných podezření na podvod</w:t>
            </w:r>
            <w:r>
              <w:rPr>
                <w:b/>
                <w:i/>
              </w:rPr>
              <w:t>;</w:t>
            </w:r>
            <w:r>
              <w:t xml:space="preserve"> </w:t>
            </w:r>
            <w:r>
              <w:rPr>
                <w:b/>
                <w:i/>
              </w:rPr>
              <w:t>dále poznamenává, že 90 % nově zahájených vyšetřování bylo zahájeno na základě oznámení, které vnitrostátní orgány zaslaly přímo EPPO</w:t>
            </w:r>
            <w:r>
              <w:t xml:space="preserve">; zdůrazňuje, že údaje předložené EPPO potvrzují, že riziko podvodů v </w:t>
            </w:r>
            <w:r>
              <w:rPr>
                <w:b/>
                <w:i/>
              </w:rPr>
              <w:t>Nástroji pro oživení a odolnost</w:t>
            </w:r>
            <w:r>
              <w:t xml:space="preserve"> existuje</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 xml:space="preserve">je znepokojen zprávou Účetního dvora, že informace, které má Komise k dispozici o zjištěných podvodech, jsou omezené; upozorňuje, že na konci roku 2024 se úřad EPPO zabýval 311 aktivními případy souvisejícími s nástrojem NGEU a že všechny kromě čtyř se týkaly nástroje RRF, což představuje přibližně 17 % všech aktivních vyšetřování podvodů v oblasti výdajů; konstatuje, že odhadovaná škoda na finančních zájmech Unie činí 2,8 miliardy EUR, což představuje 30 % (2023: 25 %) z celkové odhadované škody způsobené všemi podvody týkajícími se výdajů EU; je znepokojen tím, že v roce 2024 bylo v prohlášeních řídicích subjektů členských států uvedeno pouze pět případů zjištěných podezření na podvod, což znamená, že velmi malou část otevřených případů úřadu EPPO oznámily samy členské státy, což vyvolává pochybnosti o schopnosti členských států odhalovat podvody a bojovat proti nim; zdůrazňuje, že </w:t>
            </w:r>
            <w:r>
              <w:rPr>
                <w:b/>
                <w:i/>
              </w:rPr>
              <w:t>údaje předložené úřadem EPPO potvrzují, že riziko</w:t>
            </w:r>
            <w:r>
              <w:t xml:space="preserve"> podvodů </w:t>
            </w:r>
            <w:r>
              <w:rPr>
                <w:b/>
                <w:i/>
              </w:rPr>
              <w:t>v RRF existuje, a že zpochybňují schopnost členských států identifikovat a hlásit podezření na podvod a přijatá nápravná opatření</w:t>
            </w:r>
            <w:r>
              <w:t>;</w:t>
            </w:r>
          </w:p>
        </w:tc>
        <w:tc>
          <w:tcPr>
            <w:tcW w:w="4876" w:type="dxa"/>
            <w:tcBorders>
              <w:top w:val="nil"/>
              <w:left w:val="nil"/>
              <w:bottom w:val="nil"/>
              <w:right w:val="nil"/>
            </w:tcBorders>
          </w:tcPr>
          <w:p>
            <w:pPr>
              <w:pStyle w:val="Normal6a"/>
            </w:pPr>
            <w:r>
              <w:t>233.</w:t>
            </w:r>
            <w:r>
              <w:tab/>
            </w:r>
            <w:r>
              <w:t xml:space="preserve">je znepokojen zprávou Účetního dvora, že informace, které má Komise k dispozici o zjištěných podvodech, jsou omezené; upozorňuje, že na konci roku 2024 se úřad EPPO zabýval 311 aktivními případy souvisejícími s nástrojem NGEU a že všechny kromě čtyř se týkaly nástroje RRF, což představuje přibližně 17 % všech aktivních vyšetřování podvodů v oblasti výdajů; konstatuje, že odhadovaná škoda na finančních zájmech Unie činí 2,8 miliardy EUR, což představuje 30 % (2023: 25 %) z celkové odhadované škody způsobené všemi podvody týkajícími se výdajů EU; je znepokojen tím, že v roce 2024 bylo v prohlášeních řídicích subjektů členských států uvedeno pouze pět případů zjištěných podezření na podvod, což znamená, že velmi malou část otevřených případů úřadu EPPO oznámily samy členské státy, což vyvolává pochybnosti o schopnosti členských států odhalovat podvody a bojovat proti nim; zdůrazňuje, že </w:t>
            </w:r>
            <w:r>
              <w:rPr>
                <w:b/>
                <w:i/>
              </w:rPr>
              <w:t>tato situace ukazuje na potřebu dále posilovat vnitrostátní kapacity v oblasti odhalování a hlášení</w:t>
            </w:r>
            <w:r>
              <w:t xml:space="preserve"> podvodů</w:t>
            </w:r>
            <w:r>
              <w:rPr>
                <w:b/>
                <w:i/>
              </w:rPr>
              <w:t>, spolupráci s Evropskou prokuraturou a Komisí a celkovou účinnost a soudržnost systémů boje proti podvodům v celé Unii;</w:t>
            </w:r>
            <w:r>
              <w:t xml:space="preserve"> </w:t>
            </w:r>
            <w:r>
              <w:rPr>
                <w:b/>
                <w:i/>
              </w:rPr>
              <w:t>zdůrazňuje, že ochrana finančních prostředků Unie a peněz daňových poplatníků vyžaduje robustní, koordinovaný a dobře financovaný rámec pro boj proti podvodům na úrovni Unie i na vnitrostátní úrovni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 xml:space="preserve">je znepokojen zprávou Účetního dvora, že informace, které má Komise k dispozici o zjištěných podvodech, jsou omezené; upozorňuje, že na konci roku 2024 se úřad EPPO zabýval 311 aktivními případy souvisejícími s nástrojem NGEU a že všechny kromě čtyř se týkaly nástroje RRF, což představuje přibližně 17 % všech aktivních vyšetřování podvodů v oblasti výdajů; konstatuje, že odhadovaná škoda na finančních zájmech Unie činí 2,8 miliardy EUR, což představuje 30 % (2023: 25 %) z celkové odhadované škody způsobené všemi podvody týkajícími se výdajů EU; </w:t>
            </w:r>
            <w:r>
              <w:rPr>
                <w:b/>
                <w:i/>
              </w:rPr>
              <w:t>je znepokojen tím, že v roce 2024 bylo v prohlášeních řídicích subjektů členských států uvedeno</w:t>
            </w:r>
            <w:r>
              <w:t xml:space="preserve"> pouze </w:t>
            </w:r>
            <w:r>
              <w:rPr>
                <w:b/>
                <w:i/>
              </w:rPr>
              <w:t>pět</w:t>
            </w:r>
            <w:r>
              <w:t xml:space="preserve"> případů </w:t>
            </w:r>
            <w:r>
              <w:rPr>
                <w:b/>
                <w:i/>
              </w:rPr>
              <w:t>zjištěných</w:t>
            </w:r>
            <w:r>
              <w:t xml:space="preserve"> podezření na podvod</w:t>
            </w:r>
            <w:r>
              <w:rPr>
                <w:b/>
                <w:i/>
              </w:rPr>
              <w:t>, což znamená, že velmi malou část otevřených případů úřadu EPPO oznámily samy členské státy, což vyvolává pochybnosti o schopnosti členských států odhalovat podvody a bojovat proti nim</w:t>
            </w:r>
            <w:r>
              <w:t xml:space="preserve">; zdůrazňuje, že údaje předložené </w:t>
            </w:r>
            <w:r>
              <w:rPr>
                <w:b/>
                <w:i/>
              </w:rPr>
              <w:t>úřadem</w:t>
            </w:r>
            <w:r>
              <w:t xml:space="preserve"> EPPO potvrzují, že riziko podvodů v </w:t>
            </w:r>
            <w:r>
              <w:rPr>
                <w:b/>
                <w:i/>
              </w:rPr>
              <w:t>RRF</w:t>
            </w:r>
            <w:r>
              <w:t xml:space="preserve"> existuje</w:t>
            </w:r>
            <w:r>
              <w:rPr>
                <w:b/>
                <w:i/>
              </w:rPr>
              <w:t>, a že zpochybňují schopnost členských států identifikovat a hlásit podezření na podvod a přijatá nápravná opatření;</w:t>
            </w:r>
          </w:p>
        </w:tc>
        <w:tc>
          <w:tcPr>
            <w:tcW w:w="4876" w:type="dxa"/>
            <w:tcBorders>
              <w:top w:val="nil"/>
              <w:left w:val="nil"/>
              <w:bottom w:val="nil"/>
              <w:right w:val="nil"/>
            </w:tcBorders>
          </w:tcPr>
          <w:p>
            <w:pPr>
              <w:pStyle w:val="Normal6a"/>
            </w:pPr>
            <w:r>
              <w:t>233.</w:t>
            </w:r>
            <w:r>
              <w:tab/>
            </w:r>
            <w:r>
              <w:t xml:space="preserve">je znepokojen zprávou Účetního dvora, že informace, které má Komise k dispozici o zjištěných podvodech, jsou omezené; upozorňuje, že na konci roku 2024 se úřad EPPO zabýval 311 aktivními případy souvisejícími s nástrojem NGEU a že všechny kromě čtyř se týkaly nástroje RRF, což představuje přibližně 17 % všech aktivních vyšetřování podvodů v oblasti výdajů; konstatuje, že odhadovaná škoda na finančních zájmech Unie činí 2,8 miliardy EUR, což představuje 30 % (2023: 25 %) z celkové odhadované škody způsobené všemi podvody týkajícími se výdajů EU; </w:t>
            </w:r>
            <w:r>
              <w:rPr>
                <w:b/>
                <w:i/>
              </w:rPr>
              <w:t>zdůrazňuje však, že úřad EPPO oficiálně oznámil Komisi</w:t>
            </w:r>
            <w:r>
              <w:t xml:space="preserve"> pouze </w:t>
            </w:r>
            <w:r>
              <w:rPr>
                <w:b/>
                <w:i/>
              </w:rPr>
              <w:t>75 případů souvisejících s RRF a že 80 % z těchto oznámených</w:t>
            </w:r>
            <w:r>
              <w:t xml:space="preserve"> případů </w:t>
            </w:r>
            <w:r>
              <w:rPr>
                <w:b/>
                <w:i/>
              </w:rPr>
              <w:t>se týkalo jednoho opatření v jediném členském státě, a to v Itálii;</w:t>
            </w:r>
            <w:r>
              <w:t xml:space="preserve"> </w:t>
            </w:r>
            <w:r>
              <w:rPr>
                <w:b/>
                <w:i/>
              </w:rPr>
              <w:t>rovněž bere na vědomí zjištění EPPO, že hlavním zdrojem podnětů zůstaly vnitrostátní orgány činné v trestním řízení, na jejichž základě bylo zahájeno 90 % nových vyšetřování;</w:t>
            </w:r>
            <w:r>
              <w:t xml:space="preserve"> </w:t>
            </w:r>
            <w:r>
              <w:rPr>
                <w:b/>
                <w:i/>
              </w:rPr>
              <w:t>rovněž poznamenává, že podle zvláštní zprávy EÚD č. 06/2026 o boji proti podvodům v rámci RRF členské státy od zahájení RRF v roce 2021 do konce roku 2024 nahlásily generálnímu ředitelství ECFIN 51 případů</w:t>
            </w:r>
            <w:r>
              <w:t xml:space="preserve"> podezření na podvod; zdůrazňuje, že údaje předložené EPPO potvrzují, že riziko podvodů v </w:t>
            </w:r>
            <w:r>
              <w:rPr>
                <w:b/>
                <w:i/>
              </w:rPr>
              <w:t>Nástroji pro oživení a odolnost</w:t>
            </w:r>
            <w:r>
              <w:t xml:space="preserve"> existuje</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234.</w:t>
            </w:r>
            <w:r>
              <w:tab/>
            </w:r>
            <w:r>
              <w:t xml:space="preserve">bere na vědomí, že dne 3. listopadu 2025 přijala Komise prováděcí rozhodnutí o částečném pozastavení vyplácení druhé splátky nevratné podpory Bulharsku, neboť jeden kontrolní milník nebyl považován za uspokojivě splněný; </w:t>
            </w:r>
            <w:r>
              <w:rPr>
                <w:b/>
                <w:i/>
              </w:rPr>
              <w:t>konstatuje, že bulharská vláda přijala reformu, jejímž</w:t>
            </w:r>
            <w:r>
              <w:t xml:space="preserve"> cílem je zajistit politicky nezávislé jmenování protikorupční komise</w:t>
            </w:r>
            <w:r>
              <w:rPr>
                <w:b/>
                <w:i/>
              </w:rPr>
              <w:t>, a</w:t>
            </w:r>
            <w:r>
              <w:t xml:space="preserve"> že v prováděcím rozhodnutí Komise se dále uvádí, že Národní shromáždění si ponechává rozhodující úlohu jak při návrhu, tak při jmenování vedení protikorupční komise</w:t>
            </w:r>
            <w:r>
              <w:rPr>
                <w:b/>
                <w:i/>
              </w:rPr>
              <w:t>, zejména jejích tří členů, a že výbor pro jmenování sám o sobě nemůže tuto úlohu umenšit</w:t>
            </w:r>
            <w:r>
              <w:t xml:space="preserve">; konstatuje, že Bulharsko má šest měsíců na to, aby našlo způsob, jak revidovat legislativní rámec </w:t>
            </w:r>
            <w:r>
              <w:rPr>
                <w:b/>
                <w:i/>
              </w:rPr>
              <w:t>a prokázat, že splňuje</w:t>
            </w:r>
            <w:r>
              <w:t xml:space="preserve"> požadovanou prahovou hodnotu </w:t>
            </w:r>
            <w:r>
              <w:rPr>
                <w:b/>
                <w:i/>
              </w:rPr>
              <w:t>politické nezávislosti, aby mohlo obdržet druhou splátku nevratné podpory z nástroje RRF;</w:t>
            </w:r>
            <w:r>
              <w:t xml:space="preserve"> </w:t>
            </w:r>
            <w:r>
              <w:rPr>
                <w:b/>
                <w:i/>
              </w:rPr>
              <w:t>připomíná Komisi</w:t>
            </w:r>
            <w:r>
              <w:t>, že pozastavení by mělo být zrušeno pouze v případě, že Bulharsko přijalo nezbytná opatření k zajištění uspokojivého plnění milníku;</w:t>
            </w:r>
          </w:p>
        </w:tc>
        <w:tc>
          <w:tcPr>
            <w:tcW w:w="4876" w:type="dxa"/>
            <w:tcBorders>
              <w:top w:val="nil"/>
              <w:left w:val="nil"/>
              <w:bottom w:val="nil"/>
              <w:right w:val="nil"/>
            </w:tcBorders>
          </w:tcPr>
          <w:p>
            <w:pPr>
              <w:pStyle w:val="Normal6a"/>
            </w:pPr>
            <w:r>
              <w:t>234.</w:t>
            </w:r>
            <w:r>
              <w:tab/>
            </w:r>
            <w:r>
              <w:rPr>
                <w:b/>
                <w:i/>
              </w:rPr>
              <w:t>vítá reformy provedené Bulharskem a podstatný pokrok dosažený v roce 2025, během kterého země obdržela přibližně 31 % z celkových přidělených prostředků z RRF ve dvou tranších v celkové výši 1,91 miliardy EUR;</w:t>
            </w:r>
            <w:r>
              <w:t xml:space="preserve"> </w:t>
            </w:r>
            <w:r>
              <w:rPr>
                <w:b/>
                <w:i/>
              </w:rPr>
              <w:t>oceňuje klíčové reformy v oblasti veřejných zakázek a transparentnosti soudnictví, liberalizace trhu s energií, opatření k postupnému ukončení těžby uhlí, rozšiřování obnovitelných zdrojů energie, vzdělávání, zdravotnictví a systémů elektronického zdravotnictví a udržitelné dopravy;</w:t>
            </w:r>
            <w:r>
              <w:t xml:space="preserve"> </w:t>
            </w:r>
            <w:r>
              <w:rPr>
                <w:b/>
                <w:i/>
              </w:rPr>
              <w:t>konstatuje, že tyto platby ve svém souhrnu znamenají nový impuls pro hospodářské, energetické, sociální a institucionální reformy v Bulharsku v rámci RRF;</w:t>
            </w:r>
            <w:r>
              <w:t xml:space="preserve"> bere na vědomí, že dne 3. listopadu 2025 přijala Komise prováděcí rozhodnutí o částečném pozastavení vyplácení druhé splátky nevratné podpory Bulharsku, neboť jeden kontrolní milník nebyl považován za uspokojivě splněný; </w:t>
            </w:r>
            <w:r>
              <w:rPr>
                <w:b/>
                <w:i/>
              </w:rPr>
              <w:t>oceňuje úsilí bulharské vlády o zavedení reforem, jejichž</w:t>
            </w:r>
            <w:r>
              <w:t xml:space="preserve"> cílem je zajistit politicky nezávislé jmenování protikorupční komise</w:t>
            </w:r>
            <w:r>
              <w:rPr>
                <w:b/>
                <w:i/>
              </w:rPr>
              <w:t>;</w:t>
            </w:r>
            <w:r>
              <w:t xml:space="preserve"> </w:t>
            </w:r>
            <w:r>
              <w:rPr>
                <w:b/>
                <w:i/>
              </w:rPr>
              <w:t>konstatuje,</w:t>
            </w:r>
            <w:r>
              <w:t xml:space="preserve"> že v prováděcím rozhodnutí Komise se dále uvádí, že Národní shromáždění si ponechává rozhodující úlohu jak při návrhu, tak při jmenování vedení protikorupční komise; konstatuje, že Bulharsko má šest měsíců na to, aby našlo způsob, jak revidovat legislativní rámec </w:t>
            </w:r>
            <w:r>
              <w:rPr>
                <w:b/>
                <w:i/>
              </w:rPr>
              <w:t>tak, aby splňoval</w:t>
            </w:r>
            <w:r>
              <w:t xml:space="preserve"> požadovanou prahovou hodnotu</w:t>
            </w:r>
            <w:r>
              <w:rPr>
                <w:b/>
                <w:i/>
              </w:rPr>
              <w:t>;</w:t>
            </w:r>
            <w:r>
              <w:t xml:space="preserve"> </w:t>
            </w:r>
            <w:r>
              <w:rPr>
                <w:b/>
                <w:i/>
              </w:rPr>
              <w:t>zdůrazňuje</w:t>
            </w:r>
            <w:r>
              <w:t>, že pozastavení by mělo být zrušeno pouze v případě, že Bulharsko přijalo nezbytná opatření k zajištění uspokojivého plnění milníku;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234a.</w:t>
            </w:r>
            <w:r>
              <w:tab/>
            </w:r>
            <w:r>
              <w:rPr>
                <w:b/>
                <w:i/>
              </w:rPr>
              <w:t>bere na vědomí opakovaná zjištění EÚD o nedostatcích některých vnitrostátních auditních orgánů, pokud jde o rozsah, kvalitu, dokumentaci a podávání zpráv;</w:t>
            </w:r>
            <w:r>
              <w:t xml:space="preserve"> </w:t>
            </w:r>
            <w:r>
              <w:rPr>
                <w:b/>
                <w:i/>
              </w:rPr>
              <w:t>zdůrazňuje potřebu jasného rámce odpovědností, aby byla zaručena kvalita a soudržnost;</w:t>
            </w:r>
            <w:r>
              <w:t xml:space="preserve"> </w:t>
            </w:r>
            <w:r>
              <w:rPr>
                <w:b/>
                <w:i/>
              </w:rPr>
              <w:t>trvá na tom, aby auditní subjekty v členských státech dodržovaly mezinárodně uznávané normy pro audit;</w:t>
            </w:r>
            <w:r>
              <w:t xml:space="preserve"> </w:t>
            </w:r>
            <w:r>
              <w:rPr>
                <w:b/>
                <w:i/>
              </w:rPr>
              <w:t>varuje, že pokud tak neučiní, oslabí to spolehlivost jejich práce a vyvstávají tím rizika pro strategii jednotného auditu;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234b.</w:t>
            </w:r>
            <w:r>
              <w:tab/>
            </w:r>
            <w:r>
              <w:rPr>
                <w:b/>
                <w:i/>
              </w:rPr>
              <w:t>vyjadřuje politování nad neúplnými auditními stopami, které EÚD zaznamenal v rámci Nástroje pro oživení a odolnost, což oslabuje sledovatelnost a omezuje schopnost Parlamentu a EÚD vykonávat kontrolu;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234c.</w:t>
            </w:r>
            <w:r>
              <w:tab/>
            </w:r>
            <w:r>
              <w:rPr>
                <w:b/>
                <w:i/>
              </w:rPr>
              <w:t>zdůrazňuje, že EÚD musí mít přístup ke všem databázím a informačním systémům Komise používaným ke shromažďování, výměně a sledování údajů mezi Komisí a členskými státy;</w:t>
            </w:r>
            <w:r>
              <w:t xml:space="preserve"> </w:t>
            </w:r>
            <w:r>
              <w:rPr>
                <w:b/>
                <w:i/>
              </w:rPr>
              <w:t>zdůrazňuje, že EÚD by měl mít přímý a rychlý přístup k původním údajům zaznamenaným v systému bez toho, aby byly předem změněny, agregovány nebo upraveny ze strany vnitrostátních orgánů nebo útvarů Komise;</w:t>
            </w:r>
            <w:r>
              <w:t xml:space="preserve"> </w:t>
            </w:r>
            <w:r>
              <w:rPr>
                <w:b/>
                <w:i/>
              </w:rPr>
              <w:t>zdůrazňuje, že tento přístup má zásadní význam pro zajištění nezávislosti, spolehlivosti a účinnosti auditů a pro zachování transparentnosti a odpovědnosti při plnění rozpočtu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234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234d.</w:t>
            </w:r>
            <w:r>
              <w:tab/>
            </w:r>
            <w:r>
              <w:rPr>
                <w:b/>
                <w:i/>
              </w:rPr>
              <w:t>vyjadřuje znepokojení nad tím, že audity Nástroje pro oživení a odolnost a dalších nástrojů založených na výkonnosti se zaměřují spíše na audity systémů než na kontroly skutečně vynaložených výdajů;</w:t>
            </w:r>
            <w:r>
              <w:t xml:space="preserve"> </w:t>
            </w:r>
            <w:r>
              <w:rPr>
                <w:b/>
                <w:i/>
              </w:rPr>
              <w:t>varuje, že tyto audity systémů nemusí odhalit základní problémy, které se mohou přelévat a vážně ohrozit řádné finanční řízení rozpočtu Unie a ochranu finančních zájmů Unie;</w:t>
            </w:r>
            <w:r>
              <w:t xml:space="preserve"> </w:t>
            </w:r>
            <w:r>
              <w:rPr>
                <w:b/>
                <w:i/>
              </w:rPr>
              <w:t>vyzývá Komisi, aby přijala rozhodná nápravná opatření, posílila auditní a akreditační postupy a zajistila, aby se podobné systémové nedostatky nemohly opakovat, a to při dodržení zásady proporcionality, pokud jde o povinnosti týkající se podávání zpráv a dokumentace;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235.</w:t>
            </w:r>
            <w:r>
              <w:tab/>
            </w:r>
            <w:r>
              <w:t>domnívá se, že nástroj RRF představuje ústavní zkoušku demokratické odpovědnosti vzhledem ke své velikosti, rychlosti a výjimečnému modelu provádění; zdůrazňuje, že úloha Parlamentu jako orgánu příslušného k udělení absolutoria má smysl pouze tehdy, pokud se ve všech členských státech důsledně a jednotně uplatňují normy transparentnosti, sledovatelnosti a ověřování;</w:t>
            </w:r>
          </w:p>
        </w:tc>
        <w:tc>
          <w:tcPr>
            <w:tcW w:w="4876" w:type="dxa"/>
            <w:tcBorders>
              <w:top w:val="nil"/>
              <w:left w:val="nil"/>
              <w:bottom w:val="nil"/>
              <w:right w:val="nil"/>
            </w:tcBorders>
          </w:tcPr>
          <w:p>
            <w:pPr>
              <w:pStyle w:val="Normal6a"/>
            </w:pPr>
            <w:r>
              <w:t>235.</w:t>
            </w:r>
            <w:r>
              <w:tab/>
            </w:r>
            <w:r>
              <w:t>domnívá se, že nástroj RRF představuje ústavní zkoušku demokratické odpovědnosti vzhledem ke své velikosti, rychlosti a výjimečnému modelu provádění</w:t>
            </w:r>
            <w:r>
              <w:rPr>
                <w:b/>
                <w:i/>
              </w:rPr>
              <w:t>;</w:t>
            </w:r>
            <w:r>
              <w:t xml:space="preserve"> </w:t>
            </w:r>
            <w:r>
              <w:rPr>
                <w:b/>
                <w:i/>
              </w:rPr>
              <w:t>připomíná, že Nástroj pro oživení a odolnost je financován prostřednictvím bezprecedentních společných evropských půjček, a proto vyžaduje nejvyšší standardy finanční odpovědnosti, transparentnosti a efektivního vynakládání prostředků pro evropské daňové poplatníky</w:t>
            </w:r>
            <w:r>
              <w:t xml:space="preserve">; zdůrazňuje, že úloha Parlamentu jako orgánu příslušného k udělení absolutoria má smysl pouze tehdy, pokud se ve všech členských státech důsledně a jednotně uplatňují normy transparentnosti, sledovatelnosti a ověřování </w:t>
            </w:r>
            <w:r>
              <w:rPr>
                <w:b/>
                <w:i/>
              </w:rPr>
              <w:t>a je-li hodnocení milníků a cílů prováděno zcela objektivně a nepoliticky, což zajišťuje rovné zacházení se všemi členskými státy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235.</w:t>
            </w:r>
            <w:r>
              <w:tab/>
            </w:r>
            <w:r>
              <w:t>domnívá se, že nástroj RRF představuje ústavní zkoušku demokratické odpovědnosti vzhledem ke své velikosti, rychlosti a výjimečnému modelu provádění; zdůrazňuje, že úloha Parlamentu jako orgánu příslušného k udělení absolutoria má smysl pouze tehdy, pokud se ve všech členských státech důsledně a jednotně uplatňují normy transparentnosti, sledovatelnosti a ověřování;</w:t>
            </w:r>
          </w:p>
        </w:tc>
        <w:tc>
          <w:tcPr>
            <w:tcW w:w="4876" w:type="dxa"/>
            <w:tcBorders>
              <w:top w:val="nil"/>
              <w:left w:val="nil"/>
              <w:bottom w:val="nil"/>
              <w:right w:val="nil"/>
            </w:tcBorders>
          </w:tcPr>
          <w:p>
            <w:pPr>
              <w:pStyle w:val="Normal6a"/>
            </w:pPr>
            <w:r>
              <w:t>235.</w:t>
            </w:r>
            <w:r>
              <w:tab/>
            </w:r>
            <w:r>
              <w:t xml:space="preserve">domnívá se, že nástroj RRF představuje ústavní zkoušku demokratické odpovědnosti vzhledem ke své velikosti, rychlosti a výjimečnému modelu provádění; zdůrazňuje, že úloha Parlamentu jako orgánu příslušného k udělení absolutoria má smysl pouze tehdy, pokud se ve všech členských státech důsledně a jednotně uplatňují normy transparentnosti, sledovatelnosti a ověřování; </w:t>
            </w:r>
            <w:r>
              <w:rPr>
                <w:b/>
                <w:i/>
              </w:rPr>
              <w:t>domnívá se, že jakýkoli přechod k nástrojům založeným na výkonnosti musí být doprovázen parlamentní kontrolou, aby byla zaručena demokratická odpovědnost;</w:t>
            </w:r>
            <w:r>
              <w:t xml:space="preserve"> </w:t>
            </w:r>
            <w:r>
              <w:rPr>
                <w:b/>
                <w:i/>
              </w:rPr>
              <w:t>odmítá jakýkoli návrh, který by narušil institucionální rovnováhu a oslabil úlohu Parlamentu jako orgánu příslušného k udělení absolutoria;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235.</w:t>
            </w:r>
            <w:r>
              <w:tab/>
            </w:r>
            <w:r>
              <w:t>domnívá se, že nástroj RRF představuje ústavní zkoušku demokratické odpovědnosti vzhledem ke své velikosti, rychlosti a výjimečnému modelu provádění; zdůrazňuje, že úloha Parlamentu jako orgánu příslušného k udělení absolutoria má smysl pouze tehdy, pokud se ve všech členských státech důsledně a jednotně uplatňují normy transparentnosti, sledovatelnosti a ověřování;</w:t>
            </w:r>
          </w:p>
        </w:tc>
        <w:tc>
          <w:tcPr>
            <w:tcW w:w="4876" w:type="dxa"/>
            <w:tcBorders>
              <w:top w:val="nil"/>
              <w:left w:val="nil"/>
              <w:bottom w:val="nil"/>
              <w:right w:val="nil"/>
            </w:tcBorders>
          </w:tcPr>
          <w:p>
            <w:pPr>
              <w:pStyle w:val="Normal6a"/>
            </w:pPr>
            <w:r>
              <w:t>235.</w:t>
            </w:r>
            <w:r>
              <w:tab/>
            </w:r>
            <w:r>
              <w:t xml:space="preserve">domnívá se, že nástroj RRF představuje ústavní zkoušku demokratické odpovědnosti vzhledem ke své velikosti, rychlosti a výjimečnému modelu provádění; zdůrazňuje, že úloha Parlamentu jako orgánu příslušného k udělení absolutoria má smysl pouze tehdy, pokud se ve všech členských státech důsledně a jednotně uplatňují normy transparentnosti, sledovatelnosti a ověřování; </w:t>
            </w:r>
            <w:r>
              <w:rPr>
                <w:b/>
                <w:i/>
              </w:rPr>
              <w:t>podporují názor Soudního dvora, že sledovatelnost finančních prostředků je důležitá pro ochranu finančních zájmů EU, protože umožňuje identifikovat fyzické osoby, které jsou konečnými příjemci finančních prostředků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236.</w:t>
            </w:r>
            <w:r>
              <w:tab/>
            </w:r>
            <w:r>
              <w:t>bere na vědomí zjištění Účetního dvora, že sledovatelnost prostředků z nástroje RRF není v členských státech systematická a že systémy zavedené ve dvou členských státech nezajišťují systematické shromažďování údajů o výdajích vynaložených konečnými příjemci prostředků z nástroje RRF; vyjadřuje politování nad zjištěním Účetního dvora, že navzdory pokynům Komise ohledně metodiky, kterou mají členské státy dodržovat při zveřejňování 100 největších konečných příjemců</w:t>
            </w:r>
            <w:r>
              <w:rPr>
                <w:vertAlign w:val="superscript"/>
              </w:rPr>
              <w:t>21</w:t>
            </w:r>
            <w:r>
              <w:t>, dochází ke značným odlišnostem, pokud jde o druh zveřejňovaných informací; rovněž konstatuje, že dva členské státy uvedly přidělené (tj. uvedené v rozpočtu) nebo vyplacené částky, ale v některých případech pouze do úrovně zprostředkujících subjektů a v některých případech v kombinaci s vnitrostátním financováním, a že jeden členský stát uvedl pouze údaje týkající se opatření s milníky a cíli předloženými k proplacení Komisi, což plně neodráží provádění probíhajících opatření;</w:t>
            </w:r>
          </w:p>
        </w:tc>
        <w:tc>
          <w:tcPr>
            <w:tcW w:w="4876" w:type="dxa"/>
            <w:tcBorders>
              <w:top w:val="nil"/>
              <w:left w:val="nil"/>
              <w:bottom w:val="nil"/>
              <w:right w:val="nil"/>
            </w:tcBorders>
          </w:tcPr>
          <w:p>
            <w:pPr>
              <w:pStyle w:val="Normal6a"/>
            </w:pPr>
            <w:r>
              <w:t>236.</w:t>
            </w:r>
            <w:r>
              <w:tab/>
            </w:r>
            <w:r>
              <w:t>bere na vědomí zjištění Účetního dvora, že sledovatelnost prostředků z nástroje RRF není v členských státech systematická a že systémy zavedené ve dvou členských státech nezajišťují systematické shromažďování údajů o výdajích vynaložených konečnými příjemci prostředků z nástroje RRF; vyjadřuje politování nad zjištěním Účetního dvora, že navzdory pokynům Komise ohledně metodiky, kterou mají členské státy dodržovat při zveřejňování 100 největších konečných příjemců</w:t>
            </w:r>
            <w:r>
              <w:rPr>
                <w:vertAlign w:val="superscript"/>
              </w:rPr>
              <w:t>21</w:t>
            </w:r>
            <w:r>
              <w:t xml:space="preserve">, dochází ke značným odlišnostem, pokud jde o druh zveřejňovaných informací; </w:t>
            </w:r>
            <w:r>
              <w:rPr>
                <w:b/>
                <w:i/>
              </w:rPr>
              <w:t>vyjadřuje vážné znepokojení nad tím, že takové nedostatky v oblasti transparentnosti a sledovatelnosti mohou podkopat důvěru veřejnosti a účinnou demokratickou kontrolu výdajů Nástroje pro oživení a odolnost;</w:t>
            </w:r>
            <w:r>
              <w:t xml:space="preserve"> rovněž konstatuje, že dva členské státy uvedly přidělené (tj. uvedené v rozpočtu) nebo vyplacené částky, ale v některých případech pouze do úrovně zprostředkujících subjektů a v některých případech v kombinaci s vnitrostátním financováním, a že jeden členský stát uvedl pouze údaje týkající se opatření s milníky a cíli předloženými k proplacení Komisi, což plně neodráží provádění probíhajících opatření;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COM(2024)0474 Příloha 5, Příloha zprávy Komise Evropskému parlamentu a Radě o provádění Nástroje pro oživení a odolnost, 10. října 2024.</w:t>
            </w:r>
          </w:p>
        </w:tc>
        <w:tc>
          <w:tcPr>
            <w:tcW w:w="4876" w:type="dxa"/>
            <w:tcBorders>
              <w:top w:val="nil"/>
              <w:left w:val="nil"/>
              <w:bottom w:val="nil"/>
              <w:right w:val="nil"/>
            </w:tcBorders>
          </w:tcPr>
          <w:p>
            <w:pPr>
              <w:pStyle w:val="Normal6a"/>
            </w:pPr>
            <w:r>
              <w:rPr>
                <w:vertAlign w:val="superscript"/>
              </w:rPr>
              <w:t>21</w:t>
            </w:r>
            <w:r>
              <w:t xml:space="preserve"> </w:t>
            </w:r>
            <w:r>
              <w:t>COM(2024)0474 Příloha 5, Příloha zprávy Komise Evropskému parlamentu a Radě o provádění Nástroje pro oživení a odolnost, 10. října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236.</w:t>
            </w:r>
            <w:r>
              <w:tab/>
            </w:r>
            <w:r>
              <w:t>bere na vědomí zjištění Účetního dvora, že sledovatelnost prostředků z nástroje RRF není v členských státech systematická a že systémy zavedené ve dvou členských státech nezajišťují systematické shromažďování údajů o výdajích vynaložených konečnými příjemci prostředků z nástroje RRF; vyjadřuje politování nad zjištěním Účetního dvora, že navzdory pokynům Komise ohledně metodiky, kterou mají členské státy dodržovat při zveřejňování 100 největších konečných příjemců</w:t>
            </w:r>
            <w:r>
              <w:rPr>
                <w:vertAlign w:val="superscript"/>
              </w:rPr>
              <w:t>21</w:t>
            </w:r>
            <w:r>
              <w:rPr>
                <w:b/>
                <w:i/>
              </w:rPr>
              <w:t>,</w:t>
            </w:r>
            <w:r>
              <w:t xml:space="preserve"> dochází ke značným odlišnostem, pokud jde o druh zveřejňovaných informací; rovněž konstatuje, že dva členské státy uvedly přidělené (tj. uvedené v rozpočtu) nebo vyplacené částky, ale v některých případech pouze do úrovně zprostředkujících subjektů a v některých případech v kombinaci s vnitrostátním financováním, a že jeden členský stát uvedl pouze údaje týkající se opatření s milníky a cíli předloženými k proplacení Komisi, což plně neodráží provádění probíhajících opatření;</w:t>
            </w:r>
          </w:p>
        </w:tc>
        <w:tc>
          <w:tcPr>
            <w:tcW w:w="4876" w:type="dxa"/>
            <w:tcBorders>
              <w:top w:val="nil"/>
              <w:left w:val="nil"/>
              <w:bottom w:val="nil"/>
              <w:right w:val="nil"/>
            </w:tcBorders>
          </w:tcPr>
          <w:p>
            <w:pPr>
              <w:pStyle w:val="Normal6a"/>
            </w:pPr>
            <w:r>
              <w:t>236.</w:t>
            </w:r>
            <w:r>
              <w:tab/>
            </w:r>
            <w:r>
              <w:rPr>
                <w:b/>
                <w:i/>
              </w:rPr>
              <w:t>bere na vědomí, že pro rok 2024 Soudní dvůr posoudil vnitrostátní systémy pěti členských států, aby zjistil, zda jsou schopny sledovat prostředky z RRF od vnitrostátního rozpočtu až po konečné příjemce a dále, jakož i poskytovat údaje o výdajích vynaložených konečnými příjemci;</w:t>
            </w:r>
            <w:r>
              <w:t xml:space="preserve"> bere na vědomí zjištění Účetního dvora, že sledovatelnost prostředků z nástroje RRF není v členských státech systematická a že systémy zavedené ve dvou členských státech nezajišťují systematické shromažďování údajů o výdajích vynaložených konečnými příjemci prostředků z nástroje RRF; vyjadřuje politování nad zjištěním Účetního dvora, že navzdory pokynům Komise ohledně metodiky, kterou mají členské státy dodržovat při zveřejňování 100 největších konečných příjemců</w:t>
            </w:r>
            <w:r>
              <w:rPr>
                <w:vertAlign w:val="superscript"/>
              </w:rPr>
              <w:t>21</w:t>
            </w:r>
            <w:r>
              <w:t xml:space="preserve"> dochází ke značným odlišnostem, pokud jde o druh zveřejňovaných informací; rovněž konstatuje, že dva členské státy uvedly přidělené (tj. uvedené v rozpočtu) nebo vyplacené částky, ale v některých případech pouze do úrovně zprostředkujících subjektů a v některých případech v kombinaci s vnitrostátním financováním, a že jeden členský stát uvedl pouze údaje týkající se opatření s milníky a cíli předloženými k proplacení Komisi, což plně neodráží provádění probíhajících opatření;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COM(2024)0474 Příloha 5, Příloha zprávy Komise Evropskému parlamentu a Radě o provádění Nástroje pro oživení a odolnost, 10. října 2024.</w:t>
            </w:r>
          </w:p>
        </w:tc>
        <w:tc>
          <w:tcPr>
            <w:tcW w:w="4876" w:type="dxa"/>
            <w:tcBorders>
              <w:top w:val="nil"/>
              <w:left w:val="nil"/>
              <w:bottom w:val="nil"/>
              <w:right w:val="nil"/>
            </w:tcBorders>
          </w:tcPr>
          <w:p>
            <w:pPr>
              <w:pStyle w:val="Normal6a"/>
            </w:pPr>
            <w:r>
              <w:rPr>
                <w:vertAlign w:val="superscript"/>
              </w:rPr>
              <w:t>21</w:t>
            </w:r>
            <w:r>
              <w:t xml:space="preserve"> </w:t>
            </w:r>
            <w:r>
              <w:t>COM(2024)0474 Příloha 5, Příloha zprávy Komise Evropskému parlamentu a Radě o provádění Nástroje pro oživení a odolnost, 10. října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Eero Heinäluoma,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připomíná, že čl. 22 odst. 2 písm. d) bod ii) nařízení (EU) č. 2021/241 stanoví povinnosti členských států</w:t>
            </w:r>
            <w:r>
              <w:rPr>
                <w:b/>
                <w:i/>
              </w:rPr>
              <w:t>,</w:t>
            </w:r>
            <w:r>
              <w:t xml:space="preserve"> pro účely auditu a kontroly </w:t>
            </w:r>
            <w:r>
              <w:rPr>
                <w:b/>
                <w:i/>
              </w:rPr>
              <w:t>a pro zajištění srovnatelných informací</w:t>
            </w:r>
            <w:r>
              <w:t xml:space="preserve"> o využívání finančních prostředků z nástroje RRF </w:t>
            </w:r>
            <w:r>
              <w:rPr>
                <w:b/>
                <w:i/>
              </w:rPr>
              <w:t>shromažďovat jméno konečného příjemce finančních prostředků, a že čl. 25a odst. 2</w:t>
            </w:r>
            <w:r>
              <w:t xml:space="preserve"> nařízení </w:t>
            </w:r>
            <w:r>
              <w:rPr>
                <w:b/>
                <w:i/>
              </w:rPr>
              <w:t>(EU) 2023/435</w:t>
            </w:r>
            <w:r>
              <w:rPr>
                <w:b/>
                <w:i/>
                <w:vertAlign w:val="superscript"/>
              </w:rPr>
              <w:t>22</w:t>
            </w:r>
            <w:r>
              <w:rPr>
                <w:b/>
                <w:i/>
              </w:rPr>
              <w:t>, kterým se mění nařízení o nástroji RRF, ukládá</w:t>
            </w:r>
            <w:r>
              <w:t xml:space="preserve"> členským státům povinnost zveřejnit </w:t>
            </w:r>
            <w:r>
              <w:rPr>
                <w:b/>
                <w:i/>
              </w:rPr>
              <w:t>100</w:t>
            </w:r>
            <w:r>
              <w:t xml:space="preserve"> konečných </w:t>
            </w:r>
            <w:r>
              <w:rPr>
                <w:b/>
                <w:i/>
              </w:rPr>
              <w:t>příjemcích</w:t>
            </w:r>
            <w:r>
              <w:t xml:space="preserve">, kteří </w:t>
            </w:r>
            <w:r>
              <w:rPr>
                <w:b/>
                <w:i/>
              </w:rPr>
              <w:t>dostávají</w:t>
            </w:r>
            <w:r>
              <w:t xml:space="preserve"> nejvyšší </w:t>
            </w:r>
            <w:r>
              <w:rPr>
                <w:b/>
                <w:i/>
              </w:rPr>
              <w:t>částku finančních prostředků</w:t>
            </w:r>
            <w:r>
              <w:t xml:space="preserve"> v rámci </w:t>
            </w:r>
            <w:r>
              <w:rPr>
                <w:b/>
                <w:i/>
              </w:rPr>
              <w:t>nástroje</w:t>
            </w:r>
            <w:r>
              <w:t xml:space="preserve"> RRF</w:t>
            </w:r>
            <w:r>
              <w:rPr>
                <w:b/>
                <w:i/>
              </w:rPr>
              <w:t>, v případě právnických osob úplný oficiální název příjemce a jejich identifikační číslo pro účely DPH nebo daňové identifikační číslo nebo jiný jedinečný identifikační kód na vnitrostátní úrovni;</w:t>
            </w:r>
            <w:r>
              <w:t xml:space="preserve"> </w:t>
            </w:r>
            <w:r>
              <w:rPr>
                <w:b/>
                <w:i/>
              </w:rPr>
              <w:t>upozorňuje na</w:t>
            </w:r>
            <w:r>
              <w:t xml:space="preserve"> stanovisko Komise, které je uvedeno v jejích pokynech k plánům pro oživení a odolnost</w:t>
            </w:r>
            <w:r>
              <w:rPr>
                <w:vertAlign w:val="superscript"/>
              </w:rPr>
              <w:t>23</w:t>
            </w:r>
            <w:r>
              <w:rPr>
                <w:b/>
                <w:i/>
              </w:rPr>
              <w:t>, a které</w:t>
            </w:r>
            <w:r>
              <w:t xml:space="preserve"> popisuje konečného příjemce jako „poslední subjekt přijímající finanční prostředky, který není dodavatelem nebo subdodavatelem“; vyjadřuje hluboké znepokojení nad tímto výkladem pojmu „konečný příjemce“</w:t>
            </w:r>
            <w:r>
              <w:rPr>
                <w:b/>
                <w:i/>
              </w:rPr>
              <w:t>, který je</w:t>
            </w:r>
            <w:r>
              <w:t xml:space="preserve"> v rozporu se stávajícími právními předpisy; zdůrazňuje, že </w:t>
            </w:r>
            <w:r>
              <w:rPr>
                <w:b/>
                <w:i/>
              </w:rPr>
              <w:t>pokud</w:t>
            </w:r>
            <w:r>
              <w:t xml:space="preserve"> Komise bude </w:t>
            </w:r>
            <w:r>
              <w:rPr>
                <w:b/>
                <w:i/>
              </w:rPr>
              <w:t>i nadále odmítat zajistit plnou transparentnost</w:t>
            </w:r>
            <w:r>
              <w:t>, Parlament zváží všechna dostupná opatření k vynucení jejího dodržování</w:t>
            </w:r>
            <w:r>
              <w:rPr>
                <w:b/>
                <w:i/>
              </w:rPr>
              <w:t>,</w:t>
            </w:r>
            <w:r>
              <w:t xml:space="preserve"> aby zabránil podobnému výkladu ustanovení o transparentnosti v jiných finančních nařízeních; domnívá se, že skutečnost, že dosud nebyli smysluplně zveřejněni koneční příjemci, vážně zpochybňuje schopnost Parlamentu informovaně udělovat absolutorium; připomíná, že Parlament v předchozích usneseních o udělení absolutoria opakovaně vyjádřil vážné obavy ohledně nástroje RRF, včetně transparentnosti konečných příjemců</w:t>
            </w:r>
            <w:r>
              <w:rPr>
                <w:b/>
                <w:i/>
              </w:rPr>
              <w:t>, a proto požaduje, aby Komise do šesti měsíců předložila úplný a smysluplný seznam konečných příjemců, s výjimkou pouhých zprostředkujících subjektů, jako jsou ministerstva nebo řídící orgány</w:t>
            </w:r>
            <w:r>
              <w:t xml:space="preserve">; </w:t>
            </w:r>
            <w:r>
              <w:rPr>
                <w:b/>
                <w:i/>
              </w:rPr>
              <w:t>uvádí, že v případě, že Komise této žádosti nevyhoví, obrátí se Parlament na Soudní dvůr EU, aby zajistil, že občané a zúčastněné strany budou mít k těmto informacím plný přístup;</w:t>
            </w:r>
          </w:p>
        </w:tc>
        <w:tc>
          <w:tcPr>
            <w:tcW w:w="4876" w:type="dxa"/>
            <w:tcBorders>
              <w:top w:val="nil"/>
              <w:left w:val="nil"/>
              <w:bottom w:val="nil"/>
              <w:right w:val="nil"/>
            </w:tcBorders>
          </w:tcPr>
          <w:p>
            <w:pPr>
              <w:pStyle w:val="Normal6a"/>
            </w:pPr>
            <w:r>
              <w:t>237.</w:t>
            </w:r>
            <w:r>
              <w:tab/>
            </w:r>
            <w:r>
              <w:t xml:space="preserve">připomíná, že čl. 22 odst. 2 písm. d) bod ii) nařízení (EU) č. 2021/241 stanoví povinnosti členských států pro účely auditu a kontroly </w:t>
            </w:r>
            <w:r>
              <w:rPr>
                <w:b/>
                <w:i/>
              </w:rPr>
              <w:t>shromažďovat srovnatelné informace</w:t>
            </w:r>
            <w:r>
              <w:t xml:space="preserve"> o využívání finančních prostředků z nástroje RRF</w:t>
            </w:r>
            <w:r>
              <w:rPr>
                <w:b/>
                <w:i/>
              </w:rPr>
              <w:t>, včetně jmen konečných příjemců, dodavatelů a subdodavatelů a skutečných majitelů;</w:t>
            </w:r>
            <w:r>
              <w:t xml:space="preserve"> </w:t>
            </w:r>
            <w:r>
              <w:rPr>
                <w:b/>
                <w:i/>
              </w:rPr>
              <w:t>dále připomíná, že ačkoli</w:t>
            </w:r>
            <w:r>
              <w:t xml:space="preserve"> nařízení </w:t>
            </w:r>
            <w:r>
              <w:rPr>
                <w:b/>
                <w:i/>
              </w:rPr>
              <w:t>neukládá</w:t>
            </w:r>
            <w:r>
              <w:t xml:space="preserve"> členským státům povinnost </w:t>
            </w:r>
            <w:r>
              <w:rPr>
                <w:b/>
                <w:i/>
              </w:rPr>
              <w:t>shromažďovat a zveřejňovat informace o výdajích vynaložených konečnými příjemci na dosažení milníků nebo cílů, ani poskytovat tyto informace spolu se svými žádostmi o platby z RRF, jsou však členské státy povinny</w:t>
            </w:r>
            <w:r>
              <w:t xml:space="preserve"> zveřejnit </w:t>
            </w:r>
            <w:r>
              <w:rPr>
                <w:b/>
                <w:i/>
              </w:rPr>
              <w:t>tyto informace za 100 „</w:t>
            </w:r>
            <w:r>
              <w:t xml:space="preserve">konečných </w:t>
            </w:r>
            <w:r>
              <w:rPr>
                <w:b/>
                <w:i/>
              </w:rPr>
              <w:t>příjemců“</w:t>
            </w:r>
            <w:r>
              <w:t xml:space="preserve">, kteří </w:t>
            </w:r>
            <w:r>
              <w:rPr>
                <w:b/>
                <w:i/>
              </w:rPr>
              <w:t>obdrželi</w:t>
            </w:r>
            <w:r>
              <w:t xml:space="preserve"> nejvyšší </w:t>
            </w:r>
            <w:r>
              <w:rPr>
                <w:b/>
                <w:i/>
              </w:rPr>
              <w:t>částky financování</w:t>
            </w:r>
            <w:r>
              <w:t xml:space="preserve"> v rámci RRF</w:t>
            </w:r>
            <w:r>
              <w:rPr>
                <w:b/>
                <w:i/>
              </w:rPr>
              <w:t>;</w:t>
            </w:r>
            <w:r>
              <w:t xml:space="preserve"> </w:t>
            </w:r>
            <w:r>
              <w:rPr>
                <w:b/>
                <w:i/>
              </w:rPr>
              <w:t>konstatuje, že</w:t>
            </w:r>
            <w:r>
              <w:t xml:space="preserve"> stanovisko Komise, které je uvedeno v jejích pokynech k plánům pro oživení a odolnost</w:t>
            </w:r>
            <w:r>
              <w:rPr>
                <w:vertAlign w:val="superscript"/>
              </w:rPr>
              <w:t>23</w:t>
            </w:r>
            <w:r>
              <w:t xml:space="preserve"> popisuje konečného příjemce jako „poslední subjekt přijímající finanční prostředky, který není dodavatelem nebo subdodavatelem“; vyjadřuje hluboké znepokojení nad tímto výkladem pojmu „konečný příjemce“ </w:t>
            </w:r>
            <w:r>
              <w:rPr>
                <w:b/>
                <w:i/>
              </w:rPr>
              <w:t>a znovu opakuje své stanovisko, že je to</w:t>
            </w:r>
            <w:r>
              <w:t xml:space="preserve"> v rozporu se stávajícími právními předpisy; zdůrazňuje, že </w:t>
            </w:r>
            <w:r>
              <w:rPr>
                <w:b/>
                <w:i/>
              </w:rPr>
              <w:t>očekává, že</w:t>
            </w:r>
            <w:r>
              <w:t xml:space="preserve"> Komise bude </w:t>
            </w:r>
            <w:r>
              <w:rPr>
                <w:b/>
                <w:i/>
              </w:rPr>
              <w:t>prosazovat dodržování stávajících právních předpisů a využije všech prostředků</w:t>
            </w:r>
            <w:r>
              <w:t xml:space="preserve">, </w:t>
            </w:r>
            <w:r>
              <w:rPr>
                <w:b/>
                <w:i/>
              </w:rPr>
              <w:t>které má k dispozici, aby zajistila, že členské státy poskytnou úplné a smysluplné seznamy konečných příjemců, s vyloučením pouhých zprostředkujících subjektů, jako jsou ministerstva nebo řídící orgány;</w:t>
            </w:r>
            <w:r>
              <w:t xml:space="preserve"> </w:t>
            </w:r>
            <w:r>
              <w:rPr>
                <w:b/>
                <w:i/>
              </w:rPr>
              <w:t>zdůrazňuje, že pro zajištění plné transparentnosti</w:t>
            </w:r>
            <w:r>
              <w:t xml:space="preserve"> Parlament zváží všechna dostupná opatření k vynucení jejího dodržování </w:t>
            </w:r>
            <w:r>
              <w:rPr>
                <w:b/>
                <w:i/>
              </w:rPr>
              <w:t>a</w:t>
            </w:r>
            <w:r>
              <w:t xml:space="preserve"> aby zabránil podobnému výkladu ustanovení o transparentnosti v jiných finančních nařízeních; domnívá se, že skutečnost, že dosud nebyli smysluplně zveřejněni koneční příjemci, vážně zpochybňuje schopnost Parlamentu informovaně udělovat absolutorium; připomíná, že Parlament v předchozích usneseních o udělení absolutoria opakovaně vyjádřil vážné obavy ohledně nástroje RRF, včetně transparentnosti konečných příjemců;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22</w:t>
            </w:r>
            <w:r>
              <w:t xml:space="preserve"> </w:t>
            </w:r>
            <w:r>
              <w:rPr>
                <w:b/>
                <w:i/>
              </w:rPr>
              <w:t>Nařízení Evropského parlamentu a Rady (EU) 2023/435 ze dne 27. února 2023, kterým se mění nařízení (EU) 2021/241, pokud jde o kapitoly REPowerEU v plánech pro oživení a odolnost, a nařízení (EU) č. 1303/2013, (EU) 2021/1060 a (EU) 2021/1755 a směrnice 2003/87/ES (Úř. věst. L 63, 28.2.2023, s.</w:t>
            </w:r>
            <w:r>
              <w:t xml:space="preserve"> </w:t>
            </w:r>
            <w:r>
              <w:rPr>
                <w:b/>
                <w:i/>
              </w:rPr>
              <w:t>1;</w:t>
            </w:r>
            <w:r>
              <w:t xml:space="preserve"> </w:t>
            </w:r>
            <w:r>
              <w:rPr>
                <w:b/>
                <w:i/>
              </w:rPr>
              <w:t>ELI: http://data.europa.eu/eli/reg/2023/435/oj).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COM(2024)0474 Příloha 5, Příloha zprávy Komise Evropskému parlamentu a Radě o provádění Nástroje pro oživení a odolnost, 10. října 2024.</w:t>
            </w:r>
          </w:p>
        </w:tc>
        <w:tc>
          <w:tcPr>
            <w:tcW w:w="4876" w:type="dxa"/>
            <w:tcBorders>
              <w:top w:val="nil"/>
              <w:left w:val="nil"/>
              <w:bottom w:val="nil"/>
              <w:right w:val="nil"/>
            </w:tcBorders>
          </w:tcPr>
          <w:p>
            <w:pPr>
              <w:pStyle w:val="Normal6a"/>
            </w:pPr>
            <w:r>
              <w:rPr>
                <w:vertAlign w:val="superscript"/>
              </w:rPr>
              <w:t>23</w:t>
            </w:r>
            <w:r>
              <w:t xml:space="preserve"> </w:t>
            </w:r>
            <w:r>
              <w:t>COM(2024)0474 Příloha 5, Příloha zprávy Komise Evropskému parlamentu a Radě o provádění Nástroje pro oživení a odolnost, 10. října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připomíná, že čl. 22 odst. 2 písm. d) bod ii) nařízení (EU) č. 2021/241 stanoví povinnosti členských států, pro účely auditu a kontroly a pro zajištění srovnatelných informací o využívání finančních prostředků z nástroje RRF shromažďovat jméno konečného příjemce finančních prostředků, a že čl. 25a odst. 2 nařízení (EU) 2023/435</w:t>
            </w:r>
            <w:r>
              <w:rPr>
                <w:b/>
                <w:i/>
                <w:vertAlign w:val="superscript"/>
              </w:rPr>
              <w:t>22</w:t>
            </w:r>
            <w:r>
              <w:t>, kterým se mění nařízení o nástroji RRF, ukládá členským státům povinnost zveřejnit 100 konečných příjemcích, kteří dostávají nejvyšší částku finančních prostředků v rámci nástroje RRF, v případě právnických osob úplný oficiální název příjemce a jejich identifikační číslo pro účely DPH nebo daňové identifikační číslo nebo jiný jedinečný identifikační kód na vnitrostátní úrovni; upozorňuje na stanovisko Komise, které je uvedeno v jejích pokynech k plánům pro oživení a odolnost</w:t>
            </w:r>
            <w:r>
              <w:rPr>
                <w:b/>
                <w:i/>
                <w:vertAlign w:val="superscript"/>
              </w:rPr>
              <w:t>23</w:t>
            </w:r>
            <w:r>
              <w:t>, a které popisuje konečného příjemce jako „poslední subjekt přijímající finanční prostředky, který není dodavatelem nebo subdodavatelem“; vyjadřuje hluboké znepokojení nad tímto výkladem pojmu „konečný příjemce“</w:t>
            </w:r>
            <w:r>
              <w:rPr>
                <w:b/>
                <w:i/>
              </w:rPr>
              <w:t>, který je v rozporu se stávajícími právními předpisy;</w:t>
            </w:r>
            <w:r>
              <w:t xml:space="preserve"> zdůrazňuje, </w:t>
            </w:r>
            <w:r>
              <w:rPr>
                <w:b/>
                <w:i/>
              </w:rPr>
              <w:t>že pokud Komise bude i nadále odmítat zajistit plnou transparentnost, Parlament zváží všechna dostupná opatření k vynucení jejího dodržování, aby zabránil podobnému výkladu ustanovení o</w:t>
            </w:r>
            <w:r>
              <w:t xml:space="preserve"> transparentnosti </w:t>
            </w:r>
            <w:r>
              <w:rPr>
                <w:b/>
                <w:i/>
              </w:rPr>
              <w:t>v jiných finančních nařízeních</w:t>
            </w:r>
            <w:r>
              <w:t xml:space="preserve">; domnívá se, že skutečnost, že dosud nebyli smysluplně zveřejněni koneční příjemci, </w:t>
            </w:r>
            <w:r>
              <w:rPr>
                <w:b/>
                <w:i/>
              </w:rPr>
              <w:t>vážně zpochybňuje</w:t>
            </w:r>
            <w:r>
              <w:t xml:space="preserve"> schopnost Parlamentu informovaně </w:t>
            </w:r>
            <w:r>
              <w:rPr>
                <w:b/>
                <w:i/>
              </w:rPr>
              <w:t>udělovat absolutorium</w:t>
            </w:r>
            <w:r>
              <w:t xml:space="preserve">; připomíná, že Parlament v předchozích usneseních o udělení absolutoria opakovaně </w:t>
            </w:r>
            <w:r>
              <w:rPr>
                <w:b/>
                <w:i/>
              </w:rPr>
              <w:t>vyjádřil</w:t>
            </w:r>
            <w:r>
              <w:t xml:space="preserve"> vážné obavy ohledně nástroje RRF, včetně transparentnosti konečných příjemců, a proto </w:t>
            </w:r>
            <w:r>
              <w:rPr>
                <w:b/>
                <w:i/>
              </w:rPr>
              <w:t>požaduje</w:t>
            </w:r>
            <w:r>
              <w:t xml:space="preserve">, aby Komise </w:t>
            </w:r>
            <w:r>
              <w:rPr>
                <w:b/>
                <w:i/>
              </w:rPr>
              <w:t>do šesti měsíců</w:t>
            </w:r>
            <w:r>
              <w:t xml:space="preserve"> předložila </w:t>
            </w:r>
            <w:r>
              <w:rPr>
                <w:b/>
                <w:i/>
              </w:rPr>
              <w:t>úplný a</w:t>
            </w:r>
            <w:r>
              <w:t xml:space="preserve"> smysluplný seznam konečných příjemců, s výjimkou pouhých zprostředkujících subjektů, jako jsou ministerstva nebo řídící orgány; </w:t>
            </w:r>
            <w:r>
              <w:rPr>
                <w:b/>
                <w:i/>
              </w:rPr>
              <w:t>uvádí, že v případě, že Komise této žádosti nevyhoví, obrátí se Parlament na Soudní dvůr EU, aby zajistil, že občané a zúčastněné strany budou mít k těmto informacím plný přístup;</w:t>
            </w:r>
          </w:p>
        </w:tc>
        <w:tc>
          <w:tcPr>
            <w:tcW w:w="4876" w:type="dxa"/>
            <w:tcBorders>
              <w:top w:val="nil"/>
              <w:left w:val="nil"/>
              <w:bottom w:val="nil"/>
              <w:right w:val="nil"/>
            </w:tcBorders>
          </w:tcPr>
          <w:p>
            <w:pPr>
              <w:pStyle w:val="Normal6a"/>
            </w:pPr>
            <w:r>
              <w:t>237.</w:t>
            </w:r>
            <w:r>
              <w:tab/>
            </w:r>
            <w:r>
              <w:t xml:space="preserve">připomíná, že čl. 22 odst. 2 písm. d) bod ii) nařízení (EU) č. 2021/241 stanoví povinnosti členských států, pro účely auditu a kontroly a pro zajištění srovnatelných informací o využívání finančních prostředků z nástroje RRF shromažďovat jméno konečného příjemce finančních prostředků, a že čl. 25a odst. 2 nařízení (EU) 2023/435 </w:t>
            </w:r>
            <w:r>
              <w:rPr>
                <w:b/>
                <w:i/>
              </w:rPr>
              <w:t>[6]</w:t>
            </w:r>
            <w:r>
              <w:t>, kterým se mění nařízení o nástroji RRF, ukládá členským státům povinnost zveřejnit 100 konečných příjemcích, kteří dostávají nejvyšší částku finančních prostředků v rámci nástroje RRF, v případě právnických osob úplný oficiální název příjemce a jejich identifikační číslo pro účely DPH nebo daňové identifikační číslo nebo jiný jedinečný identifikační kód na vnitrostátní úrovni; upozorňuje na stanovisko Komise, které je uvedeno v jejích pokynech k plánům pro oživení a odolnost</w:t>
            </w:r>
            <w:r>
              <w:rPr>
                <w:b/>
                <w:i/>
              </w:rPr>
              <w:t>[7]</w:t>
            </w:r>
            <w:r>
              <w:t>, a které popisuje konečného příjemce jako „poslední subjekt přijímající finanční prostředky, který není dodavatelem nebo subdodavatelem“; vyjadřuje hluboké znepokojení nad tímto výkladem pojmu „konečný příjemce“</w:t>
            </w:r>
            <w:r>
              <w:rPr>
                <w:b/>
                <w:i/>
              </w:rPr>
              <w:t> a</w:t>
            </w:r>
            <w:r>
              <w:t xml:space="preserve"> zdůrazňuje, </w:t>
            </w:r>
            <w:r>
              <w:rPr>
                <w:b/>
                <w:i/>
              </w:rPr>
              <w:t>důležitost plné</w:t>
            </w:r>
            <w:r>
              <w:t xml:space="preserve"> transparentnosti </w:t>
            </w:r>
            <w:r>
              <w:rPr>
                <w:b/>
                <w:i/>
              </w:rPr>
              <w:t>a že je třeba jasně identifikovat všechny konečné příjemce</w:t>
            </w:r>
            <w:r>
              <w:t xml:space="preserve">; domnívá se, že skutečnost, že dosud nebyli smysluplně zveřejněni koneční příjemci, </w:t>
            </w:r>
            <w:r>
              <w:rPr>
                <w:b/>
                <w:i/>
              </w:rPr>
              <w:t>oslabuje</w:t>
            </w:r>
            <w:r>
              <w:t xml:space="preserve"> schopnost Parlamentu informovaně </w:t>
            </w:r>
            <w:r>
              <w:rPr>
                <w:b/>
                <w:i/>
              </w:rPr>
              <w:t>posoudit provádění RRF</w:t>
            </w:r>
            <w:r>
              <w:t xml:space="preserve">; připomíná, že Parlament v předchozích usneseních o udělení absolutoria opakovaně </w:t>
            </w:r>
            <w:r>
              <w:rPr>
                <w:b/>
                <w:i/>
              </w:rPr>
              <w:t>zdůraznil</w:t>
            </w:r>
            <w:r>
              <w:t xml:space="preserve"> vážné obavy ohledně nástroje RRF, včetně transparentnosti konečných příjemců, a proto </w:t>
            </w:r>
            <w:r>
              <w:rPr>
                <w:b/>
                <w:i/>
              </w:rPr>
              <w:t>podporuje požadavek</w:t>
            </w:r>
            <w:r>
              <w:t>, aby Komise předložila smysluplný seznam konečných příjemců, s výjimkou pouhých zprostředkujících subjektů, jako jsou ministerstva nebo řídící orgány;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22</w:t>
            </w:r>
            <w:r>
              <w:t xml:space="preserve"> </w:t>
            </w:r>
            <w:r>
              <w:rPr>
                <w:b/>
                <w:i/>
              </w:rPr>
              <w:t>Nařízení Evropského parlamentu a Rady (EU) 2023/435 ze dne 27. února 2023, kterým se mění nařízení (EU) 2021/241, pokud jde o kapitoly REPowerEU v plánech pro oživení a odolnost, a nařízení (EU) č. 1303/2013, (EU) 2021/1060 a (EU) 2021/1755 a směrnice 2003/87/ES (Úř. věst. L 63, 28.2.2023, s.</w:t>
            </w:r>
            <w:r>
              <w:t xml:space="preserve"> </w:t>
            </w:r>
            <w:r>
              <w:rPr>
                <w:b/>
                <w:i/>
              </w:rPr>
              <w:t>1;</w:t>
            </w:r>
            <w:r>
              <w:t xml:space="preserve"> </w:t>
            </w:r>
            <w:r>
              <w:rPr>
                <w:b/>
                <w:i/>
              </w:rPr>
              <w:t>ELI: http://data.europa.eu/eli/reg/2023/435/oj).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23</w:t>
            </w:r>
            <w:r>
              <w:t xml:space="preserve"> </w:t>
            </w:r>
            <w:r>
              <w:rPr>
                <w:b/>
                <w:i/>
              </w:rPr>
              <w:t>COM(2024)0474 Příloha 5, Příloha zprávy Komise Evropskému parlamentu a Radě o provádění Nástroje pro oživení a odolnost, 10. října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připomíná, že čl. 22 odst. 2 písm. d) bod ii) nařízení (EU) č. 2021/241 stanoví povinnosti členských států, pro účely auditu a kontroly a pro zajištění srovnatelných informací o využívání finančních prostředků z nástroje RRF shromažďovat jméno konečného příjemce finančních prostředků, a že čl. 25a odst. 2 nařízení (EU) 2023/435</w:t>
            </w:r>
            <w:r>
              <w:rPr>
                <w:vertAlign w:val="superscript"/>
              </w:rPr>
              <w:t>22</w:t>
            </w:r>
            <w:r>
              <w:t>, kterým se mění nařízení o nástroji RRF, ukládá členským státům povinnost zveřejnit 100 konečných příjemcích, kteří dostávají nejvyšší částku finančních prostředků v rámci nástroje RRF, v případě právnických osob úplný oficiální název příjemce a jejich identifikační číslo pro účely DPH nebo daňové identifikační číslo nebo jiný jedinečný identifikační kód na vnitrostátní úrovni; upozorňuje na stanovisko Komise, které je uvedeno v jejích pokynech k plánům pro oživení a odolnost</w:t>
            </w:r>
            <w:r>
              <w:rPr>
                <w:vertAlign w:val="superscript"/>
              </w:rPr>
              <w:t>23</w:t>
            </w:r>
            <w:r>
              <w:t xml:space="preserve">, a které popisuje konečného příjemce jako „poslední subjekt přijímající finanční prostředky, který není dodavatelem nebo subdodavatelem“; vyjadřuje hluboké znepokojení nad tímto výkladem pojmu „konečný příjemce“, který je v rozporu se stávajícími právními předpisy; zdůrazňuje, že pokud Komise bude i nadále odmítat zajistit plnou transparentnost, Parlament zváží všechna dostupná opatření k vynucení jejího dodržování, aby zabránil podobnému výkladu ustanovení o transparentnosti v jiných finančních nařízeních; </w:t>
            </w:r>
            <w:r>
              <w:rPr>
                <w:b/>
                <w:i/>
              </w:rPr>
              <w:t>domnívá se, že skutečnost, že dosud nebyli smysluplně zveřejněni koneční příjemci, vážně zpochybňuje schopnost Parlamentu informovaně udělovat absolutorium;</w:t>
            </w:r>
            <w:r>
              <w:t xml:space="preserve"> připomíná, že Parlament v předchozích usneseních o udělení absolutoria opakovaně vyjádřil vážné obavy ohledně nástroje RRF, včetně transparentnosti konečných příjemců, a proto požaduje, aby Komise do šesti měsíců předložila úplný a smysluplný seznam konečných příjemců, s výjimkou pouhých zprostředkujících subjektů, jako jsou ministerstva nebo řídící orgány; </w:t>
            </w:r>
            <w:r>
              <w:rPr>
                <w:b/>
                <w:i/>
              </w:rPr>
              <w:t>uvádí, že v případě, že Komise této žádosti nevyhoví, obrátí se Parlament na Soudní dvůr EU, aby zajistil, že občané a zúčastněné strany budou mít k těmto informacím plný přístup;</w:t>
            </w:r>
          </w:p>
        </w:tc>
        <w:tc>
          <w:tcPr>
            <w:tcW w:w="4876" w:type="dxa"/>
            <w:tcBorders>
              <w:top w:val="nil"/>
              <w:left w:val="nil"/>
              <w:bottom w:val="nil"/>
              <w:right w:val="nil"/>
            </w:tcBorders>
          </w:tcPr>
          <w:p>
            <w:pPr>
              <w:pStyle w:val="Normal6a"/>
            </w:pPr>
            <w:r>
              <w:t>237.</w:t>
            </w:r>
            <w:r>
              <w:tab/>
            </w:r>
            <w:r>
              <w:t>připomíná, že čl. 22 odst. 2 písm. d) bod ii) nařízení (EU) č. 2021/241 stanoví povinnosti členských států, pro účely auditu a kontroly a pro zajištění srovnatelných informací o využívání finančních prostředků z nástroje RRF shromažďovat jméno konečného příjemce finančních prostředků, a že čl. 25a odst. 2 nařízení (EU) 2023/435</w:t>
            </w:r>
            <w:r>
              <w:rPr>
                <w:vertAlign w:val="superscript"/>
              </w:rPr>
              <w:t>22</w:t>
            </w:r>
            <w:r>
              <w:t>, kterým se mění nařízení o nástroji RRF, ukládá členským státům povinnost zveřejnit 100 konečných příjemcích, kteří dostávají nejvyšší částku finančních prostředků v rámci nástroje RRF, v případě právnických osob úplný oficiální název příjemce a jejich identifikační číslo pro účely DPH nebo daňové identifikační číslo nebo jiný jedinečný identifikační kód na vnitrostátní úrovni; upozorňuje na stanovisko Komise, které je uvedeno v jejích pokynech k plánům pro oživení a odolnost</w:t>
            </w:r>
            <w:r>
              <w:rPr>
                <w:vertAlign w:val="superscript"/>
              </w:rPr>
              <w:t>23</w:t>
            </w:r>
            <w:r>
              <w:t>, a které popisuje konečného příjemce jako „poslední subjekt přijímající finanční prostředky, který není dodavatelem nebo subdodavatelem“; vyjadřuje hluboké znepokojení nad tímto výkladem pojmu „konečný příjemce“, který je v rozporu se stávajícími právními předpisy; zdůrazňuje, že pokud Komise bude i nadále odmítat zajistit plnou transparentnost, Parlament zváží všechna dostupná opatření k vynucení jejího dodržování, aby zabránil podobnému výkladu ustanovení o transparentnosti v jiných finančních nařízeních; připomíná, že Parlament v předchozích usneseních o udělení absolutoria opakovaně vyjádřil vážné obavy ohledně nástroje RRF, včetně transparentnosti konečných příjemců, a proto požaduje, aby Komise do šesti měsíců předložila úplný a smysluplný seznam konečných příjemců, s výjimkou pouhých zprostředkujících subjektů, jako jsou ministerstva nebo řídící orgány;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Nařízení Evropského parlamentu a Rady (EU) 2023/435 ze dne 27. února 2023, kterým se mění nařízení (EU) 2021/241, pokud jde o kapitoly REPowerEU v plánech pro oživení a odolnost, a nařízení (EU) č. 1303/2013, (EU) 2021/1060 a (EU) 2021/1755 a směrnice 2003/87/ES (Úř. věst. L 63, 28.2.2023, s. 1; ELI: http://data.europa.eu/eli/reg/2023/435/oj).</w:t>
            </w:r>
          </w:p>
        </w:tc>
        <w:tc>
          <w:tcPr>
            <w:tcW w:w="4876" w:type="dxa"/>
            <w:tcBorders>
              <w:top w:val="nil"/>
              <w:left w:val="nil"/>
              <w:bottom w:val="nil"/>
              <w:right w:val="nil"/>
            </w:tcBorders>
          </w:tcPr>
          <w:p>
            <w:pPr>
              <w:pStyle w:val="Normal6a"/>
            </w:pPr>
            <w:r>
              <w:rPr>
                <w:vertAlign w:val="superscript"/>
              </w:rPr>
              <w:t>22</w:t>
            </w:r>
            <w:r>
              <w:t xml:space="preserve"> </w:t>
            </w:r>
            <w:r>
              <w:t>Nařízení Evropského parlamentu a Rady (EU) 2023/435 ze dne 27. února 2023, kterým se mění nařízení (EU) 2021/241, pokud jde o kapitoly REPowerEU v plánech pro oživení a odolnost, a nařízení (EU) č. 1303/2013, (EU) 2021/1060 a (EU) 2021/1755 a směrnice 2003/87/ES (Úř. věst. L 63, 28.2.2023, s.</w:t>
            </w:r>
            <w:r>
              <w:rPr>
                <w:b/>
                <w:i/>
              </w:rPr>
              <w:t> </w:t>
            </w:r>
            <w:r>
              <w:t xml:space="preserve"> 1; ELI: http://data.europa.eu/eli/reg/2023/435/oj).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COM(2024)0474 Příloha 5, Příloha zprávy Komise Evropskému parlamentu a Radě o provádění Nástroje pro oživení a odolnost, 10. října 2024.</w:t>
            </w:r>
          </w:p>
        </w:tc>
        <w:tc>
          <w:tcPr>
            <w:tcW w:w="4876" w:type="dxa"/>
            <w:tcBorders>
              <w:top w:val="nil"/>
              <w:left w:val="nil"/>
              <w:bottom w:val="nil"/>
              <w:right w:val="nil"/>
            </w:tcBorders>
          </w:tcPr>
          <w:p>
            <w:pPr>
              <w:pStyle w:val="Normal6a"/>
            </w:pPr>
            <w:r>
              <w:rPr>
                <w:vertAlign w:val="superscript"/>
              </w:rPr>
              <w:t>23</w:t>
            </w:r>
            <w:r>
              <w:t xml:space="preserve"> </w:t>
            </w:r>
            <w:r>
              <w:t>COM(2024)0474 Příloha 5, Příloha zprávy Komise Evropskému parlamentu a Radě o provádění Nástroje pro oživení a odolnost, 10. října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připomíná, že čl. 22 odst. 2 písm. d) bod ii) nařízení (EU) č. 2021/241 stanoví povinnosti členských států, pro účely auditu a kontroly a pro zajištění srovnatelných informací o využívání finančních prostředků z nástroje RRF shromažďovat jméno konečného příjemce finančních prostředků, a že čl. 25a odst. 2 nařízení (EU) 2023/435</w:t>
            </w:r>
            <w:r>
              <w:rPr>
                <w:vertAlign w:val="superscript"/>
              </w:rPr>
              <w:t>22</w:t>
            </w:r>
            <w:r>
              <w:t>, kterým se mění nařízení o nástroji RRF, ukládá členským státům povinnost zveřejnit 100 konečných příjemcích, kteří dostávají nejvyšší částku finančních prostředků v rámci nástroje RRF, v případě právnických osob úplný oficiální název příjemce a jejich identifikační číslo pro účely DPH nebo daňové identifikační číslo nebo jiný jedinečný identifikační kód na vnitrostátní úrovni; upozorňuje na stanovisko Komise, které je uvedeno v jejích pokynech k plánům pro oživení a odolnost</w:t>
            </w:r>
            <w:r>
              <w:rPr>
                <w:vertAlign w:val="superscript"/>
              </w:rPr>
              <w:t>23</w:t>
            </w:r>
            <w:r>
              <w:t>, a které popisuje konečného příjemce jako „poslední subjekt přijímající finanční prostředky, který není dodavatelem nebo subdodavatelem“; vyjadřuje hluboké znepokojení nad tímto výkladem pojmu „konečný příjemce“, který je v rozporu se stávajícími právními předpisy; zdůrazňuje, že pokud Komise bude i nadále odmítat zajistit plnou transparentnost, Parlament zváží všechna dostupná opatření k vynucení jejího dodržování, aby zabránil podobnému výkladu ustanovení o transparentnosti v jiných finančních nařízeních; domnívá se, že skutečnost, že dosud nebyli smysluplně zveřejněni koneční příjemci, vážně zpochybňuje schopnost Parlamentu informovaně udělovat absolutorium; připomíná, že Parlament v předchozích usneseních o udělení absolutoria opakovaně vyjádřil vážné obavy ohledně nástroje RRF, včetně transparentnosti konečných příjemců, a proto požaduje, aby Komise do šesti měsíců předložila úplný a smysluplný seznam konečných příjemců, s výjimkou pouhých zprostředkujících subjektů, jako jsou ministerstva nebo řídící orgány</w:t>
            </w:r>
            <w:r>
              <w:rPr>
                <w:b/>
                <w:i/>
              </w:rPr>
              <w:t>;</w:t>
            </w:r>
            <w:r>
              <w:t xml:space="preserve"> </w:t>
            </w:r>
            <w:r>
              <w:rPr>
                <w:b/>
                <w:i/>
              </w:rPr>
              <w:t>uvádí, že v případě, že Komise této žádosti nevyhoví, obrátí se Parlament na Soudní dvůr EU</w:t>
            </w:r>
            <w:r>
              <w:t>, aby zajistil, že občané a zúčastněné strany budou mít k těmto informacím plný přístup;</w:t>
            </w:r>
          </w:p>
        </w:tc>
        <w:tc>
          <w:tcPr>
            <w:tcW w:w="4876" w:type="dxa"/>
            <w:tcBorders>
              <w:top w:val="nil"/>
              <w:left w:val="nil"/>
              <w:bottom w:val="nil"/>
              <w:right w:val="nil"/>
            </w:tcBorders>
          </w:tcPr>
          <w:p>
            <w:pPr>
              <w:pStyle w:val="Normal6a"/>
            </w:pPr>
            <w:r>
              <w:t>237.</w:t>
            </w:r>
            <w:r>
              <w:tab/>
            </w:r>
            <w:r>
              <w:t>připomíná, že čl. 22 odst. 2 písm. d) bod ii) nařízení (EU) č. 2021/241 stanoví povinnosti členských států, pro účely auditu a kontroly a pro zajištění srovnatelných informací o využívání finančních prostředků z nástroje RRF shromažďovat jméno konečného příjemce finančních prostředků, a že čl. 25a odst. 2 nařízení (EU) 2023/435</w:t>
            </w:r>
            <w:r>
              <w:rPr>
                <w:vertAlign w:val="superscript"/>
              </w:rPr>
              <w:t>22</w:t>
            </w:r>
            <w:r>
              <w:t>, kterým se mění nařízení o nástroji RRF, ukládá členským státům povinnost zveřejnit 100 konečných příjemcích, kteří dostávají nejvyšší částku finančních prostředků v rámci nástroje RRF, v případě právnických osob úplný oficiální název příjemce a jejich identifikační číslo pro účely DPH nebo daňové identifikační číslo nebo jiný jedinečný identifikační kód na vnitrostátní úrovni; upozorňuje na stanovisko Komise, které je uvedeno v jejích pokynech k plánům pro oživení a odolnost</w:t>
            </w:r>
            <w:r>
              <w:rPr>
                <w:vertAlign w:val="superscript"/>
              </w:rPr>
              <w:t>23</w:t>
            </w:r>
            <w:r>
              <w:t>, a které popisuje konečného příjemce jako „poslední subjekt přijímající finanční prostředky, který není dodavatelem nebo subdodavatelem“; vyjadřuje hluboké znepokojení nad tímto výkladem pojmu „konečný příjemce“, který je v rozporu se stávajícími právními předpisy; zdůrazňuje, že pokud Komise bude i nadále odmítat zajistit plnou transparentnost, Parlament zváží všechna dostupná opatření k vynucení jejího dodržování, aby zabránil podobnému výkladu ustanovení o transparentnosti v jiných finančních nařízeních;domnívá se, že skutečnost, že dosud nebyli smysluplně zveřejněni koneční příjemci, vážně zpochybňuje schopnost Parlamentu informovaně udělovat absolutorium; připomíná, že Parlament v předchozích usneseních o udělení absolutoria opakovaně vyjádřil vážné obavy ohledně nástroje RRF, včetně transparentnosti konečných příjemců, a proto požaduje, aby Komise do šesti měsíců předložila úplný a smysluplný seznam konečných příjemců, s výjimkou pouhých zprostředkujících subjektů, jako jsou ministerstva nebo řídící orgány, aby zajistil, že občané a zúčastněné strany budou mít k těmto informacím plný přístup;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Nařízení Evropského parlamentu a Rady (EU) 2023/435 ze dne 27. února 2023, kterým se mění nařízení (EU) 2021/241, pokud jde o kapitoly REPowerEU v plánech pro oživení a odolnost, a nařízení (EU) č. 1303/2013, (EU) 2021/1060 a (EU) 2021/1755 a směrnice 2003/87/ES (Úř. věst. L 63, 28.2.2023, s. 1; ELI: http://data.europa.eu/eli/reg/2023/435/oj).</w:t>
            </w:r>
          </w:p>
        </w:tc>
        <w:tc>
          <w:tcPr>
            <w:tcW w:w="4876" w:type="dxa"/>
            <w:tcBorders>
              <w:top w:val="nil"/>
              <w:left w:val="nil"/>
              <w:bottom w:val="nil"/>
              <w:right w:val="nil"/>
            </w:tcBorders>
          </w:tcPr>
          <w:p>
            <w:pPr>
              <w:pStyle w:val="Normal6a"/>
            </w:pPr>
            <w:r>
              <w:rPr>
                <w:vertAlign w:val="superscript"/>
              </w:rPr>
              <w:t>22</w:t>
            </w:r>
            <w:r>
              <w:t xml:space="preserve"> </w:t>
            </w:r>
            <w:r>
              <w:t>Nařízení Evropského parlamentu a Rady (EU) 2023/435 ze dne 27. února 2023, kterým se mění nařízení (EU) 2021/241, pokud jde o kapitoly REPowerEU v plánech pro oživení a odolnost, a nařízení (EU) č. 1303/2013, (EU) 2021/1060 a (EU) 2021/1755 a směrnice 2003/87/ES (Úř. věst. L 63, 28.2.2023, s.</w:t>
            </w:r>
            <w:r>
              <w:rPr>
                <w:b/>
                <w:i/>
              </w:rPr>
              <w:t> </w:t>
            </w:r>
            <w:r>
              <w:t xml:space="preserve"> 1; ELI: http://data.europa.eu/eli/reg/2023/435/oj).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COM(2024)0474 Příloha 5, Příloha zprávy Komise Evropskému parlamentu a Radě o provádění Nástroje pro oživení a odolnost, 10. října 2024.</w:t>
            </w:r>
          </w:p>
        </w:tc>
        <w:tc>
          <w:tcPr>
            <w:tcW w:w="4876" w:type="dxa"/>
            <w:tcBorders>
              <w:top w:val="nil"/>
              <w:left w:val="nil"/>
              <w:bottom w:val="nil"/>
              <w:right w:val="nil"/>
            </w:tcBorders>
          </w:tcPr>
          <w:p>
            <w:pPr>
              <w:pStyle w:val="Normal6a"/>
            </w:pPr>
            <w:r>
              <w:rPr>
                <w:vertAlign w:val="superscript"/>
              </w:rPr>
              <w:t>23</w:t>
            </w:r>
            <w:r>
              <w:t xml:space="preserve"> </w:t>
            </w:r>
            <w:r>
              <w:t>COM(2024)0474 Příloha 5, Příloha zprávy Komise Evropskému parlamentu a Radě o provádění Nástroje pro oživení a odolnost, 10. října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Şerban Dimitrie Sturdza, 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připomíná, že čl. 22 odst. 2 písm. d) bod ii) nařízení (EU) č. 2021/241 stanoví povinnosti členských států, pro účely auditu a kontroly a pro zajištění srovnatelných informací o využívání finančních prostředků z nástroje RRF shromažďovat jméno konečného příjemce finančních prostředků, a že čl. 25a odst. 2 nařízení (EU) 2023/435</w:t>
            </w:r>
            <w:r>
              <w:rPr>
                <w:vertAlign w:val="superscript"/>
              </w:rPr>
              <w:t>22</w:t>
            </w:r>
            <w:r>
              <w:t>, kterým se mění nařízení o nástroji RRF, ukládá členským státům povinnost zveřejnit 100 konečných příjemcích, kteří dostávají nejvyšší částku finančních prostředků v rámci nástroje RRF, v případě právnických osob úplný oficiální název příjemce a jejich identifikační číslo pro účely DPH nebo daňové identifikační číslo nebo jiný jedinečný identifikační kód na vnitrostátní úrovni; upozorňuje na stanovisko Komise, které je uvedeno v jejích pokynech k plánům pro oživení a odolnost</w:t>
            </w:r>
            <w:r>
              <w:rPr>
                <w:vertAlign w:val="superscript"/>
              </w:rPr>
              <w:t>23</w:t>
            </w:r>
            <w:r>
              <w:t xml:space="preserve">, </w:t>
            </w:r>
            <w:r>
              <w:rPr>
                <w:b/>
                <w:i/>
              </w:rPr>
              <w:t>a které</w:t>
            </w:r>
            <w:r>
              <w:t xml:space="preserve"> popisuje konečného příjemce jako „poslední subjekt přijímající finanční prostředky, který není dodavatelem nebo subdodavatelem“; vyjadřuje hluboké znepokojení nad tímto výkladem pojmu „konečný příjemce“, který je v rozporu se stávajícími právními předpisy; zdůrazňuje, že pokud Komise bude i nadále odmítat zajistit plnou transparentnost, Parlament zváží všechna dostupná opatření k vynucení jejího dodržování, aby zabránil podobnému výkladu ustanovení o transparentnosti v jiných finančních nařízeních; domnívá se, že skutečnost, že dosud nebyli smysluplně zveřejněni koneční příjemci, vážně zpochybňuje schopnost Parlamentu informovaně udělovat absolutorium; připomíná, že Parlament v předchozích usneseních o udělení absolutoria opakovaně vyjádřil vážné obavy ohledně nástroje RRF, včetně transparentnosti konečných příjemců, a proto požaduje, aby Komise do šesti měsíců předložila úplný a smysluplný seznam konečných příjemců, s výjimkou pouhých zprostředkujících subjektů, jako jsou ministerstva nebo řídící orgány; uvádí, že v případě, že Komise této žádosti nevyhoví, obrátí se Parlament na Soudní dvůr EU, aby zajistil, že občané a zúčastněné strany budou mít k těmto informacím plný přístup;</w:t>
            </w:r>
          </w:p>
        </w:tc>
        <w:tc>
          <w:tcPr>
            <w:tcW w:w="4876" w:type="dxa"/>
            <w:tcBorders>
              <w:top w:val="nil"/>
              <w:left w:val="nil"/>
              <w:bottom w:val="nil"/>
              <w:right w:val="nil"/>
            </w:tcBorders>
          </w:tcPr>
          <w:p>
            <w:pPr>
              <w:pStyle w:val="Normal6a"/>
            </w:pPr>
            <w:r>
              <w:t>237.</w:t>
            </w:r>
            <w:r>
              <w:tab/>
            </w:r>
            <w:r>
              <w:t>připomíná, že čl. 22 odst. 2 písm. d) bod ii) nařízení (EU) č. 2021/241 stanoví povinnosti členských států, pro účely auditu a kontroly a pro zajištění srovnatelných informací o využívání finančních prostředků z nástroje RRF shromažďovat jméno konečného příjemce finančních prostředků, a že čl. 25a odst. 2 nařízení (EU) 2023/435</w:t>
            </w:r>
            <w:r>
              <w:rPr>
                <w:vertAlign w:val="superscript"/>
              </w:rPr>
              <w:t>22</w:t>
            </w:r>
            <w:r>
              <w:t>, kterým se mění nařízení o nástroji RRF, ukládá členským státům povinnost zveřejnit 100 konečných příjemcích, kteří dostávají nejvyšší částku finančních prostředků v rámci nástroje RRF, v případě právnických osob úplný oficiální název příjemce a jejich identifikační číslo pro účely DPH nebo daňové identifikační číslo nebo jiný jedinečný identifikační kód na vnitrostátní úrovni; upozorňuje na stanovisko Komise, které je uvedeno v jejích pokynech k plánům pro oživení a odolnost</w:t>
            </w:r>
            <w:r>
              <w:rPr>
                <w:vertAlign w:val="superscript"/>
              </w:rPr>
              <w:t>23</w:t>
            </w:r>
            <w:r>
              <w:t xml:space="preserve">, popisuje konečného příjemce jako „poslední subjekt přijímající finanční prostředky, který není dodavatelem nebo subdodavatelem“; vyjadřuje hluboké znepokojení nad tímto výkladem pojmu „konečný příjemce“, který je v rozporu se stávajícími právními předpisy; zdůrazňuje, že pokud Komise bude i nadále odmítat zajistit plnou transparentnost, Parlament zváží všechna dostupná opatření k vynucení jejího dodržování, aby zabránil podobnému výkladu ustanovení o transparentnosti v jiných finančních nařízeních;domnívá se, že skutečnost, že dosud nebyli smysluplně zveřejněni koneční příjemci, vážně zpochybňuje schopnost Parlamentu informovaně udělovat absolutorium; připomíná, že Parlament v předchozích usneseních o udělení absolutoria opakovaně vyjádřil vážné obavy ohledně nástroje RRF, včetně transparentnosti konečných příjemců, a proto požaduje, aby Komise do šesti měsíců předložila úplný a smysluplný seznam konečných příjemců, s výjimkou pouhých zprostředkujících subjektů, jako jsou ministerstva nebo řídící orgány; uvádí, že v případě, že Komise této žádosti nevyhoví, obrátí se Parlament na Soudní dvůr EU, aby zajistil, že občané a zúčastněné strany budou mít k těmto informacím plný přístup; </w:t>
            </w:r>
            <w:r>
              <w:rPr>
                <w:b/>
                <w:i/>
              </w:rPr>
              <w:t>zdůrazňuje, že úplné a spolehlivé informace o příjemcích a konečných příjemcích jsou nezbytné k prevenci zneužívání finančních prostředků, odhalování podvodů a zajištění rovných standardů odpovědnosti ve všech členských státech;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Nařízení Evropského parlamentu a Rady (EU) 2023/435 ze dne 27. února 2023, kterým se mění nařízení (EU) 2021/241, pokud jde o kapitoly REPowerEU v plánech pro oživení a odolnost, a nařízení (EU) č. 1303/2013, (EU) 2021/1060 a (EU) 2021/1755 a směrnice 2003/87/ES (Úř. věst. L 63, 28.2.2023, s. 1; ELI: http://data.europa.eu/eli/reg/2023/435/oj).</w:t>
            </w:r>
          </w:p>
        </w:tc>
        <w:tc>
          <w:tcPr>
            <w:tcW w:w="4876" w:type="dxa"/>
            <w:tcBorders>
              <w:top w:val="nil"/>
              <w:left w:val="nil"/>
              <w:bottom w:val="nil"/>
              <w:right w:val="nil"/>
            </w:tcBorders>
          </w:tcPr>
          <w:p>
            <w:pPr>
              <w:pStyle w:val="Normal6a"/>
            </w:pPr>
            <w:r>
              <w:rPr>
                <w:vertAlign w:val="superscript"/>
              </w:rPr>
              <w:t>22</w:t>
            </w:r>
            <w:r>
              <w:t xml:space="preserve"> </w:t>
            </w:r>
            <w:r>
              <w:t>Nařízení Evropského parlamentu a Rady (EU) 2023/435 ze dne 27. února 2023, kterým se mění nařízení (EU) 2021/241, pokud jde o kapitoly REPowerEU v plánech pro oživení a odolnost, a nařízení (EU) č. 1303/2013, (EU) 2021/1060 a (EU) 2021/1755 a směrnice 2003/87/ES (Úř. věst. L 63, 28.2.2023, s.</w:t>
            </w:r>
            <w:r>
              <w:rPr>
                <w:b/>
                <w:i/>
              </w:rPr>
              <w:t> </w:t>
            </w:r>
            <w:r>
              <w:t xml:space="preserve"> 1; ELI: http://data.europa.eu/eli/reg/2023/435/oj).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COM(2024)0474 Příloha 5, Příloha zprávy Komise Evropskému parlamentu a Radě o provádění Nástroje pro oživení a odolnost, 10. října 2024.</w:t>
            </w:r>
          </w:p>
        </w:tc>
        <w:tc>
          <w:tcPr>
            <w:tcW w:w="4876" w:type="dxa"/>
            <w:tcBorders>
              <w:top w:val="nil"/>
              <w:left w:val="nil"/>
              <w:bottom w:val="nil"/>
              <w:right w:val="nil"/>
            </w:tcBorders>
          </w:tcPr>
          <w:p>
            <w:pPr>
              <w:pStyle w:val="Normal6a"/>
            </w:pPr>
            <w:r>
              <w:rPr>
                <w:vertAlign w:val="superscript"/>
              </w:rPr>
              <w:t>23</w:t>
            </w:r>
            <w:r>
              <w:t xml:space="preserve"> </w:t>
            </w:r>
            <w:r>
              <w:t>COM(2024)0474 Příloha 5, Příloha zprávy Komise Evropskému parlamentu a Radě o provádění Nástroje pro oživení a odolnost, 10. října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239.</w:t>
            </w:r>
            <w:r>
              <w:tab/>
            </w:r>
            <w:r>
              <w:t>dále zdůrazňuje, že dne 4. února 2025 členové výboru CONT požádali Komisi, aby za každý členský stát předložila seznam 100 největších fyzických osob nebo právních subjektů, které jsou příjemci finančních prostředků v rámci nástroje RRF, včetně dodavatelů a subdodavatelů; považuje za nepřijatelné, že pouze šest členských států sdílelo požadované údaje s útvary Komise a jeden členský stát vyjádřil záměr sdílet seznam v budoucnu, zatímco tři další členské státy uvedly, že údaje nepředloží, a tvrdily, že žádost není v souladu s požadavky na podávání zpráv podle nařízení o nástroji RRF, zatímco zbývajících 17 členských států na žádost Komise nereagovalo;</w:t>
            </w:r>
          </w:p>
        </w:tc>
        <w:tc>
          <w:tcPr>
            <w:tcW w:w="4876" w:type="dxa"/>
            <w:tcBorders>
              <w:top w:val="nil"/>
              <w:left w:val="nil"/>
              <w:bottom w:val="nil"/>
              <w:right w:val="nil"/>
            </w:tcBorders>
          </w:tcPr>
          <w:p>
            <w:pPr>
              <w:pStyle w:val="Normal6a"/>
            </w:pPr>
            <w:r>
              <w:t>239.</w:t>
            </w:r>
            <w:r>
              <w:tab/>
            </w:r>
            <w:r>
              <w:t xml:space="preserve">dále zdůrazňuje, že dne 4. února 2025 členové výboru CONT požádali Komisi, aby za každý členský stát předložila seznam 100 největších fyzických osob nebo právních subjektů, které jsou příjemci finančních prostředků v rámci nástroje RRF, včetně dodavatelů a subdodavatelů; považuje za nepřijatelné, že pouze šest členských států sdílelo požadované údaje s útvary Komise a jeden členský stát vyjádřil záměr sdílet seznam v budoucnu, zatímco tři další členské státy uvedly, že údaje nepředloží, a tvrdily, že žádost není v souladu s požadavky na podávání zpráv podle nařízení o nástroji RRF, zatímco zbývajících 17 členských států na žádost Komise nereagovalo; </w:t>
            </w:r>
            <w:r>
              <w:rPr>
                <w:b/>
                <w:i/>
              </w:rPr>
              <w:t>konstatuje, že poslanci již v předchozích letech požadovali tento seznam, aniž by Komise na jejich žádost reagovala;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239.</w:t>
            </w:r>
            <w:r>
              <w:tab/>
            </w:r>
            <w:r>
              <w:t>dále zdůrazňuje, že dne 4. února 2025 členové výboru CONT požádali Komisi, aby za každý členský stát předložila seznam 100 největších fyzických osob nebo právních subjektů, které jsou příjemci finančních prostředků v rámci nástroje RRF, včetně dodavatelů a subdodavatelů; považuje za nepřijatelné, že pouze šest členských států sdílelo požadované údaje s útvary Komise a jeden členský stát vyjádřil záměr sdílet seznam v budoucnu, zatímco tři další členské státy uvedly, že údaje nepředloží, a tvrdily, že žádost není v souladu s požadavky na podávání zpráv podle nařízení o nástroji RRF, zatímco zbývajících 17 členských států na žádost Komise nereagovalo;</w:t>
            </w:r>
          </w:p>
        </w:tc>
        <w:tc>
          <w:tcPr>
            <w:tcW w:w="4876" w:type="dxa"/>
            <w:tcBorders>
              <w:top w:val="nil"/>
              <w:left w:val="nil"/>
              <w:bottom w:val="nil"/>
              <w:right w:val="nil"/>
            </w:tcBorders>
          </w:tcPr>
          <w:p>
            <w:pPr>
              <w:pStyle w:val="Normal6a"/>
            </w:pPr>
            <w:r>
              <w:t>239.</w:t>
            </w:r>
            <w:r>
              <w:tab/>
            </w:r>
            <w:r>
              <w:t xml:space="preserve">dále zdůrazňuje, že dne 4. února 2025 členové výboru CONT požádali Komisi </w:t>
            </w:r>
            <w:r>
              <w:rPr>
                <w:b/>
                <w:i/>
              </w:rPr>
              <w:t>za účelem udělení absolutoria podle čl. 319 Smlouvy o fungování Evropské unie</w:t>
            </w:r>
            <w:r>
              <w:t>, aby za každý členský stát předložila seznam 100 největších fyzických osob nebo právních subjektů, které jsou příjemci finančních prostředků v rámci nástroje RRF, včetně dodavatelů a subdodavatelů; považuje za nepřijatelné, že pouze šest členských států sdílelo požadované údaje s útvary Komise a jeden členský stát vyjádřil záměr sdílet seznam v budoucnu, zatímco tři další členské státy uvedly, že údaje nepředloží, a tvrdily, že žádost není v souladu s požadavky na podávání zpráv podle nařízení o nástroji RRF, zatímco zbývajících 17 členských států na žádost Komise nereagovalo;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239a.</w:t>
            </w:r>
            <w:r>
              <w:tab/>
            </w:r>
            <w:r>
              <w:rPr>
                <w:b/>
                <w:i/>
              </w:rPr>
              <w:t>připomíná, že RRF zásadně přispěl k tomu, že se po pandemii COVID-19 předešlo prudkému hospodářskému propadu a sociální krizi, a byl schopen poskytnout silný nástroj krizové reakce;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239b.</w:t>
            </w:r>
            <w:r>
              <w:tab/>
            </w:r>
            <w:r>
              <w:rPr>
                <w:b/>
                <w:i/>
              </w:rPr>
              <w:t>vyjadřuje politování nad tím, že Soudní dvůr musel vydat výrok s výhradou ohledně zákonnosti a řádnosti výdajů v rámci Nástroje pro oživení a odolnost (RRF);</w:t>
            </w:r>
            <w:r>
              <w:t xml:space="preserve"> </w:t>
            </w:r>
            <w:r>
              <w:rPr>
                <w:b/>
                <w:i/>
              </w:rPr>
              <w:t>vyjadřuje v této souvislosti politování nad používáním tohoto nového druhu tzv. dočasného a flexibilního nástroje, který je ale mimořádně nákladný a Evropský účetní dvůr jej pravidelně odsuzuje za nedostatečnou transparentnost při dosahování milníků a cílů, a nad nedostatečnou objektivitou při poskytování financování, které je zcela v rukou Evropské komise;</w:t>
            </w:r>
            <w:r>
              <w:t xml:space="preserve"> </w:t>
            </w:r>
            <w:r>
              <w:rPr>
                <w:b/>
                <w:i/>
              </w:rPr>
              <w:t>vyjadřuje politování nad plánovaným vývojem tohoto druhu nástroje, který nabízí jen málo záruk dohledu, a tím i ochrany finančních zájmů Unie;</w:t>
            </w:r>
            <w:r>
              <w:t xml:space="preserve"> </w:t>
            </w:r>
            <w:r>
              <w:rPr>
                <w:b/>
                <w:i/>
              </w:rPr>
              <w:t>dále odsuzuje to, že obrovské dluhy, které tento druh nástroje generuje, staví Unii do situace závislosti na jejích věřitelích, což ji potenciálně vystavuje riziku vměšování ze zemí mimo Evropu;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Tomáš Zdechovský, Jacek Protas,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241 – podbod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iv)</w:t>
            </w:r>
            <w:r>
              <w:tab/>
            </w:r>
            <w:r>
              <w:rPr>
                <w:b/>
                <w:i/>
              </w:rPr>
              <w:t>zvážila pozastavení plateb Polsku, pokud dojde ke zhoršení plnění dvou supermilníků zaměřených na posílení nezávislosti a nestrannosti soudnictví nebo pokud jejich plnění bude i nadále jen částečné;</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241 – podbod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rPr>
                <w:b/>
                <w:i/>
              </w:rPr>
              <w:t>zvážila pozastavení plateb</w:t>
            </w:r>
            <w:r>
              <w:t xml:space="preserve"> Polsku</w:t>
            </w:r>
            <w:r>
              <w:rPr>
                <w:b/>
                <w:i/>
              </w:rPr>
              <w:t>, pokud dojde ke zhoršení plnění dvou supermilníků zaměřených na posílení nezávislosti a nestrannosti soudnictví nebo pokud jejich plnění bude i nadále jen částečné;</w:t>
            </w:r>
          </w:p>
        </w:tc>
        <w:tc>
          <w:tcPr>
            <w:tcW w:w="4876" w:type="dxa"/>
            <w:tcBorders>
              <w:top w:val="nil"/>
              <w:left w:val="nil"/>
              <w:bottom w:val="nil"/>
              <w:right w:val="nil"/>
            </w:tcBorders>
          </w:tcPr>
          <w:p>
            <w:pPr>
              <w:pStyle w:val="Normal6a"/>
            </w:pPr>
            <w:r>
              <w:t>iv)</w:t>
            </w:r>
            <w:r>
              <w:tab/>
            </w:r>
            <w:r>
              <w:rPr>
                <w:b/>
                <w:i/>
              </w:rPr>
              <w:t>připomíná, že v</w:t>
            </w:r>
            <w:r>
              <w:t xml:space="preserve"> Polsku </w:t>
            </w:r>
            <w:r>
              <w:rPr>
                <w:b/>
                <w:i/>
              </w:rPr>
              <w:t>bylo odhaleno zneužití části plánu na oživení ekonomiky po pandemii COVID prostřednictvím programu 2400 dotací financovaných EU ve výši 282 milionů EUR určených pro hotely, restaurace a kulturní zařízení poté, co kampaň za transparentnost odhalila dotace poskytnuté na jachty, bary s prodejem vodky a společnosti registrované na stejné adrese jako swingers klub</w:t>
            </w:r>
            <w:r>
              <w:rPr>
                <w:b/>
                <w:i/>
                <w:vertAlign w:val="superscript"/>
              </w:rPr>
              <w:t>8a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https://www.politico.eu/article/poland-freezes-covid-cash-payouts-after-swingers-club-and-yacht-storm/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241 – podbod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urychleně posílila mechanismy odhalování podvodů, včetně povinného posouzení rizika podvodů u všech rozsáhlých projektů v rámci nástroje RRF;</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podbod v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vyjadřuje lítost nad tím, že přístup Účetního dvora k nástroji FENIX, který slouží k podávání zpráv o RRF, zůstává stále otevřenou otázkou;</w:t>
            </w:r>
            <w:r>
              <w:t xml:space="preserve"> </w:t>
            </w:r>
            <w:r>
              <w:rPr>
                <w:b/>
                <w:i/>
              </w:rPr>
              <w:t>žádá Komisi, aby neprodleně uzavřela závaznou interinstitucionální dohodu, která zajistí Účetnímu dvoru plný a systematický přístup ke všem příslušným databázím v reálném čase, včetně databází Arachne a Fenix;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241 – podbod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důsledně a správně uplatňovala ustanovení týkající se „konečných příjemců“ obsažená v nařízení o nástroji RRF, a to revizí svých pokynů k RRP, aby komunikovala s členskými státy o správném uplatňování definice „konečných příjemců“ a do šesti měsíců poskytla orgánu příslušnému k udělení absolutoria úplný a smysluplný seznam konečných příjemců, s výjimkou pouhých zprostředkujících subjektů, jako jsou ministerstva nebo řídicí orgány;</w:t>
            </w:r>
          </w:p>
        </w:tc>
        <w:tc>
          <w:tcPr>
            <w:tcW w:w="4876" w:type="dxa"/>
            <w:tcBorders>
              <w:top w:val="nil"/>
              <w:left w:val="nil"/>
              <w:bottom w:val="nil"/>
              <w:right w:val="nil"/>
            </w:tcBorders>
          </w:tcPr>
          <w:p>
            <w:pPr>
              <w:pStyle w:val="Normal6a"/>
            </w:pPr>
            <w:r>
              <w:t>vi)</w:t>
            </w:r>
            <w:r>
              <w:tab/>
            </w:r>
            <w:r>
              <w:t xml:space="preserve">důsledně a správně uplatňovala ustanovení týkající se „konečných příjemců“ obsažená v nařízení o nástroji RRF, a to revizí svých pokynů k RRP, aby komunikovala s členskými státy o správném uplatňování definice „konečných příjemců“ a </w:t>
            </w:r>
            <w:r>
              <w:rPr>
                <w:b/>
                <w:i/>
              </w:rPr>
              <w:t>zavedla ve všech členských státech standardizovanější a srovnatelnější formáty podávání zpráv, včetně komplexních a spolehlivých údajů o příjemcích a konečných příjemcích, aby bylo možné řádně posoudit výkonnost, dopad a přidanou hodnotu výdajů RRF pro peníze daňových poplatníků, a</w:t>
            </w:r>
            <w:r>
              <w:t xml:space="preserve"> do šesti měsíců poskytla orgánu příslušnému k udělení absolutoria úplný a smysluplný seznam konečných příjemců, s výjimkou pouhých zprostředkujících subjektů, jako jsou ministerstva nebo řídicí orgány;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241 – podbod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důsledně a správně uplatňovala ustanovení týkající se „konečných příjemců“ obsažená v nařízení o nástroji RRF</w:t>
            </w:r>
            <w:r>
              <w:rPr>
                <w:b/>
                <w:i/>
              </w:rPr>
              <w:t>, a to revizí svých pokynů k RRP, aby komunikovala s členskými</w:t>
            </w:r>
            <w:r>
              <w:t xml:space="preserve"> státy o </w:t>
            </w:r>
            <w:r>
              <w:rPr>
                <w:b/>
                <w:i/>
              </w:rPr>
              <w:t>správném uplatňování definice „</w:t>
            </w:r>
            <w:r>
              <w:t xml:space="preserve">konečných </w:t>
            </w:r>
            <w:r>
              <w:rPr>
                <w:b/>
                <w:i/>
              </w:rPr>
              <w:t>příjemců“ a do šesti měsíců poskytla</w:t>
            </w:r>
            <w:r>
              <w:t xml:space="preserve"> orgánu příslušnému k udělení absolutoria </w:t>
            </w:r>
            <w:r>
              <w:rPr>
                <w:b/>
                <w:i/>
              </w:rPr>
              <w:t>úplný a smysluplný seznam konečných příjemců</w:t>
            </w:r>
            <w:r>
              <w:t>, s výjimkou pouhých zprostředkujících subjektů, jako jsou ministerstva nebo řídicí orgány;</w:t>
            </w:r>
          </w:p>
        </w:tc>
        <w:tc>
          <w:tcPr>
            <w:tcW w:w="4876" w:type="dxa"/>
            <w:tcBorders>
              <w:top w:val="nil"/>
              <w:left w:val="nil"/>
              <w:bottom w:val="nil"/>
              <w:right w:val="nil"/>
            </w:tcBorders>
          </w:tcPr>
          <w:p>
            <w:pPr>
              <w:pStyle w:val="Normal6a"/>
            </w:pPr>
            <w:r>
              <w:t>vi)</w:t>
            </w:r>
            <w:r>
              <w:tab/>
            </w:r>
            <w:r>
              <w:t xml:space="preserve">důsledně a správně uplatňovala ustanovení týkající se „konečných příjemců“ obsažená v nařízení o nástroji RRF </w:t>
            </w:r>
            <w:r>
              <w:rPr>
                <w:b/>
                <w:i/>
              </w:rPr>
              <w:t>s cílem zajistit, aby členské</w:t>
            </w:r>
            <w:r>
              <w:t xml:space="preserve"> státy </w:t>
            </w:r>
            <w:r>
              <w:rPr>
                <w:b/>
                <w:i/>
              </w:rPr>
              <w:t>shromažďovaly a poskytovaly údaje</w:t>
            </w:r>
            <w:r>
              <w:t xml:space="preserve"> o konečných </w:t>
            </w:r>
            <w:r>
              <w:rPr>
                <w:b/>
                <w:i/>
              </w:rPr>
              <w:t>subjektech, které obdržely finanční prostředky, a aby tyto informace byly k dispozici</w:t>
            </w:r>
            <w:r>
              <w:t xml:space="preserve"> orgánu příslušnému k udělení absolutoria, s výjimkou pouhých zprostředkujících subjektů, jako jsou ministerstva nebo řídicí orgány;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241 – podbod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 xml:space="preserve">důsledně a správně uplatňovala ustanovení týkající se „konečných příjemců“ obsažená v nařízení o nástroji RRF, a to revizí svých pokynů k RRP, aby komunikovala s členskými státy o správném uplatňování definice „konečných příjemců“ a </w:t>
            </w:r>
            <w:r>
              <w:rPr>
                <w:b/>
                <w:i/>
              </w:rPr>
              <w:t>do šesti měsíců</w:t>
            </w:r>
            <w:r>
              <w:t xml:space="preserve"> poskytla orgánu příslušnému k udělení absolutoria úplný a smysluplný seznam konečných příjemců, s výjimkou pouhých zprostředkujících subjektů, jako jsou ministerstva nebo řídicí orgány;</w:t>
            </w:r>
          </w:p>
        </w:tc>
        <w:tc>
          <w:tcPr>
            <w:tcW w:w="4876" w:type="dxa"/>
            <w:tcBorders>
              <w:top w:val="nil"/>
              <w:left w:val="nil"/>
              <w:bottom w:val="nil"/>
              <w:right w:val="nil"/>
            </w:tcBorders>
          </w:tcPr>
          <w:p>
            <w:pPr>
              <w:pStyle w:val="Normal6a"/>
            </w:pPr>
            <w:r>
              <w:t>vi)</w:t>
            </w:r>
            <w:r>
              <w:tab/>
            </w:r>
            <w:r>
              <w:t>důsledně a správně uplatňovala ustanovení týkající se „konečných příjemců“ obsažená v nařízení o nástroji RRF, a to revizí svých pokynů k RRP, aby komunikovala s členskými státy o správném uplatňování definice „konečných příjemců“ a poskytla orgánu příslušnému k udělení absolutoria úplný a smysluplný seznam konečných příjemců, s výjimkou pouhých zprostředkujících subjektů, jako jsou ministerstva nebo řídicí orgány;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podbod vi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a)</w:t>
            </w:r>
            <w:r>
              <w:tab/>
            </w:r>
            <w:r>
              <w:rPr>
                <w:b/>
                <w:i/>
              </w:rPr>
              <w:t>vyzývá k větší transparentnosti RRF prostřednictvím včasného zveřejňování hodnocení Komise, národních zpráv, auditů a opatření na podporu oživení v přístupném a ověřitelném formátu, které umožní řádnou kontrolu ze strany Parlamentu, EÚD a občanů;</w:t>
            </w:r>
            <w:r>
              <w:t xml:space="preserve"> </w:t>
            </w:r>
            <w:r>
              <w:rPr>
                <w:b/>
                <w:i/>
              </w:rPr>
              <w:t>podporuje vrstevnatý přístup k informacím – plný přístup v reálném čase pro EÚD, neomezená práva na informace pro Parlament a transparentní přístup veřejnosti v souladu s rozsudky Soudního dvora Evropské unie – při současném zajištění souladu s GDPR a pravidly EU pro ochranu údajů;</w:t>
            </w:r>
            <w:r>
              <w:t xml:space="preserve"> </w:t>
            </w:r>
            <w:r>
              <w:rPr>
                <w:b/>
                <w:i/>
              </w:rPr>
              <w:t>zdůrazňuje, že zveřejněné údaje musí odrážet skutečnou realizaci projektu a jeho výsledky;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241 – podbod vii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t>zajistila soudržné informace o výkonnosti ve VFR po roce 2027 vytvořením jednotného souboru jasně definovaných oblastí politiky a soudržné metodiky, která propojí výzvy, cíle, opatření, financování a ukazatele výkonnosti s jednou nebo více oblastmi politiky;</w:t>
            </w:r>
          </w:p>
        </w:tc>
        <w:tc>
          <w:tcPr>
            <w:tcW w:w="4876" w:type="dxa"/>
            <w:tcBorders>
              <w:top w:val="nil"/>
              <w:left w:val="nil"/>
              <w:bottom w:val="nil"/>
              <w:right w:val="nil"/>
            </w:tcBorders>
          </w:tcPr>
          <w:p>
            <w:pPr>
              <w:pStyle w:val="Normal6a"/>
            </w:pPr>
            <w:r>
              <w:t>vii)</w:t>
            </w:r>
            <w:r>
              <w:tab/>
            </w:r>
            <w:r>
              <w:t>zajistila soudržné informace o výkonnosti ve VFR po roce 2027 vytvořením jednotného souboru jasně definovaných oblastí politiky a soudržné metodiky, která propojí výzvy, cíle, opatření, financování a ukazatele výkonnosti s jednou nebo více oblastmi politiky</w:t>
            </w:r>
            <w:r>
              <w:rPr>
                <w:b/>
                <w:i/>
              </w:rPr>
              <w:t>, a to mimo jiné prostřednictvím harmonizovaných rámců pro podávání zpráv a měřitelných, srovnatelných ukazatelů ve všech členských státech, což umožní jasné posouzení výsledků, účinnosti a hodnoty financování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241 – podbod 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 xml:space="preserve">navrhla pro nástroje a revize nařízení po roce 2026 povinnost členských států oznamovat podezření na podvody a nesrovnalosti s využitím harmonizované taxonomie, která by byla v souladu se standardy </w:t>
            </w:r>
            <w:r>
              <w:rPr>
                <w:b/>
                <w:i/>
              </w:rPr>
              <w:t>a potřebami</w:t>
            </w:r>
            <w:r>
              <w:t xml:space="preserve"> úřadu OLAF/EPPO</w:t>
            </w:r>
            <w:r>
              <w:rPr>
                <w:b/>
                <w:i/>
              </w:rPr>
              <w:t>, a zahrnovala sankce za systémově nedostatečné oznamování takovýchto podezření.</w:t>
            </w:r>
          </w:p>
        </w:tc>
        <w:tc>
          <w:tcPr>
            <w:tcW w:w="4876" w:type="dxa"/>
            <w:tcBorders>
              <w:top w:val="nil"/>
              <w:left w:val="nil"/>
              <w:bottom w:val="nil"/>
              <w:right w:val="nil"/>
            </w:tcBorders>
          </w:tcPr>
          <w:p>
            <w:pPr>
              <w:pStyle w:val="Normal6a"/>
            </w:pPr>
            <w:r>
              <w:t>x)</w:t>
            </w:r>
            <w:r>
              <w:tab/>
            </w:r>
            <w:r>
              <w:t>navrhla pro nástroje a revize nařízení po roce 2026 povinnost členských států oznamovat podezření na podvody a nesrovnalosti s využitím harmonizované taxonomie, která by byla v souladu se standardy úřadu OLAF/EPPO</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podbod x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xa)</w:t>
            </w:r>
            <w:r>
              <w:tab/>
            </w:r>
            <w:r>
              <w:rPr>
                <w:b/>
                <w:i/>
              </w:rPr>
              <w:t>provedla makroekonomické hodnocení s cílem posoudit účinnost a efektivitu podpory EU členským státům prostřednictvím RRF, včetně toho, do jaké míry byla podpora poskytnuta včas a byla úměrná zamýšleným cílům nástroje, zejména oživení po krizi způsobené pandemií COVID-19, a sdílela toto hodnocení s orgánem příslušným k udělení absolutoria;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podbod x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xa)</w:t>
            </w:r>
            <w:r>
              <w:tab/>
            </w:r>
            <w:r>
              <w:rPr>
                <w:b/>
                <w:i/>
              </w:rPr>
              <w:t>úzce spolupracovala s členskými státy, zejména s těmi, které čelí omezeným administrativním kapacitám, poskytováním cílené technické pomoci a poradenství s cílem zajistit plné a účinné provádění investic a reforem v rámci RRF ve všech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podbod x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xa)</w:t>
            </w:r>
            <w:r>
              <w:tab/>
            </w:r>
            <w:r>
              <w:rPr>
                <w:b/>
                <w:i/>
              </w:rPr>
              <w:t>vyzývá k zavedení prediktivních analytických nástrojů poháněných umělou inteligencí, jakož i schopností strojového učení, které by auditorům umožnily provádět posouzení rizik v reálném čase a účinněji odhalovat anomálie;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podbod x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xb)</w:t>
            </w:r>
            <w:r>
              <w:tab/>
            </w:r>
            <w:r>
              <w:rPr>
                <w:b/>
                <w:i/>
              </w:rPr>
              <w:t>vyzývá Komisi, aby požadovala standardizovanější a srovnatelnější formáty podávání zpráv ve všech členských státech, včetně komplexních a spolehlivých údajů o příjemcích a konečných příjemcích, aby bylo možné řádně posoudit výkonnost, dopad a přidanou hodnotu výdajů RRF z peněz daňových poplatníků;</w:t>
            </w:r>
            <w:r>
              <w:t xml:space="preserve"> </w:t>
            </w:r>
            <w:r>
              <w:rPr>
                <w:b/>
                <w:i/>
              </w:rPr>
              <w:t>vyzývá Komisi, aby v případě zjištění závažných nedostatků v národních systémech podávání zpráv nebo kontrolních systémech stanovila jako základní podmínku pro vyplacení finančních prostředků z RRF plnou transparentnost a sledovatelnost těchto prostředků a aby v plném rozsahu využila svých pravomocí v oblasti dohledu, auditu a nápravných opatření v rámci RRF k zajištění harmonizovaného, spolehlivého a včasného podávání zpráv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784.513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170</w:t>
    </w:r>
    <w:r>
      <w:fldChar w:fldCharType="end"/>
    </w:r>
    <w:r>
      <w:t>/</w:t>
    </w:r>
    <w:r>
      <w:fldChar w:fldCharType="begin"/>
    </w:r>
    <w:r>
      <w:instrText xml:space="preserve"> NUMPAGES </w:instrText>
    </w:r>
    <w:r>
      <w:fldChar w:fldCharType="separate"/>
    </w:r>
    <w:r>
      <w:t>170</w:t>
    </w:r>
    <w:r>
      <w:fldChar w:fldCharType="end"/>
    </w:r>
    <w:r>
      <w:tab/>
    </w:r>
    <w:r>
      <w:rPr>
        <w:rStyle w:val="HideTWBExt"/>
      </w:rPr>
      <w:t>&lt;PathFdR&gt;</w:t>
    </w:r>
    <w:r>
      <w:t>AM\1337951CS.docx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AM\1337951CS.docx</w:t>
    </w:r>
    <w:r>
      <w:rPr>
        <w:rStyle w:val="HideTWBExt"/>
      </w:rPr>
      <w:t>&lt;/PathFdR&gt;</w:t>
    </w:r>
    <w:r>
      <w:tab/>
    </w:r>
    <w:r>
      <w:fldChar w:fldCharType="begin"/>
    </w:r>
    <w:r>
      <w:instrText xml:space="preserve"> PAGE </w:instrText>
    </w:r>
    <w:r>
      <w:fldChar w:fldCharType="separate"/>
    </w:r>
    <w:r>
      <w:t>169</w:t>
    </w:r>
    <w:r>
      <w:fldChar w:fldCharType="end"/>
    </w:r>
    <w:r>
      <w:t>/</w:t>
    </w:r>
    <w:r>
      <w:fldChar w:fldCharType="begin"/>
    </w:r>
    <w:r>
      <w:instrText xml:space="preserve"> NUMPAGES </w:instrText>
    </w:r>
    <w:r>
      <w:fldChar w:fldCharType="separate"/>
    </w:r>
    <w:r>
      <w:t>170</w:t>
    </w:r>
    <w:r>
      <w:fldChar w:fldCharType="end"/>
    </w:r>
    <w:r>
      <w:tab/>
    </w:r>
    <w:r>
      <w:t>PE</w:t>
    </w:r>
    <w:r>
      <w:rPr>
        <w:rStyle w:val="HideTWBExt"/>
      </w:rPr>
      <w:t>&lt;NoPE&gt;</w:t>
    </w:r>
    <w:r>
      <w:t>784.513</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AM\1337951CS.docx</w:t>
    </w:r>
    <w:r>
      <w:rPr>
        <w:rStyle w:val="HideTWBExt"/>
      </w:rPr>
      <w:t>&lt;/PathFdR&gt;</w:t>
    </w:r>
    <w:r>
      <w:tab/>
    </w:r>
    <w:r>
      <w:tab/>
    </w:r>
    <w:r>
      <w:t>PE</w:t>
    </w:r>
    <w:r>
      <w:rPr>
        <w:rStyle w:val="HideTWBExt"/>
      </w:rPr>
      <w:t>&lt;NoPE&gt;</w:t>
    </w:r>
    <w:r>
      <w:t>784.513</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170</Pages>
  <Words>44278</Words>
  <Characters>265135</Characters>
  <Application>Microsoft Office Word</Application>
  <DocSecurity>0</DocSecurity>
  <Lines>1</Lines>
  <Paragraphs>2274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1337951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407701</vt:lpwstr>
  </property>
  <property fmtid="{D5CDD505-2E9C-101B-9397-08002B2CF9AE}" pid="7" name="dmxml.render.traceId">
    <vt:lpwstr>69b01afcd81596b9637270c2a83ab010</vt:lpwstr>
  </property>
  <property fmtid="{D5CDD505-2E9C-101B-9397-08002B2CF9AE}" pid="8" name="FooterPath">
    <vt:lpwstr>AM\1337951CS.docx</vt:lpwstr>
  </property>
  <property fmtid="{D5CDD505-2E9C-101B-9397-08002B2CF9AE}" pid="9" name="PE Number">
    <vt:lpwstr>784.513</vt:lpwstr>
  </property>
  <property fmtid="{D5CDD505-2E9C-101B-9397-08002B2CF9AE}" pid="10" name="UID">
    <vt:lpwstr>eu.europa.europarl-DIN1-2026-0000041769_01.00-cs-01.00_text-xml</vt:lpwstr>
  </property>
</Properties>
</file>