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Commissie begrotingscontrole</w:t>
      </w:r>
      <w:r>
        <w:rPr>
          <w:rStyle w:val="HideTWBExt"/>
        </w:rPr>
        <w:t>&lt;/Commission&gt;</w:t>
      </w:r>
    </w:p>
    <w:p>
      <w:pPr>
        <w:pStyle w:val="LineBottom"/>
      </w:pPr>
      <w:r>
        <w:t xml:space="preserve"> </w:t>
      </w:r>
    </w:p>
    <w:p>
      <w:pPr>
        <w:pStyle w:val="CoverReference"/>
      </w:pPr>
      <w:r>
        <w:rPr>
          <w:rStyle w:val="HideTWBExt"/>
        </w:rPr>
        <w:t>&lt;RefProc&gt;</w:t>
      </w:r>
      <w:r>
        <w:t>2025/2145</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{20/02/2026}</w:t>
      </w:r>
      <w:r>
        <w:t>20.2.2026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251</w:t>
      </w:r>
      <w:r>
        <w:t xml:space="preserve"> - </w:t>
      </w:r>
      <w:r>
        <w:t>500</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Daniel Freund</w:t>
      </w:r>
      <w:r>
        <w:rPr>
          <w:rStyle w:val="HideTWBExt"/>
        </w:rPr>
        <w:t>&lt;/Rapporteur&gt;</w:t>
      </w:r>
    </w:p>
    <w:p>
      <w:pPr>
        <w:pStyle w:val="CoverNormal24a"/>
      </w:pPr>
      <w:r>
        <w:rPr>
          <w:rStyle w:val="HideTWBExt"/>
        </w:rPr>
        <w:t>&lt;DocRefPE&gt;</w:t>
      </w:r>
      <w:r>
        <w:t>(PE778.123v01-00)</w:t>
      </w:r>
      <w:r>
        <w:rPr>
          <w:rStyle w:val="HideTWBExt"/>
        </w:rPr>
        <w:t>&lt;/DocRefPE&gt;</w:t>
      </w:r>
    </w:p>
    <w:p>
      <w:pPr>
        <w:pStyle w:val="CoverNormal"/>
      </w:pPr>
      <w:r>
        <w:rPr>
          <w:rStyle w:val="HideTWBExt"/>
        </w:rPr>
        <w:t>&lt;Titre&gt;</w:t>
      </w:r>
      <w:r>
        <w:t>Kwijting 2024: algemene begroting van de EU – Commissie</w:t>
      </w:r>
      <w:r>
        <w:rPr>
          <w:rStyle w:val="HideTWBExt"/>
        </w:rPr>
        <w:t>&lt;/Titre&gt;</w:t>
      </w:r>
    </w:p>
    <w:p>
      <w:pPr>
        <w:pStyle w:val="CoverNormal24a"/>
      </w:pPr>
      <w:r>
        <w:rPr>
          <w:rStyle w:val="HideTWBExt"/>
        </w:rPr>
        <w:t>&lt;DocRef&gt;</w:t>
      </w:r>
      <w:r>
        <w:t>(2025/2145(DEC))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herinnert eraan dat het GLB 2023-2027 is opgebouwd rond tien hoofddoelstellingen, waaronder het garanderen van een billijk inkomen voor landbouwers; is van mening dat rechtstreekse inkomenssteun in het kader van het GLB </w:t>
            </w:r>
            <w:r>
              <w:rPr>
                <w:b/>
                <w:i/>
              </w:rPr>
              <w:t>alleen mag</w:t>
            </w:r>
            <w:r>
              <w:t xml:space="preserve"> worden verleend aan </w:t>
            </w:r>
            <w:r>
              <w:rPr>
                <w:b/>
                <w:i/>
              </w:rPr>
              <w:t>actieve</w:t>
            </w:r>
            <w:r>
              <w:t xml:space="preserve"> landbouwers </w:t>
            </w:r>
            <w:r>
              <w:rPr>
                <w:b/>
                <w:i/>
              </w:rPr>
              <w:t>met landbouw als hoofdactiviteit, met</w:t>
            </w:r>
            <w:r>
              <w:t xml:space="preserve"> bijzondere aandacht </w:t>
            </w:r>
            <w:r>
              <w:rPr>
                <w:b/>
                <w:i/>
              </w:rPr>
              <w:t>voor degenen die dit het hardst nodig hebben, zoals agrarisch</w:t>
            </w:r>
            <w:r>
              <w:t xml:space="preserve"> familiebedrijven en kleine landbouwbedrijven, landbouwbedrijven in gebieden met natuurlijke of andere specifieke beperkingen en jonge en vrouwelijke landbouwers; meent dat de Commissie maatregelen moet nemen om de doeltreffendheid van de landbouwfondsen van de Unie te vergroten en ervoor te zorgen dat </w:t>
            </w:r>
            <w:r>
              <w:rPr>
                <w:b/>
                <w:i/>
              </w:rPr>
              <w:t>alleen actieve</w:t>
            </w:r>
            <w:r>
              <w:t xml:space="preserve"> landbouwers rechtstreekse inkomenssteun ontvangen, en niet grondeigenaren;</w:t>
            </w:r>
          </w:p>
        </w:tc>
        <w:tc>
          <w:tcPr>
            <w:tcW w:w="4876" w:type="dxa"/>
            <w:tcBorders>
              <w:top w:val="nil"/>
              <w:left w:val="nil"/>
              <w:bottom w:val="nil"/>
              <w:right w:val="nil"/>
            </w:tcBorders>
          </w:tcPr>
          <w:p>
            <w:pPr>
              <w:pStyle w:val="Normal6a"/>
            </w:pPr>
            <w:r>
              <w:t>111.</w:t>
            </w:r>
            <w:r>
              <w:tab/>
            </w:r>
            <w:r>
              <w:t xml:space="preserve">herinnert eraan dat het GLB 2023-2027 is opgebouwd rond tien hoofddoelstellingen, waaronder het garanderen van een billijk inkomen voor landbouwers; is van mening dat rechtstreekse inkomenssteun in het kader van het GLB </w:t>
            </w:r>
            <w:r>
              <w:rPr>
                <w:b/>
                <w:i/>
              </w:rPr>
              <w:t>moet</w:t>
            </w:r>
            <w:r>
              <w:t xml:space="preserve"> worden verleend aan </w:t>
            </w:r>
            <w:r>
              <w:rPr>
                <w:b/>
                <w:i/>
              </w:rPr>
              <w:t>alle</w:t>
            </w:r>
            <w:r>
              <w:t xml:space="preserve"> landbouwers </w:t>
            </w:r>
            <w:r>
              <w:rPr>
                <w:b/>
                <w:i/>
              </w:rPr>
              <w:t>die betrokken zijn bij de voedselproductie;</w:t>
            </w:r>
            <w:r>
              <w:t xml:space="preserve"> </w:t>
            </w:r>
            <w:r>
              <w:rPr>
                <w:b/>
                <w:i/>
              </w:rPr>
              <w:t>wijst erop dat</w:t>
            </w:r>
            <w:r>
              <w:t xml:space="preserve"> bijzondere aandacht </w:t>
            </w:r>
            <w:r>
              <w:rPr>
                <w:b/>
                <w:i/>
              </w:rPr>
              <w:t>moet worden besteed aan agrarische</w:t>
            </w:r>
            <w:r>
              <w:t xml:space="preserve"> familiebedrijven en kleine landbouwbedrijven, landbouwbedrijven in gebieden met natuurlijke of andere specifieke beperkingen en jonge en vrouwelijke landbouwers; meent dat de Commissie maatregelen moet nemen om de doeltreffendheid van de landbouwfondsen van de Unie te vergroten en ervoor te zorgen dat </w:t>
            </w:r>
            <w:r>
              <w:rPr>
                <w:b/>
                <w:i/>
              </w:rPr>
              <w:t>alle</w:t>
            </w:r>
            <w:r>
              <w:t xml:space="preserve"> landbouwers </w:t>
            </w:r>
            <w:r>
              <w:rPr>
                <w:b/>
                <w:i/>
              </w:rPr>
              <w:t>die aan de wettelijke vereisten voldoen,</w:t>
            </w:r>
            <w:r>
              <w:t xml:space="preserve"> rechtstreekse inkomenssteun ontvangen, en niet grondeigenaren;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herinnert eraan dat het GLB 2023-2027 is opgebouwd rond tien hoofddoelstellingen, waaronder het garanderen van een billijk inkomen voor landbouwers; is van mening dat rechtstreekse inkomenssteun in het kader van het GLB </w:t>
            </w:r>
            <w:r>
              <w:rPr>
                <w:b/>
                <w:i/>
              </w:rPr>
              <w:t>alleen mag</w:t>
            </w:r>
            <w:r>
              <w:t xml:space="preserve"> worden </w:t>
            </w:r>
            <w:r>
              <w:rPr>
                <w:b/>
                <w:i/>
              </w:rPr>
              <w:t>verleend aan actieve</w:t>
            </w:r>
            <w:r>
              <w:t xml:space="preserve"> landbouwers </w:t>
            </w:r>
            <w:r>
              <w:rPr>
                <w:b/>
                <w:i/>
              </w:rPr>
              <w:t>met landbouw als hoofdactiviteit</w:t>
            </w:r>
            <w:r>
              <w:t xml:space="preserve">, met bijzondere aandacht voor degenen die dit het hardst nodig hebben, zoals </w:t>
            </w:r>
            <w:r>
              <w:rPr>
                <w:b/>
                <w:i/>
              </w:rPr>
              <w:t>agrarisch</w:t>
            </w:r>
            <w:r>
              <w:t xml:space="preserve"> familiebedrijven en kleine landbouwbedrijven, landbouwbedrijven in gebieden met natuurlijke of andere specifieke beperkingen en jonge en vrouwelijke landbouwers; meent dat de Commissie maatregelen moet nemen om de doeltreffendheid van de landbouwfondsen van de Unie te vergroten en ervoor te zorgen dat alleen actieve landbouwers rechtstreekse inkomenssteun ontvangen</w:t>
            </w:r>
            <w:r>
              <w:rPr>
                <w:b/>
                <w:i/>
              </w:rPr>
              <w:t>, en niet grondeigenaren</w:t>
            </w:r>
            <w:r>
              <w:t>;</w:t>
            </w:r>
          </w:p>
        </w:tc>
        <w:tc>
          <w:tcPr>
            <w:tcW w:w="4876" w:type="dxa"/>
            <w:tcBorders>
              <w:top w:val="nil"/>
              <w:left w:val="nil"/>
              <w:bottom w:val="nil"/>
              <w:right w:val="nil"/>
            </w:tcBorders>
          </w:tcPr>
          <w:p>
            <w:pPr>
              <w:pStyle w:val="Normal6a"/>
            </w:pPr>
            <w:r>
              <w:t>111.</w:t>
            </w:r>
            <w:r>
              <w:tab/>
            </w:r>
            <w:r>
              <w:t xml:space="preserve">herinnert eraan dat het GLB 2023-2027 is opgebouwd rond tien hoofddoelstellingen, waaronder het garanderen van een billijk inkomen voor landbouwers; is van mening dat rechtstreekse inkomenssteun in het kader van het GLB </w:t>
            </w:r>
            <w:r>
              <w:rPr>
                <w:b/>
                <w:i/>
              </w:rPr>
              <w:t>beter moet</w:t>
            </w:r>
            <w:r>
              <w:t xml:space="preserve"> worden </w:t>
            </w:r>
            <w:r>
              <w:rPr>
                <w:b/>
                <w:i/>
              </w:rPr>
              <w:t>gericht op</w:t>
            </w:r>
            <w:r>
              <w:t xml:space="preserve"> landbouwers </w:t>
            </w:r>
            <w:r>
              <w:rPr>
                <w:b/>
                <w:i/>
              </w:rPr>
              <w:t>die actief betrokken zijn bij de landbouwproductie</w:t>
            </w:r>
            <w:r>
              <w:t xml:space="preserve">, met bijzondere aandacht voor degenen die dit het hardst nodig hebben, zoals </w:t>
            </w:r>
            <w:r>
              <w:rPr>
                <w:b/>
                <w:i/>
              </w:rPr>
              <w:t>agrarische</w:t>
            </w:r>
            <w:r>
              <w:t xml:space="preserve"> familiebedrijven en kleine landbouwbedrijven, landbouwbedrijven in gebieden met natuurlijke of andere specifieke beperkingen en jonge en vrouwelijke landbouwers; meent dat de Commissie maatregelen moet nemen om de doeltreffendheid van de landbouwfondsen van de Unie te vergroten en ervoor te zorgen dat alleen actieve landbouwers rechtstreekse inkomenssteun ontvangen;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112.</w:t>
            </w:r>
            <w:r>
              <w:tab/>
            </w:r>
            <w:r>
              <w:rPr>
                <w:b/>
                <w:i/>
              </w:rPr>
              <w:t>is bezorgd over</w:t>
            </w:r>
            <w:r>
              <w:t xml:space="preserve"> de beschuldigingen van grootschalige fraude met landbouwfondsen van de Unie, die voor het eerst in februari 2025 in de media zijn verschenen en betrekking hebben op het Griekse orgaan voor de betaling van en het toezicht op de communautaire oriëntatie‑ en garantiesteun (OPEKEPE); herinnert eraan dat het EOM in mei 2025 een persbericht heeft gepubliceerd waarin werd bevestigd dat een onderzoek werd ingesteld naar vermeende georganiseerde fraude met landbouwfondsen en corruptie waarbij overheidsambtenaren van OPEKEPE betrokken waren; herinnert eraan dat het EOM volgens persberichten informatie aan het Griekse parlement heeft overhandigd met het oog op een onderzoek naar twee voormalige ministers; </w:t>
            </w:r>
            <w:r>
              <w:rPr>
                <w:b/>
                <w:i/>
              </w:rPr>
              <w:t>merkt op dat het OPEKEPE-schandaal heeft geleid tot het aftreden van verschillende ministers en onderministers vanwege hun vermeende betrokkenheid bij het schandaal;</w:t>
            </w:r>
            <w:r>
              <w:t xml:space="preserve"> neemt met bezorgdheid kennis van het persbericht van het EOM van 22 oktober 2025, waarin wordt uitgelegd dat in de loop van het voorlopige onderzoek door het EOM een georganiseerde criminele groepering is geïdentificeerd die betrokken zou zijn bij systematische grootschalige subsidiefraude en witwaspraktijken;</w:t>
            </w:r>
          </w:p>
        </w:tc>
        <w:tc>
          <w:tcPr>
            <w:tcW w:w="4876" w:type="dxa"/>
            <w:tcBorders>
              <w:top w:val="nil"/>
              <w:left w:val="nil"/>
              <w:bottom w:val="nil"/>
              <w:right w:val="nil"/>
            </w:tcBorders>
          </w:tcPr>
          <w:p>
            <w:pPr>
              <w:pStyle w:val="Normal6a"/>
            </w:pPr>
            <w:r>
              <w:t>112.</w:t>
            </w:r>
            <w:r>
              <w:tab/>
            </w:r>
            <w:r>
              <w:rPr>
                <w:b/>
                <w:i/>
              </w:rPr>
              <w:t>neemt kennis van</w:t>
            </w:r>
            <w:r>
              <w:t xml:space="preserve"> de beschuldigingen van grootschalige fraude met landbouwfondsen van de Unie </w:t>
            </w:r>
            <w:r>
              <w:rPr>
                <w:b/>
                <w:i/>
              </w:rPr>
              <w:t>onder gedeeld beheer</w:t>
            </w:r>
            <w:r>
              <w:t xml:space="preserve">, die voor het eerst in februari 2025 in de media zijn verschenen en betrekking hebben op het Griekse orgaan voor de betaling van en het toezicht op de communautaire oriëntatie‑ en garantiesteun (OPEKEPE); herinnert eraan dat het EOM in mei 2025 een persbericht heeft gepubliceerd waarin werd bevestigd dat een onderzoek werd ingesteld naar vermeende georganiseerde fraude met landbouwfondsen en corruptie waarbij overheidsambtenaren van OPEKEPE betrokken waren; herinnert eraan dat het EOM volgens persberichten informatie aan het Griekse parlement heeft overhandigd met het oog op een onderzoek naar twee voormalige ministers; neemt met bezorgdheid kennis van het persbericht van het EOM van 22 oktober 2025, waarin wordt uitgelegd dat in de loop van het voorlopige onderzoek door het EOM een georganiseerde criminele groepering is geïdentificeerd die betrokken zou zijn bij systematische grootschalige subsidiefraude en witwaspraktijken; </w:t>
            </w:r>
            <w:r>
              <w:rPr>
                <w:b/>
                <w:i/>
              </w:rPr>
              <w:t>neemt kennis van de snelle reactie van de Griekse autoriteiten, waaronder het besluit om een speciale onderzoekstaskforce op te richten, bestaande uit de financiële politie en de Onafhankelijke Autoriteit voor Overheidsinkomsten;</w:t>
            </w:r>
            <w:r>
              <w:t xml:space="preserve"> </w:t>
            </w:r>
            <w:r>
              <w:rPr>
                <w:b/>
                <w:i/>
              </w:rPr>
              <w:t>onderstreept in dit verband dat vermogensbestanddelen in beslag zijn genomen van verschillende personen die verdacht worden van betrokkenheid bij de vermeende criminele activiteiten;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112 bis.</w:t>
            </w:r>
            <w:r>
              <w:tab/>
            </w:r>
            <w:r>
              <w:rPr>
                <w:b/>
                <w:i/>
              </w:rPr>
              <w:t>wijst erop dat personen die geen landbouwer zijn en evenmin eigenaar van landbouwbedrijven voor landbouwers bestemde EU-middelen hebben ontvangen, en dat in Griekenland politici zijn beschuldigd;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113.</w:t>
            </w:r>
            <w:r>
              <w:tab/>
            </w:r>
            <w:r>
              <w:t>erkent dat DG AGRI in zijn jaarlijkse activiteitenverslag 2024 vier punten van voorbehoud heeft geformuleerd met betrekking tot de door OPEKEPE beheerde uitgaven; merkt op dat één zo’n voorbehoud betrekking heeft op alle GBCS-interventies in het kader van de strategische GLB-plannen, aangezien door de nalevingscontrole van DG AGRI en de werkzaamheden van de verklarende instantie een aantal potentiële ernstige tekortkomingen aan het licht zijn gebracht met betrekking tot de uitvoering van het identificatiesysteem voor landbouwpercelen, alsook met betrekking tot het ontwerp en de werking van het beheers- en controlesysteem; merkt op dat een ander voorbehoud werd gemaakt ten aanzien van niet-GBCS-uitgaven in het kader van de strategische GLB-plannen voor de wijnsector en de bijenteelt, vanwege mogelijke ernstige tekortkomingen met betrekking tot het ontwerp of de opzet van de systemen die niet voldoen aan de beginselen van zuinigheid, efficiëntie en maatregelen ter voorkoming van dubbele financiering; merkt op dat het derde voorbehoud voor OPEKEPE betrekking heeft op plattelandsontwikkelingsprogramma’s 2014-2022, waarvoor het aangepaste foutenpercentage wordt geschat op 7,45 %, vanwege controles van DG AGRI in 2023 en 2024, waarbij verschillende tekortkomingen werden vastgesteld met betrekking tot het systeem voor de identificatie van landbouwpercelen, tekortkomingen in de controles ter plaatse door OPEKEPE, ernstige tekortkomingen met betrekking tot het toezicht op en de controles van de plaatselijke actiegroepen, procedures om te controleren op de mogelijk kunstmatige creatie van voorwaarden, controles op dubbele financiering en overheidsopdrachten en tekortkomingen in de beoordeling van de redelijkheid van kosten en de verificatie van de kmo-status; neemt kennis van het vierde voorbehoud inzake marktmaatregelen buiten de strategische GLB-plannen met betrekking tot producentenorganisaties in de groente- en fruitsector en uitzonderlijke maatregelen, waarvoor een aangepast foutenpercentage van 10 % wordt geschat naar aanleiding van de controle van DG AGRI in 2024, waarbij tekortkomingen in administratieve controles en controles ter plaatse werden vastgesteld die van invloed waren op uitzonderlijke maatregelen, en naar aanleiding van het feit dat, op basis van de beoordeling van de verklarende instantie, aanpassingen werden aangebracht in de foutenpercentages voor producentenorganisaties in de groente- en fruitsector en afzetbevordering;</w:t>
            </w:r>
          </w:p>
        </w:tc>
        <w:tc>
          <w:tcPr>
            <w:tcW w:w="4876" w:type="dxa"/>
            <w:tcBorders>
              <w:top w:val="nil"/>
              <w:left w:val="nil"/>
              <w:bottom w:val="nil"/>
              <w:right w:val="nil"/>
            </w:tcBorders>
          </w:tcPr>
          <w:p>
            <w:pPr>
              <w:pStyle w:val="Normal6a"/>
            </w:pPr>
            <w:r>
              <w:t>113.</w:t>
            </w:r>
            <w:r>
              <w:tab/>
            </w:r>
            <w:r>
              <w:t xml:space="preserve">erkent dat DG AGRI in zijn jaarlijkse activiteitenverslag 2024 vier punten van voorbehoud heeft geformuleerd met betrekking tot de door OPEKEPE beheerde uitgaven; merkt op dat één zo’n voorbehoud betrekking heeft op alle GBCS-interventies in het kader van de strategische GLB-plannen, aangezien door de nalevingscontrole van DG AGRI en de werkzaamheden van de verklarende instantie een aantal potentiële ernstige tekortkomingen aan het licht zijn gebracht met betrekking tot de uitvoering van het identificatiesysteem voor landbouwpercelen, alsook met betrekking tot het ontwerp en de werking van het beheers- en controlesysteem; merkt op dat een ander voorbehoud werd gemaakt ten aanzien van niet-GBCS-uitgaven in het kader van de strategische GLB-plannen voor de wijnsector en de bijenteelt, vanwege mogelijke ernstige tekortkomingen met betrekking tot het ontwerp of de opzet van de systemen die niet voldoen aan de beginselen van zuinigheid, efficiëntie en maatregelen ter voorkoming van dubbele financiering; merkt op dat het derde voorbehoud voor OPEKEPE betrekking heeft op plattelandsontwikkelingsprogramma’s 2014-2022, waarvoor het aangepaste foutenpercentage wordt geschat op 7,45 %, vanwege controles van DG AGRI in 2023 en 2024, waarbij verschillende tekortkomingen werden vastgesteld met betrekking tot het systeem voor de identificatie van landbouwpercelen, tekortkomingen in de controles ter plaatse door OPEKEPE, ernstige tekortkomingen met betrekking tot het toezicht op en de controles van de plaatselijke actiegroepen, procedures om te controleren op de mogelijk kunstmatige creatie van voorwaarden, controles op dubbele financiering en overheidsopdrachten en tekortkomingen in de beoordeling van de redelijkheid van kosten en de verificatie van de kmo-status; neemt kennis van het vierde voorbehoud inzake marktmaatregelen buiten de strategische GLB-plannen met betrekking tot producentenorganisaties in de groente- en fruitsector en uitzonderlijke maatregelen, waarvoor een aangepast foutenpercentage van 10 % wordt geschat naar aanleiding van de controle van DG AGRI in 2024, waarbij tekortkomingen in administratieve controles en controles ter plaatse werden vastgesteld die van invloed waren op uitzonderlijke maatregelen, en naar aanleiding van het feit dat, op basis van de beoordeling van de verklarende instantie, aanpassingen werden aangebracht in de foutenpercentages voor producentenorganisaties in de groente- en fruitsector en afzetbevordering; </w:t>
            </w:r>
            <w:r>
              <w:rPr>
                <w:b/>
                <w:i/>
              </w:rPr>
              <w:t>neemt ter kennis dat de Griekse autoriteiten een actieplan hebben opgesteld dat door DG AGRI is aanvaard als voldoende basis om de bovengenoemde tekortkomingen te verhelpen;</w:t>
            </w:r>
            <w:r>
              <w:t xml:space="preserve"> </w:t>
            </w:r>
            <w:r>
              <w:rPr>
                <w:b/>
                <w:i/>
              </w:rPr>
              <w:t>herinnert eraan dat de Commissie voortdurend toezicht houdt op alle corrigerende maatregelen;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Georgios Aftias,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114.</w:t>
            </w:r>
            <w:r>
              <w:tab/>
            </w:r>
            <w:r>
              <w:t>neemt kennis van de schriftelijke antwoorden van de Commissie waarin werd gesteld dat DG AGRI in 2023 en nogmaals in juni 2024 de Griekse bevoegde autoriteit heeft verzocht de accreditatie van OPEKEPE voorwaardelijk te maken; neemt kennis van de toelichting in het jaarlijks activiteitenverslag van DG AGRI dat de verklarende instantie en DG AGRI tekortkomingen hebben vastgesteld die van invloed zijn op verschillende accreditatiecriteria, en dat de Griekse autoriteiten derhalve de accreditatie van OPEKEPE in september 2024 voorwaardelijk hebben gemaakt en een actieplan voor accreditatie hebben opgesteld; merkt voorts op dat de Commissie de voortgang van de uitvoering van dit verbeteractieplan volgt; dringt erop aan dat de Commissie het laatste herziene actieplan en haar beoordeling met de kwijtingsautoriteit deelt;</w:t>
            </w:r>
          </w:p>
        </w:tc>
        <w:tc>
          <w:tcPr>
            <w:tcW w:w="4876" w:type="dxa"/>
            <w:tcBorders>
              <w:top w:val="nil"/>
              <w:left w:val="nil"/>
              <w:bottom w:val="nil"/>
              <w:right w:val="nil"/>
            </w:tcBorders>
          </w:tcPr>
          <w:p>
            <w:pPr>
              <w:pStyle w:val="Normal6a"/>
            </w:pPr>
            <w:r>
              <w:t>114.</w:t>
            </w:r>
            <w:r>
              <w:tab/>
            </w:r>
            <w:r>
              <w:t xml:space="preserve">neemt kennis van de schriftelijke antwoorden van de Commissie waarin werd gesteld dat DG AGRI in 2023 en nogmaals in juni 2024 de Griekse bevoegde autoriteit heeft verzocht de accreditatie van OPEKEPE voorwaardelijk te maken; neemt kennis van de toelichting in het jaarlijks activiteitenverslag van DG AGRI dat de verklarende instantie en DG AGRI tekortkomingen hebben vastgesteld die van invloed zijn op verschillende accreditatiecriteria, en dat de Griekse autoriteiten derhalve de accreditatie van OPEKEPE in september 2024 voorwaardelijk hebben gemaakt en een actieplan voor accreditatie hebben opgesteld; merkt voorts op dat de Commissie de voortgang van de uitvoering van dit verbeteractieplan volgt; dringt erop aan dat de Commissie het laatste herziene actieplan en haar beoordeling met de kwijtingsautoriteit deelt; </w:t>
            </w:r>
            <w:r>
              <w:rPr>
                <w:b/>
                <w:i/>
              </w:rPr>
              <w:t>neemt kennis van de concrete maatregelen die de Griekse autoriteiten hebben genomen om de corrigerende maatregelen onverwijld uit te voeren, de vastgestelde structurele tekortkomingen aan te pakken, de transparantie van de begunstigden te vergroten en de fraudebestrijdingscontroles te versterken;</w:t>
            </w:r>
            <w:r>
              <w:t xml:space="preserve"> </w:t>
            </w:r>
            <w:r>
              <w:rPr>
                <w:b/>
                <w:i/>
              </w:rPr>
              <w:t>is in dit verband ingenomen met de ingrijpende hervorming die onlangs bij wet is doorgevoerd om OPEKEPE volledig over te dragen aan de Onafhankelijke Autoriteit voor Overheidsinkomsten (AADE), waarvan de onberispelijke reputatie de nodige garanties biedt om de geloofwaardigheid te herstellen en het systeem te moderniseren;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117.</w:t>
            </w:r>
            <w:r>
              <w:tab/>
            </w:r>
            <w:r>
              <w:rPr>
                <w:b/>
                <w:i/>
              </w:rPr>
              <w:t>herinnert eraan dat de huidige premier van Tsjechië tijdens zijn vorige ambtstermijn in een situatie van belangenconflict bleek te verkeren en wijst op de daarmee verband houdende resolutie van het Europees Parlement van 13 december 2018</w:t>
            </w:r>
            <w:r>
              <w:rPr>
                <w:b/>
                <w:i/>
                <w:vertAlign w:val="superscript"/>
              </w:rPr>
              <w:t>12</w:t>
            </w:r>
            <w:r>
              <w:rPr>
                <w:b/>
                <w:i/>
              </w:rPr>
              <w:t>;</w:t>
            </w:r>
            <w:r>
              <w:t xml:space="preserve"> </w:t>
            </w:r>
            <w:r>
              <w:rPr>
                <w:b/>
                <w:i/>
              </w:rPr>
              <w:t>neemt kennis van de schriftelijke antwoorden van de Commissie over de maatregelen die zijn genomen naar aanleiding van het belangenconflict dat is ontstaan vanwege de eigendom van Agrofert van Andrej Babiš terwijl hij premier van Tsjechië was;</w:t>
            </w:r>
            <w:r>
              <w:t xml:space="preserve"> </w:t>
            </w:r>
            <w:r>
              <w:rPr>
                <w:b/>
                <w:i/>
              </w:rPr>
              <w:t>merkt met name op dat de Commissie in maart 2020 de betaling van één Agrofert-project ter waarde van 30 606,96 EUR heeft opgeschort;</w:t>
            </w:r>
            <w:r>
              <w:t xml:space="preserve"> </w:t>
            </w:r>
            <w:r>
              <w:rPr>
                <w:b/>
                <w:i/>
              </w:rPr>
              <w:t>merkt op dat de Commissie in juni 2022 een financiële correctie van 3,3 miljoen EUR op Tsjechië heeft toegepast, waarvan een deel (30 606,96 EUR) betrekking had op de situatie van belangenconflict van de premier tijdens zijn mandaat dat in 2021 afliep</w:t>
            </w:r>
            <w:r>
              <w:rPr>
                <w:b/>
                <w:i/>
                <w:vertAlign w:val="superscript"/>
              </w:rPr>
              <w:t>13</w:t>
            </w:r>
            <w:r>
              <w:rPr>
                <w:b/>
                <w:i/>
              </w:rPr>
              <w:t>;</w:t>
            </w:r>
            <w:r>
              <w:t xml:space="preserve"> dringt erop aan dat de Commissie toezicht blijft houden op mogelijke belangenconflicten die van invloed kunnen zijn op middelen van de Unie, met name in verband met gekozen functionarissen, en maatregelen neemt om de begroting van de Unie te beschermen;</w:t>
            </w:r>
          </w:p>
        </w:tc>
        <w:tc>
          <w:tcPr>
            <w:tcW w:w="4876" w:type="dxa"/>
            <w:tcBorders>
              <w:top w:val="nil"/>
              <w:left w:val="nil"/>
              <w:bottom w:val="nil"/>
              <w:right w:val="nil"/>
            </w:tcBorders>
          </w:tcPr>
          <w:p>
            <w:pPr>
              <w:pStyle w:val="Normal6a"/>
            </w:pPr>
            <w:r>
              <w:t>117.</w:t>
            </w:r>
            <w:r>
              <w:tab/>
            </w:r>
            <w:r>
              <w:t>dringt erop aan dat de Commissie toezicht blijft houden op mogelijke belangenconflicten die van invloed kunnen zijn op middelen van de Unie, met name in verband met gekozen functionarissen, en maatregelen neemt om de begroting van de Unie te beschermen;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Aangenomen teksten, P8_TA(2018)0530.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Uitvoeringsbesluit (EU) 2022/908 van de Commissie van 8 juni 2022 tot onttrekking aan financiering door de Europese Unie van bepaalde uitgaven die de lidstaten hebben verricht in het kader van het Europees Landbouwgarantiefonds (ELGF) en het Europees Landbouwfonds voor plattelandsontwikkeling (Elfpo) (PB L 157 van 10.6.2022, blz. 15, ELI: http://data.europa.eu/eli/dec_impl/2022/908/oj).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117.</w:t>
            </w:r>
            <w:r>
              <w:tab/>
            </w:r>
            <w:r>
              <w:t xml:space="preserve">herinnert eraan dat </w:t>
            </w:r>
            <w:r>
              <w:rPr>
                <w:b/>
                <w:i/>
              </w:rPr>
              <w:t>de huidige premier van</w:t>
            </w:r>
            <w:r>
              <w:t xml:space="preserve"> Tsjechië tijdens </w:t>
            </w:r>
            <w:r>
              <w:rPr>
                <w:b/>
                <w:i/>
              </w:rPr>
              <w:t>zijn</w:t>
            </w:r>
            <w:r>
              <w:t xml:space="preserve"> vorige ambtstermijn in een situatie van belangenconflict bleek te verkeren en wijst op de daarmee verband houdende resolutie van het Europees Parlement van 13 december 2018</w:t>
            </w:r>
            <w:r>
              <w:rPr>
                <w:b/>
                <w:i/>
                <w:vertAlign w:val="superscript"/>
              </w:rPr>
              <w:t>12</w:t>
            </w:r>
            <w:r>
              <w:t xml:space="preserve">; neemt kennis van de schriftelijke antwoorden van de Commissie over de maatregelen die zijn genomen naar aanleiding van het belangenconflict dat </w:t>
            </w:r>
            <w:r>
              <w:rPr>
                <w:b/>
                <w:i/>
              </w:rPr>
              <w:t>is ontstaan vanwege de eigendom van Agrofert van Andrej Babiš terwijl hij premier van Tsjechië was</w:t>
            </w:r>
            <w:r>
              <w:t xml:space="preserve">; merkt met name op dat de Commissie in maart 2020 de betaling van één </w:t>
            </w:r>
            <w:r>
              <w:rPr>
                <w:b/>
                <w:i/>
              </w:rPr>
              <w:t>Agrofert-project</w:t>
            </w:r>
            <w:r>
              <w:t xml:space="preserve"> ter waarde van 30 606,96 EUR heeft opgeschort; merkt op dat de Commissie in juni 2022 een financiële correctie van 3,3 miljoen EUR op Tsjechië heeft toegepast, waarvan een deel (30 606,96 EUR) betrekking had op de situatie van belangenconflict </w:t>
            </w:r>
            <w:r>
              <w:rPr>
                <w:b/>
                <w:i/>
              </w:rPr>
              <w:t>van de premier</w:t>
            </w:r>
            <w:r>
              <w:t xml:space="preserve"> tijdens </w:t>
            </w:r>
            <w:r>
              <w:rPr>
                <w:b/>
                <w:i/>
              </w:rPr>
              <w:t>zijn</w:t>
            </w:r>
            <w:r>
              <w:t xml:space="preserve"> mandaat dat in 2021 afliep</w:t>
            </w:r>
            <w:r>
              <w:rPr>
                <w:b/>
                <w:i/>
                <w:vertAlign w:val="superscript"/>
              </w:rPr>
              <w:t>13</w:t>
            </w:r>
            <w:r>
              <w:t>; dringt erop aan dat de Commissie toezicht blijft houden op mogelijke belangenconflicten die van invloed kunnen zijn op middelen van de Unie, met name in verband met gekozen functionarissen, en maatregelen neemt om de begroting van de Unie te beschermen;</w:t>
            </w:r>
          </w:p>
        </w:tc>
        <w:tc>
          <w:tcPr>
            <w:tcW w:w="4876" w:type="dxa"/>
            <w:tcBorders>
              <w:top w:val="nil"/>
              <w:left w:val="nil"/>
              <w:bottom w:val="nil"/>
              <w:right w:val="nil"/>
            </w:tcBorders>
          </w:tcPr>
          <w:p>
            <w:pPr>
              <w:pStyle w:val="Normal6a"/>
            </w:pPr>
            <w:r>
              <w:t>117.</w:t>
            </w:r>
            <w:r>
              <w:tab/>
            </w:r>
            <w:r>
              <w:t xml:space="preserve">herinnert eraan dat </w:t>
            </w:r>
            <w:r>
              <w:rPr>
                <w:b/>
                <w:i/>
              </w:rPr>
              <w:t>een hoge gezagsdrager in</w:t>
            </w:r>
            <w:r>
              <w:t xml:space="preserve"> Tsjechië tijdens </w:t>
            </w:r>
            <w:r>
              <w:rPr>
                <w:b/>
                <w:i/>
              </w:rPr>
              <w:t>een</w:t>
            </w:r>
            <w:r>
              <w:t xml:space="preserve"> vorige ambtstermijn in een situatie van belangenconflict bleek te verkeren en wijst op de daarmee verband houdende resolutie van het Europees Parlement van 13 december 2018; neemt kennis van de schriftelijke antwoorden van de Commissie over de maatregelen die zijn genomen naar aanleiding van het belangenconflict dat </w:t>
            </w:r>
            <w:r>
              <w:rPr>
                <w:b/>
                <w:i/>
              </w:rPr>
              <w:t>voortvloeide uit het bezit van een particuliere holding tijdens het bekleden van een openbaar ambt</w:t>
            </w:r>
            <w:r>
              <w:t xml:space="preserve">; merkt met name op dat de Commissie in maart 2020 de betaling van één </w:t>
            </w:r>
            <w:r>
              <w:rPr>
                <w:b/>
                <w:i/>
              </w:rPr>
              <w:t>project</w:t>
            </w:r>
            <w:r>
              <w:t xml:space="preserve"> ter waarde van 30 606,96 EUR heeft opgeschort; merkt op dat de Commissie in juni 2022 een financiële correctie van 3,3 miljoen EUR op Tsjechië heeft toegepast, waarvan een deel (30 606,96 EUR) betrekking had op de situatie van belangenconflict tijdens </w:t>
            </w:r>
            <w:r>
              <w:rPr>
                <w:b/>
                <w:i/>
              </w:rPr>
              <w:t>het</w:t>
            </w:r>
            <w:r>
              <w:t xml:space="preserve"> mandaat dat in 2021 afliep; dringt erop aan dat de Commissie toezicht blijft houden op mogelijke belangenconflicten die van invloed kunnen zijn op middelen van de Unie, met name in verband met gekozen functionarissen, en maatregelen neemt om de begroting van de Unie te beschermen;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Aangenomen teksten, P8_TA(2018)0530.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Uitvoeringsbesluit (EU) 2022/908 van de Commissie van 8 juni 2022 tot onttrekking aan financiering door de Europese Unie van bepaalde uitgaven die de lidstaten hebben verricht in het kader van het Europees Landbouwgarantiefonds (ELGF) en het Europees Landbouwfonds voor plattelandsontwikkeling (Elfpo) (PB L 157 van 10.6.2022, blz. 15, ELI: http://data.europa.eu/eli/dec_impl/2022/908/oj).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118.</w:t>
            </w:r>
            <w:r>
              <w:tab/>
            </w:r>
            <w:r>
              <w:rPr>
                <w:b/>
                <w:i/>
              </w:rPr>
              <w:t>merkt op dat Andrej Babiš herkozen is en in december 2025 het ambt van premier van Tsjechië op zich heeft genomen;</w:t>
            </w:r>
            <w:r>
              <w:t xml:space="preserve"> </w:t>
            </w:r>
            <w:r>
              <w:rPr>
                <w:b/>
                <w:i/>
              </w:rPr>
              <w:t>neemt kennis van zijn openbare aankondiging dat hij van plan is om afstand te doen van de eigendom van en zeggenschap over Agrofert door de oprichting van een zogenaamd onomkeerbare trustregeling;</w:t>
            </w:r>
            <w:r>
              <w:t xml:space="preserve"> </w:t>
            </w:r>
            <w:r>
              <w:rPr>
                <w:b/>
                <w:i/>
              </w:rPr>
              <w:t>merkt echter op dat er tot nu toe geen concrete juridische documenten openbaar zijn gemaakt, dat de truststructuur per 15 januari 2026 nog niet is opgericht, dat de jurisdictie, het bestuur en de trustees onbekend zijn en dat de heer Babiš op dit moment nog steeds eigenaar is van Agrofert en andere zakelijke belangen in handen heeft die mogelijk baat zouden kunnen hebben bij middelen van de Unie;</w:t>
            </w:r>
            <w:r>
              <w:t xml:space="preserve"> </w:t>
            </w:r>
            <w:r>
              <w:rPr>
                <w:b/>
                <w:i/>
              </w:rPr>
              <w:t>merkt voorts op dat, zelfs onder de beschreven regeling, Agrofert uiteindelijk zou worden overgedragen aan zijn kinderen, waardoor een duidelijk economisch belang op lange termijn blijft bestaan;</w:t>
            </w:r>
            <w:r>
              <w:t xml:space="preserve"> </w:t>
            </w:r>
            <w:r>
              <w:rPr>
                <w:b/>
                <w:i/>
              </w:rPr>
              <w:t>wijst erop dat de loutere aankondiging van toekomstige afspraken onvoldoende is om bezorgdheid over belangenconflicten weg te nemen;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118.</w:t>
            </w:r>
            <w:r>
              <w:tab/>
            </w:r>
            <w:r>
              <w:t xml:space="preserve">merkt op dat </w:t>
            </w:r>
            <w:r>
              <w:rPr>
                <w:b/>
                <w:i/>
              </w:rPr>
              <w:t>Andrej Babiš herkozen is en</w:t>
            </w:r>
            <w:r>
              <w:t xml:space="preserve"> in december 2025 </w:t>
            </w:r>
            <w:r>
              <w:rPr>
                <w:b/>
                <w:i/>
              </w:rPr>
              <w:t>het ambt van premier van</w:t>
            </w:r>
            <w:r>
              <w:t xml:space="preserve"> Tsjechië </w:t>
            </w:r>
            <w:r>
              <w:rPr>
                <w:b/>
                <w:i/>
              </w:rPr>
              <w:t>op zich heeft genomen</w:t>
            </w:r>
            <w:r>
              <w:t xml:space="preserve">; neemt kennis van </w:t>
            </w:r>
            <w:r>
              <w:rPr>
                <w:b/>
                <w:i/>
              </w:rPr>
              <w:t>zijn</w:t>
            </w:r>
            <w:r>
              <w:t xml:space="preserve"> openbare </w:t>
            </w:r>
            <w:r>
              <w:rPr>
                <w:b/>
                <w:i/>
              </w:rPr>
              <w:t>aankondiging dat hij</w:t>
            </w:r>
            <w:r>
              <w:t xml:space="preserve"> van plan </w:t>
            </w:r>
            <w:r>
              <w:rPr>
                <w:b/>
                <w:i/>
              </w:rPr>
              <w:t>is om</w:t>
            </w:r>
            <w:r>
              <w:t xml:space="preserve"> afstand te doen van de eigendom van en zeggenschap over </w:t>
            </w:r>
            <w:r>
              <w:rPr>
                <w:b/>
                <w:i/>
              </w:rPr>
              <w:t>Agrofert</w:t>
            </w:r>
            <w:r>
              <w:t xml:space="preserve"> door de oprichting van een </w:t>
            </w:r>
            <w:r>
              <w:rPr>
                <w:b/>
                <w:i/>
              </w:rPr>
              <w:t>zogenaamd onomkeerbare</w:t>
            </w:r>
            <w:r>
              <w:t xml:space="preserve"> trustregeling; merkt echter op dat er </w:t>
            </w:r>
            <w:r>
              <w:rPr>
                <w:b/>
                <w:i/>
              </w:rPr>
              <w:t>tot nu toe geen concrete</w:t>
            </w:r>
            <w:r>
              <w:t xml:space="preserve"> juridische documenten </w:t>
            </w:r>
            <w:r>
              <w:rPr>
                <w:b/>
                <w:i/>
              </w:rPr>
              <w:t>openbaar zijn gemaakt, dat de truststructuur per 15 januari 2026 nog niet is opgericht, dat de jurisdictie, het bestuur</w:t>
            </w:r>
            <w:r>
              <w:t xml:space="preserve"> en de </w:t>
            </w:r>
            <w:r>
              <w:rPr>
                <w:b/>
                <w:i/>
              </w:rPr>
              <w:t>trustees onbekend zijn en dat de heer Babiš op dit moment nog steeds eigenaar is van Agrofert en andere zakelijke belangen in handen heeft die mogelijk baat zouden kunnen hebben bij middelen van de Unie</w:t>
            </w:r>
            <w:r>
              <w:t>; merkt voorts op dat</w:t>
            </w:r>
            <w:r>
              <w:rPr>
                <w:b/>
                <w:i/>
              </w:rPr>
              <w:t>, zelfs onder de beschreven regeling, Agrofert uiteindelijk zou worden overgedragen aan zijn kinderen, waardoor een duidelijk economisch belang op lange termijn blijft bestaan;</w:t>
            </w:r>
            <w:r>
              <w:t xml:space="preserve"> </w:t>
            </w:r>
            <w:r>
              <w:rPr>
                <w:b/>
                <w:i/>
              </w:rPr>
              <w:t>wijst erop dat de loutere aankondiging van</w:t>
            </w:r>
            <w:r>
              <w:t xml:space="preserve"> toekomstige afspraken </w:t>
            </w:r>
            <w:r>
              <w:rPr>
                <w:b/>
                <w:i/>
              </w:rPr>
              <w:t>onvoldoende is om bezorgdheid over</w:t>
            </w:r>
            <w:r>
              <w:t xml:space="preserve"> belangenconflicten </w:t>
            </w:r>
            <w:r>
              <w:rPr>
                <w:b/>
                <w:i/>
              </w:rPr>
              <w:t>weg te nemen</w:t>
            </w:r>
            <w:r>
              <w:t>;</w:t>
            </w:r>
          </w:p>
        </w:tc>
        <w:tc>
          <w:tcPr>
            <w:tcW w:w="4876" w:type="dxa"/>
            <w:tcBorders>
              <w:top w:val="nil"/>
              <w:left w:val="nil"/>
              <w:bottom w:val="nil"/>
              <w:right w:val="nil"/>
            </w:tcBorders>
          </w:tcPr>
          <w:p>
            <w:pPr>
              <w:pStyle w:val="Normal6a"/>
            </w:pPr>
            <w:r>
              <w:t>118.</w:t>
            </w:r>
            <w:r>
              <w:tab/>
            </w:r>
            <w:r>
              <w:t xml:space="preserve">merkt op dat </w:t>
            </w:r>
            <w:r>
              <w:rPr>
                <w:b/>
                <w:i/>
              </w:rPr>
              <w:t>na de nationale verkiezingen</w:t>
            </w:r>
            <w:r>
              <w:t xml:space="preserve"> in december 2025 </w:t>
            </w:r>
            <w:r>
              <w:rPr>
                <w:b/>
                <w:i/>
              </w:rPr>
              <w:t>een nieuwe regering in</w:t>
            </w:r>
            <w:r>
              <w:t xml:space="preserve"> Tsjechië </w:t>
            </w:r>
            <w:r>
              <w:rPr>
                <w:b/>
                <w:i/>
              </w:rPr>
              <w:t>is aangetreden</w:t>
            </w:r>
            <w:r>
              <w:t xml:space="preserve">; neemt kennis van </w:t>
            </w:r>
            <w:r>
              <w:rPr>
                <w:b/>
                <w:i/>
              </w:rPr>
              <w:t>de</w:t>
            </w:r>
            <w:r>
              <w:t xml:space="preserve"> openbare </w:t>
            </w:r>
            <w:r>
              <w:rPr>
                <w:b/>
                <w:i/>
              </w:rPr>
              <w:t>verklaringen van de premier waarin deze aangeeft</w:t>
            </w:r>
            <w:r>
              <w:t xml:space="preserve"> van plan </w:t>
            </w:r>
            <w:r>
              <w:rPr>
                <w:b/>
                <w:i/>
              </w:rPr>
              <w:t>te zijn</w:t>
            </w:r>
            <w:r>
              <w:t xml:space="preserve"> afstand te doen van de eigendom van en zeggenschap over </w:t>
            </w:r>
            <w:r>
              <w:rPr>
                <w:b/>
                <w:i/>
              </w:rPr>
              <w:t>zakelijke belangen die mogelijk baat hebben bij middelen van de Unie</w:t>
            </w:r>
            <w:r>
              <w:t xml:space="preserve"> door de oprichting van een trustregeling; merkt echter op dat er </w:t>
            </w:r>
            <w:r>
              <w:rPr>
                <w:b/>
                <w:i/>
              </w:rPr>
              <w:t>medio januari 2026 geen openbaar beschikbare</w:t>
            </w:r>
            <w:r>
              <w:t xml:space="preserve"> juridische documenten </w:t>
            </w:r>
            <w:r>
              <w:rPr>
                <w:b/>
                <w:i/>
              </w:rPr>
              <w:t>zijn verstrekt die de daadwerkelijke oprichting</w:t>
            </w:r>
            <w:r>
              <w:t xml:space="preserve"> en de </w:t>
            </w:r>
            <w:r>
              <w:rPr>
                <w:b/>
                <w:i/>
              </w:rPr>
              <w:t>operationele waarborgen van dergelijke regelingen aantonen</w:t>
            </w:r>
            <w:r>
              <w:t xml:space="preserve">; merkt voorts op dat toekomstige afspraken </w:t>
            </w:r>
            <w:r>
              <w:rPr>
                <w:b/>
                <w:i/>
              </w:rPr>
              <w:t>ervoor moeten zorgen dat er daadwerkelijk een einde komt aan economische belangen en invloed, in overeenstemming met de regels van de Unie inzake</w:t>
            </w:r>
            <w:r>
              <w:t xml:space="preserve"> belangenconflicten;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 xml:space="preserve">herinnert eraan dat in het Interinstitutioneel Akkoord 2020 een bindend streefcijfer van 30 % voor klimaatuitgaven is vastgesteld, maar slechts een jaarlijkse “ambitie” van 7,5 % in 2025 en 10 % in 2026 en 2027 voor biodiversiteitsuitgaven; </w:t>
            </w:r>
            <w:r>
              <w:rPr>
                <w:b/>
                <w:i/>
              </w:rPr>
              <w:t>merkt op dat de Commissie de uitgaven van de Unie voor klimaat- en biodiversiteitsgerelateerde activiteiten aan de hand van specifieke methoden volgt;</w:t>
            </w:r>
            <w:r>
              <w:t xml:space="preserve"> </w:t>
            </w:r>
            <w:r>
              <w:rPr>
                <w:b/>
                <w:i/>
              </w:rPr>
              <w:t>wijst erop dat de methoden voor het traceren van uitgaven op het gebied van klimaat en biodiversiteit systemen voor markering vooraf zijn die gebaseerd zijn op het verwachte effect van activiteiten en geen rekening houden met resultaten;</w:t>
            </w:r>
            <w:r>
              <w:t xml:space="preserve"> </w:t>
            </w:r>
            <w:r>
              <w:rPr>
                <w:b/>
                <w:i/>
              </w:rPr>
              <w:t>herinnert eraan dat de mainstreaming van prioriteiten in de begroting van de Unie inhoudt dat in alle fasen van de begrotingscyclus rekening wordt gehouden met die prioriteit;</w:t>
            </w:r>
            <w:r>
              <w:t xml:space="preserve"> </w:t>
            </w:r>
            <w:r>
              <w:rPr>
                <w:b/>
                <w:i/>
              </w:rPr>
              <w:t>benadrukt derhalve dat het traceren van uitgaven in verband met klimaat- of biodiversiteitsdoelstellingen slechts één stap is in een alomvattende groene begrotingscyclus, waarin klimaat- en biodiversiteitsdoelstellingen gedurende de hele levenscyclus van de begroting in aanmerking worden genomen;</w:t>
            </w:r>
          </w:p>
        </w:tc>
        <w:tc>
          <w:tcPr>
            <w:tcW w:w="4876" w:type="dxa"/>
            <w:tcBorders>
              <w:top w:val="nil"/>
              <w:left w:val="nil"/>
              <w:bottom w:val="nil"/>
              <w:right w:val="nil"/>
            </w:tcBorders>
          </w:tcPr>
          <w:p>
            <w:pPr>
              <w:pStyle w:val="Normal6a"/>
            </w:pPr>
            <w:r>
              <w:t>120.</w:t>
            </w:r>
            <w:r>
              <w:tab/>
            </w:r>
            <w:r>
              <w:t>herinnert eraan dat in het Interinstitutioneel Akkoord 2020 een bindend streefcijfer van 30 % voor klimaatuitgaven is vastgesteld, maar slechts een jaarlijkse “ambitie” van 7,5 % in 2025 en 10 % in 2026 en 2027 voor biodiversiteitsuitgaven;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herinnert eraan dat in het Interinstitutioneel Akkoord 2020 een bindend streefcijfer van 30 % voor klimaatuitgaven is vastgesteld</w:t>
            </w:r>
            <w:r>
              <w:rPr>
                <w:b/>
                <w:i/>
              </w:rPr>
              <w:t>, maar slechts een jaarlijkse “ambitie” van 7,5 % in 2025 en 10 % in 2026 en 2027 voor biodiversiteitsuitgaven;</w:t>
            </w:r>
            <w:r>
              <w:t xml:space="preserve"> </w:t>
            </w:r>
            <w:r>
              <w:rPr>
                <w:b/>
                <w:i/>
              </w:rPr>
              <w:t>merkt op dat de Commissie de uitgaven van de Unie voor klimaat- en biodiversiteitsgerelateerde activiteiten aan de hand van specifieke methoden volgt;</w:t>
            </w:r>
            <w:r>
              <w:t xml:space="preserve"> </w:t>
            </w:r>
            <w:r>
              <w:rPr>
                <w:b/>
                <w:i/>
              </w:rPr>
              <w:t>wijst erop dat de methoden voor het traceren van uitgaven op het gebied van klimaat en biodiversiteit systemen voor markering vooraf zijn die gebaseerd zijn op het verwachte effect van activiteiten en geen rekening houden met resultaten;</w:t>
            </w:r>
            <w:r>
              <w:t xml:space="preserve"> </w:t>
            </w:r>
            <w:r>
              <w:rPr>
                <w:b/>
                <w:i/>
              </w:rPr>
              <w:t>herinnert eraan dat de mainstreaming van prioriteiten in de begroting van de Unie inhoudt dat in alle fasen van de begrotingscyclus rekening wordt gehouden met die prioriteit</w:t>
            </w:r>
            <w:r>
              <w:t xml:space="preserve">; benadrukt derhalve dat het traceren van uitgaven </w:t>
            </w:r>
            <w:r>
              <w:rPr>
                <w:b/>
                <w:i/>
              </w:rPr>
              <w:t>in verband met klimaat- of biodiversiteitsdoelstellingen</w:t>
            </w:r>
            <w:r>
              <w:t xml:space="preserve"> slechts één stap is in een </w:t>
            </w:r>
            <w:r>
              <w:rPr>
                <w:b/>
                <w:i/>
              </w:rPr>
              <w:t>alomvattende groene</w:t>
            </w:r>
            <w:r>
              <w:t xml:space="preserve"> begrotingscyclus</w:t>
            </w:r>
            <w:r>
              <w:rPr>
                <w:b/>
                <w:i/>
              </w:rPr>
              <w:t>,</w:t>
            </w:r>
            <w:r>
              <w:t xml:space="preserve"> waarin klimaat- en </w:t>
            </w:r>
            <w:r>
              <w:rPr>
                <w:b/>
                <w:i/>
              </w:rPr>
              <w:t>biodiversiteitsdoelstellingen gedurende de hele levenscyclus</w:t>
            </w:r>
            <w:r>
              <w:t xml:space="preserve"> van de </w:t>
            </w:r>
            <w:r>
              <w:rPr>
                <w:b/>
                <w:i/>
              </w:rPr>
              <w:t>begroting in aanmerking worden genomen</w:t>
            </w:r>
            <w:r>
              <w:t>;</w:t>
            </w:r>
          </w:p>
        </w:tc>
        <w:tc>
          <w:tcPr>
            <w:tcW w:w="4876" w:type="dxa"/>
            <w:tcBorders>
              <w:top w:val="nil"/>
              <w:left w:val="nil"/>
              <w:bottom w:val="nil"/>
              <w:right w:val="nil"/>
            </w:tcBorders>
          </w:tcPr>
          <w:p>
            <w:pPr>
              <w:pStyle w:val="Normal6a"/>
            </w:pPr>
            <w:r>
              <w:t>120.</w:t>
            </w:r>
            <w:r>
              <w:tab/>
            </w:r>
            <w:r>
              <w:t xml:space="preserve">herinnert eraan dat in het Interinstitutioneel Akkoord 2020 een bindend streefcijfer van 30 % voor klimaatuitgaven is vastgesteld; benadrukt derhalve dat het traceren van </w:t>
            </w:r>
            <w:r>
              <w:rPr>
                <w:b/>
                <w:i/>
              </w:rPr>
              <w:t>klimaatgerelateerde</w:t>
            </w:r>
            <w:r>
              <w:t xml:space="preserve"> uitgaven slechts één stap is in een begrotingscyclus waarin </w:t>
            </w:r>
            <w:r>
              <w:rPr>
                <w:b/>
                <w:i/>
              </w:rPr>
              <w:t>ook rekening moet worden gehouden met de kosten en economische gevolgen van</w:t>
            </w:r>
            <w:r>
              <w:t xml:space="preserve"> klimaat- en </w:t>
            </w:r>
            <w:r>
              <w:rPr>
                <w:b/>
                <w:i/>
              </w:rPr>
              <w:t>biodiversiteitsmaatregelen voor het concurrentievermogen, de werkgelegenheid en de groei</w:t>
            </w:r>
            <w:r>
              <w:t xml:space="preserve"> van de </w:t>
            </w:r>
            <w:r>
              <w:rPr>
                <w:b/>
                <w:i/>
              </w:rPr>
              <w:t>Unie;</w:t>
            </w:r>
            <w:r>
              <w:t xml:space="preserve"> </w:t>
            </w:r>
            <w:r>
              <w:rPr>
                <w:b/>
                <w:i/>
              </w:rPr>
              <w:t>benadrukt dat het traceren van klimaatuitgaven gepaard moet gaan met een gelijkwaardige beoordeling van de regelgevingskosten en administratieve kosten die groene maatregelen met zich meebrengen voor de begunstigden en de lidstaten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120 bis.</w:t>
            </w:r>
            <w:r>
              <w:tab/>
            </w:r>
            <w:r>
              <w:rPr>
                <w:b/>
                <w:i/>
              </w:rPr>
              <w:t>is gekant tegen alle uitgaven in verband met de Europese Green Deal of verwijzingen ernaar, aangezien de Green Deal uitermate kostbaar is voor de belastingbetaler en economisch schadelijk voor cruciale sectoren van de Europese economie;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122.</w:t>
            </w:r>
            <w:r>
              <w:tab/>
            </w:r>
            <w:r>
              <w:t>is bezorgd over het feit dat de Rekenkamer bij verschillende controles heeft vastgesteld dat de bijdrage van de fondsen van de Unie aan de klimaatdoelstellingen onduidelijk was en mogelijk werd overschat vanwege tekortkomingen in de methoden van de Commissie voor het traceren van uitgaven; herinnert eraan dat de Rekenkamer in haar Speciaal verslag 09/2022 getiteld “Klimaatuitgaven in de EU-begroting 2014-2020” heeft geconstateerd dat de klimaatbijdrage van de begroting van de Unie in het MFK 2014-2020 met 72 miljard EUR was overschat, aangezien de gerapporteerde uitgaven niet altijd relevant waren voor klimaatactie</w:t>
            </w:r>
            <w:r>
              <w:rPr>
                <w:b/>
                <w:i/>
              </w:rPr>
              <w:t>, met name in het kader van het GLB</w:t>
            </w:r>
            <w:r>
              <w:t>; ziet uit naar het oordeel van de Rekenkamer over de follow-up door de Commissie van haar aanbevelingen in Speciaal verslag 09/2022 in 2026;</w:t>
            </w:r>
          </w:p>
        </w:tc>
        <w:tc>
          <w:tcPr>
            <w:tcW w:w="4876" w:type="dxa"/>
            <w:tcBorders>
              <w:top w:val="nil"/>
              <w:left w:val="nil"/>
              <w:bottom w:val="nil"/>
              <w:right w:val="nil"/>
            </w:tcBorders>
          </w:tcPr>
          <w:p>
            <w:pPr>
              <w:pStyle w:val="Normal6a"/>
            </w:pPr>
            <w:r>
              <w:t>122.</w:t>
            </w:r>
            <w:r>
              <w:tab/>
            </w:r>
            <w:r>
              <w:t>is bezorgd over het feit dat de Rekenkamer bij verschillende controles heeft vastgesteld dat de bijdrage van de fondsen van de Unie aan de klimaatdoelstellingen onduidelijk was en mogelijk werd overschat vanwege tekortkomingen in de methoden van de Commissie voor het traceren van uitgaven; herinnert eraan dat de Rekenkamer in haar Speciaal verslag 09/2022 getiteld “Klimaatuitgaven in de EU-begroting 2014-2020” heeft geconstateerd dat de klimaatbijdrage van de begroting van de Unie in het MFK 2014-2020 met 72 miljard EUR was overschat, aangezien de gerapporteerde uitgaven niet altijd relevant waren voor klimaatactie; ziet uit naar het oordeel van de Rekenkamer over de follow-up door de Commissie van haar aanbevelingen in Speciaal verslag 09/2022 in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rPr>
                <w:b/>
                <w:i/>
              </w:rPr>
              <w:t>neemt kennis van Speciaal verslag 20/2024 van</w:t>
            </w:r>
            <w:r>
              <w:t xml:space="preserve"> de Rekenkamer </w:t>
            </w:r>
            <w:r>
              <w:rPr>
                <w:b/>
                <w:i/>
              </w:rPr>
              <w:t>over plannen in het kader van het gemeenschappelijk landbouwbeleid en het antwoord van de Commissie, met name de algemene conclusie van de Rekenkamer dat</w:t>
            </w:r>
            <w:r>
              <w:t xml:space="preserve"> de strategische GLB-plannen </w:t>
            </w:r>
            <w:r>
              <w:rPr>
                <w:b/>
                <w:i/>
              </w:rPr>
              <w:t>2023-2027 “</w:t>
            </w:r>
            <w:r>
              <w:t>groener</w:t>
            </w:r>
            <w:r>
              <w:rPr>
                <w:b/>
                <w:i/>
              </w:rPr>
              <w:t>”</w:t>
            </w:r>
            <w:r>
              <w:t xml:space="preserve"> zijn dan in de vorige </w:t>
            </w:r>
            <w:r>
              <w:rPr>
                <w:b/>
                <w:i/>
              </w:rPr>
              <w:t>GLB-periode</w:t>
            </w:r>
            <w:r>
              <w:t xml:space="preserve">, maar niet </w:t>
            </w:r>
            <w:r>
              <w:rPr>
                <w:b/>
                <w:i/>
              </w:rPr>
              <w:t>overeenkomen met de ambities</w:t>
            </w:r>
            <w:r>
              <w:t xml:space="preserve"> van de </w:t>
            </w:r>
            <w:r>
              <w:rPr>
                <w:b/>
                <w:i/>
              </w:rPr>
              <w:t>Unie voor het klimaat en het milieu</w:t>
            </w:r>
            <w:r>
              <w:t xml:space="preserve">, en dat </w:t>
            </w:r>
            <w:r>
              <w:rPr>
                <w:b/>
                <w:i/>
              </w:rPr>
              <w:t>essentiële</w:t>
            </w:r>
            <w:r>
              <w:t xml:space="preserve"> elementen </w:t>
            </w:r>
            <w:r>
              <w:rPr>
                <w:b/>
                <w:i/>
              </w:rPr>
              <w:t>voor de beoordeling</w:t>
            </w:r>
            <w:r>
              <w:t xml:space="preserve"> van de </w:t>
            </w:r>
            <w:r>
              <w:rPr>
                <w:b/>
                <w:i/>
              </w:rPr>
              <w:t>prestaties</w:t>
            </w:r>
            <w:r>
              <w:t xml:space="preserve"> ontbreken; </w:t>
            </w:r>
            <w:r>
              <w:rPr>
                <w:b/>
                <w:i/>
              </w:rPr>
              <w:t>is verheugd dat</w:t>
            </w:r>
            <w:r>
              <w:t xml:space="preserve"> de Rekenkamer de Commissie </w:t>
            </w:r>
            <w:r>
              <w:rPr>
                <w:b/>
                <w:i/>
              </w:rPr>
              <w:t>ook aanbeveelt de bijdrage van het GLB aan de doelstellingen van de Green Deal te ramen en het toekomstige monitoringkader van het GLB voor klimaat en milieu te versterken</w:t>
            </w:r>
            <w:r>
              <w:t>;</w:t>
            </w:r>
          </w:p>
        </w:tc>
        <w:tc>
          <w:tcPr>
            <w:tcW w:w="4876" w:type="dxa"/>
            <w:tcBorders>
              <w:top w:val="nil"/>
              <w:left w:val="nil"/>
              <w:bottom w:val="nil"/>
              <w:right w:val="nil"/>
            </w:tcBorders>
          </w:tcPr>
          <w:p>
            <w:pPr>
              <w:pStyle w:val="Normal6a"/>
            </w:pPr>
            <w:r>
              <w:t>123.</w:t>
            </w:r>
            <w:r>
              <w:tab/>
            </w:r>
            <w:r>
              <w:rPr>
                <w:b/>
                <w:i/>
              </w:rPr>
              <w:t>merkt op dat uit de beoordeling door</w:t>
            </w:r>
            <w:r>
              <w:t xml:space="preserve"> de Rekenkamer </w:t>
            </w:r>
            <w:r>
              <w:rPr>
                <w:b/>
                <w:i/>
              </w:rPr>
              <w:t>van</w:t>
            </w:r>
            <w:r>
              <w:t xml:space="preserve"> de strategische GLB-plannen </w:t>
            </w:r>
            <w:r>
              <w:rPr>
                <w:b/>
                <w:i/>
              </w:rPr>
              <w:t>voor 2023-2027 (Speciaal verslag 20/2024) is gebleken dat deze plannen weliswaar</w:t>
            </w:r>
            <w:r>
              <w:t xml:space="preserve"> groener zijn dan in de vorige </w:t>
            </w:r>
            <w:r>
              <w:rPr>
                <w:b/>
                <w:i/>
              </w:rPr>
              <w:t>periode</w:t>
            </w:r>
            <w:r>
              <w:t xml:space="preserve">, maar niet </w:t>
            </w:r>
            <w:r>
              <w:rPr>
                <w:b/>
                <w:i/>
              </w:rPr>
              <w:t>voldoen aan de klimaat- en milieuambities</w:t>
            </w:r>
            <w:r>
              <w:t xml:space="preserve"> van de </w:t>
            </w:r>
            <w:r>
              <w:rPr>
                <w:b/>
                <w:i/>
              </w:rPr>
              <w:t>EU</w:t>
            </w:r>
            <w:r>
              <w:t xml:space="preserve">, en dat </w:t>
            </w:r>
            <w:r>
              <w:rPr>
                <w:b/>
                <w:i/>
              </w:rPr>
              <w:t>belangrijke</w:t>
            </w:r>
            <w:r>
              <w:t xml:space="preserve"> elementen van de </w:t>
            </w:r>
            <w:r>
              <w:rPr>
                <w:b/>
                <w:i/>
              </w:rPr>
              <w:t>prestatiebeoordeling</w:t>
            </w:r>
            <w:r>
              <w:t xml:space="preserve"> ontbreken; </w:t>
            </w:r>
            <w:r>
              <w:rPr>
                <w:b/>
                <w:i/>
              </w:rPr>
              <w:t>stelt vast dat het jaarverslag 2024 van</w:t>
            </w:r>
            <w:r>
              <w:t xml:space="preserve"> de Rekenkamer </w:t>
            </w:r>
            <w:r>
              <w:rPr>
                <w:b/>
                <w:i/>
              </w:rPr>
              <w:t>een sterk contrast laat zien tussen de foutenpercentages, waarbij rechtstreekse betalingen (met uitzondering van ecoregelingen) grotendeels vrij zijn van materiële fouten vanwege de op rechten gebaseerde aard en administratieve eenvoud ervan, terwijl ecoregelingen, die specifiek zijn ontworpen om milieuresultaten te behalen, een aanzienlijk hoger foutenrisico vertonen en er vragen blijven bestaan over de doeltreffendheid ervan;</w:t>
            </w:r>
            <w:r>
              <w:t xml:space="preserve"> </w:t>
            </w:r>
            <w:r>
              <w:rPr>
                <w:b/>
                <w:i/>
              </w:rPr>
              <w:t>verzoekt</w:t>
            </w:r>
            <w:r>
              <w:t xml:space="preserve"> de Commissie </w:t>
            </w:r>
            <w:r>
              <w:rPr>
                <w:b/>
                <w:i/>
              </w:rPr>
              <w:t>te beoordelen of middelen die momenteel via ecoregelingen met een hoog foutenpercentage en lage prestaties worden besteed, doeltreffender kunnen worden toegewezen aan betalingsmechanismen die zowel lagere foutenpercentages als meetbare klimaatresultaten opleveren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neemt kennis van Speciaal verslag 20/2024 van de Rekenkamer over plannen in het kader van het gemeenschappelijk landbouwbeleid en het antwoord van de Commissie, met name de algemene conclusie van de Rekenkamer dat de strategische GLB-plannen 2023-2027 “groener” zijn dan in de vorige GLB-periode</w:t>
            </w:r>
            <w:r>
              <w:rPr>
                <w:b/>
                <w:i/>
              </w:rPr>
              <w:t>, maar niet overeenkomen met de ambities van de Unie voor het klimaat en het milieu, en dat essentiële elementen voor de beoordeling van de prestaties ontbreken</w:t>
            </w:r>
            <w:r>
              <w:t xml:space="preserve">; </w:t>
            </w:r>
            <w:r>
              <w:rPr>
                <w:b/>
                <w:i/>
              </w:rPr>
              <w:t>is verheugd dat de Rekenkamer de Commissie ook aanbeveelt de bijdrage van het GLB aan de doelstellingen van de Green Deal te ramen en het toekomstige monitoringkader van het GLB voor klimaat en milieu te versterken;</w:t>
            </w:r>
          </w:p>
        </w:tc>
        <w:tc>
          <w:tcPr>
            <w:tcW w:w="4876" w:type="dxa"/>
            <w:tcBorders>
              <w:top w:val="nil"/>
              <w:left w:val="nil"/>
              <w:bottom w:val="nil"/>
              <w:right w:val="nil"/>
            </w:tcBorders>
          </w:tcPr>
          <w:p>
            <w:pPr>
              <w:pStyle w:val="Normal6a"/>
            </w:pPr>
            <w:r>
              <w:t>123.</w:t>
            </w:r>
            <w:r>
              <w:tab/>
            </w:r>
            <w:r>
              <w:t>neemt kennis van Speciaal verslag 20/2024 van de Rekenkamer over plannen in het kader van het gemeenschappelijk landbouwbeleid en het antwoord van de Commissie, met name de algemene conclusie van de Rekenkamer dat de strategische GLB-plannen 2023-2027 “groener” zijn dan in de vorige GLB-periode;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 xml:space="preserve">neemt kennis van Speciaal verslag 20/2024 van de Rekenkamer over plannen in het kader van het gemeenschappelijk landbouwbeleid en het antwoord van de Commissie, met name de algemene conclusie van de Rekenkamer dat de strategische GLB-plannen 2023-2027 “groener” zijn dan in de vorige GLB-periode, maar niet overeenkomen met de ambities van de Unie voor het klimaat en het milieu, en dat essentiële elementen voor de beoordeling van de prestaties ontbreken; is verheugd dat de Rekenkamer de Commissie ook aanbeveelt de bijdrage van het GLB aan de doelstellingen van de Green Deal te ramen en het toekomstige monitoringkader van het GLB </w:t>
            </w:r>
            <w:r>
              <w:rPr>
                <w:b/>
                <w:i/>
              </w:rPr>
              <w:t>voor klimaat en milieu</w:t>
            </w:r>
            <w:r>
              <w:t xml:space="preserve"> te versterken;</w:t>
            </w:r>
          </w:p>
        </w:tc>
        <w:tc>
          <w:tcPr>
            <w:tcW w:w="4876" w:type="dxa"/>
            <w:tcBorders>
              <w:top w:val="nil"/>
              <w:left w:val="nil"/>
              <w:bottom w:val="nil"/>
              <w:right w:val="nil"/>
            </w:tcBorders>
          </w:tcPr>
          <w:p>
            <w:pPr>
              <w:pStyle w:val="Normal6a"/>
            </w:pPr>
            <w:r>
              <w:t>123.</w:t>
            </w:r>
            <w:r>
              <w:tab/>
            </w:r>
            <w:r>
              <w:rPr>
                <w:b/>
                <w:i/>
              </w:rPr>
              <w:t>merkt op dat de broeikasgasemissies van de landbouw in de EU tussen 2021 en 2023 met 3 % zijn gedaald, terwijl die van de energievoorziening en de industrie elk met 16 % zijn gedaald;</w:t>
            </w:r>
            <w:r>
              <w:t xml:space="preserve"> </w:t>
            </w:r>
            <w:r>
              <w:rPr>
                <w:b/>
                <w:i/>
              </w:rPr>
              <w:t>beschouwt klimaatverandering als een enorme uitdaging waarvoor alle sectoren een billijke bijdrage moeten leveren;</w:t>
            </w:r>
            <w:r>
              <w:t xml:space="preserve"> neemt kennis van Speciaal verslag 20/2024 van de Rekenkamer over plannen in het kader van het gemeenschappelijk landbouwbeleid en het antwoord van de Commissie, met name de algemene conclusie van de Rekenkamer dat de strategische GLB-plannen 2023-2027 “groener” zijn dan in de vorige GLB-periode, maar niet overeenkomen met de ambities van de Unie voor het klimaat en het milieu, en dat essentiële elementen voor de beoordeling van de prestaties ontbreken; is verheugd dat de Rekenkamer de Commissie ook aanbeveelt de bijdrage van het GLB aan de doelstellingen van de Green Deal te ramen en het toekomstige monitoringkader van het GLB te versterken</w:t>
            </w:r>
            <w:r>
              <w:rPr>
                <w:b/>
                <w:i/>
              </w:rPr>
              <w:t>, teneinde het beter te laten bijdragen aan de klimaat- en milieudoelstellingen van de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neemt kennis van Speciaal verslag 20/2024 van de Rekenkamer over plannen in het kader van het gemeenschappelijk landbouwbeleid en het antwoord van de Commissie</w:t>
            </w:r>
            <w:r>
              <w:rPr>
                <w:b/>
                <w:i/>
              </w:rPr>
              <w:t>, met name</w:t>
            </w:r>
            <w:r>
              <w:t xml:space="preserve"> de algemene conclusie van de Rekenkamer dat </w:t>
            </w:r>
            <w:r>
              <w:rPr>
                <w:b/>
                <w:i/>
              </w:rPr>
              <w:t>de strategische GLB-plannen 2023-2027 “</w:t>
            </w:r>
            <w:r>
              <w:t>groener</w:t>
            </w:r>
            <w:r>
              <w:rPr>
                <w:b/>
                <w:i/>
              </w:rPr>
              <w:t>” zijn</w:t>
            </w:r>
            <w:r>
              <w:t xml:space="preserve"> dan in de vorige </w:t>
            </w:r>
            <w:r>
              <w:rPr>
                <w:b/>
                <w:i/>
              </w:rPr>
              <w:t>GLB-periode, maar niet overeenkomen met de ambities</w:t>
            </w:r>
            <w:r>
              <w:t xml:space="preserve"> van de </w:t>
            </w:r>
            <w:r>
              <w:rPr>
                <w:b/>
                <w:i/>
              </w:rPr>
              <w:t>Unie voor het klimaat</w:t>
            </w:r>
            <w:r>
              <w:t xml:space="preserve"> en het </w:t>
            </w:r>
            <w:r>
              <w:rPr>
                <w:b/>
                <w:i/>
              </w:rPr>
              <w:t>milieu, en dat essentiële elementen voor de beoordeling</w:t>
            </w:r>
            <w:r>
              <w:t xml:space="preserve"> van de </w:t>
            </w:r>
            <w:r>
              <w:rPr>
                <w:b/>
                <w:i/>
              </w:rPr>
              <w:t>prestaties ontbreken;</w:t>
            </w:r>
            <w:r>
              <w:t xml:space="preserve"> </w:t>
            </w:r>
            <w:r>
              <w:rPr>
                <w:b/>
                <w:i/>
              </w:rPr>
              <w:t>is verheugd dat de Rekenkamer</w:t>
            </w:r>
            <w:r>
              <w:t xml:space="preserve"> de Commissie </w:t>
            </w:r>
            <w:r>
              <w:rPr>
                <w:b/>
                <w:i/>
              </w:rPr>
              <w:t>ook aanbeveelt</w:t>
            </w:r>
            <w:r>
              <w:t xml:space="preserve"> de bijdrage van het GLB aan de doelstellingen </w:t>
            </w:r>
            <w:r>
              <w:rPr>
                <w:b/>
                <w:i/>
              </w:rPr>
              <w:t>van de Green Deal te ramen en het toekomstige monitoringkader van het GLB voor klimaat en milieu te versterken</w:t>
            </w:r>
            <w:r>
              <w:t>;</w:t>
            </w:r>
          </w:p>
        </w:tc>
        <w:tc>
          <w:tcPr>
            <w:tcW w:w="4876" w:type="dxa"/>
            <w:tcBorders>
              <w:top w:val="nil"/>
              <w:left w:val="nil"/>
              <w:bottom w:val="nil"/>
              <w:right w:val="nil"/>
            </w:tcBorders>
          </w:tcPr>
          <w:p>
            <w:pPr>
              <w:pStyle w:val="Normal6a"/>
            </w:pPr>
            <w:r>
              <w:t>123.</w:t>
            </w:r>
            <w:r>
              <w:tab/>
            </w:r>
            <w:r>
              <w:t>neemt kennis van Speciaal verslag 20/2024 van de Rekenkamer over plannen in het kader van het gemeenschappelijk landbouwbeleid en het antwoord van de Commissie</w:t>
            </w:r>
            <w:r>
              <w:rPr>
                <w:b/>
                <w:i/>
              </w:rPr>
              <w:t>;</w:t>
            </w:r>
            <w:r>
              <w:t xml:space="preserve"> </w:t>
            </w:r>
            <w:r>
              <w:rPr>
                <w:b/>
                <w:i/>
              </w:rPr>
              <w:t>is ingenomen met</w:t>
            </w:r>
            <w:r>
              <w:t xml:space="preserve"> de algemene conclusie van de Rekenkamer dat </w:t>
            </w:r>
            <w:r>
              <w:rPr>
                <w:b/>
                <w:i/>
              </w:rPr>
              <w:t>het GLB 2023-2027</w:t>
            </w:r>
            <w:r>
              <w:t xml:space="preserve"> groener </w:t>
            </w:r>
            <w:r>
              <w:rPr>
                <w:b/>
                <w:i/>
              </w:rPr>
              <w:t>is</w:t>
            </w:r>
            <w:r>
              <w:t xml:space="preserve"> dan in de vorige </w:t>
            </w:r>
            <w:r>
              <w:rPr>
                <w:b/>
                <w:i/>
              </w:rPr>
              <w:t>programmeringsperiode, wat wijst op aanzienlijke inspanningen</w:t>
            </w:r>
            <w:r>
              <w:t xml:space="preserve"> van de </w:t>
            </w:r>
            <w:r>
              <w:rPr>
                <w:b/>
                <w:i/>
              </w:rPr>
              <w:t>landbouwers en de lidstaten;</w:t>
            </w:r>
            <w:r>
              <w:t xml:space="preserve"> </w:t>
            </w:r>
            <w:r>
              <w:rPr>
                <w:b/>
                <w:i/>
              </w:rPr>
              <w:t>onderstreept echter dat milieu- en klimaatambities verenigbaar moeten blijven met de economische duurzaamheid</w:t>
            </w:r>
            <w:r>
              <w:t xml:space="preserve"> en het </w:t>
            </w:r>
            <w:r>
              <w:rPr>
                <w:b/>
                <w:i/>
              </w:rPr>
              <w:t>concurrentievermogen</w:t>
            </w:r>
            <w:r>
              <w:t xml:space="preserve"> van de </w:t>
            </w:r>
            <w:r>
              <w:rPr>
                <w:b/>
                <w:i/>
              </w:rPr>
              <w:t>Europese landbouw;</w:t>
            </w:r>
            <w:r>
              <w:t xml:space="preserve"> </w:t>
            </w:r>
            <w:r>
              <w:rPr>
                <w:b/>
                <w:i/>
              </w:rPr>
              <w:t>benadrukt dat verdere verbeteringen van het monitoringkader niet mogen leiden tot aanvullende verplichtingen voor landbouwers of beheersautoriteiten;</w:t>
            </w:r>
            <w:r>
              <w:t xml:space="preserve"> </w:t>
            </w:r>
            <w:r>
              <w:rPr>
                <w:b/>
                <w:i/>
              </w:rPr>
              <w:t>verzoekt</w:t>
            </w:r>
            <w:r>
              <w:t xml:space="preserve"> de Commissie de bijdrage van het GLB aan de </w:t>
            </w:r>
            <w:r>
              <w:rPr>
                <w:b/>
                <w:i/>
              </w:rPr>
              <w:t>Green Deal op evenwichtige wijze te beoordelen, rekening houdend met de</w:t>
            </w:r>
            <w:r>
              <w:t xml:space="preserve"> doelstellingen </w:t>
            </w:r>
            <w:r>
              <w:rPr>
                <w:b/>
                <w:i/>
              </w:rPr>
              <w:t>op het gebied van voedselzekerheid, strategische autonomie en plattelandsontwikkeling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123.</w:t>
            </w:r>
            <w:r>
              <w:tab/>
            </w:r>
            <w:r>
              <w:t>neemt kennis van Speciaal verslag 20/2024 van de Rekenkamer over plannen in het kader van het gemeenschappelijk landbouwbeleid en het antwoord van de Commissie</w:t>
            </w:r>
            <w:r>
              <w:rPr>
                <w:b/>
                <w:i/>
              </w:rPr>
              <w:t>, met name de algemene conclusie</w:t>
            </w:r>
            <w:r>
              <w:t xml:space="preserve"> van de Rekenkamer dat de strategische GLB-plannen 2023-2027 </w:t>
            </w:r>
            <w:r>
              <w:rPr>
                <w:b/>
                <w:i/>
              </w:rPr>
              <w:t>“groener” zijn dan in</w:t>
            </w:r>
            <w:r>
              <w:t xml:space="preserve"> de vorige GLB-periode, </w:t>
            </w:r>
            <w:r>
              <w:rPr>
                <w:b/>
                <w:i/>
              </w:rPr>
              <w:t>maar niet overeenkomen met de ambities van de Unie voor het</w:t>
            </w:r>
            <w:r>
              <w:t xml:space="preserve"> klimaat </w:t>
            </w:r>
            <w:r>
              <w:rPr>
                <w:b/>
                <w:i/>
              </w:rPr>
              <w:t>en het milieu, en dat essentiële elementen voor de beoordeling van de prestaties ontbreken</w:t>
            </w:r>
            <w:r>
              <w:t xml:space="preserve">; is verheugd dat de Rekenkamer de Commissie </w:t>
            </w:r>
            <w:r>
              <w:rPr>
                <w:b/>
                <w:i/>
              </w:rPr>
              <w:t>ook</w:t>
            </w:r>
            <w:r>
              <w:t xml:space="preserve"> aanbeveelt de bijdrage van het GLB aan de </w:t>
            </w:r>
            <w:r>
              <w:rPr>
                <w:b/>
                <w:i/>
              </w:rPr>
              <w:t>doelstellingen van de Green Deal</w:t>
            </w:r>
            <w:r>
              <w:t xml:space="preserve"> te ramen en het toekomstige monitoringkader van het GLB </w:t>
            </w:r>
            <w:r>
              <w:rPr>
                <w:b/>
                <w:i/>
              </w:rPr>
              <w:t>voor klimaat en milieu</w:t>
            </w:r>
            <w:r>
              <w:t xml:space="preserve"> te versterken;</w:t>
            </w:r>
          </w:p>
        </w:tc>
        <w:tc>
          <w:tcPr>
            <w:tcW w:w="4876" w:type="dxa"/>
            <w:tcBorders>
              <w:top w:val="nil"/>
              <w:left w:val="nil"/>
              <w:bottom w:val="nil"/>
              <w:right w:val="nil"/>
            </w:tcBorders>
          </w:tcPr>
          <w:p>
            <w:pPr>
              <w:pStyle w:val="Normal6a"/>
            </w:pPr>
            <w:r>
              <w:t>123.</w:t>
            </w:r>
            <w:r>
              <w:tab/>
            </w:r>
            <w:r>
              <w:t>neemt kennis van Speciaal verslag 20/2024 van de Rekenkamer over plannen in het kader van het gemeenschappelijk landbouwbeleid en het antwoord van de Commissie</w:t>
            </w:r>
            <w:r>
              <w:rPr>
                <w:b/>
                <w:i/>
              </w:rPr>
              <w:t>; neemt kennis van de beoordeling</w:t>
            </w:r>
            <w:r>
              <w:t xml:space="preserve"> van de Rekenkamer dat de strategische GLB-plannen 2023-2027 </w:t>
            </w:r>
            <w:r>
              <w:rPr>
                <w:b/>
                <w:i/>
              </w:rPr>
              <w:t>een verbetering vormen ten opzichte van</w:t>
            </w:r>
            <w:r>
              <w:t xml:space="preserve"> de vorige GLB-periode, </w:t>
            </w:r>
            <w:r>
              <w:rPr>
                <w:b/>
                <w:i/>
              </w:rPr>
              <w:t>onder meer met betrekking tot</w:t>
            </w:r>
            <w:r>
              <w:t xml:space="preserve"> klimaat</w:t>
            </w:r>
            <w:r>
              <w:rPr>
                <w:b/>
                <w:i/>
              </w:rPr>
              <w:t>- en milieuoverwegingen, al wijst zij tegelijkertijd gebieden aan waar het monitoring- en prestatiekader verder kan worden versterkt</w:t>
            </w:r>
            <w:r>
              <w:t xml:space="preserve">; is verheugd dat de Rekenkamer de Commissie aanbeveelt </w:t>
            </w:r>
            <w:r>
              <w:rPr>
                <w:b/>
                <w:i/>
              </w:rPr>
              <w:t>de methoden om</w:t>
            </w:r>
            <w:r>
              <w:t xml:space="preserve"> de bijdrage van het GLB aan de </w:t>
            </w:r>
            <w:r>
              <w:rPr>
                <w:b/>
                <w:i/>
              </w:rPr>
              <w:t>klimaat- en milieudoelstellingen</w:t>
            </w:r>
            <w:r>
              <w:t xml:space="preserve"> te ramen </w:t>
            </w:r>
            <w:r>
              <w:rPr>
                <w:b/>
                <w:i/>
              </w:rPr>
              <w:t>verder te ontwikkelen</w:t>
            </w:r>
            <w:r>
              <w:t xml:space="preserve"> en het toekomstige monitoringkader van het GLB te versterken</w:t>
            </w:r>
            <w:r>
              <w:rPr>
                <w:b/>
                <w:i/>
              </w:rPr>
              <w:t>, met inachtneming van de evenredigheid, de administratieve lasten en de noodzaak om voorspelbaarheid en rechtszekerheid voor landbouwers te waarborgen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124.</w:t>
            </w:r>
            <w:r>
              <w:tab/>
            </w:r>
            <w:r>
              <w:t xml:space="preserve">neemt kennis van Speciaal verslag 14/2024 van de Rekenkamer getiteld “Groene transitie — Onduidelijke bijdrage uit de herstel- en veerkrachtfaciliteit” en van het antwoord van de Commissie; </w:t>
            </w:r>
            <w:r>
              <w:rPr>
                <w:b/>
                <w:i/>
              </w:rPr>
              <w:t>is teleurgesteld over de algemene conclusie</w:t>
            </w:r>
            <w:r>
              <w:t xml:space="preserve"> van de Rekenkamer </w:t>
            </w:r>
            <w:r>
              <w:rPr>
                <w:b/>
                <w:i/>
              </w:rPr>
              <w:t>dat</w:t>
            </w:r>
            <w:r>
              <w:t xml:space="preserve"> tekortkomingen in de opzet en uitvoering van de RRF </w:t>
            </w:r>
            <w:r>
              <w:rPr>
                <w:b/>
                <w:i/>
              </w:rPr>
              <w:t>twijfels oproepen over de verwezenlijking van</w:t>
            </w:r>
            <w:r>
              <w:t xml:space="preserve"> de klimaat- en milieudoelstellingen </w:t>
            </w:r>
            <w:r>
              <w:rPr>
                <w:b/>
                <w:i/>
              </w:rPr>
              <w:t>en dat de bijdrage van de RRF aan de groene transitie niet duidelijk is;</w:t>
            </w:r>
            <w:r>
              <w:t xml:space="preserve"> </w:t>
            </w:r>
            <w:r>
              <w:rPr>
                <w:b/>
                <w:i/>
              </w:rPr>
              <w:t>is bezorgd</w:t>
            </w:r>
            <w:r>
              <w:t xml:space="preserve"> dat het traceren van klimaatuitgaven een aanzienlijke approximatie met zich meebrengt en dat sommige coëfficiënten tot mogelijke overschattingen leidden; is verheugd dat de Rekenkamer de Commissie </w:t>
            </w:r>
            <w:r>
              <w:rPr>
                <w:b/>
                <w:i/>
              </w:rPr>
              <w:t>ook</w:t>
            </w:r>
            <w:r>
              <w:t xml:space="preserve"> aanbeveelt de klimaatuitgaven in </w:t>
            </w:r>
            <w:r>
              <w:rPr>
                <w:b/>
                <w:i/>
              </w:rPr>
              <w:t>het kader van</w:t>
            </w:r>
            <w:r>
              <w:t xml:space="preserve"> toekomstige financieringsinstrumenten </w:t>
            </w:r>
            <w:r>
              <w:rPr>
                <w:b/>
                <w:i/>
              </w:rPr>
              <w:t>beter te ramen en te zorgen voor een adequate</w:t>
            </w:r>
            <w:r>
              <w:t xml:space="preserve"> opzet van toekomstige financieringsinstrumenten </w:t>
            </w:r>
            <w:r>
              <w:rPr>
                <w:b/>
                <w:i/>
              </w:rPr>
              <w:t>die</w:t>
            </w:r>
            <w:r>
              <w:t xml:space="preserve"> de klimaat- en milieudoelstellingen en -streefdoelen </w:t>
            </w:r>
            <w:r>
              <w:rPr>
                <w:b/>
                <w:i/>
              </w:rPr>
              <w:t>moeten ondersteunen</w:t>
            </w:r>
            <w:r>
              <w:t>;</w:t>
            </w:r>
          </w:p>
        </w:tc>
        <w:tc>
          <w:tcPr>
            <w:tcW w:w="4876" w:type="dxa"/>
            <w:tcBorders>
              <w:top w:val="nil"/>
              <w:left w:val="nil"/>
              <w:bottom w:val="nil"/>
              <w:right w:val="nil"/>
            </w:tcBorders>
          </w:tcPr>
          <w:p>
            <w:pPr>
              <w:pStyle w:val="Normal6a"/>
            </w:pPr>
            <w:r>
              <w:t>124.</w:t>
            </w:r>
            <w:r>
              <w:tab/>
            </w:r>
            <w:r>
              <w:t xml:space="preserve">neemt kennis van Speciaal verslag 14/2024 van de Rekenkamer getiteld “Groene transitie — Onduidelijke bijdrage uit de herstel- en veerkrachtfaciliteit” en van het antwoord van de Commissie; </w:t>
            </w:r>
            <w:r>
              <w:rPr>
                <w:b/>
                <w:i/>
              </w:rPr>
              <w:t>neemt kennis van de bevindingen</w:t>
            </w:r>
            <w:r>
              <w:t xml:space="preserve"> van de Rekenkamer</w:t>
            </w:r>
            <w:r>
              <w:rPr>
                <w:b/>
                <w:i/>
              </w:rPr>
              <w:t>, die wijst op</w:t>
            </w:r>
            <w:r>
              <w:t xml:space="preserve"> tekortkomingen </w:t>
            </w:r>
            <w:r>
              <w:rPr>
                <w:b/>
                <w:i/>
              </w:rPr>
              <w:t>en beperkingen</w:t>
            </w:r>
            <w:r>
              <w:t xml:space="preserve"> in de opzet en uitvoering van de RRF </w:t>
            </w:r>
            <w:r>
              <w:rPr>
                <w:b/>
                <w:i/>
              </w:rPr>
              <w:t>wat betreft het meten van de bijdrage ervan aan</w:t>
            </w:r>
            <w:r>
              <w:t xml:space="preserve"> de klimaat- en milieudoelstellingen</w:t>
            </w:r>
            <w:r>
              <w:rPr>
                <w:b/>
                <w:i/>
              </w:rPr>
              <w:t>;</w:t>
            </w:r>
            <w:r>
              <w:t xml:space="preserve"> </w:t>
            </w:r>
            <w:r>
              <w:rPr>
                <w:b/>
                <w:i/>
              </w:rPr>
              <w:t>stelt vast</w:t>
            </w:r>
            <w:r>
              <w:t xml:space="preserve"> dat het traceren van klimaatuitgaven een aanzienlijke approximatie met zich meebrengt en dat sommige coëfficiënten tot mogelijke overschattingen leidden; is verheugd dat de Rekenkamer de Commissie aanbeveelt </w:t>
            </w:r>
            <w:r>
              <w:rPr>
                <w:b/>
                <w:i/>
              </w:rPr>
              <w:t>de methoden voor het ramen van</w:t>
            </w:r>
            <w:r>
              <w:t xml:space="preserve"> de klimaatuitgaven in toekomstige financieringsinstrumenten </w:t>
            </w:r>
            <w:r>
              <w:rPr>
                <w:b/>
                <w:i/>
              </w:rPr>
              <w:t>verder te verfijnen en bij de</w:t>
            </w:r>
            <w:r>
              <w:t xml:space="preserve"> opzet van toekomstige financieringsinstrumenten </w:t>
            </w:r>
            <w:r>
              <w:rPr>
                <w:b/>
                <w:i/>
              </w:rPr>
              <w:t>ter ondersteuning van</w:t>
            </w:r>
            <w:r>
              <w:t xml:space="preserve"> de klimaat- en milieudoelstellingen en -streefdoelen </w:t>
            </w:r>
            <w:r>
              <w:rPr>
                <w:b/>
                <w:i/>
              </w:rPr>
              <w:t>rekening te houden met de geleerde lessen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126.</w:t>
            </w:r>
            <w:r>
              <w:tab/>
            </w:r>
            <w:r>
              <w:rPr>
                <w:b/>
                <w:i/>
              </w:rPr>
              <w:t>herinnert eraan dat alle uitgaven van de Unie in overeenstemming moeten zijn met het horizontale beginsel “geen ernstige afbreuk doen”, dat is neergelegd in punt 16 van het Interinstitutioneel Akkoord, waarin is bepaald dat de uitgaven van de Unie geen afbreuk mogen doen aan de zes milieudoelstellingen van artikel 17 van de taxonomieverordening</w:t>
            </w:r>
            <w:r>
              <w:rPr>
                <w:b/>
                <w:i/>
                <w:vertAlign w:val="superscript"/>
              </w:rPr>
              <w:t>14</w:t>
            </w:r>
            <w:r>
              <w:rPr>
                <w:b/>
                <w:i/>
              </w:rPr>
              <w:t>, namelijk mitigatie van en adaptatie aan klimaatverandering, duurzaam gebruik en bescherming van watervoorraden, de circulaire economie, preventie en bestrijding van verontreiniging en bescherming van de biodiversiteit;</w:t>
            </w:r>
            <w:r>
              <w:t xml:space="preserve"> </w:t>
            </w:r>
            <w:r>
              <w:rPr>
                <w:b/>
                <w:i/>
              </w:rPr>
              <w:t>is van mening dat, in het licht van de steeds terugkerende bevindingen van de Rekenkamer, de negatieve milieueffecten van de uitgaven van de Unie ook moeten worden getraceerd en gerapporteerd;</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Verordening (EU) 2020/852 van het Europees Parlement en de Raad van 18 juni 2020 betreffende de totstandbrenging van een kader ter bevordering van duurzame beleggingen en tot wijziging van Verordening (EU) 2019/2088 (PB L 198 van 22.6.2020, blz. 13, ELI: http://data.europa.eu/eli/reg/2020/852/oj).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127.</w:t>
            </w:r>
            <w:r>
              <w:tab/>
            </w:r>
            <w:r>
              <w:rPr>
                <w:b/>
                <w:i/>
              </w:rPr>
              <w:t>herinnert eraan dat het emissiehandelssysteem van de EU (EU-ETS) een belangrijk onderdeel is van de Europese Green Deal en een van de belangrijkste instrumenten om de klimaatambities van de Unie te verwezenlijken;</w:t>
            </w:r>
            <w:r>
              <w:t xml:space="preserve"> </w:t>
            </w:r>
            <w:r>
              <w:rPr>
                <w:b/>
                <w:i/>
              </w:rPr>
              <w:t>neemt kennis van de bevinding van de IAS-controle 2024 over de uitvoering van en het toezicht op het EU-ETS dat het personeel van het directoraat-generaal Klimaat (DG CLIMA) ondanks de hoge werkdruk, het complexe rechtskader en de schaarse middelen waarmee het werkt, inzet toonde om zijn taken uit te voeren en bereid was de efficiëntie van de processen in verband met het EU-ETS te verbeteren;</w:t>
            </w:r>
            <w:r>
              <w:t xml:space="preserve"> </w:t>
            </w:r>
            <w:r>
              <w:rPr>
                <w:b/>
                <w:i/>
              </w:rPr>
              <w:t>waardeert de schriftelijke bevestiging van de Commissie dat DG CLIMA van plan is de meeste internecontroleaanbevelingen tegen 2025 op te volgen en de aanbevelingen in hun geheel tegen medio 2028;</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Monika Hohlmeier,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erkent het belang van het LIFE-programma, het enige op zichzelf staande programma van de Unie voor milieu en klimaatactie, voor de </w:t>
            </w:r>
            <w:r>
              <w:rPr>
                <w:b/>
                <w:i/>
              </w:rPr>
              <w:t>financiering van projecten</w:t>
            </w:r>
            <w:r>
              <w:t xml:space="preserve"> op het gebied van </w:t>
            </w:r>
            <w:r>
              <w:rPr>
                <w:b/>
                <w:i/>
              </w:rPr>
              <w:t>natuurbehoud,</w:t>
            </w:r>
            <w:r>
              <w:t xml:space="preserve"> de circulaire economie, klimaatactie en de transitie naar schone energie en, meer in het algemeen, voor de bevordering van duurzame ontwikkeling in de hele Unie; herinnert aan de bepalingen van de LIFE+-verordening, met inbegrip van artikel 11, lid 6, waarin is bepaald dat </w:t>
            </w:r>
            <w:r>
              <w:rPr>
                <w:b/>
                <w:i/>
              </w:rPr>
              <w:t>het verlenen van</w:t>
            </w:r>
            <w:r>
              <w:t xml:space="preserve"> exploitatiesubsidies </w:t>
            </w:r>
            <w:r>
              <w:rPr>
                <w:b/>
                <w:i/>
              </w:rPr>
              <w:t>ter ondersteuning van de werking van</w:t>
            </w:r>
            <w:r>
              <w:t xml:space="preserve"> entiteiten zonder winstoogmerk die </w:t>
            </w:r>
            <w:r>
              <w:rPr>
                <w:b/>
                <w:i/>
              </w:rPr>
              <w:t>betrokken zijn bij de ontwikkeling, uitvoering en handhaving van wetgeving en beleid van de Unie en die voornamelijk</w:t>
            </w:r>
            <w:r>
              <w:t xml:space="preserve"> actief zijn op het gebied van milieu </w:t>
            </w:r>
            <w:r>
              <w:rPr>
                <w:b/>
                <w:i/>
              </w:rPr>
              <w:t>of klimaatactie, met inbegrip</w:t>
            </w:r>
            <w:r>
              <w:t xml:space="preserve"> van de </w:t>
            </w:r>
            <w:r>
              <w:rPr>
                <w:b/>
                <w:i/>
              </w:rPr>
              <w:t>energietransitie, een actie is die in aanmerking komt voor LIFE-financiering</w:t>
            </w:r>
            <w:r>
              <w:t xml:space="preserve">; stelt vast dat exploitatiesubsidies die in het kader van het LIFE-programma aan ngo’s worden toegekend, </w:t>
            </w:r>
            <w:r>
              <w:rPr>
                <w:b/>
                <w:i/>
              </w:rPr>
              <w:t>slechts</w:t>
            </w:r>
            <w:r>
              <w:t xml:space="preserve"> 1 % van de totale begroting van het programma uitmaken;</w:t>
            </w:r>
          </w:p>
        </w:tc>
        <w:tc>
          <w:tcPr>
            <w:tcW w:w="4876" w:type="dxa"/>
            <w:tcBorders>
              <w:top w:val="nil"/>
              <w:left w:val="nil"/>
              <w:bottom w:val="nil"/>
              <w:right w:val="nil"/>
            </w:tcBorders>
          </w:tcPr>
          <w:p>
            <w:pPr>
              <w:pStyle w:val="Normal6a"/>
            </w:pPr>
            <w:r>
              <w:t>131.</w:t>
            </w:r>
            <w:r>
              <w:tab/>
            </w:r>
            <w:r>
              <w:t xml:space="preserve">erkent het belang van het LIFE-programma, het enige op zichzelf staande programma van de Unie voor milieu en klimaatactie, voor de </w:t>
            </w:r>
            <w:r>
              <w:rPr>
                <w:b/>
                <w:i/>
              </w:rPr>
              <w:t>ondersteuning van natuurbehoud, initiatieven</w:t>
            </w:r>
            <w:r>
              <w:t xml:space="preserve"> op het gebied van de circulaire economie, klimaatactie en de transitie naar schone energie en, meer in het algemeen, voor de bevordering van duurzame ontwikkeling in de hele Unie; herinnert aan de bepalingen van de LIFE+-verordening, met inbegrip van artikel 11, lid 6, waarin is bepaald dat </w:t>
            </w:r>
            <w:r>
              <w:rPr>
                <w:b/>
                <w:i/>
              </w:rPr>
              <w:t>met</w:t>
            </w:r>
            <w:r>
              <w:t xml:space="preserve"> exploitatiesubsidies </w:t>
            </w:r>
            <w:r>
              <w:rPr>
                <w:b/>
                <w:i/>
              </w:rPr>
              <w:t>steun kan worden verleend aan</w:t>
            </w:r>
            <w:r>
              <w:t xml:space="preserve"> entiteiten zonder winstoogmerk die actief zijn op het gebied van </w:t>
            </w:r>
            <w:r>
              <w:rPr>
                <w:b/>
                <w:i/>
              </w:rPr>
              <w:t>de ontwikkeling en uitvoering van</w:t>
            </w:r>
            <w:r>
              <w:t xml:space="preserve"> milieu</w:t>
            </w:r>
            <w:r>
              <w:rPr>
                <w:b/>
                <w:i/>
              </w:rPr>
              <w:t>- en klimaatwetgeving</w:t>
            </w:r>
            <w:r>
              <w:t xml:space="preserve"> van de </w:t>
            </w:r>
            <w:r>
              <w:rPr>
                <w:b/>
                <w:i/>
              </w:rPr>
              <w:t>Unie;</w:t>
            </w:r>
            <w:r>
              <w:t xml:space="preserve"> </w:t>
            </w:r>
            <w:r>
              <w:rPr>
                <w:b/>
                <w:i/>
              </w:rPr>
              <w:t>benadrukt echter dat dergelijke exploitatiesubsidies volledig transparant moeten worden uitgevoerd, met strikte naleving van de financiële regels en duidelijke waarborgen om ervoor te zorgen dat middelen van de Unie niet worden gebruikt voor politieke campagnes of lobbyactiviteiten die op instellingen van de Unie of nationale en regionale parlementen en regeringen gericht zijn, en evenmin voor regionale of nationale beschermingsmaatregelen of rechtszaken</w:t>
            </w:r>
            <w:r>
              <w:t xml:space="preserve">; stelt vast dat exploitatiesubsidies die in het kader van het LIFE-programma aan ngo’s worden toegekend, </w:t>
            </w:r>
            <w:r>
              <w:rPr>
                <w:b/>
                <w:i/>
              </w:rPr>
              <w:t>ongeveer</w:t>
            </w:r>
            <w:r>
              <w:t xml:space="preserve"> 1 % van de totale begroting van het programma uitmaken</w:t>
            </w:r>
            <w:r>
              <w:rPr>
                <w:b/>
                <w:i/>
              </w:rPr>
              <w:t>, en verzoekt de Commissie te zorgen voor robuust toezicht, een duidelijke scheiding tussen projectuitvoerings- en belangenbehartigingsactiviteiten, en volledige verantwoordingsplicht en volledige transparantie ten aanzien van de belastingbetaler</w:t>
            </w:r>
            <w:r>
              <w:t xml:space="preserve">; </w:t>
            </w:r>
            <w:r>
              <w:rPr>
                <w:b/>
                <w:i/>
              </w:rPr>
              <w:t>dringt aan op middelen ter ondersteuning van wederzijds begrip en constructieve uitwisseling in plaats van eenzijdige vertegenwoordiging van ngo’s of controversiële acties;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rPr>
                <w:b/>
                <w:i/>
              </w:rPr>
              <w:t>erkent het belang van het LIFE-programma, het enige op zichzelf staande programma van de Unie voor milieu en klimaatactie, voor de financiering van projecten op het gebied van natuurbehoud, de circulaire economie, klimaatactie en de transitie naar schone energie en, meer in het algemeen, voor de bevordering van duurzame ontwikkeling in de hele Unie;</w:t>
            </w:r>
            <w:r>
              <w:t xml:space="preserve"> </w:t>
            </w:r>
            <w:r>
              <w:rPr>
                <w:b/>
                <w:i/>
              </w:rPr>
              <w:t>herinnert aan de bepalingen van de LIFE+-verordening, met inbegrip van artikel 11, lid 6, waarin is bepaald dat het verlenen van exploitatiesubsidies ter ondersteuning van de werking van entiteiten zonder winstoogmerk die betrokken zijn bij de ontwikkeling, uitvoering en handhaving van wetgeving en beleid van de Unie en die voornamelijk actief zijn op het gebied van milieu of klimaatactie, met inbegrip van de energietransitie, een actie is die in aanmerking komt voor LIFE-financiering;</w:t>
            </w:r>
            <w:r>
              <w:t xml:space="preserve"> stelt vast dat </w:t>
            </w:r>
            <w:r>
              <w:rPr>
                <w:b/>
                <w:i/>
              </w:rPr>
              <w:t>exploitatiesubsidies die in het kader van</w:t>
            </w:r>
            <w:r>
              <w:t xml:space="preserve"> het LIFE-programma </w:t>
            </w:r>
            <w:r>
              <w:rPr>
                <w:b/>
                <w:i/>
              </w:rPr>
              <w:t>aan ngo’s worden</w:t>
            </w:r>
            <w:r>
              <w:t xml:space="preserve"> toegekend, </w:t>
            </w:r>
            <w:r>
              <w:rPr>
                <w:b/>
                <w:i/>
              </w:rPr>
              <w:t>slechts 1 %</w:t>
            </w:r>
            <w:r>
              <w:t xml:space="preserve"> van de </w:t>
            </w:r>
            <w:r>
              <w:rPr>
                <w:b/>
                <w:i/>
              </w:rPr>
              <w:t>totale begroting van het programma uitmaken</w:t>
            </w:r>
            <w:r>
              <w:t>;</w:t>
            </w:r>
          </w:p>
        </w:tc>
        <w:tc>
          <w:tcPr>
            <w:tcW w:w="4876" w:type="dxa"/>
            <w:tcBorders>
              <w:top w:val="nil"/>
              <w:left w:val="nil"/>
              <w:bottom w:val="nil"/>
              <w:right w:val="nil"/>
            </w:tcBorders>
          </w:tcPr>
          <w:p>
            <w:pPr>
              <w:pStyle w:val="Normal6a"/>
            </w:pPr>
            <w:r>
              <w:t>131.</w:t>
            </w:r>
            <w:r>
              <w:tab/>
            </w:r>
            <w:r>
              <w:t xml:space="preserve">stelt vast dat het LIFE-programma </w:t>
            </w:r>
            <w:r>
              <w:rPr>
                <w:b/>
                <w:i/>
              </w:rPr>
              <w:t>bestaat;</w:t>
            </w:r>
            <w:r>
              <w:t xml:space="preserve"> </w:t>
            </w:r>
            <w:r>
              <w:rPr>
                <w:b/>
                <w:i/>
              </w:rPr>
              <w:t>is ingenomen met de oprichting van de werkgroep voor toezicht van de commissie CONT;</w:t>
            </w:r>
            <w:r>
              <w:t xml:space="preserve"> </w:t>
            </w:r>
            <w:r>
              <w:rPr>
                <w:b/>
                <w:i/>
              </w:rPr>
              <w:t>verzoekt deze werkgroep voor toezicht zich te buigen over de specifieke doelstellingen waarvoor deze middelen zijn</w:t>
            </w:r>
            <w:r>
              <w:t xml:space="preserve"> toegekend, </w:t>
            </w:r>
            <w:r>
              <w:rPr>
                <w:b/>
                <w:i/>
              </w:rPr>
              <w:t>de daadwerkelijk behaalde resultaten en de vraag of deze financiering volledig in overeenstemming was met de ethische en financiële regels</w:t>
            </w:r>
            <w:r>
              <w:t xml:space="preserve"> van de </w:t>
            </w:r>
            <w:r>
              <w:rPr>
                <w:b/>
                <w:i/>
              </w:rPr>
              <w:t>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erkent het belang van het LIFE-programma, het enige op zichzelf staande programma van de Unie voor milieu en klimaatactie, voor de </w:t>
            </w:r>
            <w:r>
              <w:rPr>
                <w:b/>
                <w:i/>
              </w:rPr>
              <w:t>financiering van projecten</w:t>
            </w:r>
            <w:r>
              <w:t xml:space="preserve"> op het gebied van </w:t>
            </w:r>
            <w:r>
              <w:rPr>
                <w:b/>
                <w:i/>
              </w:rPr>
              <w:t>natuurbehoud,</w:t>
            </w:r>
            <w:r>
              <w:t xml:space="preserve"> de circulaire economie, klimaatactie en de transitie naar schone energie en, meer in het algemeen, voor de bevordering van duurzame ontwikkeling in de hele Unie; herinnert aan de bepalingen van de LIFE+-verordening, met inbegrip van artikel 11, lid 6, waarin is bepaald dat </w:t>
            </w:r>
            <w:r>
              <w:rPr>
                <w:b/>
                <w:i/>
              </w:rPr>
              <w:t>het verlenen van</w:t>
            </w:r>
            <w:r>
              <w:t xml:space="preserve"> exploitatiesubsidies </w:t>
            </w:r>
            <w:r>
              <w:rPr>
                <w:b/>
                <w:i/>
              </w:rPr>
              <w:t>ter ondersteuning van de werking van</w:t>
            </w:r>
            <w:r>
              <w:t xml:space="preserve"> entiteiten zonder winstoogmerk die </w:t>
            </w:r>
            <w:r>
              <w:rPr>
                <w:b/>
                <w:i/>
              </w:rPr>
              <w:t>betrokken zijn bij de ontwikkeling, uitvoering en handhaving van wetgeving en beleid van de Unie en die voornamelijk</w:t>
            </w:r>
            <w:r>
              <w:t xml:space="preserve"> actief zijn op het gebied van milieu </w:t>
            </w:r>
            <w:r>
              <w:rPr>
                <w:b/>
                <w:i/>
              </w:rPr>
              <w:t>of klimaatactie, met inbegrip</w:t>
            </w:r>
            <w:r>
              <w:t xml:space="preserve"> van de </w:t>
            </w:r>
            <w:r>
              <w:rPr>
                <w:b/>
                <w:i/>
              </w:rPr>
              <w:t>energietransitie, een actie is die in aanmerking komt voor LIFE-financiering</w:t>
            </w:r>
            <w:r>
              <w:t xml:space="preserve">; stelt vast dat exploitatiesubsidies die in het kader van het LIFE-programma aan ngo’s worden toegekend, </w:t>
            </w:r>
            <w:r>
              <w:rPr>
                <w:b/>
                <w:i/>
              </w:rPr>
              <w:t>slechts</w:t>
            </w:r>
            <w:r>
              <w:t xml:space="preserve"> 1 % van de totale begroting van het programma uitmaken;</w:t>
            </w:r>
          </w:p>
        </w:tc>
        <w:tc>
          <w:tcPr>
            <w:tcW w:w="4876" w:type="dxa"/>
            <w:tcBorders>
              <w:top w:val="nil"/>
              <w:left w:val="nil"/>
              <w:bottom w:val="nil"/>
              <w:right w:val="nil"/>
            </w:tcBorders>
          </w:tcPr>
          <w:p>
            <w:pPr>
              <w:pStyle w:val="Normal6a"/>
            </w:pPr>
            <w:r>
              <w:t>131.</w:t>
            </w:r>
            <w:r>
              <w:tab/>
            </w:r>
            <w:r>
              <w:t xml:space="preserve">erkent het belang van het LIFE-programma, het enige op zichzelf staande programma van de Unie voor milieu en klimaatactie, voor de </w:t>
            </w:r>
            <w:r>
              <w:rPr>
                <w:b/>
                <w:i/>
              </w:rPr>
              <w:t>ondersteuning van natuurbehoud, initiatieven</w:t>
            </w:r>
            <w:r>
              <w:t xml:space="preserve"> op het gebied van de circulaire economie, klimaatactie en de transitie naar schone energie en, meer in het algemeen, voor de bevordering van duurzame ontwikkeling in de hele Unie; herinnert aan de bepalingen van de LIFE+-verordening, met inbegrip van artikel 11, lid 6, waarin is bepaald dat </w:t>
            </w:r>
            <w:r>
              <w:rPr>
                <w:b/>
                <w:i/>
              </w:rPr>
              <w:t>met</w:t>
            </w:r>
            <w:r>
              <w:t xml:space="preserve"> exploitatiesubsidies </w:t>
            </w:r>
            <w:r>
              <w:rPr>
                <w:b/>
                <w:i/>
              </w:rPr>
              <w:t>steun kan worden verleend aan</w:t>
            </w:r>
            <w:r>
              <w:t xml:space="preserve"> entiteiten zonder winstoogmerk die actief zijn op het gebied van </w:t>
            </w:r>
            <w:r>
              <w:rPr>
                <w:b/>
                <w:i/>
              </w:rPr>
              <w:t>de ontwikkeling en uitvoering van</w:t>
            </w:r>
            <w:r>
              <w:t xml:space="preserve"> milieu</w:t>
            </w:r>
            <w:r>
              <w:rPr>
                <w:b/>
                <w:i/>
              </w:rPr>
              <w:t>- en klimaatwetgeving</w:t>
            </w:r>
            <w:r>
              <w:t xml:space="preserve"> van de </w:t>
            </w:r>
            <w:r>
              <w:rPr>
                <w:b/>
                <w:i/>
              </w:rPr>
              <w:t>Unie;</w:t>
            </w:r>
            <w:r>
              <w:t xml:space="preserve"> </w:t>
            </w:r>
            <w:r>
              <w:rPr>
                <w:b/>
                <w:i/>
              </w:rPr>
              <w:t>benadrukt echter dat dergelijke exploitatiesubsidies volledig transparant moeten worden uitgevoerd, met strikte naleving van de financiële regels en duidelijke waarborgen om ervoor te zorgen dat middelen van de Unie niet worden gebruikt voor politieke campagnes of lobbyactiviteiten die op instellingen van de Unie gericht zijn</w:t>
            </w:r>
            <w:r>
              <w:t xml:space="preserve">; stelt vast dat exploitatiesubsidies die in het kader van het LIFE-programma aan ngo’s worden toegekend, </w:t>
            </w:r>
            <w:r>
              <w:rPr>
                <w:b/>
                <w:i/>
              </w:rPr>
              <w:t>ongeveer</w:t>
            </w:r>
            <w:r>
              <w:t xml:space="preserve"> 1 % van de totale begroting van het programma uitmaken</w:t>
            </w:r>
            <w:r>
              <w:rPr>
                <w:b/>
                <w:i/>
              </w:rPr>
              <w:t>, en verzoekt de Commissie te zorgen voor robuust toezicht, een duidelijke scheiding tussen projectuitvoerings- en belangenbehartigingsactiviteiten, en volledige verantwoordingsplicht ten aanzien van de belastingbetaler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131.</w:t>
            </w:r>
            <w:r>
              <w:tab/>
            </w:r>
            <w:r>
              <w:t xml:space="preserve">erkent het belang van het LIFE-programma, het enige op zichzelf staande programma van de Unie voor milieu en klimaatactie, voor de financiering van projecten op het gebied van natuurbehoud, de circulaire economie, klimaatactie en de transitie naar schone energie en, meer in het algemeen, voor de bevordering van duurzame ontwikkeling in de hele Unie; herinnert aan de bepalingen van de LIFE+-verordening, met inbegrip van artikel 11, lid 6, waarin is bepaald dat het verlenen van exploitatiesubsidies ter ondersteuning van de werking van entiteiten zonder winstoogmerk die betrokken zijn bij de ontwikkeling, uitvoering en handhaving van wetgeving en beleid van de Unie en die voornamelijk actief zijn op het gebied van milieu of klimaatactie, met inbegrip van de energietransitie, een actie is die in aanmerking komt voor LIFE-financiering; </w:t>
            </w:r>
            <w:r>
              <w:rPr>
                <w:b/>
                <w:i/>
              </w:rPr>
              <w:t>stelt vast dat exploitatiesubsidies die in het kader van het LIFE-programma aan ngo’s worden toegekend, slechts 1 % van de totale begroting van het programma uitmaken;</w:t>
            </w:r>
          </w:p>
        </w:tc>
        <w:tc>
          <w:tcPr>
            <w:tcW w:w="4876" w:type="dxa"/>
            <w:tcBorders>
              <w:top w:val="nil"/>
              <w:left w:val="nil"/>
              <w:bottom w:val="nil"/>
              <w:right w:val="nil"/>
            </w:tcBorders>
          </w:tcPr>
          <w:p>
            <w:pPr>
              <w:pStyle w:val="Normal6a"/>
            </w:pPr>
            <w:r>
              <w:t>131.</w:t>
            </w:r>
            <w:r>
              <w:tab/>
            </w:r>
            <w:r>
              <w:t>erkent het belang van het LIFE-programma, het enige op zichzelf staande programma van de Unie voor milieu en klimaatactie, voor de financiering van projecten op het gebied van natuurbehoud, de circulaire economie, klimaatactie en de transitie naar schone energie en, meer in het algemeen, voor de bevordering van duurzame ontwikkeling in de hele Unie; herinnert aan de bepalingen van de LIFE+-verordening, met inbegrip van artikel 11, lid 6, waarin is bepaald dat het verlenen van exploitatiesubsidies ter ondersteuning van de werking van entiteiten zonder winstoogmerk die betrokken zijn bij de ontwikkeling, uitvoering en handhaving van wetgeving en beleid van de Unie en die voornamelijk actief zijn op het gebied van milieu of klimaatactie, met inbegrip van de energietransitie, een actie is die in aanmerking komt voor LIFE-financiering;</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132.</w:t>
            </w:r>
            <w:r>
              <w:tab/>
            </w:r>
            <w:r>
              <w:rPr>
                <w:b/>
                <w:i/>
              </w:rPr>
              <w:t>betreurt de beschuldigingen van ongepast lobbywerk tegen niet-gouvernementele organisaties waarvan de activiteiten werden ondersteund door LIFE-exploitatiesubsidies;</w:t>
            </w:r>
            <w:r>
              <w:t xml:space="preserve"> </w:t>
            </w:r>
            <w:r>
              <w:rPr>
                <w:b/>
                <w:i/>
              </w:rPr>
              <w:t>merkt op dat in het antwoord van de uitvoerend vicevoorzitter van de Commissie voor een Schone, Rechtvaardige en Concurrerende Transitie aan de commissie CONT van 2 december 2025 tijdens de kwijtingshoorzitting wordt bevestigd dat de door LIFE-exploitatiesubsidies ondersteunde activiteiten van niet-gouvernementele organisaties geen inbreuk vormden op enig rechtskader en dat bij de uitvoering van het LIFE-programma het Financieel Reglement volledig in acht werd genomen;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t>betreurt de beschuldigingen van ongepast lobbywerk tegen niet-gouvernementele organisaties waarvan de activiteiten werden ondersteund door LIFE-exploitatiesubsidies; merkt op dat in het antwoord van de uitvoerend vicevoorzitter van de Commissie voor een Schone, Rechtvaardige en Concurrerende Transitie aan de commissie CONT van 2 december 2025 tijdens de kwijtingshoorzitting wordt bevestigd dat de door LIFE-exploitatiesubsidies ondersteunde activiteiten van niet-gouvernementele organisaties geen inbreuk vormden op enig rechtskader en dat bij de uitvoering van het LIFE-programma het Financieel Reglement volledig in acht werd genomen;</w:t>
            </w:r>
          </w:p>
        </w:tc>
        <w:tc>
          <w:tcPr>
            <w:tcW w:w="4876" w:type="dxa"/>
            <w:tcBorders>
              <w:top w:val="nil"/>
              <w:left w:val="nil"/>
              <w:bottom w:val="nil"/>
              <w:right w:val="nil"/>
            </w:tcBorders>
          </w:tcPr>
          <w:p>
            <w:pPr>
              <w:pStyle w:val="Normal6a"/>
            </w:pPr>
            <w:r>
              <w:t>132.</w:t>
            </w:r>
            <w:r>
              <w:tab/>
            </w:r>
            <w:r>
              <w:t xml:space="preserve">betreurt de beschuldigingen van ongepast lobbywerk tegen niet-gouvernementele organisaties waarvan de activiteiten werden ondersteund door LIFE-exploitatiesubsidies; merkt op dat in het antwoord van de uitvoerend vicevoorzitter van de Commissie voor een Schone, Rechtvaardige en Concurrerende Transitie aan de commissie CONT van 2 december 2025 tijdens de kwijtingshoorzitting wordt bevestigd dat de door LIFE-exploitatiesubsidies ondersteunde activiteiten van niet-gouvernementele organisaties geen inbreuk vormden op enig rechtskader en dat bij de uitvoering van het LIFE-programma het Financieel Reglement volledig in acht werd genomen; </w:t>
            </w:r>
            <w:r>
              <w:rPr>
                <w:b/>
                <w:i/>
              </w:rPr>
              <w:t>verzoekt de Commissie volledige transparantie te waarborgen en verhoogde waakzaamheid aan de dag te leggen ten aanzien van zowel de begunstigden als de gefinancierde activiteiten, om ervoor te zorgen dat dergelijke vermoedens de integriteit en geloofwaardigheid van het gebruik van middelen van de Unie niet in gevaar kunnen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betreurt de beschuldigingen van ongepast lobbywerk tegen</w:t>
            </w:r>
            <w:r>
              <w:t xml:space="preserve"> niet-gouvernementele organisaties </w:t>
            </w:r>
            <w:r>
              <w:rPr>
                <w:b/>
                <w:i/>
              </w:rPr>
              <w:t>waarvan de activiteiten werden ondersteund door LIFE-exploitatiesubsidies;</w:t>
            </w:r>
            <w:r>
              <w:t xml:space="preserve"> </w:t>
            </w:r>
            <w:r>
              <w:rPr>
                <w:b/>
                <w:i/>
              </w:rPr>
              <w:t>merkt op dat in</w:t>
            </w:r>
            <w:r>
              <w:t xml:space="preserve"> het antwoord van de uitvoerend vicevoorzitter van de Commissie voor een Schone, Rechtvaardige en Concurrerende Transitie aan </w:t>
            </w:r>
            <w:r>
              <w:rPr>
                <w:b/>
                <w:i/>
              </w:rPr>
              <w:t>de commissie</w:t>
            </w:r>
            <w:r>
              <w:t xml:space="preserve"> CONT van 2 december 2025 </w:t>
            </w:r>
            <w:r>
              <w:rPr>
                <w:b/>
                <w:i/>
              </w:rPr>
              <w:t>tijdens de kwijtingshoorzitting wordt bevestigd dat de door LIFE-exploitatiesubsidies ondersteunde activiteiten van niet-gouvernementele organisaties geen inbreuk vormden op enig rechtskader en dat bij</w:t>
            </w:r>
            <w:r>
              <w:t xml:space="preserve"> de uitvoering van het LIFE-programma </w:t>
            </w:r>
            <w:r>
              <w:rPr>
                <w:b/>
                <w:i/>
              </w:rPr>
              <w:t>het Financieel Reglement volledig in acht werd genomen</w:t>
            </w:r>
            <w:r>
              <w:t>;</w:t>
            </w:r>
          </w:p>
        </w:tc>
        <w:tc>
          <w:tcPr>
            <w:tcW w:w="4876" w:type="dxa"/>
            <w:tcBorders>
              <w:top w:val="nil"/>
              <w:left w:val="nil"/>
              <w:bottom w:val="nil"/>
              <w:right w:val="nil"/>
            </w:tcBorders>
          </w:tcPr>
          <w:p>
            <w:pPr>
              <w:pStyle w:val="Normal6a"/>
            </w:pPr>
            <w:r>
              <w:t>132.</w:t>
            </w:r>
            <w:r>
              <w:tab/>
            </w:r>
            <w:r>
              <w:rPr>
                <w:b/>
                <w:i/>
              </w:rPr>
              <w:t>neemt kennis van de bezorgdheid die is geuit over het gebruik van LIFE-exploitatiesubsidies door bepaalde</w:t>
            </w:r>
            <w:r>
              <w:t xml:space="preserve"> niet-gouvernementele organisaties </w:t>
            </w:r>
            <w:r>
              <w:rPr>
                <w:b/>
                <w:i/>
              </w:rPr>
              <w:t>en benadrukt het belang van volledige transparantie en strikte naleving van het Financieel Reglement in dit verband;</w:t>
            </w:r>
            <w:r>
              <w:t xml:space="preserve"> </w:t>
            </w:r>
            <w:r>
              <w:rPr>
                <w:b/>
                <w:i/>
              </w:rPr>
              <w:t>neemt kennis van</w:t>
            </w:r>
            <w:r>
              <w:t xml:space="preserve"> het antwoord van de uitvoerend vicevoorzitter van de Commissie voor een Schone, Rechtvaardige en Concurrerende Transitie aan CONT van 2 december 2025 </w:t>
            </w:r>
            <w:r>
              <w:rPr>
                <w:b/>
                <w:i/>
              </w:rPr>
              <w:t>in het kader van de kwijting voor</w:t>
            </w:r>
            <w:r>
              <w:t xml:space="preserve"> de uitvoering van het LIFE-programma</w:t>
            </w:r>
            <w:r>
              <w:rPr>
                <w:b/>
                <w:i/>
              </w:rPr>
              <w:t>;</w:t>
            </w:r>
            <w:r>
              <w:t xml:space="preserve"> </w:t>
            </w:r>
            <w:r>
              <w:rPr>
                <w:b/>
                <w:i/>
              </w:rPr>
              <w:t>dringt niettemin aan op voortdurende monitoring en, waar nodig, verdere verduidelijking van de bestaande waarborgen om ervoor te zorgen dat de middelen van de Unie uitsluitend worden gebruikt voor de in het programma vastgestelde doelstellingen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betreurt de</w:t>
            </w:r>
            <w:r>
              <w:t xml:space="preserve"> beschuldigingen van ongepast lobbywerk tegen niet-gouvernementele organisaties waarvan de activiteiten werden ondersteund door LIFE-exploitatiesubsidies; merkt op dat </w:t>
            </w:r>
            <w:r>
              <w:rPr>
                <w:b/>
                <w:i/>
              </w:rPr>
              <w:t>in het antwoord van de uitvoerend vicevoorzitter van de Commissie voor een Schone, Rechtvaardige en Concurrerende Transitie aan de commissie CONT van 2 december 2025 tijdens de kwijtingshoorzitting wordt bevestigd dat de door LIFE-exploitatiesubsidies ondersteunde activiteiten van niet-gouvernementele</w:t>
            </w:r>
            <w:r>
              <w:t xml:space="preserve"> organisaties </w:t>
            </w:r>
            <w:r>
              <w:rPr>
                <w:b/>
                <w:i/>
              </w:rPr>
              <w:t>geen inbreuk vormden op enig rechtskader en dat bij de uitvoering van het LIFE-programma het</w:t>
            </w:r>
            <w:r>
              <w:t xml:space="preserve"> Financieel </w:t>
            </w:r>
            <w:r>
              <w:rPr>
                <w:b/>
                <w:i/>
              </w:rPr>
              <w:t>Reglement volledig in acht werd genomen</w:t>
            </w:r>
            <w:r>
              <w:t>;</w:t>
            </w:r>
          </w:p>
        </w:tc>
        <w:tc>
          <w:tcPr>
            <w:tcW w:w="4876" w:type="dxa"/>
            <w:tcBorders>
              <w:top w:val="nil"/>
              <w:left w:val="nil"/>
              <w:bottom w:val="nil"/>
              <w:right w:val="nil"/>
            </w:tcBorders>
          </w:tcPr>
          <w:p>
            <w:pPr>
              <w:pStyle w:val="Normal6a"/>
            </w:pPr>
            <w:r>
              <w:t>132.</w:t>
            </w:r>
            <w:r>
              <w:tab/>
            </w:r>
            <w:r>
              <w:rPr>
                <w:b/>
                <w:i/>
              </w:rPr>
              <w:t>neemt kennis van de ernstige</w:t>
            </w:r>
            <w:r>
              <w:t xml:space="preserve"> beschuldigingen van ongepast lobbywerk tegen niet-gouvernementele organisaties waarvan de activiteiten werden ondersteund door LIFE-exploitatiesubsidies</w:t>
            </w:r>
            <w:r>
              <w:rPr>
                <w:b/>
                <w:i/>
              </w:rPr>
              <w:t>, en is van mening dat deze beschuldigingen grondig en onafhankelijk moeten worden onderzocht</w:t>
            </w:r>
            <w:r>
              <w:t xml:space="preserve">; merkt op dat </w:t>
            </w:r>
            <w:r>
              <w:rPr>
                <w:b/>
                <w:i/>
              </w:rPr>
              <w:t>er terecht bezorgdheid over het passende gebruik van overheidsgeld ontstaat als</w:t>
            </w:r>
            <w:r>
              <w:t xml:space="preserve"> organisaties </w:t>
            </w:r>
            <w:r>
              <w:rPr>
                <w:b/>
                <w:i/>
              </w:rPr>
              <w:t>EU-middelen gebruiken om te lobbyen voor verdere EU-wetgeving;</w:t>
            </w:r>
            <w:r>
              <w:t xml:space="preserve"> </w:t>
            </w:r>
            <w:r>
              <w:rPr>
                <w:b/>
                <w:i/>
              </w:rPr>
              <w:t>is van mening dat de bewering dat de wetgeving volledig is nageleefd geen antwoord biedt op de bredere vraag of door de EU gefinancierde lobbyactiviteiten goed</w:t>
            </w:r>
            <w:r>
              <w:t xml:space="preserve"> financieel </w:t>
            </w:r>
            <w:r>
              <w:rPr>
                <w:b/>
                <w:i/>
              </w:rPr>
              <w:t>beheer inhouden en de belastingbetaler waar voor zijn geld bieden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132.</w:t>
            </w:r>
            <w:r>
              <w:tab/>
            </w:r>
            <w:r>
              <w:rPr>
                <w:b/>
                <w:i/>
              </w:rPr>
              <w:t>betreurt de beschuldigingen van ongepast lobbywerk tegen</w:t>
            </w:r>
            <w:r>
              <w:t xml:space="preserve"> niet-gouvernementele organisaties </w:t>
            </w:r>
            <w:r>
              <w:rPr>
                <w:b/>
                <w:i/>
              </w:rPr>
              <w:t>waarvan de activiteiten werden ondersteund door LIFE-exploitatiesubsidies;</w:t>
            </w:r>
            <w:r>
              <w:t xml:space="preserve"> </w:t>
            </w:r>
            <w:r>
              <w:rPr>
                <w:b/>
                <w:i/>
              </w:rPr>
              <w:t>merkt op dat in het antwoord van de uitvoerend vicevoorzitter</w:t>
            </w:r>
            <w:r>
              <w:t xml:space="preserve"> van de Commissie </w:t>
            </w:r>
            <w:r>
              <w:rPr>
                <w:b/>
                <w:i/>
              </w:rPr>
              <w:t>voor een Schone, Rechtvaardige en Concurrerende Transitie aan de commissie CONT van 2 december 2025 tijdens de kwijtingshoorzitting wordt bevestigd</w:t>
            </w:r>
            <w:r>
              <w:t xml:space="preserve"> dat de </w:t>
            </w:r>
            <w:r>
              <w:rPr>
                <w:b/>
                <w:i/>
              </w:rPr>
              <w:t>door LIFE-exploitatiesubsidies ondersteunde activiteiten van niet-gouvernementele organisaties geen inbreuk vormden op enig rechtskader en dat bij de uitvoering van het LIFE-programma het Financieel Reglement volledig in acht werd genomen</w:t>
            </w:r>
            <w:r>
              <w:t>;</w:t>
            </w:r>
          </w:p>
        </w:tc>
        <w:tc>
          <w:tcPr>
            <w:tcW w:w="4876" w:type="dxa"/>
            <w:tcBorders>
              <w:top w:val="nil"/>
              <w:left w:val="nil"/>
              <w:bottom w:val="nil"/>
              <w:right w:val="nil"/>
            </w:tcBorders>
          </w:tcPr>
          <w:p>
            <w:pPr>
              <w:pStyle w:val="Normal6a"/>
            </w:pPr>
            <w:r>
              <w:t>132.</w:t>
            </w:r>
            <w:r>
              <w:tab/>
            </w:r>
            <w:r>
              <w:rPr>
                <w:b/>
                <w:i/>
              </w:rPr>
              <w:t>benadrukt dat het vanuit integriteitsperspectief bezien zeer onwenselijk is dat de Commissie contracten sloot met</w:t>
            </w:r>
            <w:r>
              <w:t xml:space="preserve"> niet-gouvernementele organisaties </w:t>
            </w:r>
            <w:r>
              <w:rPr>
                <w:b/>
                <w:i/>
              </w:rPr>
              <w:t>met daarin afspraken om Europese beleidsmakers te beïnvloeden en voor de beleidsdoelen</w:t>
            </w:r>
            <w:r>
              <w:t xml:space="preserve"> van de Commissie </w:t>
            </w:r>
            <w:r>
              <w:rPr>
                <w:b/>
                <w:i/>
              </w:rPr>
              <w:t>te lobbyen;</w:t>
            </w:r>
            <w:r>
              <w:t xml:space="preserve"> </w:t>
            </w:r>
            <w:r>
              <w:rPr>
                <w:b/>
                <w:i/>
              </w:rPr>
              <w:t>roept in herinnering</w:t>
            </w:r>
            <w:r>
              <w:t xml:space="preserve"> dat de </w:t>
            </w:r>
            <w:r>
              <w:rPr>
                <w:b/>
                <w:i/>
              </w:rPr>
              <w:t>Commissaris voor Begroting en Fraudebestrijding op 22 maart 2025 in de plenaire vergadering toegaf dat deze contracten inderdaad ongepast waren;</w:t>
            </w:r>
            <w:r>
              <w:t xml:space="preserve"> </w:t>
            </w:r>
            <w:r>
              <w:rPr>
                <w:b/>
                <w:i/>
              </w:rPr>
              <w:t>kijkt met belangstelling uit naar de bevindingen van de Scrutiny Working Group;</w:t>
            </w:r>
            <w:r>
              <w:t xml:space="preserve"> </w:t>
            </w:r>
            <w:r>
              <w:rPr>
                <w:b/>
                <w:i/>
              </w:rPr>
              <w:t>benadrukt intussen dat het opnemen van lobbyverplichtingen in contracten met andere begunstigden eveneens ongepast is</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 bis.</w:t>
            </w:r>
            <w:r>
              <w:tab/>
            </w:r>
            <w:r>
              <w:rPr>
                <w:b/>
                <w:i/>
              </w:rPr>
              <w:t>betreurt in dit verband dat middelen uit het LIFE-programma zijn toegewezen aan entiteiten die rechtstreeks lobbyen bij EU-instellingen, hetgeen in tegenspraak is met de beginselen van goed financieel beheer, transparantie en de scheiding der machten;</w:t>
            </w:r>
            <w:r>
              <w:t xml:space="preserve"> </w:t>
            </w:r>
            <w:r>
              <w:rPr>
                <w:b/>
                <w:i/>
              </w:rPr>
              <w:t>betreurt dat de Commissie de leden van de commissie Begrotingscontrole slechts inzage geeft in slechts enkele overeenkomsten van alle gefinancierde projecten, aangezien de details van subsidieovereenkomsten en de uitkomst van acties openbaar moeten zijn, tenzij openbaarmaking niet in het belang van de nationale veiligheid is;</w:t>
            </w:r>
            <w:r>
              <w:t xml:space="preserve"> </w:t>
            </w:r>
            <w:r>
              <w:rPr>
                <w:b/>
                <w:i/>
              </w:rPr>
              <w:t>dringt erop aan dat de Commissie de controles vooraf en achteraf van LIFE-begunstigden opvoert om te waarborgen dat de middelen worden gebruikt in overeenstemming met de financiële regelgeving van de EU en het Interinstitutioneel Akkoord over beter wetgeven;</w:t>
            </w:r>
            <w:r>
              <w:t xml:space="preserve"> </w:t>
            </w:r>
            <w:r>
              <w:rPr>
                <w:b/>
                <w:i/>
              </w:rPr>
              <w:t>verzoekt de Commissie bij de hervorming van haar mechanismen voor toekenning en monitoring van subsidies ten volle rekening te houden met de conclusies en aanbevelingen van de verslagen van de Europese Rekenkamer over de transparantie van ngo-financiering, en haar acties en financieringsmechanismen transparant en toegankelijk vorm te geven, aangezien het systeem voor financiële transparantie momenteel onvolledig is, vertraagd wordt geactualiseerd en onbetrouwbare gegevens bevat;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 ter.</w:t>
            </w:r>
            <w:r>
              <w:tab/>
            </w:r>
            <w:r>
              <w:rPr>
                <w:b/>
                <w:i/>
              </w:rPr>
              <w:t>plaatst kanttekeningen bij de keuze van de deskundigen die betrokken zijn bij de selectie van ngo’ s, aangezien hun competentie en onafhankelijkheid discutabel is;</w:t>
            </w:r>
            <w:r>
              <w:t xml:space="preserve"> </w:t>
            </w:r>
            <w:r>
              <w:rPr>
                <w:b/>
                <w:i/>
              </w:rPr>
              <w:t>verzoekt de Commissie haar procedures en panels open te stellen voor leden van het Parlement die de oppositie vertegenwoordigen en zo elke twijfel aan beschuldigingen weg te nemen volgens welke de Commissie politiek lobbywerk door gelieerde ngo’s zou aanmoedigen;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133.</w:t>
            </w:r>
            <w:r>
              <w:tab/>
            </w:r>
            <w:r>
              <w:rPr>
                <w:b/>
                <w:i/>
              </w:rPr>
              <w:t>merkt op dat uit een evaluatie van een aantal financieringscontracten tussen de Commissie en marktdeelnemers, waarom in het kader van deze kwijtingsprocedure is verzocht, blijkt dat activiteiten die gericht zijn op het beïnvloeden van overheidsbeleid of besluitvorming niet beperkt zijn tot ngo’s, maar ook voorkomen in contracten met andere categorieën begunstigden;</w:t>
            </w:r>
            <w:r>
              <w:t xml:space="preserve"> </w:t>
            </w:r>
            <w:r>
              <w:rPr>
                <w:b/>
                <w:i/>
              </w:rPr>
              <w:t>uit zijn bezorgdheid over het feit dat ondernemingen die Uniefinanciering voor dergelijke activiteiten ontvangen, in sommige gevallen tegelijkertijd EU-besluitvormers in hun raad van bestuur kunnen hebben die een vergoeding ontvangen;</w:t>
            </w:r>
            <w:r>
              <w:t xml:space="preserve"> </w:t>
            </w:r>
            <w:r>
              <w:rPr>
                <w:b/>
                <w:i/>
              </w:rPr>
              <w:t>merkt voorts op dat de IAS een gerichte oefening heeft uitgevoerd die uitsluitend gericht was op de financiering van ngo’s in het kader van het LIFE-programma om na te gaan of de richtsnoeren inzake financiering van activiteiten in verband met de ontwikkeling, uitvoering, monitoring en handhaving van wetgeving en beleid van de Unie werden nageleefd, maar niet heeft gecontroleerd of de met andere begunstigden ondertekende overeenkomsten aan die richtsnoeren voldeden;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merkt op dat uit een evaluatie van een aantal financieringscontracten tussen de Commissie en marktdeelnemers, waarom in het kader van deze kwijtingsprocedure is verzocht, blijkt dat activiteiten die gericht zijn op het beïnvloeden van overheidsbeleid of besluitvorming niet beperkt zijn tot ngo’s, maar ook voorkomen in contracten met andere categorieën begunstigden; uit zijn bezorgdheid over het feit dat ondernemingen die Uniefinanciering voor dergelijke activiteiten ontvangen, in sommige gevallen tegelijkertijd EU-besluitvormers in hun raad van bestuur kunnen hebben die een vergoeding ontvangen; merkt voorts op dat de IAS een gerichte oefening heeft uitgevoerd die uitsluitend gericht was op de financiering van ngo’s in het kader van het LIFE-programma om na te gaan of de richtsnoeren inzake financiering van activiteiten in verband met de ontwikkeling, uitvoering, monitoring en handhaving van wetgeving en beleid van de Unie werden nageleefd, maar niet heeft gecontroleerd of de met andere begunstigden ondertekende overeenkomsten aan die richtsnoeren voldeden;</w:t>
            </w:r>
          </w:p>
        </w:tc>
        <w:tc>
          <w:tcPr>
            <w:tcW w:w="4876" w:type="dxa"/>
            <w:tcBorders>
              <w:top w:val="nil"/>
              <w:left w:val="nil"/>
              <w:bottom w:val="nil"/>
              <w:right w:val="nil"/>
            </w:tcBorders>
          </w:tcPr>
          <w:p>
            <w:pPr>
              <w:pStyle w:val="Normal6a"/>
            </w:pPr>
            <w:r>
              <w:t>133.</w:t>
            </w:r>
            <w:r>
              <w:tab/>
            </w:r>
            <w:r>
              <w:t xml:space="preserve">merkt op dat uit een evaluatie van een aantal financieringscontracten tussen de Commissie en marktdeelnemers, waarom in het kader van deze kwijtingsprocedure is verzocht, blijkt dat activiteiten die gericht zijn op het beïnvloeden van overheidsbeleid of besluitvorming niet beperkt zijn tot ngo’s, maar ook voorkomen in contracten met andere categorieën begunstigden; uit zijn bezorgdheid over het feit dat ondernemingen die Uniefinanciering voor dergelijke activiteiten ontvangen, in sommige gevallen tegelijkertijd EU-besluitvormers in hun raad van bestuur kunnen hebben die een vergoeding ontvangen; merkt voorts op dat de IAS een gerichte oefening heeft uitgevoerd die uitsluitend gericht was op de financiering van ngo’s in het kader van het LIFE-programma om na te gaan of de richtsnoeren inzake financiering van activiteiten in verband met de ontwikkeling, uitvoering, monitoring en handhaving van wetgeving en beleid van de Unie werden nageleefd, maar niet heeft gecontroleerd of de met andere begunstigden ondertekende overeenkomsten aan die richtsnoeren voldeden; </w:t>
            </w:r>
            <w:r>
              <w:rPr>
                <w:b/>
                <w:i/>
              </w:rPr>
              <w:t>verzoekt de werkgroep voor toezicht van de commissie CONT na te gaan of het huidige kader voor de beoordeling van het gebruik van middelen van de Unie voor beleidsbeïnvloedende activiteiten adequaat is en consequent wordt toegepast voor alle categorieën begunstigden, en over haar bevindingen verslag uit te brengen aan de kwijtingsautoriteit;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 xml:space="preserve">merkt op dat uit een evaluatie van </w:t>
            </w:r>
            <w:r>
              <w:rPr>
                <w:b/>
                <w:i/>
              </w:rPr>
              <w:t>een aantal</w:t>
            </w:r>
            <w:r>
              <w:t xml:space="preserve"> financieringscontracten </w:t>
            </w:r>
            <w:r>
              <w:rPr>
                <w:b/>
                <w:i/>
              </w:rPr>
              <w:t>tussen de Commissie en marktdeelnemers, waarom</w:t>
            </w:r>
            <w:r>
              <w:t xml:space="preserve"> in het kader van </w:t>
            </w:r>
            <w:r>
              <w:rPr>
                <w:b/>
                <w:i/>
              </w:rPr>
              <w:t>deze</w:t>
            </w:r>
            <w:r>
              <w:t xml:space="preserve"> kwijtingsprocedure </w:t>
            </w:r>
            <w:r>
              <w:rPr>
                <w:b/>
                <w:i/>
              </w:rPr>
              <w:t>is verzocht,</w:t>
            </w:r>
            <w:r>
              <w:t xml:space="preserve"> blijkt dat activiteiten die </w:t>
            </w:r>
            <w:r>
              <w:rPr>
                <w:b/>
                <w:i/>
              </w:rPr>
              <w:t>gericht zijn op</w:t>
            </w:r>
            <w:r>
              <w:t xml:space="preserve"> het beïnvloeden van overheidsbeleid of besluitvorming </w:t>
            </w:r>
            <w:r>
              <w:rPr>
                <w:b/>
                <w:i/>
              </w:rPr>
              <w:t>niet beperkt zijn tot ngo’s, maar ook voorkomen in contracten met andere</w:t>
            </w:r>
            <w:r>
              <w:t xml:space="preserve"> categorieën begunstigden</w:t>
            </w:r>
            <w:r>
              <w:rPr>
                <w:b/>
                <w:i/>
              </w:rPr>
              <w:t>;</w:t>
            </w:r>
            <w:r>
              <w:t xml:space="preserve"> </w:t>
            </w:r>
            <w:r>
              <w:rPr>
                <w:b/>
                <w:i/>
              </w:rPr>
              <w:t>uit zijn bezorgdheid over het feit dat ondernemingen die Uniefinanciering voor dergelijke activiteiten ontvangen, in sommige gevallen tegelijkertijd EU-besluitvormers in hun raad van bestuur kunnen hebben die een vergoeding ontvangen</w:t>
            </w:r>
            <w:r>
              <w:t xml:space="preserve">; merkt voorts op dat de IAS </w:t>
            </w:r>
            <w:r>
              <w:rPr>
                <w:b/>
                <w:i/>
              </w:rPr>
              <w:t>een gerichte oefening heeft uitgevoerd die uitsluitend</w:t>
            </w:r>
            <w:r>
              <w:t xml:space="preserve"> gericht was op de financiering van ngo’s in het kader van het LIFE-programma om </w:t>
            </w:r>
            <w:r>
              <w:rPr>
                <w:b/>
                <w:i/>
              </w:rPr>
              <w:t>na te gaan of</w:t>
            </w:r>
            <w:r>
              <w:t xml:space="preserve"> de richtsnoeren inzake </w:t>
            </w:r>
            <w:r>
              <w:rPr>
                <w:b/>
                <w:i/>
              </w:rPr>
              <w:t>financiering van</w:t>
            </w:r>
            <w:r>
              <w:t xml:space="preserve"> activiteiten </w:t>
            </w:r>
            <w:r>
              <w:rPr>
                <w:b/>
                <w:i/>
              </w:rPr>
              <w:t>in verband met de ontwikkeling,</w:t>
            </w:r>
            <w:r>
              <w:t xml:space="preserve"> uitvoering, monitoring en handhaving van wetgeving en beleid van de Unie </w:t>
            </w:r>
            <w:r>
              <w:rPr>
                <w:b/>
                <w:i/>
              </w:rPr>
              <w:t>werden</w:t>
            </w:r>
            <w:r>
              <w:t xml:space="preserve"> nageleefd</w:t>
            </w:r>
            <w:r>
              <w:rPr>
                <w:b/>
                <w:i/>
              </w:rPr>
              <w:t>, maar niet heeft gecontroleerd of de met andere begunstigden ondertekende overeenkomsten aan die richtsnoeren voldeden</w:t>
            </w:r>
            <w:r>
              <w:t>;</w:t>
            </w:r>
          </w:p>
        </w:tc>
        <w:tc>
          <w:tcPr>
            <w:tcW w:w="4876" w:type="dxa"/>
            <w:tcBorders>
              <w:top w:val="nil"/>
              <w:left w:val="nil"/>
              <w:bottom w:val="nil"/>
              <w:right w:val="nil"/>
            </w:tcBorders>
          </w:tcPr>
          <w:p>
            <w:pPr>
              <w:pStyle w:val="Normal6a"/>
            </w:pPr>
            <w:r>
              <w:t>133.</w:t>
            </w:r>
            <w:r>
              <w:tab/>
            </w:r>
            <w:r>
              <w:t xml:space="preserve">merkt op dat uit een evaluatie van financieringscontracten in het kader van </w:t>
            </w:r>
            <w:r>
              <w:rPr>
                <w:b/>
                <w:i/>
              </w:rPr>
              <w:t>de</w:t>
            </w:r>
            <w:r>
              <w:t xml:space="preserve"> kwijtingsprocedure blijkt dat activiteiten die </w:t>
            </w:r>
            <w:r>
              <w:rPr>
                <w:b/>
                <w:i/>
              </w:rPr>
              <w:t>verband houden met</w:t>
            </w:r>
            <w:r>
              <w:t xml:space="preserve"> het beïnvloeden van overheidsbeleid of besluitvorming </w:t>
            </w:r>
            <w:r>
              <w:rPr>
                <w:b/>
                <w:i/>
              </w:rPr>
              <w:t>kunnen plaatsvinden bij verschillende</w:t>
            </w:r>
            <w:r>
              <w:t xml:space="preserve"> categorieën begunstigden</w:t>
            </w:r>
            <w:r>
              <w:rPr>
                <w:b/>
                <w:i/>
              </w:rPr>
              <w:t>, ook ngo’s;</w:t>
            </w:r>
            <w:r>
              <w:t xml:space="preserve"> </w:t>
            </w:r>
            <w:r>
              <w:rPr>
                <w:b/>
                <w:i/>
              </w:rPr>
              <w:t>benadrukt dat waarborgen ervoor moeten zorgen dat mogelijke belangenconflicten worden voorkomen en dat Uniemiddelen op transparante wijze worden beheerd, ongeacht het soort begunstigde</w:t>
            </w:r>
            <w:r>
              <w:t xml:space="preserve">; merkt voorts op dat de </w:t>
            </w:r>
            <w:r>
              <w:rPr>
                <w:b/>
                <w:i/>
              </w:rPr>
              <w:t>aanvankelijke evaluatie door de</w:t>
            </w:r>
            <w:r>
              <w:t xml:space="preserve"> IAS gericht was op de financiering van ngo’s in het kader van het LIFE-programma </w:t>
            </w:r>
            <w:r>
              <w:rPr>
                <w:b/>
                <w:i/>
              </w:rPr>
              <w:t>en dat de Commissie alle DG’s verder heeft doorgelicht, waaruit is gebleken dat moet worden gezorgd voor consistent toezicht en consistente verificatie bij alle begunstigden</w:t>
            </w:r>
            <w:r>
              <w:t xml:space="preserve"> om </w:t>
            </w:r>
            <w:r>
              <w:rPr>
                <w:b/>
                <w:i/>
              </w:rPr>
              <w:t>te waarborgen dat</w:t>
            </w:r>
            <w:r>
              <w:t xml:space="preserve"> de richtsnoeren inzake activiteiten </w:t>
            </w:r>
            <w:r>
              <w:rPr>
                <w:b/>
                <w:i/>
              </w:rPr>
              <w:t>ter ondersteuning van de</w:t>
            </w:r>
            <w:r>
              <w:t xml:space="preserve"> uitvoering, monitoring en handhaving van wetgeving en beleid van de Unie </w:t>
            </w:r>
            <w:r>
              <w:rPr>
                <w:b/>
                <w:i/>
              </w:rPr>
              <w:t>worden</w:t>
            </w:r>
            <w:r>
              <w:t xml:space="preserve"> nageleefd;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 xml:space="preserve">merkt op dat uit een evaluatie van </w:t>
            </w:r>
            <w:r>
              <w:rPr>
                <w:b/>
                <w:i/>
              </w:rPr>
              <w:t>een aantal</w:t>
            </w:r>
            <w:r>
              <w:t xml:space="preserve"> financieringscontracten </w:t>
            </w:r>
            <w:r>
              <w:rPr>
                <w:b/>
                <w:i/>
              </w:rPr>
              <w:t>tussen de Commissie en marktdeelnemers, waarom</w:t>
            </w:r>
            <w:r>
              <w:t xml:space="preserve"> in het kader van </w:t>
            </w:r>
            <w:r>
              <w:rPr>
                <w:b/>
                <w:i/>
              </w:rPr>
              <w:t>deze</w:t>
            </w:r>
            <w:r>
              <w:t xml:space="preserve"> kwijtingsprocedure </w:t>
            </w:r>
            <w:r>
              <w:rPr>
                <w:b/>
                <w:i/>
              </w:rPr>
              <w:t>is verzocht,</w:t>
            </w:r>
            <w:r>
              <w:t xml:space="preserve"> blijkt dat activiteiten die </w:t>
            </w:r>
            <w:r>
              <w:rPr>
                <w:b/>
                <w:i/>
              </w:rPr>
              <w:t>gericht zijn op</w:t>
            </w:r>
            <w:r>
              <w:t xml:space="preserve"> het beïnvloeden van overheidsbeleid of besluitvorming </w:t>
            </w:r>
            <w:r>
              <w:rPr>
                <w:b/>
                <w:i/>
              </w:rPr>
              <w:t>niet beperkt zijn tot ngo’s, maar ook voorkomen in contracten met andere</w:t>
            </w:r>
            <w:r>
              <w:t xml:space="preserve"> categorieën begunstigden</w:t>
            </w:r>
            <w:r>
              <w:rPr>
                <w:b/>
                <w:i/>
              </w:rPr>
              <w:t>;</w:t>
            </w:r>
            <w:r>
              <w:t xml:space="preserve"> </w:t>
            </w:r>
            <w:r>
              <w:rPr>
                <w:b/>
                <w:i/>
              </w:rPr>
              <w:t>uit zijn bezorgdheid over het feit dat ondernemingen die Uniefinanciering voor dergelijke activiteiten ontvangen, in sommige gevallen tegelijkertijd EU-besluitvormers in hun raad van bestuur kunnen hebben die een vergoeding ontvangen</w:t>
            </w:r>
            <w:r>
              <w:t xml:space="preserve">; merkt voorts op dat de IAS </w:t>
            </w:r>
            <w:r>
              <w:rPr>
                <w:b/>
                <w:i/>
              </w:rPr>
              <w:t>een gerichte oefening</w:t>
            </w:r>
            <w:r>
              <w:t xml:space="preserve"> heeft uitgevoerd </w:t>
            </w:r>
            <w:r>
              <w:rPr>
                <w:b/>
                <w:i/>
              </w:rPr>
              <w:t>die uitsluitend gericht was op</w:t>
            </w:r>
            <w:r>
              <w:t xml:space="preserve"> de financiering van ngo’s in het kader van het LIFE-programma om </w:t>
            </w:r>
            <w:r>
              <w:rPr>
                <w:b/>
                <w:i/>
              </w:rPr>
              <w:t>na te gaan of</w:t>
            </w:r>
            <w:r>
              <w:t xml:space="preserve"> de richtsnoeren inzake </w:t>
            </w:r>
            <w:r>
              <w:rPr>
                <w:b/>
                <w:i/>
              </w:rPr>
              <w:t>financiering van</w:t>
            </w:r>
            <w:r>
              <w:t xml:space="preserve"> activiteiten </w:t>
            </w:r>
            <w:r>
              <w:rPr>
                <w:b/>
                <w:i/>
              </w:rPr>
              <w:t>in verband met de ontwikkeling,</w:t>
            </w:r>
            <w:r>
              <w:t xml:space="preserve"> uitvoering, monitoring en handhaving van wetgeving en beleid van de Unie </w:t>
            </w:r>
            <w:r>
              <w:rPr>
                <w:b/>
                <w:i/>
              </w:rPr>
              <w:t>werden</w:t>
            </w:r>
            <w:r>
              <w:t xml:space="preserve"> nageleefd</w:t>
            </w:r>
            <w:r>
              <w:rPr>
                <w:b/>
                <w:i/>
              </w:rPr>
              <w:t>, maar niet heeft gecontroleerd of de met andere begunstigden ondertekende overeenkomsten aan die richtsnoeren voldeden</w:t>
            </w:r>
            <w:r>
              <w:t>;</w:t>
            </w:r>
          </w:p>
        </w:tc>
        <w:tc>
          <w:tcPr>
            <w:tcW w:w="4876" w:type="dxa"/>
            <w:tcBorders>
              <w:top w:val="nil"/>
              <w:left w:val="nil"/>
              <w:bottom w:val="nil"/>
              <w:right w:val="nil"/>
            </w:tcBorders>
          </w:tcPr>
          <w:p>
            <w:pPr>
              <w:pStyle w:val="Normal6a"/>
            </w:pPr>
            <w:r>
              <w:t>133.</w:t>
            </w:r>
            <w:r>
              <w:tab/>
            </w:r>
            <w:r>
              <w:t xml:space="preserve">merkt op dat uit een evaluatie van financieringscontracten in het kader van </w:t>
            </w:r>
            <w:r>
              <w:rPr>
                <w:b/>
                <w:i/>
              </w:rPr>
              <w:t>de</w:t>
            </w:r>
            <w:r>
              <w:t xml:space="preserve"> kwijtingsprocedure blijkt dat activiteiten die </w:t>
            </w:r>
            <w:r>
              <w:rPr>
                <w:b/>
                <w:i/>
              </w:rPr>
              <w:t>verband houden met</w:t>
            </w:r>
            <w:r>
              <w:t xml:space="preserve"> het beïnvloeden van overheidsbeleid of besluitvorming </w:t>
            </w:r>
            <w:r>
              <w:rPr>
                <w:b/>
                <w:i/>
              </w:rPr>
              <w:t>kunnen plaatsvinden bij verschillende</w:t>
            </w:r>
            <w:r>
              <w:t xml:space="preserve"> categorieën begunstigden</w:t>
            </w:r>
            <w:r>
              <w:rPr>
                <w:b/>
                <w:i/>
              </w:rPr>
              <w:t>, ook ngo’s;</w:t>
            </w:r>
            <w:r>
              <w:t xml:space="preserve"> </w:t>
            </w:r>
            <w:r>
              <w:rPr>
                <w:b/>
                <w:i/>
              </w:rPr>
              <w:t>benadrukt dat waarborgen ervoor moeten zorgen dat mogelijke belangenconflicten worden voorkomen en dat Uniemiddelen op transparante wijze worden beheerd, ongeacht het soort begunstigde</w:t>
            </w:r>
            <w:r>
              <w:t xml:space="preserve">; merkt voorts op dat de IAS </w:t>
            </w:r>
            <w:r>
              <w:rPr>
                <w:b/>
                <w:i/>
              </w:rPr>
              <w:t>op basis van de bevindingen van de commissie CONT en naar aanleiding van een klokkenluidersverslag over het LIFE-programma een eerste evaluatie</w:t>
            </w:r>
            <w:r>
              <w:t xml:space="preserve"> heeft uitgevoerd </w:t>
            </w:r>
            <w:r>
              <w:rPr>
                <w:b/>
                <w:i/>
              </w:rPr>
              <w:t>van de LIFE- en Horizonverslagen over</w:t>
            </w:r>
            <w:r>
              <w:t xml:space="preserve"> de financiering van ngo’s in het kader van het LIFE-programma </w:t>
            </w:r>
            <w:r>
              <w:rPr>
                <w:b/>
                <w:i/>
              </w:rPr>
              <w:t>en dat de Commissie alle DG’s verder heeft doorgelicht, waaruit is gebleken dat moet worden gezorgd voor consistent toezicht en consistente verificatie bij alle begunstigden</w:t>
            </w:r>
            <w:r>
              <w:t xml:space="preserve"> om </w:t>
            </w:r>
            <w:r>
              <w:rPr>
                <w:b/>
                <w:i/>
              </w:rPr>
              <w:t>te waarborgen dat</w:t>
            </w:r>
            <w:r>
              <w:t xml:space="preserve"> de richtsnoeren inzake activiteiten </w:t>
            </w:r>
            <w:r>
              <w:rPr>
                <w:b/>
                <w:i/>
              </w:rPr>
              <w:t>ter ondersteuning van de</w:t>
            </w:r>
            <w:r>
              <w:t xml:space="preserve"> uitvoering, monitoring en handhaving van wetgeving en beleid van de Unie </w:t>
            </w:r>
            <w:r>
              <w:rPr>
                <w:b/>
                <w:i/>
              </w:rPr>
              <w:t>worden</w:t>
            </w:r>
            <w:r>
              <w:t xml:space="preserve"> nageleefd;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 bis.</w:t>
            </w:r>
            <w:r>
              <w:tab/>
            </w:r>
            <w:r>
              <w:rPr>
                <w:b/>
                <w:i/>
              </w:rPr>
              <w:t>merkt op dat uit hoorzittingen van de werkgroep voor toezicht van de commissie CONT is gebleken dat elk DG en elk uitvoerend agentschap verschillende methoden hanteert voor de selectie van externe deskundigen voor zijn beoordelingsraad; dringt er bij de Commissie op aan een gestandaardiseerde reeks regels op te stellen voor de selectie van externe deskundigen voor de beoordelingsraad;</w:t>
            </w:r>
            <w:r>
              <w:t xml:space="preserve"> </w:t>
            </w:r>
            <w:r>
              <w:rPr>
                <w:b/>
                <w:i/>
              </w:rPr>
              <w:t>pleit voor de invoering van een gestandaardiseerd beoordelingsproces voor aanvragen voor exploitatiesubsidies, waarbij ten minste twee leden van de Commissie of personeelsleden van het agentschap de aanvraagvoorstellen lezen en beoordelen;</w:t>
            </w:r>
            <w:r>
              <w:t xml:space="preserve"> </w:t>
            </w:r>
            <w:r>
              <w:rPr>
                <w:b/>
                <w:i/>
              </w:rPr>
              <w:t>dringt er bij de Commissie op aan ervoor te zorgen dat er geen belangenconflicten zijn, vooral niet wat economische en financiële belangen betreft;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 ter.</w:t>
            </w:r>
            <w:r>
              <w:tab/>
            </w:r>
            <w:r>
              <w:rPr>
                <w:b/>
                <w:i/>
              </w:rPr>
              <w:t>merkt op dat werkpakketten een belangrijk onderdeel van exploitatiesubsidies vormen, essentieel zijn in alle fasen van het contract, met inbegrip van de oproep tot het indienen van aanvragen, de procedure voor de beoordeling van aanvragen en de goedkeuringsprocedure, de opstelling en goedkeuring van een contract tussen de entiteit en de Commissie, en de uitvoering van de actie met inbegrip van de te leveren prestaties, en bovendien een voorwaarde zijn voor de betaling van middelen, en deel uitmaken van de audit zoals wettelijk vastgelegd in de LIFE-wetgeving, het juridisch document betreffende de oproep tot het indienen van aanvragen en de juridische contracten zelf;</w:t>
            </w:r>
            <w:r>
              <w:t xml:space="preserve"> </w:t>
            </w:r>
            <w:r>
              <w:rPr>
                <w:b/>
                <w:i/>
              </w:rPr>
              <w:t>uit kritiek op het feit dat de Commissie over de rol van werkpakketten misleidende verklaringen heeft afgelegd die afwijken van de bovengenoemde wettelijke definities en van de beschrijving door de directeur van Cinea;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iii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bis)</w:t>
            </w:r>
            <w:r>
              <w:tab/>
            </w:r>
            <w:r>
              <w:rPr>
                <w:b/>
                <w:i/>
              </w:rPr>
              <w:t>de kwijtingsautoriteit op de hoogte te houden van de terugvorderingspercentages van landbouwuitgaven, met name in het licht van de wijzigingen die in de voorschriften zijn aangebracht in het kader van het GLB voor de periode 2023-2027, en elke daling van het terugvorderingspercentage snel aan te pakken, onder meer door te overwegen nieuwe stimulansen voor de lidstaten in te voeren om middelen terug te 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het gezonde financiële beheer van het huidige en toekomstige GLB te verbeteren door ervoor te zorgen dat rechtstreekse inkomenssteun </w:t>
            </w:r>
            <w:r>
              <w:rPr>
                <w:b/>
                <w:i/>
              </w:rPr>
              <w:t>alleen</w:t>
            </w:r>
            <w:r>
              <w:t xml:space="preserve"> wordt verleend aan </w:t>
            </w:r>
            <w:r>
              <w:rPr>
                <w:b/>
                <w:i/>
              </w:rPr>
              <w:t>actieve</w:t>
            </w:r>
            <w:r>
              <w:t xml:space="preserve"> landbouwers</w:t>
            </w:r>
            <w:r>
              <w:rPr>
                <w:b/>
                <w:i/>
              </w:rPr>
              <w:t>, met</w:t>
            </w:r>
            <w:r>
              <w:t xml:space="preserve"> bijzondere aandacht </w:t>
            </w:r>
            <w:r>
              <w:rPr>
                <w:b/>
                <w:i/>
              </w:rPr>
              <w:t>voor degenen die dit het hardst nodig hebben, zoals</w:t>
            </w:r>
            <w:r>
              <w:t xml:space="preserve"> agrarische familiebedrijven en kleine landbouwbedrijven, landbouwbedrijven in gebieden met natuurlijke of andere specifieke beperkingen en jonge en vrouwelijke landbouwers;</w:t>
            </w:r>
          </w:p>
        </w:tc>
        <w:tc>
          <w:tcPr>
            <w:tcW w:w="4876" w:type="dxa"/>
            <w:tcBorders>
              <w:top w:val="nil"/>
              <w:left w:val="nil"/>
              <w:bottom w:val="nil"/>
              <w:right w:val="nil"/>
            </w:tcBorders>
          </w:tcPr>
          <w:p>
            <w:pPr>
              <w:pStyle w:val="Normal6a"/>
            </w:pPr>
            <w:r>
              <w:t>iv)</w:t>
            </w:r>
            <w:r>
              <w:tab/>
            </w:r>
            <w:r>
              <w:t xml:space="preserve">het gezonde financiële beheer van het huidige en toekomstige GLB te verbeteren door ervoor te zorgen dat rechtstreekse inkomenssteun wordt verleend aan </w:t>
            </w:r>
            <w:r>
              <w:rPr>
                <w:b/>
                <w:i/>
              </w:rPr>
              <w:t>alle</w:t>
            </w:r>
            <w:r>
              <w:t xml:space="preserve"> landbouwers </w:t>
            </w:r>
            <w:r>
              <w:rPr>
                <w:b/>
                <w:i/>
              </w:rPr>
              <w:t>die aan de wettelijke vereisten voldoen;</w:t>
            </w:r>
            <w:r>
              <w:t xml:space="preserve"> </w:t>
            </w:r>
            <w:r>
              <w:rPr>
                <w:b/>
                <w:i/>
              </w:rPr>
              <w:t>wijst erop dat</w:t>
            </w:r>
            <w:r>
              <w:t xml:space="preserve"> bijzondere aandacht </w:t>
            </w:r>
            <w:r>
              <w:rPr>
                <w:b/>
                <w:i/>
              </w:rPr>
              <w:t>moet worden besteed aan</w:t>
            </w:r>
            <w:r>
              <w:t xml:space="preserve"> agrarische familiebedrijven en kleine landbouwbedrijven, landbouwbedrijven in gebieden met natuurlijke of andere specifieke beperkingen en jonge en vrouwelijke landbouwers;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toezicht te houden op mogelijke belangenconflicten die van invloed zijn op middelen van de Unie en ervoor te zorgen dat belangenconflicten daadwerkelijk worden opgelost</w:t>
            </w:r>
            <w:r>
              <w:rPr>
                <w:b/>
                <w:i/>
              </w:rPr>
              <w:t>, ook voor leden van de Europese Raad, en er met name voor te zorgen dat er geen middelen van de Unie direct of indirect aan Agrofert of andere zakelijke belangen van Andrej Babiš worden betaald zolang het vastgestelde belangenconflict niet aantoonbaar en verifieerbaar is opgelost</w:t>
            </w:r>
            <w:r>
              <w:t>;</w:t>
            </w:r>
          </w:p>
        </w:tc>
        <w:tc>
          <w:tcPr>
            <w:tcW w:w="4876" w:type="dxa"/>
            <w:tcBorders>
              <w:top w:val="nil"/>
              <w:left w:val="nil"/>
              <w:bottom w:val="nil"/>
              <w:right w:val="nil"/>
            </w:tcBorders>
          </w:tcPr>
          <w:p>
            <w:pPr>
              <w:pStyle w:val="Normal6a"/>
            </w:pPr>
            <w:r>
              <w:t>viii)</w:t>
            </w:r>
            <w:r>
              <w:tab/>
            </w:r>
            <w:r>
              <w:t>toezicht te houden op mogelijke belangenconflicten die van invloed zijn op middelen van de Unie en ervoor te zorgen dat belangenconflicten daadwerkelijk worden opgelost;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viii)</w:t>
            </w:r>
            <w:r>
              <w:tab/>
            </w:r>
            <w:r>
              <w:t xml:space="preserve">toezicht te houden op mogelijke belangenconflicten die van invloed zijn op middelen van de Unie en ervoor te zorgen dat belangenconflicten daadwerkelijk worden opgelost, ook voor leden van de Europese Raad, en er met name voor te zorgen dat er geen middelen van de Unie direct of indirect aan </w:t>
            </w:r>
            <w:r>
              <w:rPr>
                <w:b/>
                <w:i/>
              </w:rPr>
              <w:t>Agrofert of andere zakelijke belangen van Andrej Babiš</w:t>
            </w:r>
            <w:r>
              <w:t xml:space="preserve"> worden betaald </w:t>
            </w:r>
            <w:r>
              <w:rPr>
                <w:b/>
                <w:i/>
              </w:rPr>
              <w:t>zolang het vastgestelde</w:t>
            </w:r>
            <w:r>
              <w:t xml:space="preserve"> belangenconflict niet aantoonbaar en verifieerbaar is opgelost;</w:t>
            </w:r>
          </w:p>
        </w:tc>
        <w:tc>
          <w:tcPr>
            <w:tcW w:w="4876" w:type="dxa"/>
            <w:tcBorders>
              <w:top w:val="nil"/>
              <w:left w:val="nil"/>
              <w:bottom w:val="nil"/>
              <w:right w:val="nil"/>
            </w:tcBorders>
          </w:tcPr>
          <w:p>
            <w:pPr>
              <w:pStyle w:val="Normal6a"/>
            </w:pPr>
            <w:r>
              <w:t>viii)</w:t>
            </w:r>
            <w:r>
              <w:tab/>
            </w:r>
            <w:r>
              <w:t xml:space="preserve">toezicht te houden op mogelijke belangenconflicten die van invloed zijn op middelen van de Unie en ervoor te zorgen dat belangenconflicten daadwerkelijk worden opgelost, ook voor leden van de Europese Raad, en er met name voor te zorgen dat er geen middelen van de Unie direct of indirect aan </w:t>
            </w:r>
            <w:r>
              <w:rPr>
                <w:b/>
                <w:i/>
              </w:rPr>
              <w:t>begunstigden</w:t>
            </w:r>
            <w:r>
              <w:t xml:space="preserve"> worden betaald </w:t>
            </w:r>
            <w:r>
              <w:rPr>
                <w:b/>
                <w:i/>
              </w:rPr>
              <w:t>wanneer er een</w:t>
            </w:r>
            <w:r>
              <w:t xml:space="preserve"> belangenconflict </w:t>
            </w:r>
            <w:r>
              <w:rPr>
                <w:b/>
                <w:i/>
              </w:rPr>
              <w:t>is vastgesteld en</w:t>
            </w:r>
            <w:r>
              <w:t xml:space="preserve"> niet aantoonbaar en verifieerbaar is opgelost;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xi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xi)</w:t>
            </w:r>
            <w:r>
              <w:tab/>
            </w:r>
            <w:r>
              <w:t xml:space="preserve">haar methode voor het traceren van de uitgaven van de Unie voor klimaat- en biodiversiteitsgerelateerde activiteiten van het MFK 2021-2027 te verbeteren, onder meer door de relevante aanbevelingen in de speciale verslagen van de Rekenkamer op te volgen </w:t>
            </w:r>
            <w:r>
              <w:rPr>
                <w:b/>
                <w:i/>
              </w:rPr>
              <w:t>en ook</w:t>
            </w:r>
            <w:r>
              <w:t xml:space="preserve"> de negatieve effecten van de uitgaven van de Unie op de milieu- en biodiversiteitsdoelstellingen te </w:t>
            </w:r>
            <w:r>
              <w:rPr>
                <w:b/>
                <w:i/>
              </w:rPr>
              <w:t>traceren</w:t>
            </w:r>
            <w:r>
              <w:t>;</w:t>
            </w:r>
          </w:p>
        </w:tc>
        <w:tc>
          <w:tcPr>
            <w:tcW w:w="4876" w:type="dxa"/>
            <w:tcBorders>
              <w:top w:val="nil"/>
              <w:left w:val="nil"/>
              <w:bottom w:val="nil"/>
              <w:right w:val="nil"/>
            </w:tcBorders>
          </w:tcPr>
          <w:p>
            <w:pPr>
              <w:pStyle w:val="Normal6a"/>
            </w:pPr>
            <w:r>
              <w:t>xi)</w:t>
            </w:r>
            <w:r>
              <w:tab/>
            </w:r>
            <w:r>
              <w:t>haar methode voor het traceren van de uitgaven van de Unie voor klimaat- en biodiversiteitsgerelateerde activiteiten van het MFK 2021-2027 te verbeteren, onder meer door de relevante aanbevelingen in de speciale verslagen van de Rekenkamer op te volgen</w:t>
            </w:r>
            <w:r>
              <w:rPr>
                <w:b/>
                <w:i/>
              </w:rPr>
              <w:t>, alsook de monitoring en de verslaglegging over de daadwerkelijke resultaten van investeringen en</w:t>
            </w:r>
            <w:r>
              <w:t xml:space="preserve"> de negatieve effecten van de uitgaven van de Unie op de milieu- en biodiversiteitsdoelstellingen te </w:t>
            </w:r>
            <w:r>
              <w:rPr>
                <w:b/>
                <w:i/>
              </w:rPr>
              <w:t>verbeteren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xii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in het volgende MFK een alomvattende groene begrotingsmethode te ontwikkelen en uit te voeren door klimaat-, biodiversiteits- en milieuoverwegingen in alle stappen van de begrotingscyclus te integreren;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xii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xii)</w:t>
            </w:r>
            <w:r>
              <w:tab/>
            </w:r>
            <w:r>
              <w:rPr>
                <w:b/>
                <w:i/>
              </w:rPr>
              <w:t>in het volgende MFK een alomvattende groene begrotingsmethode te ontwikkelen en uit te voeren door klimaat-, biodiversiteits- en milieuoverwegingen in alle stappen van de begrotingscyclus te integreren;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xiv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bis)</w:t>
            </w:r>
            <w:r>
              <w:tab/>
            </w:r>
            <w:r>
              <w:rPr>
                <w:b/>
                <w:i/>
              </w:rPr>
              <w:t>de inhoud van werkpakketten in het kader van exploitatiesubsidies tussen de Commissie en externe organisaties en ngo’s openbaar te maken, mits gevoelige veiligheids- en bedrijfsinformatie daardoor niet in het gedrang komt;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xiv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ter)</w:t>
            </w:r>
            <w:r>
              <w:tab/>
            </w:r>
            <w:r>
              <w:rPr>
                <w:b/>
                <w:i/>
              </w:rPr>
              <w:t>de dienst Interne Audit aan te moedigen de werkpakketten en andere operationele aspecten van exploitatie- en subsidieovereenkomsten systematisch te evalueren op ongepaste inhoud als gevolg van lobbyactiviteiten bij EU-instellingen en nationale regeringen en parlementen, acties die in strijd zijn met de wet en rechtszaken tegen EU-instellingen en nationale regeringen;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xiv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quater)</w:t>
            </w:r>
            <w:r>
              <w:tab/>
            </w:r>
            <w:r>
              <w:rPr>
                <w:b/>
                <w:i/>
              </w:rPr>
              <w:t>een grondige analyse van ngo’s uit te voeren om ervoor te zorgen dat met EU-middelen geen ngo’s worden gefinancierd die EU-middelen misbruiken of het geld onder de dekmantel van een ngo doorsluizen naar terroristische groeperingen of andere schadelijke en criminele organisaties of personen;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xiv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quinquies)</w:t>
            </w:r>
            <w:r>
              <w:tab/>
            </w:r>
            <w:r>
              <w:rPr>
                <w:b/>
                <w:i/>
              </w:rPr>
              <w:t>samen te werken om belangenbehartiging specifieker te definiëren, teneinde een onderscheid te maken tussen aanvaardbaar gebruik van EU-middelen voor bepaalde soorten belangenbehartiging, zoals de presentatie van de resultaten en problemen van projecten, en onaanvaardbaar gebruik van EU-middelen, bijvoorbeeld voor de financiering van de indiening van amendementen door leden van het Parlement of de Raad, voor de financiering van rechtszaken of rechtsvorderingen, of voor de financiering van lobbyactiviteiten van een directoraat-generaal van de Commissie namens een ander directoraat-generaal van de Commissie, aangezien dit misbruik van EU-middelen vormt en de reputatie van de Unie kan schaden;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134 – punt xiv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bis)</w:t>
            </w:r>
            <w:r>
              <w:tab/>
            </w:r>
            <w:r>
              <w:rPr>
                <w:b/>
                <w:i/>
              </w:rPr>
              <w:t>verlangt een volledige, onafhankelijke en openbare controle van alle sinds 2021 uit hoofde van het LIFE-programma verstrekte middelen voor ngo’s die door het LIFE-programma worden gefinancierd en die ook betrokken zijn bij de ontwikkeling, bevordering en beoordeling van EU-milieubeleid;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136 bis.</w:t>
            </w:r>
            <w:r>
              <w:tab/>
            </w:r>
            <w:r>
              <w:rPr>
                <w:b/>
                <w:i/>
              </w:rPr>
              <w:t>stelt vast dat de EU voor de periode 2021-2027 in totaal 9,88 miljard EUR heeft uitgetrokken voor het Fonds voor asiel, migratie en integratie;</w:t>
            </w:r>
            <w:r>
              <w:t xml:space="preserve"> </w:t>
            </w:r>
            <w:r>
              <w:rPr>
                <w:b/>
                <w:i/>
              </w:rPr>
              <w:t>wijst erop dat uit dit fonds ook de integratie van migranten wordt gefinancierd, onder andere door verenigingen waarvan de financiering vaak ondoorzichtig is;</w:t>
            </w:r>
            <w:r>
              <w:t xml:space="preserve"> </w:t>
            </w:r>
            <w:r>
              <w:rPr>
                <w:b/>
                <w:i/>
              </w:rPr>
              <w:t>stelt vast dat dit beleid in het licht van exploderende criminaliteitscijfers en het gebrek aan integratie van bepaalde personen kostbaar en ineffectief is gebleken en als mislukt kan worden beschouwd; is van mening dat daarom een einde moet komen aan deze verspilling van EU-middelen, of dat de middelen herbestemd moeten worden</w:t>
            </w:r>
            <w:r>
              <w:t xml:space="preserve"> </w:t>
            </w:r>
            <w:r>
              <w:rPr>
                <w:b/>
                <w:i/>
                <w:vertAlign w:val="superscript"/>
              </w:rPr>
              <w:t>7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bis</w:t>
            </w:r>
            <w:r>
              <w:t xml:space="preserve"> </w:t>
            </w:r>
            <w:r>
              <w:rPr>
                <w:b/>
                <w:i/>
              </w:rPr>
              <w:t>https://social-economy-gateway.ec.europa.eu/eu-funding-programmes/asylum-migration-and-integration-fund_en.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136 ter.</w:t>
            </w:r>
            <w:r>
              <w:tab/>
            </w:r>
            <w:r>
              <w:rPr>
                <w:b/>
                <w:i/>
              </w:rPr>
              <w:t>merkt voorts op dat extra voorzichtigheid is geboden bij voor kwetsbare groepen bestemde middelen, aangezien deze personen door entiteiten geïnstrumentaliseerd kunnen worden voor het verkrijgen van middelen;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141.</w:t>
            </w:r>
            <w:r>
              <w:tab/>
            </w:r>
            <w:r>
              <w:t>merkt op dat de lidstaten in 2024 hun eerste nationale jaarrekeningen voor de AMIF- en BMVI-programma’s van de periode 2021-2027 hebben ingediend; merkt voorts op dat de Rekenkamer de werkzaamheden van vijf auditautoriteiten met betrekking tot hun jaarlijkse controleverslagen en controles van AMIF- en BMVI-uitgaven heeft beoordeeld; is ingenomen met de bevindingen van de Rekenkamer dat de auditautoriteiten gedetailleerde procedures hadden ontwikkeld en toegepast die van toereikende kwaliteit zijn om verslag uit te brengen over hun werkzaamheden in het jaarverslag;</w:t>
            </w:r>
          </w:p>
        </w:tc>
        <w:tc>
          <w:tcPr>
            <w:tcW w:w="4876" w:type="dxa"/>
            <w:tcBorders>
              <w:top w:val="nil"/>
              <w:left w:val="nil"/>
              <w:bottom w:val="nil"/>
              <w:right w:val="nil"/>
            </w:tcBorders>
          </w:tcPr>
          <w:p>
            <w:pPr>
              <w:pStyle w:val="Normal6a"/>
            </w:pPr>
            <w:r>
              <w:t>141.</w:t>
            </w:r>
            <w:r>
              <w:tab/>
            </w:r>
            <w:r>
              <w:t>merkt op dat de lidstaten in 2024 hun eerste nationale jaarrekeningen voor de AMIF- en BMVI-programma’s van de periode 2021-2027 hebben ingediend</w:t>
            </w:r>
            <w:r>
              <w:rPr>
                <w:b/>
                <w:i/>
              </w:rPr>
              <w:t>;</w:t>
            </w:r>
            <w:r>
              <w:t xml:space="preserve"> </w:t>
            </w:r>
            <w:r>
              <w:rPr>
                <w:b/>
                <w:i/>
              </w:rPr>
              <w:t>wijst nadrukkelijk op het falen van het Uniebeleid ter voorkoming van migratiestromen en mensenhandel;</w:t>
            </w:r>
            <w:r>
              <w:t xml:space="preserve"> </w:t>
            </w:r>
            <w:r>
              <w:rPr>
                <w:b/>
                <w:i/>
              </w:rPr>
              <w:t>onderstreept nogmaals bedenkingen te hebben bij de rol van het Fonds voor asiel, migratie en integratie (AMIF)</w:t>
            </w:r>
            <w:r>
              <w:t>; merkt voorts op dat de Rekenkamer de werkzaamheden van vijf auditautoriteiten met betrekking tot hun jaarlijkse controleverslagen en controles van AMIF- en BMVI-uitgaven heeft beoordeeld; is ingenomen met de bevindingen van de Rekenkamer dat de auditautoriteiten gedetailleerde procedures hadden ontwikkeld en toegepast die van toereikende kwaliteit zijn om verslag uit te brengen over hun werkzaamheden in het jaarverslag;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143.</w:t>
            </w:r>
            <w:r>
              <w:tab/>
            </w:r>
            <w:r>
              <w:rPr>
                <w:b/>
                <w:i/>
              </w:rPr>
              <w:t>neemt kennis van</w:t>
            </w:r>
            <w:r>
              <w:t xml:space="preserve"> de goedkeuring van het migratie- en asielpact in 2024 en de toewijzing van 2 miljard EUR extra aan MFK-rubriek 4 voor 2024-2027 in het kader van de tussentijdse herziening van het MFK 2021-2027, ook </w:t>
            </w:r>
            <w:r>
              <w:rPr>
                <w:b/>
                <w:i/>
              </w:rPr>
              <w:t>met het oog op</w:t>
            </w:r>
            <w:r>
              <w:t xml:space="preserve"> de volledige uitvoering van de nieuwe regels van het pact; waardeert de schriftelijke antwoorden van de Commissie waarin wordt bevestigd dat zij in het kader van het AMIF en het BMVI voor de jaren 2025-2027 nog eens 3 miljard EUR beschikbaar heeft gesteld om onder meer de lidstaten te ondersteunen die personen opvangen die de oorlog in Oekraïne ontvluchten;</w:t>
            </w:r>
          </w:p>
        </w:tc>
        <w:tc>
          <w:tcPr>
            <w:tcW w:w="4876" w:type="dxa"/>
            <w:tcBorders>
              <w:top w:val="nil"/>
              <w:left w:val="nil"/>
              <w:bottom w:val="nil"/>
              <w:right w:val="nil"/>
            </w:tcBorders>
          </w:tcPr>
          <w:p>
            <w:pPr>
              <w:pStyle w:val="Normal6a"/>
            </w:pPr>
            <w:r>
              <w:t>143.</w:t>
            </w:r>
            <w:r>
              <w:tab/>
            </w:r>
            <w:r>
              <w:rPr>
                <w:b/>
                <w:i/>
              </w:rPr>
              <w:t>is ingenomen met</w:t>
            </w:r>
            <w:r>
              <w:t xml:space="preserve"> de goedkeuring van het migratie- en asielpact in 2024 en </w:t>
            </w:r>
            <w:r>
              <w:rPr>
                <w:b/>
                <w:i/>
              </w:rPr>
              <w:t>wijst erop dat de uitvoering ervan een hoeksteen van het nieuwe systeem voor het beheer van migratie en asiel in de EU is, dat vanaf medio 2026 in alle lidstaten van toepassing zal zijn;</w:t>
            </w:r>
            <w:r>
              <w:t xml:space="preserve"> </w:t>
            </w:r>
            <w:r>
              <w:rPr>
                <w:b/>
                <w:i/>
              </w:rPr>
              <w:t>is voorts ingenomen met</w:t>
            </w:r>
            <w:r>
              <w:t xml:space="preserve"> de toewijzing van 2 miljard EUR extra aan MFK-rubriek 4 voor 2024-2027 in het kader van de tussentijdse herziening van het MFK 2021-2027, ook </w:t>
            </w:r>
            <w:r>
              <w:rPr>
                <w:b/>
                <w:i/>
              </w:rPr>
              <w:t>om</w:t>
            </w:r>
            <w:r>
              <w:t xml:space="preserve"> de volledige uitvoering van de nieuwe regels van het pact </w:t>
            </w:r>
            <w:r>
              <w:rPr>
                <w:b/>
                <w:i/>
              </w:rPr>
              <w:t>mogelijk te maken en de toenemende uitdagingen op het gebied van migratie en grensbeheer als gevolg van de huidige geopolitieke context aan te pakken</w:t>
            </w:r>
            <w:r>
              <w:t xml:space="preserve">; waardeert de schriftelijke antwoorden van de Commissie waarin wordt bevestigd dat zij in het kader van het AMIF en het BMVI voor de jaren 2025-2027 nog eens 3 miljard EUR beschikbaar heeft gesteld om onder meer de lidstaten te ondersteunen die personen opvangen die de oorlog in Oekraïne ontvluchten; </w:t>
            </w:r>
            <w:r>
              <w:rPr>
                <w:b/>
                <w:i/>
              </w:rPr>
              <w:t>verzoekt de Commissie prioriteit te geven aan de volledige en tijdige uitvoering van het pact en er tegelijkertijd voor te zorgen dat het Parlement toegang heeft tot alle relevante documenten met het oog op doeltreffend toezicht;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 xml:space="preserve">wijst erop dat het beheer van de buitengrenzen van de Unie een pijler </w:t>
            </w:r>
            <w:r>
              <w:rPr>
                <w:b/>
                <w:i/>
              </w:rPr>
              <w:t>is</w:t>
            </w:r>
            <w:r>
              <w:t xml:space="preserve"> van het nieuwe migratie- en asielpact; is van mening dat de Unie kwetsbare personen beter moet beschermen tegen netwerken van mensensmokkel en </w:t>
            </w:r>
            <w:r>
              <w:rPr>
                <w:b/>
                <w:i/>
              </w:rPr>
              <w:t>‐</w:t>
            </w:r>
            <w:r>
              <w:t>handel; merkt op dat de Commissie na de goedkeuring van de mededeling van de Commissie van 11 december 2024</w:t>
            </w:r>
            <w:r>
              <w:rPr>
                <w:vertAlign w:val="superscript"/>
              </w:rPr>
              <w:t>15</w:t>
            </w:r>
            <w:r>
              <w:t>via het BMVI ongeveer 520 miljoen EUR heeft toegewezen aan de lidstaten van de Unie die grenzen aan Rusland en Belarus;</w:t>
            </w:r>
          </w:p>
        </w:tc>
        <w:tc>
          <w:tcPr>
            <w:tcW w:w="4876" w:type="dxa"/>
            <w:tcBorders>
              <w:top w:val="nil"/>
              <w:left w:val="nil"/>
              <w:bottom w:val="nil"/>
              <w:right w:val="nil"/>
            </w:tcBorders>
          </w:tcPr>
          <w:p>
            <w:pPr>
              <w:pStyle w:val="Normal6a"/>
            </w:pPr>
            <w:r>
              <w:t>144.</w:t>
            </w:r>
            <w:r>
              <w:tab/>
            </w:r>
            <w:r>
              <w:t xml:space="preserve">wijst erop dat het beheer van de buitengrenzen van de Unie een pijler van het nieuwe migratie- en asielpact </w:t>
            </w:r>
            <w:r>
              <w:rPr>
                <w:b/>
                <w:i/>
              </w:rPr>
              <w:t>is en een essentiële voorwaarde voor een goed functionerend Schengengebied van vrij verkeer;</w:t>
            </w:r>
            <w:r>
              <w:t xml:space="preserve"> </w:t>
            </w:r>
            <w:r>
              <w:rPr>
                <w:b/>
                <w:i/>
              </w:rPr>
              <w:t>erkent dat door de EU gefinancierde projecten ter ondersteuning van de bescherming van de buitengrenzen dienen om de druk op de bescherming van de binnengrenzen te verlichten, zoals de commissaris voor Begroting, Fraudebestrijding en Openbaar Bestuur tijdens een hoorzitting in de commissie CONT op 8 december 2025 heeft verklaard;</w:t>
            </w:r>
            <w:r>
              <w:t xml:space="preserve"> </w:t>
            </w:r>
            <w:r>
              <w:rPr>
                <w:b/>
                <w:i/>
              </w:rPr>
              <w:t>erkent dat het totale aantal migranten dat irregulier in de Unie aankomt in 2024 weliswaar met 38 % is gedaald, maar dat de migratiestromen over het continent zijn verschoven, waarbij bepaalde routes een aanzienlijke stijging te zien geven, met name de route via de oostelijke grenzen, waar in 2024 een verdrievoudiging van het aantal grensoverschrijdingen werd gemeld</w:t>
            </w:r>
            <w:r>
              <w:t xml:space="preserve">; is van mening dat de Unie kwetsbare personen beter moet beschermen tegen netwerken van mensensmokkel en </w:t>
            </w:r>
            <w:r>
              <w:rPr>
                <w:b/>
                <w:i/>
              </w:rPr>
              <w:t>-</w:t>
            </w:r>
            <w:r>
              <w:t>handel</w:t>
            </w:r>
            <w:r>
              <w:rPr>
                <w:b/>
                <w:i/>
              </w:rPr>
              <w:t>, en hybride aanvallen en de instrumentalisering van migratie door derde landen of vijandige niet-overheidsactoren moet aanpakken</w:t>
            </w:r>
            <w:r>
              <w:t>; merkt op dat de Commissie na de goedkeuring van de mededeling van de Commissie van 11 december 2024</w:t>
            </w:r>
            <w:r>
              <w:rPr>
                <w:vertAlign w:val="superscript"/>
              </w:rPr>
              <w:t>15</w:t>
            </w:r>
            <w:r>
              <w:t xml:space="preserve"> via het BMVI ongeveer 520 miljoen EUR heeft toegewezen aan de lidstaten van de Unie die grenzen aan Rusland en Belarus; </w:t>
            </w:r>
            <w:r>
              <w:rPr>
                <w:b/>
                <w:i/>
              </w:rPr>
              <w:t>wijst met name op de noodzaak van steun aan lidstaten in de voorste linie met het oog op de beveiliging van de buitengrenzen van de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 xml:space="preserve">wijst erop dat het beheer van de buitengrenzen van de Unie een pijler is van het nieuwe migratie- en asielpact; is van mening dat de Unie kwetsbare personen </w:t>
            </w:r>
            <w:r>
              <w:rPr>
                <w:b/>
                <w:i/>
              </w:rPr>
              <w:t>beter moet</w:t>
            </w:r>
            <w:r>
              <w:t xml:space="preserve"> beschermen tegen netwerken van mensensmokkel en ‐handel; merkt op dat de Commissie na de goedkeuring van de mededeling van de Commissie van 11 december 2024</w:t>
            </w:r>
            <w:r>
              <w:rPr>
                <w:b/>
                <w:i/>
                <w:vertAlign w:val="superscript"/>
              </w:rPr>
              <w:t>15</w:t>
            </w:r>
            <w:r>
              <w:t>via het BMVI ongeveer 520 miljoen EUR heeft toegewezen aan de lidstaten van de Unie die grenzen aan Rusland en Belarus;</w:t>
            </w:r>
          </w:p>
        </w:tc>
        <w:tc>
          <w:tcPr>
            <w:tcW w:w="4876" w:type="dxa"/>
            <w:tcBorders>
              <w:top w:val="nil"/>
              <w:left w:val="nil"/>
              <w:bottom w:val="nil"/>
              <w:right w:val="nil"/>
            </w:tcBorders>
          </w:tcPr>
          <w:p>
            <w:pPr>
              <w:pStyle w:val="Normal6a"/>
            </w:pPr>
            <w:r>
              <w:t>144.</w:t>
            </w:r>
            <w:r>
              <w:tab/>
            </w:r>
            <w:r>
              <w:t xml:space="preserve">wijst erop dat het beheer van de buitengrenzen van de Unie een pijler is van het nieuwe migratie- en asielpact; is van mening dat de Unie </w:t>
            </w:r>
            <w:r>
              <w:rPr>
                <w:b/>
                <w:i/>
              </w:rPr>
              <w:t>de inspanningen verder moet opvoeren om</w:t>
            </w:r>
            <w:r>
              <w:t xml:space="preserve"> kwetsbare personen </w:t>
            </w:r>
            <w:r>
              <w:rPr>
                <w:b/>
                <w:i/>
              </w:rPr>
              <w:t>te</w:t>
            </w:r>
            <w:r>
              <w:t xml:space="preserve"> beschermen tegen netwerken van mensensmokkel en ‐handel; merkt op dat de Commissie na de goedkeuring van de mededeling van de Commissie van 11 december 2024</w:t>
            </w:r>
            <w:r>
              <w:rPr>
                <w:b/>
                <w:i/>
              </w:rPr>
              <w:t>[15]</w:t>
            </w:r>
            <w:r>
              <w:t xml:space="preserve"> via het BMVI ongeveer 520 miljoen EUR heeft toegewezen aan de lidstaten van de Unie die grenzen aan Rusland en Belarus</w:t>
            </w:r>
            <w:r>
              <w:rPr>
                <w:b/>
                <w:i/>
              </w:rPr>
              <w:t>, teneinde de grensbeheercapaciteiten te versterken en veiligheids- en migratiegerelateerde uitdagingen aan te pakken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COM(2024)0570.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rPr>
                <w:b/>
                <w:i/>
              </w:rPr>
              <w:t>wijst erop dat het beheer van de buitengrenzen van de Unie een pijler is van het nieuwe migratie- en asielpact;</w:t>
            </w:r>
            <w:r>
              <w:t xml:space="preserve"> is van mening dat de Unie kwetsbare personen beter moet beschermen tegen netwerken van mensensmokkel en ‐handel; merkt op dat de Commissie na de goedkeuring van de mededeling van de Commissie van 11 december 2024</w:t>
            </w:r>
            <w:r>
              <w:rPr>
                <w:vertAlign w:val="superscript"/>
              </w:rPr>
              <w:t>15</w:t>
            </w:r>
            <w:r>
              <w:t>via het BMVI ongeveer 520 miljoen EUR heeft toegewezen aan de lidstaten van de Unie die grenzen aan Rusland en Belarus;</w:t>
            </w:r>
          </w:p>
        </w:tc>
        <w:tc>
          <w:tcPr>
            <w:tcW w:w="4876" w:type="dxa"/>
            <w:tcBorders>
              <w:top w:val="nil"/>
              <w:left w:val="nil"/>
              <w:bottom w:val="nil"/>
              <w:right w:val="nil"/>
            </w:tcBorders>
          </w:tcPr>
          <w:p>
            <w:pPr>
              <w:pStyle w:val="Normal6a"/>
            </w:pPr>
            <w:r>
              <w:t>144.</w:t>
            </w:r>
            <w:r>
              <w:tab/>
            </w:r>
            <w:r>
              <w:t>is van mening dat de Unie kwetsbare personen beter moet beschermen tegen netwerken van mensensmokkel en ‐handel; merkt op dat de Commissie na de goedkeuring van de mededeling van de Commissie van 11 december 2024</w:t>
            </w:r>
            <w:r>
              <w:rPr>
                <w:vertAlign w:val="superscript"/>
              </w:rPr>
              <w:t>15</w:t>
            </w:r>
            <w:r>
              <w:t xml:space="preserve"> via het BMVI ongeveer 520 miljoen EUR heeft toegewezen aan de lidstaten van de Unie die grenzen aan Rusland en Belarus;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wijst erop dat het beheer van de buitengrenzen van de Unie een pijler is van het nieuwe migratie- en asielpact; is van mening dat de Unie kwetsbare personen beter moet beschermen tegen netwerken van mensensmokkel en -handel; merkt op dat de Commissie na de goedkeuring van de mededeling van de Commissie van 11 december 2024</w:t>
            </w:r>
            <w:r>
              <w:rPr>
                <w:vertAlign w:val="superscript"/>
              </w:rPr>
              <w:t>15</w:t>
            </w:r>
            <w:r>
              <w:t xml:space="preserve"> via het BMVI ongeveer 520 miljoen EUR heeft toegewezen aan de lidstaten van de Unie die grenzen aan Rusland en Belarus;</w:t>
            </w:r>
          </w:p>
        </w:tc>
        <w:tc>
          <w:tcPr>
            <w:tcW w:w="4876" w:type="dxa"/>
            <w:tcBorders>
              <w:top w:val="nil"/>
              <w:left w:val="nil"/>
              <w:bottom w:val="nil"/>
              <w:right w:val="nil"/>
            </w:tcBorders>
          </w:tcPr>
          <w:p>
            <w:pPr>
              <w:pStyle w:val="Normal6a"/>
            </w:pPr>
            <w:r>
              <w:t>144.</w:t>
            </w:r>
            <w:r>
              <w:tab/>
            </w:r>
            <w:r>
              <w:t xml:space="preserve">wijst erop dat het beheer van de buitengrenzen van de Unie een pijler is van het nieuwe migratie- en asielpact; is van mening dat de Unie kwetsbare personen beter moet beschermen tegen netwerken van mensensmokkel en -handel </w:t>
            </w:r>
            <w:r>
              <w:rPr>
                <w:b/>
                <w:i/>
              </w:rPr>
              <w:t>en dat voor de bestrijding van deze netwerken extra financiële middelen nodig zijn</w:t>
            </w:r>
            <w:r>
              <w:t>; merkt op dat de Commissie na de goedkeuring van de mededeling van de Commissie van 11 december 2024</w:t>
            </w:r>
            <w:r>
              <w:rPr>
                <w:vertAlign w:val="superscript"/>
              </w:rPr>
              <w:t>15</w:t>
            </w:r>
            <w:r>
              <w:t xml:space="preserve"> via het BMVI ongeveer 520 miljoen EUR heeft toegewezen aan de lidstaten van de Unie die grenzen aan Rusland en Belarus;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COM(2024)0570.</w:t>
            </w:r>
          </w:p>
        </w:tc>
        <w:tc>
          <w:tcPr>
            <w:tcW w:w="4876" w:type="dxa"/>
            <w:tcBorders>
              <w:top w:val="nil"/>
              <w:left w:val="nil"/>
              <w:bottom w:val="nil"/>
              <w:right w:val="nil"/>
            </w:tcBorders>
          </w:tcPr>
          <w:p>
            <w:pPr>
              <w:pStyle w:val="Normal6a"/>
            </w:pPr>
            <w:r>
              <w:rPr>
                <w:vertAlign w:val="superscript"/>
              </w:rPr>
              <w:t>15</w:t>
            </w:r>
            <w:r>
              <w:t xml:space="preserve"> </w:t>
            </w:r>
            <w:r>
              <w:t>COM(2024)0570.</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144 bis.</w:t>
            </w:r>
            <w:r>
              <w:tab/>
            </w:r>
            <w:r>
              <w:rPr>
                <w:b/>
                <w:i/>
              </w:rPr>
              <w:t>benadrukt dat voor een doeltreffend beheer van de buitengrenzen van de Unie zowel operationele capaciteit als fysieke infrastructuur nodig zijn;</w:t>
            </w:r>
            <w:r>
              <w:t xml:space="preserve"> </w:t>
            </w:r>
            <w:r>
              <w:rPr>
                <w:b/>
                <w:i/>
              </w:rPr>
              <w:t>merkt op dat verschillende lidstaten aanzienlijke nationale middelen hebben geïnvesteerd in fysieke grensbeschermingsmaatregelen;</w:t>
            </w:r>
            <w:r>
              <w:t xml:space="preserve"> </w:t>
            </w:r>
            <w:r>
              <w:rPr>
                <w:b/>
                <w:i/>
              </w:rPr>
              <w:t>verzoekt de Commissie ervoor te zorgen dat Uniemiddelen, onder meer in het kader van het Fonds voor geïntegreerd grensbeheer, kunnen worden gebruikt om de aanleg en het onderhoud van fysieke barrières aan de buitengrenzen van de Unie te ondersteunen wanneer de lidstaten dergelijke maatregelen noodzakelijk achten voor een doeltreffend grensbeheer;</w:t>
            </w:r>
            <w:r>
              <w:t xml:space="preserve"> </w:t>
            </w:r>
            <w:r>
              <w:rPr>
                <w:b/>
                <w:i/>
              </w:rPr>
              <w:t>onderstreept dat de bescherming van de buitengrenzen van de Unie een voorwaarde is voor een goed financieel beheer van migratiegerelateerde Uniemiddelen;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herinnert eraan dat solidariteit en billijke verdeling van de verantwoordelijkheid kernbeginselen zijn die ten grondslag liggen aan het migratie- en asielbeleid van de Unie;</w:t>
            </w:r>
            <w:r>
              <w:t xml:space="preserve"> </w:t>
            </w:r>
            <w:r>
              <w:rPr>
                <w:b/>
                <w:i/>
              </w:rPr>
              <w:t>benadrukt in dit verband de rol van het AMIF bij het ondersteunen van de lidstaten bij opvang, asielprocedures, integratiemaatregelen en hervestiging, ook voor personen die op de vlucht zijn voor conflicten en humanitaire crises;</w:t>
            </w:r>
            <w:r>
              <w:t xml:space="preserve"> </w:t>
            </w:r>
            <w:r>
              <w:rPr>
                <w:b/>
                <w:i/>
              </w:rPr>
              <w:t>benadrukt dat voor een doeltreffende uitvoering van het migratie- en asielpact voldoende, goed beheerde en tijdige financiering nodig is om solidariteitsmaatregelen in de hele Unie te ondersteunen;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herinnert eraan dat solidariteit en billijke verdeling van de verantwoordelijkheid kernbeginselen zijn die ten grondslag liggen aan het migratie- en asielbeleid van de Unie;</w:t>
            </w:r>
            <w:r>
              <w:t xml:space="preserve"> </w:t>
            </w:r>
            <w:r>
              <w:rPr>
                <w:b/>
                <w:i/>
              </w:rPr>
              <w:t>benadrukt in dit verband de rol van het AMIF bij het ondersteunen van de lidstaten bij opvang, asielprocedures, integratiemaatregelen en hervestiging, ook voor personen die op de vlucht zijn voor conflicten en humanitaire crises;</w:t>
            </w:r>
            <w:r>
              <w:t xml:space="preserve"> </w:t>
            </w:r>
            <w:r>
              <w:rPr>
                <w:b/>
                <w:i/>
              </w:rPr>
              <w:t>benadrukt dat voor een doeltreffende uitvoering van het migratie- en asielpact voldoende, goed beheerde en tijdige financiering nodig is om solidariteitsmaatregelen in de hele Unie te ondersteunen;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145.</w:t>
            </w:r>
            <w:r>
              <w:tab/>
            </w:r>
            <w:r>
              <w:rPr>
                <w:b/>
                <w:i/>
              </w:rPr>
              <w:t>herinnert eraan dat solidariteit en billijke verdeling van de verantwoordelijkheid kernbeginselen zijn die ten grondslag liggen aan het migratie- en asielbeleid van de Unie;</w:t>
            </w:r>
            <w:r>
              <w:t xml:space="preserve"> </w:t>
            </w:r>
            <w:r>
              <w:rPr>
                <w:b/>
                <w:i/>
              </w:rPr>
              <w:t>benadrukt in dit verband de rol van het AMIF bij het ondersteunen van de lidstaten bij opvang, asielprocedures, integratiemaatregelen en hervestiging, ook voor personen die op de vlucht zijn voor conflicten en humanitaire crises;</w:t>
            </w:r>
            <w:r>
              <w:t xml:space="preserve"> </w:t>
            </w:r>
            <w:r>
              <w:rPr>
                <w:b/>
                <w:i/>
              </w:rPr>
              <w:t>benadrukt dat voor een doeltreffende uitvoering van het migratie- en asielpact voldoende, goed beheerde en tijdige financiering nodig is om solidariteitsmaatregelen in de hele Unie te ondersteunen;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145.</w:t>
            </w:r>
            <w:r>
              <w:tab/>
            </w:r>
            <w:r>
              <w:t>herinnert eraan dat solidariteit en billijke verdeling van de verantwoordelijkheid kernbeginselen zijn die ten grondslag liggen aan het migratie- en asielbeleid van de Unie; benadrukt in dit verband de rol van het AMIF bij het ondersteunen van de lidstaten bij opvang, asielprocedures, integratiemaatregelen en hervestiging, ook voor personen die op de vlucht zijn voor conflicten en humanitaire crises; benadrukt dat voor een doeltreffende uitvoering van het migratie- en asielpact voldoende, goed beheerde en tijdige financiering nodig is om solidariteitsmaatregelen in de hele Unie te ondersteunen;</w:t>
            </w:r>
          </w:p>
        </w:tc>
        <w:tc>
          <w:tcPr>
            <w:tcW w:w="4876" w:type="dxa"/>
            <w:tcBorders>
              <w:top w:val="nil"/>
              <w:left w:val="nil"/>
              <w:bottom w:val="nil"/>
              <w:right w:val="nil"/>
            </w:tcBorders>
          </w:tcPr>
          <w:p>
            <w:pPr>
              <w:pStyle w:val="Normal6a"/>
            </w:pPr>
            <w:r>
              <w:t>145.</w:t>
            </w:r>
            <w:r>
              <w:tab/>
            </w:r>
            <w:r>
              <w:t>herinnert eraan dat solidariteit en billijke verdeling van de verantwoordelijkheid kernbeginselen zijn die ten grondslag liggen aan het migratie- en asielbeleid van de Unie</w:t>
            </w:r>
            <w:r>
              <w:rPr>
                <w:b/>
                <w:i/>
              </w:rPr>
              <w:t>;</w:t>
            </w:r>
            <w:r>
              <w:t xml:space="preserve"> </w:t>
            </w:r>
            <w:r>
              <w:rPr>
                <w:b/>
                <w:i/>
              </w:rPr>
              <w:t>wijst er tegelijkertijd op dat echte solidariteit alleen mogelijk is als er rekening wordt gehouden met de verschillen tussen lidstaten op het gebied van bevolkingsdichtheid en ruimtelijke ordening</w:t>
            </w:r>
            <w:r>
              <w:t>; benadrukt in dit verband de rol van het AMIF bij het ondersteunen van de lidstaten bij opvang, asielprocedures, integratiemaatregelen en hervestiging, ook voor personen die op de vlucht zijn voor conflicten en humanitaire crises; benadrukt dat voor een doeltreffende uitvoering van het migratie- en asielpact voldoende, goed beheerde en tijdige financiering nodig is om solidariteitsmaatregelen in de hele Unie te ondersteunen;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145.</w:t>
            </w:r>
            <w:r>
              <w:tab/>
            </w:r>
            <w:r>
              <w:t>herinnert eraan dat solidariteit en billijke verdeling van de verantwoordelijkheid kernbeginselen zijn die ten grondslag liggen aan het migratie- en asielbeleid van de Unie; benadrukt in dit verband de rol van het AMIF bij het ondersteunen van de lidstaten bij opvang, asielprocedures, integratiemaatregelen en hervestiging, ook voor personen die op de vlucht zijn voor conflicten en humanitaire crises; benadrukt dat voor een doeltreffende uitvoering van het migratie- en asielpact voldoende, goed beheerde en tijdige financiering nodig is om solidariteitsmaatregelen in de hele Unie te ondersteunen;</w:t>
            </w:r>
          </w:p>
        </w:tc>
        <w:tc>
          <w:tcPr>
            <w:tcW w:w="4876" w:type="dxa"/>
            <w:tcBorders>
              <w:top w:val="nil"/>
              <w:left w:val="nil"/>
              <w:bottom w:val="nil"/>
              <w:right w:val="nil"/>
            </w:tcBorders>
          </w:tcPr>
          <w:p>
            <w:pPr>
              <w:pStyle w:val="Normal6a"/>
            </w:pPr>
            <w:r>
              <w:t>145.</w:t>
            </w:r>
            <w:r>
              <w:tab/>
            </w:r>
            <w:r>
              <w:t>herinnert eraan dat solidariteit en billijke verdeling van de verantwoordelijkheid</w:t>
            </w:r>
            <w:r>
              <w:rPr>
                <w:b/>
                <w:i/>
              </w:rPr>
              <w:t>, in overeenstemming met de Verdragen,</w:t>
            </w:r>
            <w:r>
              <w:t xml:space="preserve"> kernbeginselen zijn die ten grondslag liggen aan het migratie- en asielbeleid van de Unie; benadrukt in dit verband de rol van het AMIF bij het ondersteunen van de lidstaten bij opvang, asielprocedures, integratiemaatregelen en hervestiging, ook voor personen die op de vlucht zijn voor conflicten en humanitaire crises; benadrukt dat voor een doeltreffende uitvoering van het migratie- en asielpact voldoende, goed beheerde en tijdige financiering nodig is om solidariteitsmaatregelen in de hele Unie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145 bis.</w:t>
            </w:r>
            <w:r>
              <w:tab/>
            </w:r>
            <w:r>
              <w:rPr>
                <w:b/>
                <w:i/>
              </w:rPr>
              <w:t>benadrukt dat het migratie- en asielpact van de Europese Unie een falende poging tot het doorvoeren van grootscheepse hervormingen is;</w:t>
            </w:r>
            <w:r>
              <w:t xml:space="preserve"> </w:t>
            </w:r>
            <w:r>
              <w:rPr>
                <w:b/>
                <w:i/>
              </w:rPr>
              <w:t>wijst erop dat erkend moet worden dat illegale migratie moet worden gestopt voordat mensen de buitengrenzen bereiken en dat in plaats van quota voor het opnemen van migranten een effectief systeem voor de terugkeer van migranten en het voorkomen van nieuwe illegale migrantenstromen moet worden ingevoerd;</w:t>
            </w:r>
            <w:r>
              <w:t xml:space="preserve"> </w:t>
            </w:r>
            <w:r>
              <w:rPr>
                <w:b/>
                <w:i/>
              </w:rPr>
              <w:t>wijst erop dat het regelgevingskader van de Unie voor migratie en asiel gewijzigd moet worden en dat een extraterritoriaal systeem voor de behandeling van asielaanvragen buiten de Europese Unie moeten worden opgezet;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145 bis.</w:t>
            </w:r>
            <w:r>
              <w:tab/>
            </w:r>
            <w:r>
              <w:rPr>
                <w:b/>
                <w:i/>
              </w:rPr>
              <w:t>wijst erop dat lidstaten tegen hun grenzen aanlopen bij het organiseren van asielopvang en dat nieuwe instroombeperkende maatregelen noodzakelijk zijn;</w:t>
            </w:r>
            <w:r>
              <w:t xml:space="preserve"> </w:t>
            </w:r>
            <w:r>
              <w:rPr>
                <w:b/>
                <w:i/>
              </w:rPr>
              <w:t>constateert dat in het Europees Asiel- en Migratiepact is afgesproken dat het toepassen van versnelde grensprocedures mogelijk is in het geval van kansarme asielzoekers die maximaal twintig procent kans maken op asiel;</w:t>
            </w:r>
            <w:r>
              <w:t xml:space="preserve"> </w:t>
            </w:r>
            <w:r>
              <w:rPr>
                <w:b/>
                <w:i/>
              </w:rPr>
              <w:t>merkt op dat dit percentage verhoogd moet worden om recht te doen aan de draagkracht van de lidstaten;</w:t>
            </w:r>
            <w:r>
              <w:t xml:space="preserve"> </w:t>
            </w:r>
            <w:r>
              <w:rPr>
                <w:b/>
                <w:i/>
              </w:rPr>
              <w:t>wijst op het belang van voldoende financiering om deze grensprocedures effectief toe te kunnen passen;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merkt op dat in 2024 37,7 % van de Uniefinanciering voor migratie en grensbeheer is toegewezen aan gedecentraliseerde agentschappen op het gebied van migratie en binnenlandse zaken; herinnert eraan dat gedecentraliseerde agentschappen juridisch, financieel en bij de uitvoering van hun verplichtingen onafhankelijk zijn van de Commissie, maar dat de Commissie verantwoordelijk is voor het toezicht op hun activiteiten; herinnert eraan dat migratie moet worden beheerd met volledige inachtneming van het Unierecht, met inbegrip van de grondrechten; </w:t>
            </w:r>
            <w:r>
              <w:rPr>
                <w:b/>
                <w:i/>
              </w:rPr>
              <w:t>spreekt zijn ernstige bezorgdheid uit over meldingen van pushbacks</w:t>
            </w:r>
            <w:r>
              <w:t xml:space="preserve"> aan de buitengrenzen </w:t>
            </w:r>
            <w:r>
              <w:rPr>
                <w:b/>
                <w:i/>
              </w:rPr>
              <w:t>van de Unie, onder meer door Frontex in</w:t>
            </w:r>
            <w:r>
              <w:t xml:space="preserve"> Griekenland</w:t>
            </w:r>
            <w:r>
              <w:rPr>
                <w:b/>
                <w:i/>
              </w:rPr>
              <w:t>, en het daarmee verband houdende</w:t>
            </w:r>
            <w:r>
              <w:t xml:space="preserve"> arrest van het Europees Hof voor de Rechten van de Mens van 7 januari 2025</w:t>
            </w:r>
            <w:r>
              <w:rPr>
                <w:vertAlign w:val="superscript"/>
              </w:rPr>
              <w:t>16</w:t>
            </w:r>
            <w:r>
              <w:t xml:space="preserve">; </w:t>
            </w:r>
            <w:r>
              <w:rPr>
                <w:b/>
                <w:i/>
              </w:rPr>
              <w:t>waardeert</w:t>
            </w:r>
            <w:r>
              <w:t xml:space="preserve"> de schriftelijke antwoorden van de Commissie waarin wordt gesteld dat </w:t>
            </w:r>
            <w:r>
              <w:rPr>
                <w:b/>
                <w:i/>
              </w:rPr>
              <w:t>meer</w:t>
            </w:r>
            <w:r>
              <w:t xml:space="preserve"> toezicht op de activiteiten van Frontex </w:t>
            </w:r>
            <w:r>
              <w:rPr>
                <w:b/>
                <w:i/>
              </w:rPr>
              <w:t>in Griekenland nodig is</w:t>
            </w:r>
            <w:r>
              <w:t>;</w:t>
            </w:r>
          </w:p>
        </w:tc>
        <w:tc>
          <w:tcPr>
            <w:tcW w:w="4876" w:type="dxa"/>
            <w:tcBorders>
              <w:top w:val="nil"/>
              <w:left w:val="nil"/>
              <w:bottom w:val="nil"/>
              <w:right w:val="nil"/>
            </w:tcBorders>
          </w:tcPr>
          <w:p>
            <w:pPr>
              <w:pStyle w:val="Normal6a"/>
            </w:pPr>
            <w:r>
              <w:t>146.</w:t>
            </w:r>
            <w:r>
              <w:tab/>
            </w:r>
            <w:r>
              <w:t xml:space="preserve">merkt op dat in 2024 37,7 % van de Uniefinanciering voor migratie en grensbeheer is toegewezen aan gedecentraliseerde agentschappen op het gebied van migratie en binnenlandse zaken; herinnert eraan dat gedecentraliseerde agentschappen juridisch, financieel en bij de uitvoering van hun verplichtingen onafhankelijk zijn van de Commissie, maar dat de Commissie verantwoordelijk is voor het toezicht op hun activiteiten; herinnert eraan dat migratie moet worden beheerd met volledige inachtneming van het Unierecht, met inbegrip van de grondrechten; </w:t>
            </w:r>
            <w:r>
              <w:rPr>
                <w:b/>
                <w:i/>
              </w:rPr>
              <w:t>erkent dat de lidstaten</w:t>
            </w:r>
            <w:r>
              <w:t xml:space="preserve"> aan de buitengrenzen </w:t>
            </w:r>
            <w:r>
              <w:rPr>
                <w:b/>
                <w:i/>
              </w:rPr>
              <w:t>als eerste landen van binnenkomst onevenredig meer migratiestromen ontvangen;</w:t>
            </w:r>
            <w:r>
              <w:t xml:space="preserve"> </w:t>
            </w:r>
            <w:r>
              <w:rPr>
                <w:b/>
                <w:i/>
              </w:rPr>
              <w:t>prijst de inspanningen van</w:t>
            </w:r>
            <w:r>
              <w:t xml:space="preserve"> Griekenland </w:t>
            </w:r>
            <w:r>
              <w:rPr>
                <w:b/>
                <w:i/>
              </w:rPr>
              <w:t>om de grenzen van de Unie doeltreffend te beschermen tegen aanhoudende en grootschalige migratiedruk, met volledige inachtneming van zijn verplichtingen uit hoofde van het internationaal en Europees recht en met waarborging van de bescherming van de grondrechten bij de uitvoering van zijn operaties;</w:t>
            </w:r>
            <w:r>
              <w:t xml:space="preserve"> </w:t>
            </w:r>
            <w:r>
              <w:rPr>
                <w:b/>
                <w:i/>
              </w:rPr>
              <w:t>herinnert eraan dat de Griekse kustwacht de afgelopen tien jaar meer dan 300 000 irreguliere migranten in de Egeïsche Zee en de oostelijke Middellandse Zee heeft gered;</w:t>
            </w:r>
            <w:r>
              <w:t xml:space="preserve"> </w:t>
            </w:r>
            <w:r>
              <w:rPr>
                <w:b/>
                <w:i/>
              </w:rPr>
              <w:t>neemt kennis van het</w:t>
            </w:r>
            <w:r>
              <w:t xml:space="preserve"> arrest van het Europees Hof voor de Rechten van de Mens van 7 januari 2025</w:t>
            </w:r>
            <w:r>
              <w:rPr>
                <w:vertAlign w:val="superscript"/>
              </w:rPr>
              <w:t>16</w:t>
            </w:r>
            <w:r>
              <w:t xml:space="preserve">; </w:t>
            </w:r>
            <w:r>
              <w:rPr>
                <w:b/>
                <w:i/>
              </w:rPr>
              <w:t>benadrukt dat Turkije, als kandidaat-lidstaat van de EU, als veilig derde land kan worden aangemerkt;</w:t>
            </w:r>
            <w:r>
              <w:t xml:space="preserve"> </w:t>
            </w:r>
            <w:r>
              <w:rPr>
                <w:b/>
                <w:i/>
              </w:rPr>
              <w:t>neemt kennis van</w:t>
            </w:r>
            <w:r>
              <w:t xml:space="preserve"> de schriftelijke antwoorden van de Commissie waarin wordt gesteld dat </w:t>
            </w:r>
            <w:r>
              <w:rPr>
                <w:b/>
                <w:i/>
              </w:rPr>
              <w:t>het</w:t>
            </w:r>
            <w:r>
              <w:t xml:space="preserve"> toezicht op de activiteiten van Frontex </w:t>
            </w:r>
            <w:r>
              <w:rPr>
                <w:b/>
                <w:i/>
              </w:rPr>
              <w:t>onder haar verantwoordelijkheid valt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Europees Hof voor de Rechten van de Mens, zaak A.R.E. tegen Griekenland (aanvraag nr. 15783/21).</w:t>
            </w:r>
          </w:p>
        </w:tc>
        <w:tc>
          <w:tcPr>
            <w:tcW w:w="4876" w:type="dxa"/>
            <w:tcBorders>
              <w:top w:val="nil"/>
              <w:left w:val="nil"/>
              <w:bottom w:val="nil"/>
              <w:right w:val="nil"/>
            </w:tcBorders>
          </w:tcPr>
          <w:p>
            <w:pPr>
              <w:pStyle w:val="Normal6a"/>
            </w:pPr>
            <w:r>
              <w:rPr>
                <w:vertAlign w:val="superscript"/>
              </w:rPr>
              <w:t>16</w:t>
            </w:r>
            <w:r>
              <w:t xml:space="preserve"> </w:t>
            </w:r>
            <w:r>
              <w:t>Europees Hof voor de Rechten van de Mens, zaak A.R.E. tegen Griekenland (aanvraag nr. 15783/21).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merkt op dat in 2024 37,7 % van de Uniefinanciering voor migratie en grensbeheer is toegewezen aan gedecentraliseerde agentschappen op het gebied van migratie en binnenlandse zaken; herinnert eraan dat gedecentraliseerde agentschappen juridisch, financieel en bij de uitvoering van hun verplichtingen onafhankelijk zijn van de Commissie, maar dat de Commissie verantwoordelijk is voor het toezicht op hun activiteiten; herinnert eraan dat migratie moet worden beheerd met volledige inachtneming van het Unierecht, met inbegrip van de grondrechten; </w:t>
            </w:r>
            <w:r>
              <w:rPr>
                <w:b/>
                <w:i/>
              </w:rPr>
              <w:t>spreekt zijn ernstige bezorgdheid uit over meldingen van pushbacks aan de buitengrenzen van de Unie, onder meer door Frontex in Griekenland, en het daarmee verband houdende arrest van het Europees Hof voor de Rechten van de Mens van 7 januari 2025</w:t>
            </w:r>
            <w:r>
              <w:rPr>
                <w:b/>
                <w:i/>
                <w:vertAlign w:val="superscript"/>
              </w:rPr>
              <w:t>16</w:t>
            </w:r>
            <w:r>
              <w:rPr>
                <w:b/>
                <w:i/>
              </w:rPr>
              <w:t>;</w:t>
            </w:r>
            <w:r>
              <w:t xml:space="preserve"> </w:t>
            </w:r>
            <w:r>
              <w:rPr>
                <w:b/>
                <w:i/>
              </w:rPr>
              <w:t>waardeert de schriftelijke antwoorden van de Commissie waarin wordt gesteld dat meer toezicht op de activiteiten van Frontex in Griekenland nodig is;</w:t>
            </w:r>
          </w:p>
        </w:tc>
        <w:tc>
          <w:tcPr>
            <w:tcW w:w="4876" w:type="dxa"/>
            <w:tcBorders>
              <w:top w:val="nil"/>
              <w:left w:val="nil"/>
              <w:bottom w:val="nil"/>
              <w:right w:val="nil"/>
            </w:tcBorders>
          </w:tcPr>
          <w:p>
            <w:pPr>
              <w:pStyle w:val="Normal6a"/>
            </w:pPr>
            <w:r>
              <w:t>146.</w:t>
            </w:r>
            <w:r>
              <w:tab/>
            </w:r>
            <w:r>
              <w:t>merkt op dat in 2024 37,7 % van de Uniefinanciering voor migratie en grensbeheer is toegewezen aan gedecentraliseerde agentschappen op het gebied van migratie en binnenlandse zaken; herinnert eraan dat gedecentraliseerde agentschappen juridisch, financieel en bij de uitvoering van hun verplichtingen onafhankelijk zijn van de Commissie, maar dat de Commissie verantwoordelijk is voor het toezicht op hun activiteiten; herinnert eraan dat migratie moet worden beheerd met volledige inachtneming van het Unierecht, met inbegrip van de grondrechten;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Europees Hof voor de Rechten van de Mens, zaak A.R.E. tegen Griekenland (aanvraag nr.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merkt op dat in 2024 37,7 % van de Uniefinanciering voor migratie en grensbeheer is toegewezen aan gedecentraliseerde agentschappen op het gebied van migratie en binnenlandse zaken; herinnert eraan dat gedecentraliseerde agentschappen juridisch, financieel en bij de uitvoering van hun verplichtingen onafhankelijk zijn van de Commissie, maar dat de Commissie verantwoordelijk is voor het toezicht op hun activiteiten; </w:t>
            </w:r>
            <w:r>
              <w:rPr>
                <w:b/>
                <w:i/>
              </w:rPr>
              <w:t>herinnert eraan dat migratie moet worden beheerd met volledige inachtneming van het Unierecht, met inbegrip van de grondrechten;</w:t>
            </w:r>
            <w:r>
              <w:t xml:space="preserve"> </w:t>
            </w:r>
            <w:r>
              <w:rPr>
                <w:b/>
                <w:i/>
              </w:rPr>
              <w:t>spreekt zijn ernstige bezorgdheid uit over</w:t>
            </w:r>
            <w:r>
              <w:t xml:space="preserve"> meldingen van pushbacks aan de buitengrenzen van de Unie, onder meer door Frontex in Griekenland, en het daarmee verband houdende arrest van het Europees Hof voor de Rechten van de Mens van 7 januari 2025</w:t>
            </w:r>
            <w:r>
              <w:rPr>
                <w:vertAlign w:val="superscript"/>
              </w:rPr>
              <w:t>16</w:t>
            </w:r>
            <w:r>
              <w:t>; waardeert de schriftelijke antwoorden van de Commissie waarin wordt gesteld dat meer toezicht op de activiteiten van Frontex in Griekenland nodig is;</w:t>
            </w:r>
          </w:p>
        </w:tc>
        <w:tc>
          <w:tcPr>
            <w:tcW w:w="4876" w:type="dxa"/>
            <w:tcBorders>
              <w:top w:val="nil"/>
              <w:left w:val="nil"/>
              <w:bottom w:val="nil"/>
              <w:right w:val="nil"/>
            </w:tcBorders>
          </w:tcPr>
          <w:p>
            <w:pPr>
              <w:pStyle w:val="Normal6a"/>
            </w:pPr>
            <w:r>
              <w:t>146.</w:t>
            </w:r>
            <w:r>
              <w:tab/>
            </w:r>
            <w:r>
              <w:t xml:space="preserve">merkt op dat in 2024 37,7 % van de Uniefinanciering voor migratie en grensbeheer is toegewezen aan gedecentraliseerde agentschappen op het gebied van migratie en binnenlandse zaken; herinnert eraan dat gedecentraliseerde agentschappen juridisch, financieel en bij de uitvoering van hun verplichtingen onafhankelijk zijn van de Commissie, maar dat de Commissie verantwoordelijk is voor het toezicht op hun activiteiten; </w:t>
            </w:r>
            <w:r>
              <w:rPr>
                <w:b/>
                <w:i/>
              </w:rPr>
              <w:t>wijst op</w:t>
            </w:r>
            <w:r>
              <w:t xml:space="preserve"> meldingen van pushbacks aan de buitengrenzen van de Unie, onder meer door Frontex in Griekenland, en het daarmee verband houdende arrest van het Europees Hof voor de Rechten van de Mens van 7 januari 2025</w:t>
            </w:r>
            <w:r>
              <w:rPr>
                <w:vertAlign w:val="superscript"/>
              </w:rPr>
              <w:t>16</w:t>
            </w:r>
            <w:r>
              <w:t>; waardeert de schriftelijke antwoorden van de Commissie waarin wordt gesteld dat meer toezicht op de activiteiten van Frontex in Griekenland nodig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 xml:space="preserve">Europees Hof voor de Rechten van de Mens, zaak </w:t>
            </w:r>
            <w:r>
              <w:rPr>
                <w:b/>
                <w:i/>
              </w:rPr>
              <w:t>A.R.E</w:t>
            </w:r>
            <w:r>
              <w:t>. tegen Griekenland (aanvraag nr. 15783/21).</w:t>
            </w:r>
          </w:p>
        </w:tc>
        <w:tc>
          <w:tcPr>
            <w:tcW w:w="4876" w:type="dxa"/>
            <w:tcBorders>
              <w:top w:val="nil"/>
              <w:left w:val="nil"/>
              <w:bottom w:val="nil"/>
              <w:right w:val="nil"/>
            </w:tcBorders>
          </w:tcPr>
          <w:p>
            <w:pPr>
              <w:pStyle w:val="Normal6a"/>
            </w:pPr>
            <w:r>
              <w:rPr>
                <w:vertAlign w:val="superscript"/>
              </w:rPr>
              <w:t>16</w:t>
            </w:r>
            <w:r>
              <w:t xml:space="preserve"> </w:t>
            </w:r>
            <w:r>
              <w:t>Europees Hof voor de Rechten van de Mens, zaak </w:t>
            </w:r>
            <w:r>
              <w:rPr>
                <w:b/>
                <w:i/>
              </w:rPr>
              <w:t>A.</w:t>
            </w:r>
            <w:r>
              <w:t xml:space="preserve"> </w:t>
            </w:r>
            <w:r>
              <w:rPr>
                <w:b/>
                <w:i/>
              </w:rPr>
              <w:t>R.</w:t>
            </w:r>
            <w:r>
              <w:t xml:space="preserve"> </w:t>
            </w:r>
            <w:r>
              <w:rPr>
                <w:b/>
                <w:i/>
              </w:rPr>
              <w:t>E</w:t>
            </w:r>
            <w:r>
              <w:t>. tegen Griekenland (aanvraag nr. 15783/21).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 xml:space="preserve">merkt op dat in 2024 37,7 % van de Uniefinanciering voor migratie en grensbeheer is toegewezen aan gedecentraliseerde agentschappen op het gebied van migratie en binnenlandse zaken; herinnert eraan dat gedecentraliseerde agentschappen juridisch, financieel en bij de uitvoering van hun verplichtingen onafhankelijk zijn van de Commissie, maar dat de Commissie verantwoordelijk is voor het toezicht op hun activiteiten; </w:t>
            </w:r>
            <w:r>
              <w:rPr>
                <w:b/>
                <w:i/>
              </w:rPr>
              <w:t>herinnert eraan dat migratie moet worden beheerd met volledige inachtneming van het Unierecht, met inbegrip van de grondrechten;</w:t>
            </w:r>
            <w:r>
              <w:t xml:space="preserve"> </w:t>
            </w:r>
            <w:r>
              <w:rPr>
                <w:b/>
                <w:i/>
              </w:rPr>
              <w:t>spreekt zijn ernstige bezorgdheid uit over meldingen van pushbacks aan</w:t>
            </w:r>
            <w:r>
              <w:t xml:space="preserve"> de buitengrenzen van de Unie</w:t>
            </w:r>
            <w:r>
              <w:rPr>
                <w:b/>
                <w:i/>
              </w:rPr>
              <w:t>, onder meer door Frontex in Griekenland, en het daarmee verband houdende arrest van het Europees Hof</w:t>
            </w:r>
            <w:r>
              <w:t xml:space="preserve"> voor de </w:t>
            </w:r>
            <w:r>
              <w:rPr>
                <w:b/>
                <w:i/>
              </w:rPr>
              <w:t>Rechten van de Mens van 7 januari 2025</w:t>
            </w:r>
            <w:r>
              <w:rPr>
                <w:b/>
                <w:i/>
                <w:vertAlign w:val="superscript"/>
              </w:rPr>
              <w:t>16</w:t>
            </w:r>
            <w:r>
              <w:rPr>
                <w:b/>
                <w:i/>
              </w:rPr>
              <w:t>;</w:t>
            </w:r>
            <w:r>
              <w:t xml:space="preserve"> </w:t>
            </w:r>
            <w:r>
              <w:rPr>
                <w:b/>
                <w:i/>
              </w:rPr>
              <w:t>waardeert de schriftelijke antwoorden van</w:t>
            </w:r>
            <w:r>
              <w:t xml:space="preserve"> de Commissie </w:t>
            </w:r>
            <w:r>
              <w:rPr>
                <w:b/>
                <w:i/>
              </w:rPr>
              <w:t>waarin wordt gesteld dat meer toezicht op de activiteiten van Frontex in Griekenland</w:t>
            </w:r>
            <w:r>
              <w:t xml:space="preserve"> nodig </w:t>
            </w:r>
            <w:r>
              <w:rPr>
                <w:b/>
                <w:i/>
              </w:rPr>
              <w:t>is</w:t>
            </w:r>
            <w:r>
              <w:t>;</w:t>
            </w:r>
          </w:p>
        </w:tc>
        <w:tc>
          <w:tcPr>
            <w:tcW w:w="4876" w:type="dxa"/>
            <w:tcBorders>
              <w:top w:val="nil"/>
              <w:left w:val="nil"/>
              <w:bottom w:val="nil"/>
              <w:right w:val="nil"/>
            </w:tcBorders>
          </w:tcPr>
          <w:p>
            <w:pPr>
              <w:pStyle w:val="Normal6a"/>
            </w:pPr>
            <w:r>
              <w:t>146.</w:t>
            </w:r>
            <w:r>
              <w:tab/>
            </w:r>
            <w:r>
              <w:t xml:space="preserve">merkt op dat in 2024 37,7 % van de Uniefinanciering voor migratie en grensbeheer is toegewezen aan gedecentraliseerde agentschappen op het gebied van migratie en binnenlandse zaken; herinnert eraan dat gedecentraliseerde agentschappen juridisch, financieel en bij de uitvoering van hun verplichtingen onafhankelijk zijn van de Commissie, maar dat de Commissie verantwoordelijk is voor het toezicht op hun activiteiten; </w:t>
            </w:r>
            <w:r>
              <w:rPr>
                <w:b/>
                <w:i/>
              </w:rPr>
              <w:t>benadrukt dat de doeltreffende bescherming van</w:t>
            </w:r>
            <w:r>
              <w:t xml:space="preserve"> de buitengrenzen van de Unie </w:t>
            </w:r>
            <w:r>
              <w:rPr>
                <w:b/>
                <w:i/>
              </w:rPr>
              <w:t>van essentieel belang is</w:t>
            </w:r>
            <w:r>
              <w:t xml:space="preserve"> voor de </w:t>
            </w:r>
            <w:r>
              <w:rPr>
                <w:b/>
                <w:i/>
              </w:rPr>
              <w:t>interne veiligheid en het goede beheer van migratiegerelateerde Uniemiddelen;</w:t>
            </w:r>
            <w:r>
              <w:t xml:space="preserve"> </w:t>
            </w:r>
            <w:r>
              <w:rPr>
                <w:b/>
                <w:i/>
              </w:rPr>
              <w:t>verzoekt</w:t>
            </w:r>
            <w:r>
              <w:t xml:space="preserve"> de Commissie </w:t>
            </w:r>
            <w:r>
              <w:rPr>
                <w:b/>
                <w:i/>
              </w:rPr>
              <w:t>ervoor te zorgen dat de aan agentschappen voor grensbeheer toegewezen middelen doeltreffend worden gebruikt om de bescherming van de buitengrenzen en de strijd tegen netwerken voor illegale migratie, mensensmokkel en mensenhandel te versterken;</w:t>
            </w:r>
            <w:r>
              <w:t xml:space="preserve"> </w:t>
            </w:r>
            <w:r>
              <w:rPr>
                <w:b/>
                <w:i/>
              </w:rPr>
              <w:t>onderstreept dat de kwijtingsautoriteit uitgebreide prestatiegegevens</w:t>
            </w:r>
            <w:r>
              <w:t xml:space="preserve"> nodig </w:t>
            </w:r>
            <w:r>
              <w:rPr>
                <w:b/>
                <w:i/>
              </w:rPr>
              <w:t>heeft over de operationele doeltreffendheid van de uitgaven voor grensbeheer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Europees Hof voor de Rechten van de Mens, zaak A.R.E. tegen Griekenland (aanvraag nr.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merkt op dat in 2024 37,7 % van de Uniefinanciering voor migratie en grensbeheer is toegewezen aan gedecentraliseerde agentschappen op het gebied van migratie en binnenlandse zaken; herinnert eraan dat gedecentraliseerde agentschappen juridisch</w:t>
            </w:r>
            <w:r>
              <w:rPr>
                <w:b/>
                <w:i/>
              </w:rPr>
              <w:t>,</w:t>
            </w:r>
            <w:r>
              <w:t xml:space="preserve"> financieel </w:t>
            </w:r>
            <w:r>
              <w:rPr>
                <w:b/>
                <w:i/>
              </w:rPr>
              <w:t>en bij de uitvoering van hun verplichtingen</w:t>
            </w:r>
            <w:r>
              <w:t xml:space="preserve"> onafhankelijk zijn van de Commissie, maar dat de Commissie verantwoordelijk </w:t>
            </w:r>
            <w:r>
              <w:rPr>
                <w:b/>
                <w:i/>
              </w:rPr>
              <w:t>is</w:t>
            </w:r>
            <w:r>
              <w:t xml:space="preserve"> voor het toezicht op hun activiteiten; </w:t>
            </w:r>
            <w:r>
              <w:rPr>
                <w:b/>
                <w:i/>
              </w:rPr>
              <w:t>herinnert eraan dat migratie</w:t>
            </w:r>
            <w:r>
              <w:t xml:space="preserve"> moet worden </w:t>
            </w:r>
            <w:r>
              <w:rPr>
                <w:b/>
                <w:i/>
              </w:rPr>
              <w:t>beheerd</w:t>
            </w:r>
            <w:r>
              <w:t xml:space="preserve"> met volledige inachtneming van het Unierecht, met inbegrip van de grondrechten; </w:t>
            </w:r>
            <w:r>
              <w:rPr>
                <w:b/>
                <w:i/>
              </w:rPr>
              <w:t>spreekt zijn ernstige bezorgdheid uit over meldingen van pushbacks</w:t>
            </w:r>
            <w:r>
              <w:t xml:space="preserve"> aan de buitengrenzen van de Unie</w:t>
            </w:r>
            <w:r>
              <w:rPr>
                <w:b/>
                <w:i/>
              </w:rPr>
              <w:t>, onder meer door Frontex in Griekenland, en het daarmee verband houdende arrest van het Europees Hof voor de Rechten van de Mens van 7 januari 2025</w:t>
            </w:r>
            <w:r>
              <w:rPr>
                <w:b/>
                <w:i/>
                <w:vertAlign w:val="superscript"/>
              </w:rPr>
              <w:t>16</w:t>
            </w:r>
            <w:r>
              <w:rPr>
                <w:b/>
                <w:i/>
              </w:rPr>
              <w:t>;</w:t>
            </w:r>
            <w:r>
              <w:t xml:space="preserve"> </w:t>
            </w:r>
            <w:r>
              <w:rPr>
                <w:b/>
                <w:i/>
              </w:rPr>
              <w:t>waardeert</w:t>
            </w:r>
            <w:r>
              <w:t xml:space="preserve"> de schriftelijke antwoorden van de Commissie waarin wordt </w:t>
            </w:r>
            <w:r>
              <w:rPr>
                <w:b/>
                <w:i/>
              </w:rPr>
              <w:t>gesteld dat meer toezicht op</w:t>
            </w:r>
            <w:r>
              <w:t xml:space="preserve"> de activiteiten van Frontex </w:t>
            </w:r>
            <w:r>
              <w:rPr>
                <w:b/>
                <w:i/>
              </w:rPr>
              <w:t>in Griekenland nodig is</w:t>
            </w:r>
            <w:r>
              <w:t>;</w:t>
            </w:r>
          </w:p>
        </w:tc>
        <w:tc>
          <w:tcPr>
            <w:tcW w:w="4876" w:type="dxa"/>
            <w:tcBorders>
              <w:top w:val="nil"/>
              <w:left w:val="nil"/>
              <w:bottom w:val="nil"/>
              <w:right w:val="nil"/>
            </w:tcBorders>
          </w:tcPr>
          <w:p>
            <w:pPr>
              <w:pStyle w:val="Normal6a"/>
            </w:pPr>
            <w:r>
              <w:t>146.</w:t>
            </w:r>
            <w:r>
              <w:tab/>
            </w:r>
            <w:r>
              <w:t xml:space="preserve">merkt op dat in 2024 37,7 % van de Uniefinanciering voor migratie en grensbeheer is toegewezen aan gedecentraliseerde agentschappen op het gebied van migratie en binnenlandse zaken; herinnert eraan dat gedecentraliseerde agentschappen juridisch </w:t>
            </w:r>
            <w:r>
              <w:rPr>
                <w:b/>
                <w:i/>
              </w:rPr>
              <w:t>en</w:t>
            </w:r>
            <w:r>
              <w:t xml:space="preserve"> financieel onafhankelijk zijn van de Commissie, maar dat de Commissie verantwoordelijk </w:t>
            </w:r>
            <w:r>
              <w:rPr>
                <w:b/>
                <w:i/>
              </w:rPr>
              <w:t>blijft</w:t>
            </w:r>
            <w:r>
              <w:t xml:space="preserve"> voor het toezicht op hun activiteiten; </w:t>
            </w:r>
            <w:r>
              <w:rPr>
                <w:b/>
                <w:i/>
              </w:rPr>
              <w:t>herhaalt dat migratiebeheer</w:t>
            </w:r>
            <w:r>
              <w:t xml:space="preserve"> moet worden </w:t>
            </w:r>
            <w:r>
              <w:rPr>
                <w:b/>
                <w:i/>
              </w:rPr>
              <w:t>uitgevoerd</w:t>
            </w:r>
            <w:r>
              <w:t xml:space="preserve"> met volledige inachtneming van het Unierecht, met inbegrip van de grondrechten; </w:t>
            </w:r>
            <w:r>
              <w:rPr>
                <w:b/>
                <w:i/>
              </w:rPr>
              <w:t>neemt kennis van de verslagen en relevante gerechtelijke ontwikkelingen met betrekking tot de uitvoering van het recht van de Unie</w:t>
            </w:r>
            <w:r>
              <w:t xml:space="preserve"> aan de buitengrenzen van de Unie</w:t>
            </w:r>
            <w:r>
              <w:rPr>
                <w:b/>
                <w:i/>
              </w:rPr>
              <w:t>;</w:t>
            </w:r>
            <w:r>
              <w:t xml:space="preserve"> </w:t>
            </w:r>
            <w:r>
              <w:rPr>
                <w:b/>
                <w:i/>
              </w:rPr>
              <w:t>is ingenomen met</w:t>
            </w:r>
            <w:r>
              <w:t xml:space="preserve"> de schriftelijke antwoorden van de Commissie waarin wordt </w:t>
            </w:r>
            <w:r>
              <w:rPr>
                <w:b/>
                <w:i/>
              </w:rPr>
              <w:t>benadrukt dat de monitoring- en verantwoordingsmechanismen verder moeten worden versterkt, ook met betrekking tot</w:t>
            </w:r>
            <w:r>
              <w:t xml:space="preserve"> de activiteiten van Frontex;</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Europees Hof voor de Rechten van de Mens, zaak A.R.E. tegen Griekenland (aanvraag nr. 15783/21).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146 bis.</w:t>
            </w:r>
            <w:r>
              <w:tab/>
            </w:r>
            <w:r>
              <w:rPr>
                <w:b/>
                <w:i/>
              </w:rPr>
              <w:t>betreurt dat het Hof van Justitie van de Europese Unie een boete heeft opgelegd aan Hongarije omdat het land geweigerd heeft migranten toe te laten voordat een definitief besluit over hun aanvraag was genomen;</w:t>
            </w:r>
            <w:r>
              <w:t xml:space="preserve"> </w:t>
            </w:r>
            <w:r>
              <w:rPr>
                <w:b/>
                <w:i/>
              </w:rPr>
              <w:t>verlangt dat de Commissie een deel van de 2 miljard EUR die bestemd is voor uitgaven in verband met de nationale grensbewaking van Hongarije gebruikt voor het financieren van de boete die het Hof van Justitie van de Europese Unie aan dit land heeft opgelegd;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148 – punt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de door de lidstaten en de agentschappen van de Unie vereiste stappen voor de volledige uitvoering van het migratie- en asielpact tegen 2026 te blijven volgen en controleren, en aan het Parlement verslag uit te brengen over de vooruitgang bij de uitvoering ervan;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148 – punt iii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bis)</w:t>
            </w:r>
            <w:r>
              <w:tab/>
            </w:r>
            <w:r>
              <w:rPr>
                <w:b/>
                <w:i/>
              </w:rPr>
              <w:t>lidstaten in de voorste linie steun te verlenen met het oog op de beveiliging van de buitengrenzen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148 – punt iii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ter)</w:t>
            </w:r>
            <w:r>
              <w:tab/>
            </w:r>
            <w:r>
              <w:rPr>
                <w:b/>
                <w:i/>
              </w:rPr>
              <w:t>de transparantie en verantwoordingsplicht met betrekking tot de programmering en uitvoering van de fondsen van de Unie op het gebied van binnenlandse zaken te vergroten door te zorgen voor gedetailleerde en uitgebreide gegevens, met name over middelen die in derde landen worden uitgegeven, en tegelijkertijd de rol van het Parlement bij het democratisch toezicht op de uitgaven van de Unie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148 – punt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nauwlettend toe te zien op door de Unie gefinancierde acties voor grensbeheer, met name om de volledige naleving van de grondrechten in de Unie en het beginsel van non-refoulement te waarborgen;</w:t>
            </w:r>
          </w:p>
        </w:tc>
        <w:tc>
          <w:tcPr>
            <w:tcW w:w="4876" w:type="dxa"/>
            <w:tcBorders>
              <w:top w:val="nil"/>
              <w:left w:val="nil"/>
              <w:bottom w:val="nil"/>
              <w:right w:val="nil"/>
            </w:tcBorders>
          </w:tcPr>
          <w:p>
            <w:pPr>
              <w:pStyle w:val="Normal6a"/>
            </w:pPr>
            <w:r>
              <w:t>iv)</w:t>
            </w:r>
            <w:r>
              <w:tab/>
            </w:r>
            <w:r>
              <w:t xml:space="preserve">nauwlettend toe te zien op door de Unie gefinancierde acties voor grensbeheer, met name om de </w:t>
            </w:r>
            <w:r>
              <w:rPr>
                <w:b/>
                <w:i/>
              </w:rPr>
              <w:t>effectiviteit van genomen instroombeperkende maatregelen en</w:t>
            </w:r>
            <w:r>
              <w:t xml:space="preserve"> volledige naleving van de grondrechten in de Unie en het beginsel van non-refoulement te waarborgen;</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148 – punt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nauwlettend toe te zien op door de Unie gefinancierde </w:t>
            </w:r>
            <w:r>
              <w:rPr>
                <w:b/>
                <w:i/>
              </w:rPr>
              <w:t>acties voor grensbeheer</w:t>
            </w:r>
            <w:r>
              <w:t xml:space="preserve">, met name om </w:t>
            </w:r>
            <w:r>
              <w:rPr>
                <w:b/>
                <w:i/>
              </w:rPr>
              <w:t>de volledige naleving</w:t>
            </w:r>
            <w:r>
              <w:t xml:space="preserve"> van de grondrechten </w:t>
            </w:r>
            <w:r>
              <w:rPr>
                <w:b/>
                <w:i/>
              </w:rPr>
              <w:t>in de Unie en het beginsel van non-refoulement te waarborgen</w:t>
            </w:r>
            <w:r>
              <w:t>;</w:t>
            </w:r>
          </w:p>
        </w:tc>
        <w:tc>
          <w:tcPr>
            <w:tcW w:w="4876" w:type="dxa"/>
            <w:tcBorders>
              <w:top w:val="nil"/>
              <w:left w:val="nil"/>
              <w:bottom w:val="nil"/>
              <w:right w:val="nil"/>
            </w:tcBorders>
          </w:tcPr>
          <w:p>
            <w:pPr>
              <w:pStyle w:val="Normal6a"/>
            </w:pPr>
            <w:r>
              <w:t>iv)</w:t>
            </w:r>
            <w:r>
              <w:tab/>
            </w:r>
            <w:r>
              <w:t xml:space="preserve">nauwlettend toe te zien op door de Unie gefinancierde </w:t>
            </w:r>
            <w:r>
              <w:rPr>
                <w:b/>
                <w:i/>
              </w:rPr>
              <w:t>grensbeheeracties</w:t>
            </w:r>
            <w:r>
              <w:t xml:space="preserve">, met name om </w:t>
            </w:r>
            <w:r>
              <w:rPr>
                <w:b/>
                <w:i/>
              </w:rPr>
              <w:t>ervoor te zorgen dat de verplichtingen van de Unie op het gebied</w:t>
            </w:r>
            <w:r>
              <w:t xml:space="preserve"> van de grondrechten </w:t>
            </w:r>
            <w:r>
              <w:rPr>
                <w:b/>
                <w:i/>
              </w:rPr>
              <w:t>volledig worden nageleefd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152.</w:t>
            </w:r>
            <w:r>
              <w:tab/>
            </w:r>
            <w:r>
              <w:t xml:space="preserve">herinnert eraan dat de zeer onstabiele geopolitieke situatie in de buurlanden van de Unie tot grotere veiligheids- en defensie-uitdagingen, waaronder hybride dreigingen, heeft geleid; wijst erop dat Rusland </w:t>
            </w:r>
            <w:r>
              <w:rPr>
                <w:b/>
                <w:i/>
              </w:rPr>
              <w:t>een aanzienlijke</w:t>
            </w:r>
            <w:r>
              <w:t xml:space="preserve"> bedreiging vormt voor de </w:t>
            </w:r>
            <w:r>
              <w:rPr>
                <w:b/>
                <w:i/>
              </w:rPr>
              <w:t>veiligheid van de Unie</w:t>
            </w:r>
            <w:r>
              <w:t>; herinnert eraan dat het Europees Parlement de Unie en haar lidstaten heeft verzocht een rechtskader tot stand te brengen op grond waarvan Rusland kan worden aangemerkt als staatssponsor van terrorisme;</w:t>
            </w:r>
          </w:p>
        </w:tc>
        <w:tc>
          <w:tcPr>
            <w:tcW w:w="4876" w:type="dxa"/>
            <w:tcBorders>
              <w:top w:val="nil"/>
              <w:left w:val="nil"/>
              <w:bottom w:val="nil"/>
              <w:right w:val="nil"/>
            </w:tcBorders>
          </w:tcPr>
          <w:p>
            <w:pPr>
              <w:pStyle w:val="Normal6a"/>
            </w:pPr>
            <w:r>
              <w:t>152.</w:t>
            </w:r>
            <w:r>
              <w:tab/>
            </w:r>
            <w:r>
              <w:t xml:space="preserve">herinnert eraan dat de zeer onstabiele geopolitieke situatie in de buurlanden van de Unie </w:t>
            </w:r>
            <w:r>
              <w:rPr>
                <w:b/>
                <w:i/>
              </w:rPr>
              <w:t>sinds het begin van de Russische aanvalsoorlog tegen Oekraïne</w:t>
            </w:r>
            <w:r>
              <w:t xml:space="preserve"> tot grotere veiligheids- en defensie-uitdagingen, waaronder hybride dreigingen, heeft geleid </w:t>
            </w:r>
            <w:r>
              <w:rPr>
                <w:b/>
                <w:i/>
              </w:rPr>
              <w:t>en daarmee tot grotere investeringsbehoeften op het gebied van veiligheid, defensie en paraatheid</w:t>
            </w:r>
            <w:r>
              <w:t xml:space="preserve">; wijst erop dat </w:t>
            </w:r>
            <w:r>
              <w:rPr>
                <w:b/>
                <w:i/>
              </w:rPr>
              <w:t>MFK-rubriek 5, die bestemd is voor veiligheid en defensie, de kleinste van alle MFK-rubrieken is, en betreurt dat de huidige begroting van de Unie voor het waarborgen van de veiligheid en defensie van haar burgers niet berekend is op de uitdagingen die op korte of lange termijn moeten worden aangegaan;</w:t>
            </w:r>
            <w:r>
              <w:t xml:space="preserve"> </w:t>
            </w:r>
            <w:r>
              <w:rPr>
                <w:b/>
                <w:i/>
              </w:rPr>
              <w:t>herhaalt zijn standpunt dat </w:t>
            </w:r>
            <w:r>
              <w:t xml:space="preserve">Rusland </w:t>
            </w:r>
            <w:r>
              <w:rPr>
                <w:b/>
                <w:i/>
              </w:rPr>
              <w:t>de grootste en voornaamste</w:t>
            </w:r>
            <w:r>
              <w:t xml:space="preserve"> bedreiging vormt voor de </w:t>
            </w:r>
            <w:r>
              <w:rPr>
                <w:b/>
                <w:i/>
              </w:rPr>
              <w:t>EU en haar lidstaten</w:t>
            </w:r>
            <w:r>
              <w:t>; herinnert eraan dat het Europees Parlement de Unie en haar lidstaten heeft verzocht een rechtskader tot stand te brengen op grond waarvan Rusland kan worden aangemerkt als staatssponsor van terrorisme;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herinnert eraan dat de defensievermogens in de Unie te lijden hebben onder decennialange onderinvestering en dat de kloof op het gebied van defensie-uitgaven voor het komende decennium volgens de Commissie momenteel 500 miljard EUR bedraagt; merkt op dat vanwege de dringende noodzaak om de defensievermogens van de Unie te versterken, het aantal financieringsinstrumenten van de Unie op defensiegebied sinds de Russische aanvalsoorlog tegen Oekraïne is toegenomen; merkt op dat de defensie-instrumenten van de Unie buiten de begroting gehouden instrumenten omvatten zoals de Europese Vredesfaciliteit (EPF) en het Optreden voor de veiligheid van Europa (SAFE), een tijdelijk leningsinstrument op het gebied van defensie; wijst er voorts op dat naast financieringsprogramma’s voor defensie ook andere programma’s van de Unie kunnen dienen voor tweeërlei gebruik, met name de component militaire mobiliteit van de Connecting Europe Facility (CEF) en het programma van de Unie voor beveiligde connectiviteit, dat in 2023 in de eerste plaats in het leven is geroepen om de lidstaten van de Unie gegarandeerde toegang te bieden tot zeer veilige, soevereine en mondiale connectiviteitsdiensten; merkt ook op dat de fondsen van het cohesiebeleid na de tussentijdse evaluatie in september 2025 ook kunnen worden gebruikt om de militaire mobiliteit te verbeteren en de defensie‑infrastructuur te ontwikkelen, met name in de oostelijke grensregio’s;</w:t>
            </w:r>
          </w:p>
        </w:tc>
        <w:tc>
          <w:tcPr>
            <w:tcW w:w="4876" w:type="dxa"/>
            <w:tcBorders>
              <w:top w:val="nil"/>
              <w:left w:val="nil"/>
              <w:bottom w:val="nil"/>
              <w:right w:val="nil"/>
            </w:tcBorders>
          </w:tcPr>
          <w:p>
            <w:pPr>
              <w:pStyle w:val="Normal6a"/>
            </w:pPr>
            <w:r>
              <w:t>153.</w:t>
            </w:r>
            <w:r>
              <w:tab/>
            </w:r>
            <w:r>
              <w:t xml:space="preserve">herinnert eraan dat de defensievermogens in de Unie te lijden hebben onder decennialange onderinvestering en dat de kloof op het gebied van defensie-uitgaven voor het komende decennium volgens de Commissie momenteel 500 miljard EUR bedraagt; merkt op dat vanwege de dringende noodzaak om de defensievermogens van de Unie te versterken, het aantal financieringsinstrumenten van de Unie op defensiegebied sinds de Russische aanvalsoorlog tegen Oekraïne is toegenomen; merkt op dat de defensie-instrumenten van de Unie buiten de begroting gehouden instrumenten omvatten zoals de Europese Vredesfaciliteit (EPF) en het Optreden voor de veiligheid van Europa (SAFE), een tijdelijk leningsinstrument op het gebied van defensie; wijst er voorts op dat naast financieringsprogramma’s voor defensie ook andere programma’s van de Unie kunnen dienen voor tweeërlei gebruik, met name de component militaire mobiliteit van de Connecting Europe Facility (CEF) en het programma van de Unie voor beveiligde connectiviteit, dat in 2023 in de eerste plaats in het leven is geroepen om de lidstaten van de Unie gegarandeerde toegang te bieden tot zeer veilige, soevereine en mondiale connectiviteitsdiensten; merkt ook op dat de fondsen van het cohesiebeleid na de tussentijdse evaluatie in september 2025 ook kunnen worden gebruikt om de militaire mobiliteit te verbeteren en de defensie‑infrastructuur te ontwikkelen, met name in de oostelijke grensregio’s; </w:t>
            </w:r>
            <w:r>
              <w:rPr>
                <w:b/>
                <w:i/>
              </w:rPr>
              <w:t>betreurt dat door de beperkingen en voorwaarden die in het SAFE-instrument zijn vastgesteld, de doelstellingen waarvoor het is opgericht, minder goed te verwezenlijken vallen, een doeltreffende toewijzing van middelen wordt belemmerd en de lidstaten, met name de lidstaten die het kwetsbaarst zijn voor externe bedreigingen, het niet volledig kunnen benutten;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 xml:space="preserve">herinnert eraan dat de defensievermogens in de Unie te lijden hebben onder decennialange onderinvestering en dat de kloof op het gebied van defensie-uitgaven voor het komende decennium volgens de Commissie momenteel 500 miljard EUR bedraagt; </w:t>
            </w:r>
            <w:r>
              <w:rPr>
                <w:b/>
                <w:i/>
              </w:rPr>
              <w:t>merkt op</w:t>
            </w:r>
            <w:r>
              <w:t xml:space="preserve"> dat vanwege de dringende noodzaak om de defensievermogens van de Unie te versterken, het aantal financieringsinstrumenten van de Unie op defensiegebied sinds de Russische aanvalsoorlog tegen Oekraïne is toegenomen; merkt op dat de defensie-instrumenten van de Unie buiten de begroting gehouden instrumenten omvatten zoals de Europese Vredesfaciliteit (EPF) en het Optreden voor de veiligheid van Europa (SAFE), een tijdelijk leningsinstrument op het gebied van defensie; wijst er voorts op dat naast financieringsprogramma’s voor defensie ook andere programma’s van de Unie kunnen dienen voor tweeërlei gebruik, met name de component militaire mobiliteit van de Connecting Europe Facility (CEF) en het programma van de Unie voor beveiligde connectiviteit, dat in 2023 in de eerste plaats in het leven is geroepen om de lidstaten van de Unie gegarandeerde toegang te bieden tot zeer veilige, soevereine en mondiale connectiviteitsdiensten; merkt ook op dat de fondsen van het cohesiebeleid na de tussentijdse evaluatie in september 2025 ook kunnen worden gebruikt om de militaire mobiliteit te verbeteren en de defensie‑infrastructuur te ontwikkelen, met name in de oostelijke grensregio’s;</w:t>
            </w:r>
          </w:p>
        </w:tc>
        <w:tc>
          <w:tcPr>
            <w:tcW w:w="4876" w:type="dxa"/>
            <w:tcBorders>
              <w:top w:val="nil"/>
              <w:left w:val="nil"/>
              <w:bottom w:val="nil"/>
              <w:right w:val="nil"/>
            </w:tcBorders>
          </w:tcPr>
          <w:p>
            <w:pPr>
              <w:pStyle w:val="Normal6a"/>
            </w:pPr>
            <w:r>
              <w:t>153.</w:t>
            </w:r>
            <w:r>
              <w:tab/>
            </w:r>
            <w:r>
              <w:t xml:space="preserve">herinnert eraan dat de defensievermogens in de Unie te lijden hebben onder decennialange onderinvestering en dat de kloof op het gebied van defensie-uitgaven voor het komende decennium volgens de Commissie momenteel 500 miljard EUR bedraagt; </w:t>
            </w:r>
            <w:r>
              <w:rPr>
                <w:b/>
                <w:i/>
              </w:rPr>
              <w:t>is verheugd</w:t>
            </w:r>
            <w:r>
              <w:t xml:space="preserve"> dat vanwege de dringende noodzaak om de defensievermogens van de Unie te versterken, het aantal financieringsinstrumenten van de Unie op defensiegebied sinds de Russische aanvalsoorlog tegen Oekraïne is toegenomen; merkt op dat de defensie-instrumenten van de Unie buiten de begroting gehouden instrumenten omvatten zoals de Europese Vredesfaciliteit (EPF) en het Optreden voor de veiligheid van Europa (SAFE), een tijdelijk leningsinstrument op het gebied van defensie; wijst er voorts op dat naast financieringsprogramma’s voor defensie ook andere programma’s van de Unie kunnen dienen voor tweeërlei gebruik, met name de component militaire mobiliteit van de Connecting Europe Facility (CEF) en het programma van de Unie voor beveiligde connectiviteit, dat in 2023 in de eerste plaats in het leven is geroepen om de lidstaten van de Unie gegarandeerde toegang te bieden tot zeer veilige, soevereine en mondiale connectiviteitsdiensten; merkt ook op dat de fondsen van het cohesiebeleid na de tussentijdse evaluatie in september 2025 ook kunnen worden gebruikt om de militaire mobiliteit te verbeteren en de defensie‑infrastructuur te ontwikkelen, met name in de oostelijke grensregio’s;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Eero Heinäluoma, Jens Geier,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154.</w:t>
            </w:r>
            <w:r>
              <w:tab/>
            </w:r>
            <w:r>
              <w:t>waardeert de schriftelijke antwoorden van de Commissie waarin wordt erkend dat de veelheid aan defensiegerelateerde instrumenten heeft geleid tot een versnipperd financieringslandschap, met bepaalde overlappingen en lacunes; wijst erop dat de transparantie van defensiefinanciering door de Unie verder moet worden verbeterd, onder meer door de controlerechten van de Rekenkamer voor alle instrumenten te waarborgen en ervoor te zorgen dat de kwijtingsautoriteit democratische controle kan uitoefenen op alle door de Unie gefinancierde activiteiten; benadrukt dat de gepubliceerde informatie over defensiefinanciering door de Unie gebruiksvriendelijker moet worden gemaakt, zodat ook aanvragers en begunstigden, met name kmo’s, ervan kunnen profiteren;</w:t>
            </w:r>
          </w:p>
        </w:tc>
        <w:tc>
          <w:tcPr>
            <w:tcW w:w="4876" w:type="dxa"/>
            <w:tcBorders>
              <w:top w:val="nil"/>
              <w:left w:val="nil"/>
              <w:bottom w:val="nil"/>
              <w:right w:val="nil"/>
            </w:tcBorders>
          </w:tcPr>
          <w:p>
            <w:pPr>
              <w:pStyle w:val="Normal6a"/>
            </w:pPr>
            <w:r>
              <w:t>154.</w:t>
            </w:r>
            <w:r>
              <w:tab/>
            </w:r>
            <w:r>
              <w:t>waardeert de schriftelijke antwoorden van de Commissie waarin wordt erkend dat de veelheid aan defensiegerelateerde instrumenten heeft geleid tot een versnipperd financieringslandschap, met bepaalde overlappingen en lacunes</w:t>
            </w:r>
            <w:r>
              <w:rPr>
                <w:b/>
                <w:i/>
              </w:rPr>
              <w:t>;</w:t>
            </w:r>
            <w:r>
              <w:t xml:space="preserve"> </w:t>
            </w:r>
            <w:r>
              <w:rPr>
                <w:b/>
                <w:i/>
              </w:rPr>
              <w:t>onderstreept dat er op het gebied van veiligheids- en defensiefinanciering een alomvattende langetermijnaanpak van de Unie nodig is, waarbij zowel conventionele militaire als niet-conventionele dreigingen worden aangepakt</w:t>
            </w:r>
            <w:r>
              <w:t xml:space="preserve">; wijst erop dat de transparantie van defensiefinanciering door de Unie verder moet worden verbeterd, onder meer door de controlerechten van de Rekenkamer voor alle instrumenten te waarborgen en ervoor te zorgen dat de kwijtingsautoriteit democratische controle kan uitoefenen op alle door de Unie gefinancierde activiteiten; benadrukt dat de gepubliceerde informatie over defensiefinanciering door de Unie gebruiksvriendelijker moet worden gemaakt, zodat ook aanvragers en begunstigden, met name kmo’s, ervan kunnen profiteren; </w:t>
            </w:r>
            <w:r>
              <w:rPr>
                <w:b/>
                <w:i/>
              </w:rPr>
              <w:t>onderstreept dat de deelname van kmo’s in alle lidstaten moet worden vergemakkelijkt en bevorderd en de eerlijke en billijke toegang van die kmo’s tot door de EU gefinancierde projecten moet worden gewaarborgd;</w:t>
            </w:r>
            <w:r>
              <w:t xml:space="preserve"> </w:t>
            </w:r>
            <w:r>
              <w:rPr>
                <w:b/>
                <w:i/>
              </w:rPr>
              <w:t>moedigt aanhoudende investeringen en steun voor kmo’s aan en dringt aan op vereenvoudigde toegang tot EU-financiering;</w:t>
            </w:r>
            <w:r>
              <w:t xml:space="preserve"> </w:t>
            </w:r>
            <w:r>
              <w:rPr>
                <w:b/>
                <w:i/>
              </w:rPr>
              <w:t>benadrukt dat alle initiatieven en financiële instrumenten van de EU op het gebied van de defensie-industrie alle actoren in die industrie in de hele EU een gelijk speelveld moeten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155.</w:t>
            </w:r>
            <w:r>
              <w:tab/>
            </w:r>
            <w:r>
              <w:t xml:space="preserve">wijst erop dat de snelle stijging van de defensie- en veiligheidsuitgaven van de Unie in 2024 controleregelingen vereist die </w:t>
            </w:r>
            <w:r>
              <w:rPr>
                <w:b/>
                <w:i/>
              </w:rPr>
              <w:t>in de praktijk gelijkwaardig zijn aan die welke van toepassing zijn op civiele uitgaven, met inbegrip van effectieve toegang voor</w:t>
            </w:r>
            <w:r>
              <w:t xml:space="preserve"> de Europese Rekenkamer, OLAF en het EOM tot alle relevante documentatie, </w:t>
            </w:r>
            <w:r>
              <w:rPr>
                <w:b/>
                <w:i/>
              </w:rPr>
              <w:t>zelfs wanneer</w:t>
            </w:r>
            <w:r>
              <w:t xml:space="preserve"> projecten </w:t>
            </w:r>
            <w:r>
              <w:rPr>
                <w:b/>
                <w:i/>
              </w:rPr>
              <w:t>betrekking hebben op gerubriceerde technologieën of</w:t>
            </w:r>
            <w:r>
              <w:t xml:space="preserve"> technologieën voor tweeërlei gebruik; herinnert eraan dat de Commissie zelf heeft erkend dat de toegang tot gerubriceerde documenten kan worden uitgesteld </w:t>
            </w:r>
            <w:r>
              <w:rPr>
                <w:b/>
                <w:i/>
              </w:rPr>
              <w:t>of verhinderd</w:t>
            </w:r>
            <w:r>
              <w:t xml:space="preserve"> wanneer lidstaten </w:t>
            </w:r>
            <w:r>
              <w:rPr>
                <w:b/>
                <w:i/>
              </w:rPr>
              <w:t>de “opstellers” van de</w:t>
            </w:r>
            <w:r>
              <w:t xml:space="preserve"> rubricering </w:t>
            </w:r>
            <w:r>
              <w:rPr>
                <w:b/>
                <w:i/>
              </w:rPr>
              <w:t>zijn en dat corrigerende</w:t>
            </w:r>
            <w:r>
              <w:t xml:space="preserve"> maatregelen</w:t>
            </w:r>
            <w:r>
              <w:rPr>
                <w:b/>
                <w:i/>
              </w:rPr>
              <w:t>, waaronder opschorting of beëindiging van financiering, nodig kunnen zijn wanneer de toegang tot controles wordt belemmerd</w:t>
            </w:r>
            <w:r>
              <w:t>;</w:t>
            </w:r>
          </w:p>
        </w:tc>
        <w:tc>
          <w:tcPr>
            <w:tcW w:w="4876" w:type="dxa"/>
            <w:tcBorders>
              <w:top w:val="nil"/>
              <w:left w:val="nil"/>
              <w:bottom w:val="nil"/>
              <w:right w:val="nil"/>
            </w:tcBorders>
          </w:tcPr>
          <w:p>
            <w:pPr>
              <w:pStyle w:val="Normal6a"/>
            </w:pPr>
            <w:r>
              <w:t>155.</w:t>
            </w:r>
            <w:r>
              <w:tab/>
            </w:r>
            <w:r>
              <w:t xml:space="preserve">wijst erop dat de snelle stijging van de defensie- en veiligheidsuitgaven van de Unie in 2024 </w:t>
            </w:r>
            <w:r>
              <w:rPr>
                <w:b/>
                <w:i/>
              </w:rPr>
              <w:t>evenredige</w:t>
            </w:r>
            <w:r>
              <w:t xml:space="preserve"> controleregelingen vereist</w:t>
            </w:r>
            <w:r>
              <w:rPr>
                <w:b/>
                <w:i/>
              </w:rPr>
              <w:t>,</w:t>
            </w:r>
            <w:r>
              <w:t xml:space="preserve"> die de Europese Rekenkamer, OLAF en het EOM </w:t>
            </w:r>
            <w:r>
              <w:rPr>
                <w:b/>
                <w:i/>
              </w:rPr>
              <w:t>in overeenstemming met de EU-vereisten effectieve toegang bieden</w:t>
            </w:r>
            <w:r>
              <w:t xml:space="preserve"> tot alle relevante documentatie, </w:t>
            </w:r>
            <w:r>
              <w:rPr>
                <w:b/>
                <w:i/>
              </w:rPr>
              <w:t>met inbegrip van</w:t>
            </w:r>
            <w:r>
              <w:t xml:space="preserve"> projecten </w:t>
            </w:r>
            <w:r>
              <w:rPr>
                <w:b/>
                <w:i/>
              </w:rPr>
              <w:t>met</w:t>
            </w:r>
            <w:r>
              <w:t xml:space="preserve"> technologieën voor tweeërlei gebruik; herinnert eraan dat de Commissie zelf heeft erkend dat de toegang tot gerubriceerde documenten kan worden uitgesteld wanneer lidstaten </w:t>
            </w:r>
            <w:r>
              <w:rPr>
                <w:b/>
                <w:i/>
              </w:rPr>
              <w:t>voor die</w:t>
            </w:r>
            <w:r>
              <w:t xml:space="preserve"> rubricering </w:t>
            </w:r>
            <w:r>
              <w:rPr>
                <w:b/>
                <w:i/>
              </w:rPr>
              <w:t>verantwoordelijk zijn, en onderstreept dat, wanneer slechts beperkt kan worden gecontroleerd, passende</w:t>
            </w:r>
            <w:r>
              <w:t xml:space="preserve"> maatregelen </w:t>
            </w:r>
            <w:r>
              <w:rPr>
                <w:b/>
                <w:i/>
              </w:rPr>
              <w:t>en constructieve oplossingen moeten worden nagestreefd om volledige naleving van de vereisten inzake financieel toezicht en een goed beheer van de middelen van de Unie te waarborgen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156.</w:t>
            </w:r>
            <w:r>
              <w:tab/>
            </w:r>
            <w:r>
              <w:rPr>
                <w:b/>
                <w:i/>
              </w:rPr>
              <w:t>herhaalt zijn bezorgdheid over het besluit van de Commissie om over te gaan tot de goedkeuring van het ReArm Europe-plan zonder voorafgaande raadpleging van het Europees Parlement;</w:t>
            </w:r>
            <w:r>
              <w:t xml:space="preserve"> </w:t>
            </w:r>
            <w:r>
              <w:rPr>
                <w:b/>
                <w:i/>
              </w:rPr>
              <w:t>betreurt dat een dergelijk besluit tegen het beginsel van institutioneel evenwicht indruist en de rol van het Parlement als medewetgever bij de vaststelling van strategische en budgettaire prioriteiten ondermijnt;</w:t>
            </w:r>
            <w:r>
              <w:t xml:space="preserve"> </w:t>
            </w:r>
            <w:r>
              <w:rPr>
                <w:b/>
                <w:i/>
              </w:rPr>
              <w:t>dringt erop aan dat de Commissie geen substantiële beleidsinstrumenten in gang zet die van invloed zijn op de financiële en strategische architectuur van de Unie, zonder de prerogatieven van het Parlement volledig te eerbiedigen;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 xml:space="preserve">herinnert eraan dat de algemene doelstelling van het Europees Defensiefonds bestaat in de bevordering van het concurrentievermogen, de efficiëntie en het innovatievermogen van de Europese industriële en technologische defensiebasis (EDTIB) in de hele Unie; merkt op dat, zoals uiteengezet in de schriftelijke antwoorden van de Commissie, financiering van het Europees Defensiefonds ten belope van 227,9 miljoen EUR werd toegewezen aan twintig projecten in verband met artificiële intelligentie en dat nog eens 171,1 miljoen EUR werd toegewezen aan 18 projecten die gericht zijn op luchtdronetechnologieën, terwijl vijftig projecten die gericht zijn op wat kan worden aangemerkt als traditioneel defensiematerieel, met betrekking tot grond-, lucht- en marinegevechten, onderwater- en luchtraketverdediging en beperking van chemische, biologische, radiologische en nucleaire (CBRN) risicobeperking, werden ondersteund met een totaalbedrag van 1,49 miljard EUR uit het Europees Defensiefonds; </w:t>
            </w:r>
            <w:r>
              <w:rPr>
                <w:b/>
                <w:i/>
              </w:rPr>
              <w:t>uit zijn bezorgdheid over het feit dat sinds 2021 minder dan 400 miljoen EUR uit het Europees Defensiefonds is besteed aan projecten op het gebied van artificiële intelligentie en dronetechnologieën, ondanks het feit dat de ervaring met lopende en recente conflicten duidelijk aantoont dat cybervermogens, artificiële intelligentie en onbemande systemen, waaronder drones, een snel groeiende rol spelen in moderne oorlogvoering;</w:t>
            </w:r>
          </w:p>
        </w:tc>
        <w:tc>
          <w:tcPr>
            <w:tcW w:w="4876" w:type="dxa"/>
            <w:tcBorders>
              <w:top w:val="nil"/>
              <w:left w:val="nil"/>
              <w:bottom w:val="nil"/>
              <w:right w:val="nil"/>
            </w:tcBorders>
          </w:tcPr>
          <w:p>
            <w:pPr>
              <w:pStyle w:val="Normal6a"/>
            </w:pPr>
            <w:r>
              <w:t>157.</w:t>
            </w:r>
            <w:r>
              <w:tab/>
            </w:r>
            <w:r>
              <w:t>herinnert eraan dat de algemene doelstelling van het Europees Defensiefonds bestaat in de bevordering van het concurrentievermogen, de efficiëntie en het innovatievermogen van de Europese industriële en technologische defensiebasis (EDTIB) in de hele Unie; merkt op dat, zoals uiteengezet in de schriftelijke antwoorden van de Commissie, financiering van het Europees Defensiefonds ten belope van 227,9 miljoen EUR werd toegewezen aan twintig projecten in verband met artificiële intelligentie en dat nog eens 171,1 miljoen EUR werd toegewezen aan 18 projecten die gericht zijn op luchtdronetechnologieën, terwijl vijftig projecten die gericht zijn op wat kan worden aangemerkt als traditioneel defensiematerieel, met betrekking tot grond-, lucht- en marinegevechten, onderwater- en luchtraketverdediging en beperking van chemische, biologische, radiologische en nucleaire (CBRN) risicobeperking, werden ondersteund met een totaalbedrag van 1,49 miljard EUR uit het Europees Defensiefonds;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herinnert eraan dat de algemene doelstelling van het Europees Defensiefonds bestaat in de bevordering van het concurrentievermogen, de efficiëntie en het innovatievermogen van de Europese industriële en technologische defensiebasis (EDTIB) in de hele Unie; merkt op dat, zoals uiteengezet in de schriftelijke antwoorden van de Commissie, financiering van het Europees Defensiefonds ten belope van 227,9 miljoen EUR werd toegewezen aan twintig projecten in verband met artificiële intelligentie en dat nog eens 171,1 miljoen EUR werd toegewezen aan 18 projecten die gericht zijn op luchtdronetechnologieën, terwijl vijftig projecten die gericht zijn op wat kan worden aangemerkt als traditioneel defensiematerieel, met betrekking tot grond-, lucht- en marinegevechten, onderwater- en luchtraketverdediging en beperking van chemische, biologische, radiologische en nucleaire (CBRN) risicobeperking, werden ondersteund met een totaalbedrag van 1,49 miljard EUR uit het Europees Defensiefonds; uit zijn bezorgdheid over het feit dat sinds 2021 minder dan 400 miljoen EUR uit het Europees Defensiefonds is besteed aan projecten op het gebied van artificiële intelligentie en dronetechnologieën, ondanks het feit dat de ervaring met lopende en recente conflicten duidelijk aantoont dat cybervermogens, artificiële intelligentie en onbemande systemen, waaronder drones, een snel groeiende rol spelen in moderne oorlogvoering;</w:t>
            </w:r>
          </w:p>
        </w:tc>
        <w:tc>
          <w:tcPr>
            <w:tcW w:w="4876" w:type="dxa"/>
            <w:tcBorders>
              <w:top w:val="nil"/>
              <w:left w:val="nil"/>
              <w:bottom w:val="nil"/>
              <w:right w:val="nil"/>
            </w:tcBorders>
          </w:tcPr>
          <w:p>
            <w:pPr>
              <w:pStyle w:val="Normal6a"/>
            </w:pPr>
            <w:r>
              <w:t>157.</w:t>
            </w:r>
            <w:r>
              <w:tab/>
            </w:r>
            <w:r>
              <w:t xml:space="preserve">herinnert eraan dat de algemene doelstelling van het Europees Defensiefonds bestaat in de bevordering van het concurrentievermogen, de efficiëntie en het innovatievermogen van de Europese industriële en technologische defensiebasis (EDTIB) in de hele Unie; merkt op dat, zoals uiteengezet in de schriftelijke antwoorden van de Commissie, financiering van het Europees Defensiefonds ten belope van 227,9 miljoen EUR werd toegewezen aan twintig projecten in verband met artificiële intelligentie en dat nog eens 171,1 miljoen EUR werd toegewezen aan 18 projecten die gericht zijn op luchtdronetechnologieën, terwijl vijftig projecten die gericht zijn op wat kan worden aangemerkt als traditioneel defensiematerieel, met betrekking tot grond-, lucht- en marinegevechten, onderwater- en luchtraketverdediging en beperking van chemische, biologische, radiologische en nucleaire (CBRN) risicobeperking, werden ondersteund met een totaalbedrag van 1,49 miljard EUR uit het Europees Defensiefonds; uit zijn bezorgdheid over het feit dat sinds 2021 minder dan 400 miljoen EUR uit het Europees Defensiefonds is besteed aan projecten op het gebied van artificiële intelligentie en dronetechnologieën, ondanks het feit dat de ervaring met lopende en recente conflicten duidelijk aantoont dat cybervermogens, artificiële intelligentie en onbemande systemen, waaronder drones, een snel groeiende rol spelen in moderne oorlogvoering; </w:t>
            </w:r>
            <w:r>
              <w:rPr>
                <w:b/>
                <w:i/>
              </w:rPr>
              <w:t>verzoekt de Commissie een kosteneffectiviteitsbeoordeling van de uitgaven uit het Europees Defensiefonds uit te voeren en bij toekomstige financiering weer meer prioriteit te geven aan technologieën die aantoonbaar het grootste operationele voordeel per geïnvesteerde euro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158.</w:t>
            </w:r>
            <w:r>
              <w:tab/>
            </w:r>
            <w:r>
              <w:t xml:space="preserve">neemt kennis van Speciaal verslag 04/2025 van de Rekenkamer over militaire mobiliteit in de EU, en van het antwoord van de Commissie; is bezorgd over de algemene conclusie van de Rekenkamer dat het tweede EU-actieplan voor militaire mobiliteit, dat in november 2022 werd gepubliceerd, een onvoldoende solide basis had en dat de vooruitgang bij het bereiken van de doelstellingen ervan — namelijk te zorgen voor de snelle en naadloze verplaatsing van personeel, materieel en middelen op korte termijn en op grote schaal — varieerde als gevolg van tekortkomingen in de opzet van het plan en belemmeringen voor de uitvoering ervan; wijst met bezorgdheid op de opmerking van de Rekenkamer dat de Commissie geen robuuste beoordeling had verricht van de totale financiering die nodig is opdat de doelstellingen en streefcijfers van het plan haalbaar zouden zijn; </w:t>
            </w:r>
            <w:r>
              <w:rPr>
                <w:b/>
                <w:i/>
              </w:rPr>
              <w:t>betreurt</w:t>
            </w:r>
            <w:r>
              <w:t xml:space="preserve"> het door de Rekenkamer benadrukte feit dat parlementair toezicht op alle activiteiten van de Unie op het gebied van militaire mobiliteit niet </w:t>
            </w:r>
            <w:r>
              <w:rPr>
                <w:b/>
                <w:i/>
              </w:rPr>
              <w:t>mogelijk is, aangezien</w:t>
            </w:r>
            <w:r>
              <w:t xml:space="preserve"> niet alle projecten uit de begroting van de Unie worden gefinancierd</w:t>
            </w:r>
            <w:r>
              <w:rPr>
                <w:b/>
                <w:i/>
              </w:rPr>
              <w:t>;</w:t>
            </w:r>
            <w:r>
              <w:t xml:space="preserve"> </w:t>
            </w:r>
            <w:r>
              <w:rPr>
                <w:b/>
                <w:i/>
              </w:rPr>
              <w:t>merkt op dat het Europees Parlement niet bevoegd is om toezicht te houden op de activiteiten op het gebied van militaire mobiliteit van</w:t>
            </w:r>
            <w:r>
              <w:t xml:space="preserve"> het Europees Defensieagentschap (EDA)</w:t>
            </w:r>
            <w:r>
              <w:rPr>
                <w:b/>
                <w:i/>
              </w:rPr>
              <w:t>, dat een intergouvernementeel agentschap is, of van de</w:t>
            </w:r>
            <w:r>
              <w:t xml:space="preserve"> PESCO</w:t>
            </w:r>
            <w:r>
              <w:rPr>
                <w:b/>
                <w:i/>
              </w:rPr>
              <w:t>, die een door de lidstaten gestuurd samenwerkingskader is</w:t>
            </w:r>
            <w:r>
              <w:t>;</w:t>
            </w:r>
          </w:p>
        </w:tc>
        <w:tc>
          <w:tcPr>
            <w:tcW w:w="4876" w:type="dxa"/>
            <w:tcBorders>
              <w:top w:val="nil"/>
              <w:left w:val="nil"/>
              <w:bottom w:val="nil"/>
              <w:right w:val="nil"/>
            </w:tcBorders>
          </w:tcPr>
          <w:p>
            <w:pPr>
              <w:pStyle w:val="Normal6a"/>
            </w:pPr>
            <w:r>
              <w:t>158.</w:t>
            </w:r>
            <w:r>
              <w:tab/>
            </w:r>
            <w:r>
              <w:t xml:space="preserve">neemt kennis van Speciaal verslag 04/2025 van de Rekenkamer over militaire mobiliteit in de EU, en van het antwoord van de Commissie; is bezorgd over de algemene conclusie van de Rekenkamer dat het tweede EU-actieplan voor militaire mobiliteit, dat in november 2022 werd gepubliceerd, een onvoldoende solide basis had en dat de vooruitgang bij het bereiken van de doelstellingen ervan — namelijk te zorgen voor de snelle en naadloze verplaatsing van personeel, materieel en middelen op korte termijn en op grote schaal — varieerde als gevolg van tekortkomingen in de opzet van het plan en belemmeringen voor de uitvoering ervan; wijst met bezorgdheid op de opmerking van de Rekenkamer dat de Commissie geen robuuste beoordeling had verricht van de totale financiering die nodig is opdat de doelstellingen en streefcijfers van het plan haalbaar zouden zijn; </w:t>
            </w:r>
            <w:r>
              <w:rPr>
                <w:b/>
                <w:i/>
              </w:rPr>
              <w:t>neemt kennis van</w:t>
            </w:r>
            <w:r>
              <w:t xml:space="preserve"> het door de Rekenkamer benadrukte feit dat parlementair toezicht op alle activiteiten van de Unie op het gebied van militaire mobiliteit niet </w:t>
            </w:r>
            <w:r>
              <w:rPr>
                <w:b/>
                <w:i/>
              </w:rPr>
              <w:t>altijd haalbaar is vanwege het feit dat</w:t>
            </w:r>
            <w:r>
              <w:t xml:space="preserve"> niet alle projecten uit de begroting van de Unie worden gefinancierd</w:t>
            </w:r>
            <w:r>
              <w:rPr>
                <w:b/>
                <w:i/>
              </w:rPr>
              <w:t>, zoals het geval is met</w:t>
            </w:r>
            <w:r>
              <w:t xml:space="preserve"> het Europees Defensieagentschap (EDA) </w:t>
            </w:r>
            <w:r>
              <w:rPr>
                <w:b/>
                <w:i/>
              </w:rPr>
              <w:t>of</w:t>
            </w:r>
            <w:r>
              <w:t xml:space="preserve"> PESCO;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159.</w:t>
            </w:r>
            <w:r>
              <w:tab/>
            </w:r>
            <w:r>
              <w:t>uit zijn bezorgdheid over het feit dat na drie oproepen tot het indienen van voorstellen in 2021, 2022 en 2023 de volledige begroting voor militaire mobiliteit in het kader van de CEF voor de huidige programmeringsperiode reeds is opgebruikt, terwijl naar schatting ten minste 100 miljard EUR aan investeringen nodig is om de 500 hotspots in de Unie aan te pakken die dringend moeten worden gemoderniseerd</w:t>
            </w:r>
            <w:r>
              <w:rPr>
                <w:vertAlign w:val="superscript"/>
              </w:rPr>
              <w:t>17</w:t>
            </w:r>
            <w:r>
              <w:t xml:space="preserve">; neemt kennis van het schriftelijke antwoord van de Commissie dat bij de herziening van de TEN-T-verordening in 2024 elementen zijn ingevoerd om militaire mobiliteit in het vervoersbeleid van de Unie te integreren; merkt voorts op dat de Europese Commissie en de hoge vertegenwoordiger het pakket inzake militaire mobiliteit 2025 hebben aangenomen; </w:t>
            </w:r>
            <w:r>
              <w:rPr>
                <w:b/>
                <w:i/>
              </w:rPr>
              <w:t>spreekt nogmaals zijn bezorgdheid uit over het huidige gebrek aan</w:t>
            </w:r>
            <w:r>
              <w:t xml:space="preserve"> reactievermogen en efficiëntie </w:t>
            </w:r>
            <w:r>
              <w:rPr>
                <w:b/>
                <w:i/>
              </w:rPr>
              <w:t>op het gebied</w:t>
            </w:r>
            <w:r>
              <w:t xml:space="preserve"> van militaire mobiliteit</w:t>
            </w:r>
            <w:r>
              <w:rPr>
                <w:b/>
                <w:i/>
              </w:rPr>
              <w:t>, die wordt belemmerd door complexe regelgeving en procedures en een gebrek aan</w:t>
            </w:r>
            <w:r>
              <w:t xml:space="preserve"> harmonisatie</w:t>
            </w:r>
            <w:r>
              <w:rPr>
                <w:b/>
                <w:i/>
              </w:rPr>
              <w:t>, trage</w:t>
            </w:r>
            <w:r>
              <w:t xml:space="preserve"> coördinatie </w:t>
            </w:r>
            <w:r>
              <w:rPr>
                <w:b/>
                <w:i/>
              </w:rPr>
              <w:t>en tijdverlies</w:t>
            </w:r>
            <w:r>
              <w:t>;</w:t>
            </w:r>
          </w:p>
        </w:tc>
        <w:tc>
          <w:tcPr>
            <w:tcW w:w="4876" w:type="dxa"/>
            <w:tcBorders>
              <w:top w:val="nil"/>
              <w:left w:val="nil"/>
              <w:bottom w:val="nil"/>
              <w:right w:val="nil"/>
            </w:tcBorders>
          </w:tcPr>
          <w:p>
            <w:pPr>
              <w:pStyle w:val="Normal6a"/>
            </w:pPr>
            <w:r>
              <w:t>159.</w:t>
            </w:r>
            <w:r>
              <w:tab/>
            </w:r>
            <w:r>
              <w:t>uit zijn bezorgdheid over het feit dat na drie oproepen tot het indienen van voorstellen in 2021, 2022 en 2023 de volledige begroting voor militaire mobiliteit in het kader van de CEF voor de huidige programmeringsperiode reeds is opgebruikt, terwijl naar schatting ten minste 100 miljard EUR aan investeringen nodig is om de 500 hotspots in de Unie aan te pakken die dringend moeten worden gemoderniseerd</w:t>
            </w:r>
            <w:r>
              <w:rPr>
                <w:vertAlign w:val="superscript"/>
              </w:rPr>
              <w:t>17</w:t>
            </w:r>
            <w:r>
              <w:t xml:space="preserve">; neemt kennis van het schriftelijke antwoord van de Commissie dat bij de herziening van de TEN-T-verordening in 2024 elementen zijn ingevoerd om militaire mobiliteit in het vervoersbeleid van de Unie te integreren; merkt voorts op dat de Europese Commissie en de hoge vertegenwoordiger het pakket inzake militaire mobiliteit 2025 hebben aangenomen; </w:t>
            </w:r>
            <w:r>
              <w:rPr>
                <w:b/>
                <w:i/>
              </w:rPr>
              <w:t>herhaalt dat het</w:t>
            </w:r>
            <w:r>
              <w:t xml:space="preserve"> reactievermogen en </w:t>
            </w:r>
            <w:r>
              <w:rPr>
                <w:b/>
                <w:i/>
              </w:rPr>
              <w:t>de</w:t>
            </w:r>
            <w:r>
              <w:t xml:space="preserve"> efficiëntie van militaire mobiliteit </w:t>
            </w:r>
            <w:r>
              <w:rPr>
                <w:b/>
                <w:i/>
              </w:rPr>
              <w:t>in de hele Unie verder moeten worden versterkt om de</w:t>
            </w:r>
            <w:r>
              <w:t xml:space="preserve"> harmonisatie </w:t>
            </w:r>
            <w:r>
              <w:rPr>
                <w:b/>
                <w:i/>
              </w:rPr>
              <w:t>te verbeteren en de</w:t>
            </w:r>
            <w:r>
              <w:t xml:space="preserve"> coördinatie </w:t>
            </w:r>
            <w:r>
              <w:rPr>
                <w:b/>
                <w:i/>
              </w:rPr>
              <w:t>te stroomlijnen om vertragingen te verminderen en de operationele paraatheid te verbeteren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Gezamenlijke mededeling van de Commissie en de hoge vertegenwoordiger van de Unie voor buitenlandse zaken en veiligheidsbeleid van 16 oktober 2025 getiteld “Vrede bewaren – routekaart voor defensiegereedheid 2030” (JOIN(2025)0027).</w:t>
            </w:r>
          </w:p>
        </w:tc>
        <w:tc>
          <w:tcPr>
            <w:tcW w:w="4876" w:type="dxa"/>
            <w:tcBorders>
              <w:top w:val="nil"/>
              <w:left w:val="nil"/>
              <w:bottom w:val="nil"/>
              <w:right w:val="nil"/>
            </w:tcBorders>
          </w:tcPr>
          <w:p>
            <w:pPr>
              <w:pStyle w:val="Normal6a"/>
            </w:pPr>
            <w:r>
              <w:rPr>
                <w:vertAlign w:val="superscript"/>
              </w:rPr>
              <w:t>17</w:t>
            </w:r>
            <w:r>
              <w:t xml:space="preserve"> </w:t>
            </w:r>
            <w:r>
              <w:t>Gezamenlijke mededeling van de Commissie en de hoge vertegenwoordiger van de Unie voor buitenlandse zaken en veiligheidsbeleid van 16 oktober 2025 getiteld “Vrede bewaren – routekaart voor defensiegereedheid 2030” (JOIN(2025)0027).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161 – punt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maatregelen te nemen</w:t>
            </w:r>
            <w:r>
              <w:t xml:space="preserve"> om de transparantie van de defensie-uitgaven van de Unie in alle instrumenten te </w:t>
            </w:r>
            <w:r>
              <w:rPr>
                <w:b/>
                <w:i/>
              </w:rPr>
              <w:t>verbeteren</w:t>
            </w:r>
            <w:r>
              <w:t xml:space="preserve">, onder meer door de </w:t>
            </w:r>
            <w:r>
              <w:rPr>
                <w:b/>
                <w:i/>
              </w:rPr>
              <w:t>controlerechten</w:t>
            </w:r>
            <w:r>
              <w:t xml:space="preserve"> van de Rekenkamer </w:t>
            </w:r>
            <w:r>
              <w:rPr>
                <w:b/>
                <w:i/>
              </w:rPr>
              <w:t>voor alle instrumenten te waarborgen en</w:t>
            </w:r>
            <w:r>
              <w:t xml:space="preserve"> ervoor te zorgen dat de kwijtingsautoriteit democratische controle kan </w:t>
            </w:r>
            <w:r>
              <w:rPr>
                <w:b/>
                <w:i/>
              </w:rPr>
              <w:t>uitoefenen op alle</w:t>
            </w:r>
            <w:r>
              <w:t xml:space="preserve"> door de Unie gefinancierde activiteiten, </w:t>
            </w:r>
            <w:r>
              <w:rPr>
                <w:b/>
                <w:i/>
              </w:rPr>
              <w:t>niet alleen</w:t>
            </w:r>
            <w:r>
              <w:t xml:space="preserve"> tijdens de </w:t>
            </w:r>
            <w:r>
              <w:rPr>
                <w:b/>
                <w:i/>
              </w:rPr>
              <w:t>onderhandelingen maar ook tijdens de uitvoeringsfase</w:t>
            </w:r>
            <w:r>
              <w:t>;</w:t>
            </w:r>
          </w:p>
        </w:tc>
        <w:tc>
          <w:tcPr>
            <w:tcW w:w="4876" w:type="dxa"/>
            <w:tcBorders>
              <w:top w:val="nil"/>
              <w:left w:val="nil"/>
              <w:bottom w:val="nil"/>
              <w:right w:val="nil"/>
            </w:tcBorders>
          </w:tcPr>
          <w:p>
            <w:pPr>
              <w:pStyle w:val="Normal6a"/>
            </w:pPr>
            <w:r>
              <w:t>i)</w:t>
            </w:r>
            <w:r>
              <w:tab/>
            </w:r>
            <w:r>
              <w:rPr>
                <w:b/>
                <w:i/>
              </w:rPr>
              <w:t>zich te blijven inspannen</w:t>
            </w:r>
            <w:r>
              <w:t xml:space="preserve"> om de transparantie van de defensie-uitgaven van de Unie in alle </w:t>
            </w:r>
            <w:r>
              <w:rPr>
                <w:b/>
                <w:i/>
              </w:rPr>
              <w:t>relevante</w:t>
            </w:r>
            <w:r>
              <w:t xml:space="preserve"> instrumenten te </w:t>
            </w:r>
            <w:r>
              <w:rPr>
                <w:b/>
                <w:i/>
              </w:rPr>
              <w:t>vergroten</w:t>
            </w:r>
            <w:r>
              <w:t xml:space="preserve">, onder meer door de </w:t>
            </w:r>
            <w:r>
              <w:rPr>
                <w:b/>
                <w:i/>
              </w:rPr>
              <w:t>controlewerkzaamheden</w:t>
            </w:r>
            <w:r>
              <w:t xml:space="preserve"> van de Rekenkamer </w:t>
            </w:r>
            <w:r>
              <w:rPr>
                <w:b/>
                <w:i/>
              </w:rPr>
              <w:t>in overeenstemming met het toepasselijke rechtskader te vergemakkelijken en door</w:t>
            </w:r>
            <w:r>
              <w:t xml:space="preserve"> ervoor te zorgen dat de kwijtingsautoriteit </w:t>
            </w:r>
            <w:r>
              <w:rPr>
                <w:b/>
                <w:i/>
              </w:rPr>
              <w:t>naar behoren wordt geïnformeerd, zodat</w:t>
            </w:r>
            <w:r>
              <w:t xml:space="preserve"> democratische controle kan </w:t>
            </w:r>
            <w:r>
              <w:rPr>
                <w:b/>
                <w:i/>
              </w:rPr>
              <w:t>worden uitgeoefend op</w:t>
            </w:r>
            <w:r>
              <w:t xml:space="preserve"> door de Unie gefinancierde activiteiten, </w:t>
            </w:r>
            <w:r>
              <w:rPr>
                <w:b/>
                <w:i/>
              </w:rPr>
              <w:t>met name</w:t>
            </w:r>
            <w:r>
              <w:t xml:space="preserve"> tijdens de </w:t>
            </w:r>
            <w:r>
              <w:rPr>
                <w:b/>
                <w:i/>
              </w:rPr>
              <w:t>uitvoering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161 – punt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de kwijtingsautoriteit </w:t>
            </w:r>
            <w:r>
              <w:rPr>
                <w:b/>
                <w:i/>
              </w:rPr>
              <w:t>jaarlijkse</w:t>
            </w:r>
            <w:r>
              <w:t xml:space="preserve"> geconsolideerde </w:t>
            </w:r>
            <w:r>
              <w:rPr>
                <w:b/>
                <w:i/>
              </w:rPr>
              <w:t>verslagen</w:t>
            </w:r>
            <w:r>
              <w:t xml:space="preserve"> te verstrekken over </w:t>
            </w:r>
            <w:r>
              <w:rPr>
                <w:b/>
                <w:i/>
              </w:rPr>
              <w:t>alle</w:t>
            </w:r>
            <w:r>
              <w:t xml:space="preserve"> defensiegerelateerde uitgaven uit de begroting van de Unie</w:t>
            </w:r>
            <w:r>
              <w:rPr>
                <w:b/>
                <w:i/>
              </w:rPr>
              <w:t>, buiten de begroting vallende instrumenten en alle</w:t>
            </w:r>
            <w:r>
              <w:t xml:space="preserve"> andere relevante instrumenten</w:t>
            </w:r>
            <w:r>
              <w:rPr>
                <w:b/>
                <w:i/>
              </w:rPr>
              <w:t>, zoals militaire mobiliteit en veiligheidsgerelateerde programma’s,</w:t>
            </w:r>
            <w:r>
              <w:t xml:space="preserve"> teneinde democratische controle mogelijk te maken en </w:t>
            </w:r>
            <w:r>
              <w:rPr>
                <w:b/>
                <w:i/>
              </w:rPr>
              <w:t>versnippering te voorkomen</w:t>
            </w:r>
            <w:r>
              <w:t>;</w:t>
            </w:r>
          </w:p>
        </w:tc>
        <w:tc>
          <w:tcPr>
            <w:tcW w:w="4876" w:type="dxa"/>
            <w:tcBorders>
              <w:top w:val="nil"/>
              <w:left w:val="nil"/>
              <w:bottom w:val="nil"/>
              <w:right w:val="nil"/>
            </w:tcBorders>
          </w:tcPr>
          <w:p>
            <w:pPr>
              <w:pStyle w:val="Normal6a"/>
            </w:pPr>
            <w:r>
              <w:t>ii)</w:t>
            </w:r>
            <w:r>
              <w:tab/>
            </w:r>
            <w:r>
              <w:t xml:space="preserve">de kwijtingsautoriteit </w:t>
            </w:r>
            <w:r>
              <w:rPr>
                <w:b/>
                <w:i/>
              </w:rPr>
              <w:t>regelmatig</w:t>
            </w:r>
            <w:r>
              <w:t xml:space="preserve"> geconsolideerde </w:t>
            </w:r>
            <w:r>
              <w:rPr>
                <w:b/>
                <w:i/>
              </w:rPr>
              <w:t>informatie</w:t>
            </w:r>
            <w:r>
              <w:t xml:space="preserve"> te verstrekken over defensiegerelateerde uitgaven uit de begroting van de Unie </w:t>
            </w:r>
            <w:r>
              <w:rPr>
                <w:b/>
                <w:i/>
              </w:rPr>
              <w:t>en</w:t>
            </w:r>
            <w:r>
              <w:t xml:space="preserve"> andere relevante instrumenten teneinde democratische controle mogelijk te maken en </w:t>
            </w:r>
            <w:r>
              <w:rPr>
                <w:b/>
                <w:i/>
              </w:rPr>
              <w:t>de algehele samenhang te verbeteren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161 – punt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herhaalt zijn oproep om de veiligheids- en defensiemaatregelen van de Unie verder te versterken door de beschikbare financiering voor de verbetering van vervoersinfrastructuurcorridors voor tweeërlei gebruik aanzienlijk te verhogen en door maatregelen te nemen om administratieve, procedurele en regelgevende belemmeringen voor grensoverschrijdende militaire verplaatsingen weg te nemen, waarbij prioriteit wordt gegeven aan financiering door de Unie van projecten die het best inspelen op het huidige Europese dreigingslandschap;</w:t>
            </w:r>
          </w:p>
        </w:tc>
        <w:tc>
          <w:tcPr>
            <w:tcW w:w="4876" w:type="dxa"/>
            <w:tcBorders>
              <w:top w:val="nil"/>
              <w:left w:val="nil"/>
              <w:bottom w:val="nil"/>
              <w:right w:val="nil"/>
            </w:tcBorders>
          </w:tcPr>
          <w:p>
            <w:pPr>
              <w:pStyle w:val="Normal6a"/>
            </w:pPr>
            <w:r>
              <w:t>v)</w:t>
            </w:r>
            <w:r>
              <w:tab/>
            </w:r>
            <w:r>
              <w:t>herhaalt zijn oproep om de veiligheids- en defensiemaatregelen van de Unie verder te versterken door de beschikbare financiering voor de verbetering van vervoersinfrastructuurcorridors voor tweeërlei gebruik aanzienlijk te verhogen en door maatregelen te nemen om administratieve, procedurele en regelgevende belemmeringen voor grensoverschrijdende militaire verplaatsingen weg te nemen, waarbij prioriteit wordt gegeven aan financiering door de Unie van projecten die het best inspelen op het huidige Europese dreigingslandschap</w:t>
            </w:r>
            <w:r>
              <w:rPr>
                <w:b/>
                <w:i/>
              </w:rPr>
              <w:t>, en beklemtoont het belang van harmonisatie van gezamenlijke aanbestedingen op defensiegebied en daarmee verband houdende procedures tussen de lidstaten om de interoperabiliteit, efficiëntie en strategische samenhang te verbeteren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161 – punt v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bis)</w:t>
            </w:r>
            <w:r>
              <w:tab/>
            </w:r>
            <w:r>
              <w:rPr>
                <w:b/>
                <w:i/>
              </w:rPr>
              <w:t>de beperkingen en voorwaarden in de opzet van defensie-instrumenten, met name het SAFE-instrument, weg te nemen die het vermogen van de lidstaten ondermijnen om deze middelen zo efficiënt mogelijk toe te wijzen, met het oog op de volledige verwezenlijking van de doelstellingen waarvoor het instrument tot stand is gebracht;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161 – punt v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bis)</w:t>
            </w:r>
            <w:r>
              <w:tab/>
            </w:r>
            <w:r>
              <w:rPr>
                <w:b/>
                <w:i/>
              </w:rPr>
              <w:t>wijst erop dat de Unie een rol heeft gespeeld bij de totstandbrenging van duurzame vrede in Europa en dat zij alles moet doen wat in haar macht ligt om de vrede in Europa terug te brengen, die immers cruciaal is voor economische welvaart, stabiliteit en veiligheid van de Europese Unie en het continent;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167 bis.</w:t>
            </w:r>
            <w:r>
              <w:tab/>
            </w:r>
            <w:r>
              <w:rPr>
                <w:b/>
                <w:i/>
              </w:rPr>
              <w:t>neemt met bezorgdheid kennis van de bevindingen in Speciaal verslag 20/2025 van de Rekenkamer over de steun van de Commissie voor de bestrijding van honger in Afrika bezuiden de Sahara, waarin werd vastgesteld dat de Commissie de redelijkheid van projectkosten niet systematisch heeft beoordeeld en dat er geen aanwijzingen zijn dat projectbegrotingen gedetailleerd zijn geanalyseerd, noch dat vergelijkbare kosten tussen verschillende projecten zijn vergeleken;</w:t>
            </w:r>
            <w:r>
              <w:t xml:space="preserve"> </w:t>
            </w:r>
            <w:r>
              <w:rPr>
                <w:b/>
                <w:i/>
              </w:rPr>
              <w:t>is verontrust over de specifieke voorbeelden die de Rekenkamer geeft van de verspilling van middelen, waaronder computers die zonder internetverbinding zijn geleverd, ongebruikte motorfietsen, vrachtwagens met banden die zo versleten waren dat het niet meer veilig was om ermee te rijden en aangeschafte elektronische apparatuur die nooit is gebruikt;</w:t>
            </w:r>
            <w:r>
              <w:t xml:space="preserve"> </w:t>
            </w:r>
            <w:r>
              <w:rPr>
                <w:b/>
                <w:i/>
              </w:rPr>
              <w:t>benadrukt dat dergelijke tekortkomingen een fundamentele schending vormen van de verplichting inzake goed financieel beheer;</w:t>
            </w:r>
            <w:r>
              <w:t xml:space="preserve"> </w:t>
            </w:r>
            <w:r>
              <w:rPr>
                <w:b/>
                <w:i/>
              </w:rPr>
              <w:t>verzoekt de Commissie ervoor te zorgen dat alle projectbegrotingen vóór goedkeuring aan een gedetailleerde kosten-batenanalyse worden onderworpen en dat de aankoop van materiaal streng wordt gecontroleerd aan de hand van de werkelijke behoeften en de lokale onderhoudscapaciteit;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168 bis.</w:t>
            </w:r>
            <w:r>
              <w:tab/>
            </w:r>
            <w:r>
              <w:rPr>
                <w:b/>
                <w:i/>
              </w:rPr>
              <w:t>merkt op dat in 2024 de begrotingssteun via DG INTPA en DG NEAR aan landen buiten de EU 1,56 miljard EUR bedroeg; merkt op dat de verdeling van begrotingssteunmaatregelen per regio in 2024 neerkwam op 52 % voor het Europees nabuurschap, 22 % voor Sub-Sahara-Afrika, 15 % voor de regio Azië-Stille Oceaan, 5 % voor landen en gebieden overzee, 3 % voor de Westelijke Balkan en 3 % voor het Caribisch gebied;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 bis.</w:t>
            </w:r>
            <w:r>
              <w:tab/>
            </w:r>
            <w:r>
              <w:rPr>
                <w:b/>
                <w:i/>
              </w:rPr>
              <w:t>wijst erop dat onderwijs een centrale pijler is van vredesopbouw, co-existentie en voorbereiding op een via onderhandelingen tot stand gekomen tweestatenoplossing, en een belangrijk middel is om extremisme, onverdraagzaamheid en radicale ideologieën tegen te gaan;</w:t>
            </w:r>
            <w:r>
              <w:t xml:space="preserve"> </w:t>
            </w:r>
            <w:r>
              <w:rPr>
                <w:b/>
                <w:i/>
              </w:rPr>
              <w:t>wijst in dit verband op door de Palestijnen geleide onderwijsinitiatieven in Gaza, waaronder Gaza Children Village, die co-existentie, dialoog, respect voor de “andere” en geweldloosheid aantoonbaar bevorderen door middel van hun lesmethoden en leermiddelen, die in overeenstemming zijn met de Unesco-normen;</w:t>
            </w:r>
            <w:r>
              <w:t xml:space="preserve"> </w:t>
            </w:r>
            <w:r>
              <w:rPr>
                <w:b/>
                <w:i/>
              </w:rPr>
              <w:t>dringt erop aan dat bij de beoordeling van de betrokkenheid van de Unie in de onderwijssector een duidelijk onderscheid wordt gemaakt tussen op vrede gerichte onderwijsinitiatieven en de officiële leerplannen van de Palestijnse Autoriteit;</w:t>
            </w:r>
            <w:r>
              <w:t xml:space="preserve"> </w:t>
            </w:r>
            <w:r>
              <w:rPr>
                <w:b/>
                <w:i/>
              </w:rPr>
              <w:t>stelt deze praktijken rechtstreeks tegenover de aanhoudende aanwezigheid in schoolboeken van de Palestijnse Autoriteit — goedgekeurd en herdrukt voor het schooljaar 2025-2026 — van antisemitisme, het aanzetten tot geweld, verheerlijking van de jihad en van martelaarschap en de afwijzing van vreedzame conflictoplossing, ondanks herhaalde publieke verklaringen dat de hervorming van de leerplannen, ook voor graad 12, is voltooid;</w:t>
            </w:r>
            <w:r>
              <w:t xml:space="preserve"> </w:t>
            </w:r>
            <w:r>
              <w:rPr>
                <w:b/>
                <w:i/>
              </w:rPr>
              <w:t>benadrukt dat echte hervormingen moeten worden beoordeeld op basis van de inhoud die in de klas wordt onderwezen;</w:t>
            </w:r>
            <w:r>
              <w:t xml:space="preserve"> </w:t>
            </w:r>
            <w:r>
              <w:rPr>
                <w:b/>
                <w:i/>
              </w:rPr>
              <w:t>dringt er bij de Commissie op aan om haar toekomstige betrokkenheid te richten op de erkenning en actieve ondersteuning van onderwijsactoren die aantoonbaar ter plaatse lesgeven aan de hand van op vrede gerichte leerplannen, en tegelijkertijd een krachtig en transparant standpunt ten aanzien van de Palestijnse Autoriteit te blijven innemen totdat alle officiële schoolboeken en leermiddelen volledig in overeenstemming zijn gebracht met de Unesco-normen inzake vrede en verdraagzaamheid;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 bis.</w:t>
            </w:r>
            <w:r>
              <w:tab/>
            </w:r>
            <w:r>
              <w:rPr>
                <w:b/>
                <w:i/>
              </w:rPr>
              <w:t> wijst erop dat commissaris voor Nabuurschap en Uitbreiding op de hoorzitting van 21 november 2024 heeft aangegeven dat de door de EU gefinancierde hervormingsagenda van de Palestijnse Autoriteit onder andere de stopzetting van het “pay for slay”-programma behelst;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 bis.</w:t>
            </w:r>
            <w:r>
              <w:tab/>
            </w:r>
            <w:r>
              <w:rPr>
                <w:b/>
                <w:i/>
              </w:rPr>
              <w:t>verzoekt de Commissie ervoor te zorgen dat er direct noch indirect middelen van de Unie worden toegekend aan entiteiten die zich bezighouden met of bijdragen aan infiltraties in politieke partijen, radicalisering of activiteiten die onverenigbaar zijn met de in artikel 2 VEU verankerde waarden;</w:t>
            </w:r>
            <w:r>
              <w:t xml:space="preserve"> </w:t>
            </w:r>
            <w:r>
              <w:rPr>
                <w:b/>
                <w:i/>
              </w:rPr>
              <w:t>verzoekt de Commissie voorts de zorgvuldigheids-, monitoring- en controlemechanismen te versterken om elke vorm van ideologische infiltratie in door de Unie gefinancierde programma’s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169 bis.</w:t>
            </w:r>
            <w:r>
              <w:tab/>
            </w:r>
            <w:r>
              <w:rPr>
                <w:b/>
                <w:i/>
              </w:rPr>
              <w:t>uit zijn bezorgdheid over verslagen op basis van interne documenten die zouden wijzen op pogingen van Hamas om te infiltreren in of toezicht te houden op internationale, waaronder door de EU gefinancierde, humanitaire projecten in de Gazastrook;</w:t>
            </w:r>
            <w:r>
              <w:t xml:space="preserve"> </w:t>
            </w:r>
            <w:r>
              <w:rPr>
                <w:b/>
                <w:i/>
              </w:rPr>
              <w:t>herinnert eraan dat de verificatiemechanismen sinds 2023, met name naar aanleiding van verzoeken van het Parlement, zijn versterkt door middel van verbeterde controles en risicoanalyses en verbeterd extern toezicht;</w:t>
            </w:r>
            <w:r>
              <w:t xml:space="preserve"> </w:t>
            </w:r>
            <w:r>
              <w:rPr>
                <w:b/>
                <w:i/>
              </w:rPr>
              <w:t>benadrukt dat elke beschuldiging van misbruik van EU-middelen grondig moet worden geverifieerd en dringt er bij de Commissie op aan alle beweringen van ongepaste infiltratie in of beïnvloeding van door de EU gefinancierde projecten te onderzoeken en financiering op te schorten of terug te vorderen wanneer inbreuken worden bevestigd;</w:t>
            </w:r>
            <w:r>
              <w:t xml:space="preserve"> </w:t>
            </w:r>
            <w:r>
              <w:rPr>
                <w:b/>
                <w:i/>
              </w:rPr>
              <w:t>beklemtoont dat als EU-middelen terecht zouden komen bij terroristische organisaties, dit de integriteit van de EU-bijstand zou ondermijnen;</w:t>
            </w:r>
            <w:r>
              <w:t xml:space="preserve"> </w:t>
            </w:r>
            <w:r>
              <w:rPr>
                <w:b/>
                <w:i/>
              </w:rPr>
              <w:t>verzoekt de Commissie en de EDEO ervoor te zorgen dat er geen middelen van de Unie worden toegewezen aan personen of organisaties die banden hebben met terroristische of extremistische bewegingen die zich verzetten tegen de fundamentele waarden van de Unie;</w:t>
            </w:r>
            <w:r>
              <w:t xml:space="preserve"> </w:t>
            </w:r>
            <w:r>
              <w:rPr>
                <w:b/>
                <w:i/>
              </w:rPr>
              <w:t>wijst op het belang van onafhankelijk toezicht op de UNRWA door externe deskundigen, de Rekenkamer en ervaren internationale partners;</w:t>
            </w:r>
            <w:r>
              <w:t xml:space="preserve"> </w:t>
            </w:r>
            <w:r>
              <w:rPr>
                <w:b/>
                <w:i/>
              </w:rPr>
              <w:t>verzoekt de Commissie om waar nodig samen te werken met betrouwbare partners in Gaza en de Palestijnse gebieden om ervoor te zorgen dat de humanitaire hulp aan de Palestijnse bevolking wordt voortgezet;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170.</w:t>
            </w:r>
            <w:r>
              <w:tab/>
            </w:r>
            <w:r>
              <w:rPr>
                <w:b/>
                <w:i/>
              </w:rPr>
              <w:t>is ingenomen met de voortdurende samenwerking van de Commissie met de Palestijnse Autoriteit op het gebied van de hervorming van leerplannen en erkent de tastbare vooruitgang die in 2025 is gemeld, waaronder de lopende herziening en wijziging van schoolboeken door het Palestijnse ministerie van Onderwijs en Hoger Onderwijs om ervoor te zorgen dat deze in overeenstemming zijn met de Unesco-normen;</w:t>
            </w:r>
            <w:r>
              <w:t xml:space="preserve"> </w:t>
            </w:r>
            <w:r>
              <w:rPr>
                <w:b/>
                <w:i/>
              </w:rPr>
              <w:t>merkt met name op dat de herziene schoolboeken voor graad 12 begin oktober 2025 zijn afgerond en openbaar zijn gemaakt en momenteel door de Unie worden geëvalueerd;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170.</w:t>
            </w:r>
            <w:r>
              <w:tab/>
            </w:r>
            <w:r>
              <w:rPr>
                <w:b/>
                <w:i/>
              </w:rPr>
              <w:t>is ingenomen met</w:t>
            </w:r>
            <w:r>
              <w:t xml:space="preserve"> de voortdurende samenwerking van de Commissie met de Palestijnse Autoriteit op het gebied van de hervorming van leerplannen en </w:t>
            </w:r>
            <w:r>
              <w:rPr>
                <w:b/>
                <w:i/>
              </w:rPr>
              <w:t>erkent de tastbare vooruitgang die in 2025 is gemeld, waaronder</w:t>
            </w:r>
            <w:r>
              <w:t xml:space="preserve"> de lopende herziening en wijziging van schoolboeken door het Palestijnse ministerie van Onderwijs en Hoger Onderwijs om ervoor te zorgen dat deze in overeenstemming zijn met de Unesco-normen; merkt </w:t>
            </w:r>
            <w:r>
              <w:rPr>
                <w:b/>
                <w:i/>
              </w:rPr>
              <w:t>met name</w:t>
            </w:r>
            <w:r>
              <w:t xml:space="preserve"> op dat </w:t>
            </w:r>
            <w:r>
              <w:rPr>
                <w:b/>
                <w:i/>
              </w:rPr>
              <w:t>de herziene</w:t>
            </w:r>
            <w:r>
              <w:t xml:space="preserve"> schoolboeken </w:t>
            </w:r>
            <w:r>
              <w:rPr>
                <w:b/>
                <w:i/>
              </w:rPr>
              <w:t>voor graad 12 begin oktober</w:t>
            </w:r>
            <w:r>
              <w:t xml:space="preserve"> 2025 zijn </w:t>
            </w:r>
            <w:r>
              <w:rPr>
                <w:b/>
                <w:i/>
              </w:rPr>
              <w:t>afgerond en openbaar zijn gemaakt en momenteel door</w:t>
            </w:r>
            <w:r>
              <w:t xml:space="preserve"> de Unie worden </w:t>
            </w:r>
            <w:r>
              <w:rPr>
                <w:b/>
                <w:i/>
              </w:rPr>
              <w:t>geëvalueerd</w:t>
            </w:r>
            <w:r>
              <w:t>;</w:t>
            </w:r>
          </w:p>
        </w:tc>
        <w:tc>
          <w:tcPr>
            <w:tcW w:w="4876" w:type="dxa"/>
            <w:tcBorders>
              <w:top w:val="nil"/>
              <w:left w:val="nil"/>
              <w:bottom w:val="nil"/>
              <w:right w:val="nil"/>
            </w:tcBorders>
          </w:tcPr>
          <w:p>
            <w:pPr>
              <w:pStyle w:val="Normal6a"/>
            </w:pPr>
            <w:r>
              <w:t>170.</w:t>
            </w:r>
            <w:r>
              <w:tab/>
            </w:r>
            <w:r>
              <w:rPr>
                <w:b/>
                <w:i/>
              </w:rPr>
              <w:t>wijst op</w:t>
            </w:r>
            <w:r>
              <w:t xml:space="preserve"> de voortdurende samenwerking van de Commissie met de Palestijnse Autoriteit op het gebied van de hervorming van leerplannen en </w:t>
            </w:r>
            <w:r>
              <w:rPr>
                <w:b/>
                <w:i/>
              </w:rPr>
              <w:t>op</w:t>
            </w:r>
            <w:r>
              <w:t xml:space="preserve"> de lopende herziening en wijziging van schoolboeken door het Palestijnse ministerie van Onderwijs en Hoger Onderwijs om ervoor te zorgen dat deze in overeenstemming zijn met de Unesco-normen; merkt </w:t>
            </w:r>
            <w:r>
              <w:rPr>
                <w:b/>
                <w:i/>
              </w:rPr>
              <w:t>echter</w:t>
            </w:r>
            <w:r>
              <w:t xml:space="preserve"> op dat </w:t>
            </w:r>
            <w:r>
              <w:rPr>
                <w:b/>
                <w:i/>
              </w:rPr>
              <w:t>er naar verluidt nog steeds Palestijnse</w:t>
            </w:r>
            <w:r>
              <w:t xml:space="preserve"> schoolboeken </w:t>
            </w:r>
            <w:r>
              <w:rPr>
                <w:b/>
                <w:i/>
              </w:rPr>
              <w:t>met antisemitische inhoud in omloop zijn en pas zijn gedrukt, en dat leden van de Commissie begrotingscontrole recente voorbeelden hebben ontvangen die in</w:t>
            </w:r>
            <w:r>
              <w:t xml:space="preserve"> 2025 zijn </w:t>
            </w:r>
            <w:r>
              <w:rPr>
                <w:b/>
                <w:i/>
              </w:rPr>
              <w:t>gepubliceerd;</w:t>
            </w:r>
            <w:r>
              <w:t xml:space="preserve"> </w:t>
            </w:r>
            <w:r>
              <w:rPr>
                <w:b/>
                <w:i/>
              </w:rPr>
              <w:t>verzoekt de Commissie om er samen met de EDEO voor te zorgen dat er direct noch indirect middelen van</w:t>
            </w:r>
            <w:r>
              <w:t xml:space="preserve"> de Unie worden </w:t>
            </w:r>
            <w:r>
              <w:rPr>
                <w:b/>
                <w:i/>
              </w:rPr>
              <w:t>toegewezen aan het opstellen, onderwijzen of verspreiden van onderwijsmateriaal dat haat, geweld of antisemitisme bevordert, ook niet wanneer dergelijk materiaal via VN-organisaties wordt verspreid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 bis.</w:t>
            </w:r>
            <w:r>
              <w:tab/>
            </w:r>
            <w:r>
              <w:rPr>
                <w:b/>
                <w:i/>
              </w:rPr>
              <w:t>veroordeelt de Palestijnse Autoriteit met klem voor het herdrukken en goedkeuren van schoolboeken voor het schooljaar 2025-2026 waarin nog steeds sprake is van antisemitisme, het aanzetten tot geweld, verheerlijking van de jihad en van martelaarschap, afwijzing van vredesherstel en ontkenning van het bestaan van Israël, hetgeen duidelijk in strijd is met de Unesco-normen en met de formele toezeggingen van de Palestijnse Autoriteit aan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 ter.</w:t>
            </w:r>
            <w:r>
              <w:tab/>
            </w:r>
            <w:r>
              <w:rPr>
                <w:b/>
                <w:i/>
              </w:rPr>
              <w:t>verwerpt de beweringen dat de hervorming van de leerplannen voor graad 12 is voltooid of afgerond, en merkt op dat schoolboeken die momenteel in de klas worden gebruikt nog steeds dezelfde ideologische inhoud bevatten die het Parlement herhaaldelijk, onder meer in eerdere resoluties in verband met kwijting en begrotingscontrole, heeft aangemerkt als onverenigbaar met vrede, tolerantie en geweldloosheid;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170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 quater.</w:t>
            </w:r>
            <w:r>
              <w:tab/>
            </w:r>
            <w:r>
              <w:rPr>
                <w:b/>
                <w:i/>
              </w:rPr>
              <w:t>verzoekt de Commissie met klem geen beweringen over de hervorming van de leerplannen, voor graad 12 of andere graden, te aanvaarden, te bekrachtigen of te certificeren tenzij en totdat zij het Parlement duidelijk, openbaar en verifieerbaar bewijs verstrekt waaruit blijkt dat uit de schoolboeken en instructies voor leerkrachten die actief in de klas worden gebruikt alle antisemitische, haatdragende en gewelddadige inhoud is verwijderd;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170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 quinquies.</w:t>
            </w:r>
            <w:r>
              <w:tab/>
            </w:r>
            <w:r>
              <w:rPr>
                <w:b/>
                <w:i/>
              </w:rPr>
              <w:t>herinnert eraan dat de financiële noodhulp en de meerjarige financiële bijstand van de Unie, met inbegrip van de betaling van salarissen van Palestijnse ambtenaren die verantwoordelijk zijn voor het opstellen, onderwijzen en toepassen van onderwijsmiddelen, in het kader van de overeengekomen hervormingsmatrix uitdrukkelijk afhankelijk was gesteld van meetbare en verifieerbare hervormingen van de leerplannen;</w:t>
            </w:r>
            <w:r>
              <w:t xml:space="preserve"> </w:t>
            </w:r>
            <w:r>
              <w:rPr>
                <w:b/>
                <w:i/>
              </w:rPr>
              <w:t>benadrukt dat deze voorwaarden niet zijn vervuld;</w:t>
            </w:r>
            <w:r>
              <w:t xml:space="preserve"> </w:t>
            </w:r>
            <w:r>
              <w:rPr>
                <w:b/>
                <w:i/>
              </w:rPr>
              <w:t>is daarom van mening dat verdere onderwijsgerelateerde betalingen niet kunnen worden geacht in overeenstemming te zijn met het overeengekomen conditionaliteitskader totdat volledige naleving is aangetoond;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170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170 sexies.</w:t>
            </w:r>
            <w:r>
              <w:tab/>
            </w:r>
            <w:r>
              <w:rPr>
                <w:b/>
                <w:i/>
              </w:rPr>
              <w:t>waarschuwt dat het stellen van vertrouwen in niet-openbare beoordelingen, vertrouwelijke input of niet-verifieerbare garanties het parlementair toezicht zou ondermijnen, de conditionaliteit van de Unie zou verzwakken en het risico met zich mee zou brengen dat de Unie steun blijft verlenen voor de verspreiding van educatieve inhoud die aanzet tot haat en geweld;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171.</w:t>
            </w:r>
            <w:r>
              <w:tab/>
            </w:r>
            <w:r>
              <w:rPr>
                <w:b/>
                <w:i/>
              </w:rPr>
              <w:t>merkt op dat, net als in voorgaande jaren, in 2024 geen Uniefinanciering is gebruikt om de productie van Palestijnse schoolboeken te ondersteunen, en dat de bijstand van de Unie in het kader van zowel het noodhulppakket voor 2024 als het meerjarig omvattend programma voor Palestijns herstel en veerkracht (2025-2027) strikt beperkt is tot traceerbare uitgavenposten zoals lonen, sociale uitkeringen en achterstallige betalingen aan ziekenhuizen;</w:t>
            </w:r>
            <w:r>
              <w:t xml:space="preserve"> </w:t>
            </w:r>
            <w:r>
              <w:rPr>
                <w:b/>
                <w:i/>
              </w:rPr>
              <w:t>merkt op dat dit meerjarenprogramma afhankelijk is van een ambitieuze hervormingsmatrix die met de Palestijnse Autoriteit is overeengekomen en die een systematische evaluatie van leermateriaal omvat;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171.</w:t>
            </w:r>
            <w:r>
              <w:tab/>
            </w:r>
            <w:r>
              <w:t>merkt op dat, net als in voorgaande jaren, in 2024 geen Uniefinanciering is gebruikt om de productie van Palestijnse schoolboeken te ondersteunen, en dat de bijstand van de Unie in het kader van zowel het noodhulppakket voor 2024 als het meerjarig omvattend programma voor Palestijns herstel en veerkracht (2025-2027) strikt beperkt is tot traceerbare uitgavenposten zoals lonen, sociale uitkeringen en achterstallige betalingen aan ziekenhuizen; merkt op dat dit meerjarenprogramma afhankelijk is van een ambitieuze hervormingsmatrix die met de Palestijnse Autoriteit is overeengekomen en die een systematische evaluatie van leermateriaal omvat;</w:t>
            </w:r>
          </w:p>
        </w:tc>
        <w:tc>
          <w:tcPr>
            <w:tcW w:w="4876" w:type="dxa"/>
            <w:tcBorders>
              <w:top w:val="nil"/>
              <w:left w:val="nil"/>
              <w:bottom w:val="nil"/>
              <w:right w:val="nil"/>
            </w:tcBorders>
          </w:tcPr>
          <w:p>
            <w:pPr>
              <w:pStyle w:val="Normal6a"/>
            </w:pPr>
            <w:r>
              <w:t>171</w:t>
            </w:r>
            <w:r>
              <w:tab/>
            </w:r>
            <w:r>
              <w:t xml:space="preserve">. merkt op dat, net als in voorgaande jaren, in 2024 geen Uniefinanciering is gebruikt om de productie van Palestijnse schoolboeken te ondersteunen, en dat de bijstand van de Unie in het kader van zowel het noodhulppakket voor 2024 als het meerjarig omvattend programma voor Palestijns herstel en veerkracht (2025-2027) strikt beperkt is tot traceerbare uitgavenposten zoals lonen, sociale uitkeringen en achterstallige betalingen aan ziekenhuizen; merkt op dat dit meerjarenprogramma afhankelijk is van een ambitieuze hervormingsmatrix die met de Palestijnse Autoriteit is overeengekomen en die een systematische evaluatie van leermateriaal omvat; </w:t>
            </w:r>
            <w:r>
              <w:rPr>
                <w:b/>
                <w:i/>
              </w:rPr>
              <w:t>benadrukt dat de Unie alleen financiële steun op het gebied van onderwijs aan de Palestijnse Autoriteit mag verlenen als de inhoud van schoolboeken wordt afgestemd op de Unesco-normen, alle antisemitische uitingen worden geschrapt en voorbeelden die aanzetten tot haat en geweld worden verwijderd, zoals in de resoluties bij de kwijtingsbesluiten herhaaldelijk is gevraagd;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Monika Hohlmeier, 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dringt er bij de Commissie op aan om, in het kader van het verlenen van steun en humanitaire hulp aan de Palestijnse bevolking, </w:t>
            </w:r>
            <w:r>
              <w:rPr>
                <w:b/>
                <w:i/>
              </w:rPr>
              <w:t>de steun aan de UNRWA alsook aan alle</w:t>
            </w:r>
            <w:r>
              <w:t xml:space="preserve"> betrouwbare partners</w:t>
            </w:r>
            <w:r>
              <w:rPr>
                <w:b/>
                <w:i/>
              </w:rPr>
              <w:t>, waaronder lokale maatschappelijke</w:t>
            </w:r>
            <w:r>
              <w:t xml:space="preserve"> organisaties</w:t>
            </w:r>
            <w:r>
              <w:rPr>
                <w:b/>
                <w:i/>
              </w:rPr>
              <w:t>, op te voeren</w:t>
            </w:r>
            <w:r>
              <w:t>; herinnert eraan dat de Commissie onafhankelijke controles van UNRWA door externe deskundigen, de Rekenkamer en ervaren internationale partners moet waarborgen;</w:t>
            </w:r>
          </w:p>
        </w:tc>
        <w:tc>
          <w:tcPr>
            <w:tcW w:w="4876" w:type="dxa"/>
            <w:tcBorders>
              <w:top w:val="nil"/>
              <w:left w:val="nil"/>
              <w:bottom w:val="nil"/>
              <w:right w:val="nil"/>
            </w:tcBorders>
          </w:tcPr>
          <w:p>
            <w:pPr>
              <w:pStyle w:val="Normal6a"/>
            </w:pPr>
            <w:r>
              <w:t>172.</w:t>
            </w:r>
            <w:r>
              <w:tab/>
            </w:r>
            <w:r>
              <w:t xml:space="preserve">dringt er bij de Commissie op aan om, in het kader van het verlenen van steun en humanitaire hulp aan de Palestijnse bevolking, </w:t>
            </w:r>
            <w:r>
              <w:rPr>
                <w:b/>
                <w:i/>
              </w:rPr>
              <w:t>samen te werken met</w:t>
            </w:r>
            <w:r>
              <w:t xml:space="preserve"> betrouwbare partners </w:t>
            </w:r>
            <w:r>
              <w:rPr>
                <w:b/>
                <w:i/>
              </w:rPr>
              <w:t>ter plaatse om de ononderbroken en veilige verlening van humanitaire hulp te waarborgen en ervoor te zorgen dat er geen middelen van de Unie worden toegewezen aan personen of</w:t>
            </w:r>
            <w:r>
              <w:t xml:space="preserve"> organisaties </w:t>
            </w:r>
            <w:r>
              <w:rPr>
                <w:b/>
                <w:i/>
              </w:rPr>
              <w:t>die banden hebben met terroristische of extremistische bewegingen die tegen de fundamentele waarden van de Unie zijn;</w:t>
            </w:r>
            <w:r>
              <w:t xml:space="preserve"> </w:t>
            </w:r>
            <w:r>
              <w:rPr>
                <w:b/>
                <w:i/>
              </w:rPr>
              <w:t>spreekt zijn ernstige bezorgdheid uit over beschuldigingen dat UNRWA-medewerkers in Gaza betrokken zouden zijn geweest bij de verachtelijke terroristische aanvallen van Hamas op Israël op 7 oktober 2023</w:t>
            </w:r>
            <w:r>
              <w:t xml:space="preserve">; herinnert eraan dat de Commissie onafhankelijke controles van UNRWA door externe deskundigen, de Rekenkamer en ervaren internationale partners moet waarborgen; </w:t>
            </w:r>
            <w:r>
              <w:rPr>
                <w:b/>
                <w:i/>
              </w:rPr>
              <w:t>verzoekt de EDEO waar nodig samen te werken met andere betrouwbare partners in Gaza en de Palestijnse gebieden om ervoor te zorgen dat de humanitaire hulp aan de Palestijnse bevolking wordt voortgezet;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rPr>
                <w:b/>
                <w:i/>
              </w:rPr>
              <w:t>dringt er bij de Commissie op aan om, in het kader van het verlenen van steun en humanitaire hulp aan de Palestijnse bevolking, de steun aan de UNRWA alsook aan alle betrouwbare partners, waaronder lokale maatschappelijke organisaties, op te voeren;</w:t>
            </w:r>
            <w:r>
              <w:t xml:space="preserve"> herinnert eraan dat de Commissie onafhankelijke controles van UNRWA door externe deskundigen, de Rekenkamer en ervaren internationale partners moet waarborgen;</w:t>
            </w:r>
          </w:p>
        </w:tc>
        <w:tc>
          <w:tcPr>
            <w:tcW w:w="4876" w:type="dxa"/>
            <w:tcBorders>
              <w:top w:val="nil"/>
              <w:left w:val="nil"/>
              <w:bottom w:val="nil"/>
              <w:right w:val="nil"/>
            </w:tcBorders>
          </w:tcPr>
          <w:p>
            <w:pPr>
              <w:pStyle w:val="Normal6a"/>
            </w:pPr>
            <w:r>
              <w:t>172.</w:t>
            </w:r>
            <w:r>
              <w:tab/>
            </w:r>
            <w:r>
              <w:t>herinnert eraan dat de Commissie onafhankelijke controles van UNRWA door externe deskundigen, de Rekenkamer en ervaren internationale partners moet waarborgen;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rPr>
                <w:b/>
                <w:i/>
              </w:rPr>
              <w:t>dringt er bij</w:t>
            </w:r>
            <w:r>
              <w:t xml:space="preserve"> de Commissie </w:t>
            </w:r>
            <w:r>
              <w:rPr>
                <w:b/>
                <w:i/>
              </w:rPr>
              <w:t>op aan</w:t>
            </w:r>
            <w:r>
              <w:t xml:space="preserve"> om, in het kader van het verlenen van steun en humanitaire </w:t>
            </w:r>
            <w:r>
              <w:rPr>
                <w:b/>
                <w:i/>
              </w:rPr>
              <w:t>hulp</w:t>
            </w:r>
            <w:r>
              <w:t xml:space="preserve"> aan de Palestijnse bevolking, </w:t>
            </w:r>
            <w:r>
              <w:rPr>
                <w:b/>
                <w:i/>
              </w:rPr>
              <w:t>de steun aan</w:t>
            </w:r>
            <w:r>
              <w:t xml:space="preserve"> de UNRWA </w:t>
            </w:r>
            <w:r>
              <w:rPr>
                <w:b/>
                <w:i/>
              </w:rPr>
              <w:t>alsook aan alle betrouwbare partners, waaronder lokale maatschappelijke organisaties, op te voeren;</w:t>
            </w:r>
            <w:r>
              <w:t xml:space="preserve"> </w:t>
            </w:r>
            <w:r>
              <w:rPr>
                <w:b/>
                <w:i/>
              </w:rPr>
              <w:t>herinnert eraan</w:t>
            </w:r>
            <w:r>
              <w:t xml:space="preserve"> dat de </w:t>
            </w:r>
            <w:r>
              <w:rPr>
                <w:b/>
                <w:i/>
              </w:rPr>
              <w:t>Commissie onafhankelijke controles van UNRWA door externe deskundigen, de Rekenkamer en ervaren internationale</w:t>
            </w:r>
            <w:r>
              <w:t xml:space="preserve"> partners </w:t>
            </w:r>
            <w:r>
              <w:rPr>
                <w:b/>
                <w:i/>
              </w:rPr>
              <w:t>moet waarborgen</w:t>
            </w:r>
            <w:r>
              <w:t>;</w:t>
            </w:r>
          </w:p>
        </w:tc>
        <w:tc>
          <w:tcPr>
            <w:tcW w:w="4876" w:type="dxa"/>
            <w:tcBorders>
              <w:top w:val="nil"/>
              <w:left w:val="nil"/>
              <w:bottom w:val="nil"/>
              <w:right w:val="nil"/>
            </w:tcBorders>
          </w:tcPr>
          <w:p>
            <w:pPr>
              <w:pStyle w:val="Normal6a"/>
            </w:pPr>
            <w:r>
              <w:t>172.</w:t>
            </w:r>
            <w:r>
              <w:tab/>
            </w:r>
            <w:r>
              <w:rPr>
                <w:b/>
                <w:i/>
              </w:rPr>
              <w:t>verzoekt</w:t>
            </w:r>
            <w:r>
              <w:t xml:space="preserve"> de Commissie om, in het kader van het verlenen van steun en humanitaire </w:t>
            </w:r>
            <w:r>
              <w:rPr>
                <w:b/>
                <w:i/>
              </w:rPr>
              <w:t>bijstand</w:t>
            </w:r>
            <w:r>
              <w:t xml:space="preserve"> aan de Palestijnse bevolking, </w:t>
            </w:r>
            <w:r>
              <w:rPr>
                <w:b/>
                <w:i/>
              </w:rPr>
              <w:t>haar financiële betrekkingen met</w:t>
            </w:r>
            <w:r>
              <w:t xml:space="preserve"> de UNRWA </w:t>
            </w:r>
            <w:r>
              <w:rPr>
                <w:b/>
                <w:i/>
              </w:rPr>
              <w:t>te herzien om de financiële belangen van de Unie te beschermen, en ervoor te zorgen</w:t>
            </w:r>
            <w:r>
              <w:t xml:space="preserve"> dat de </w:t>
            </w:r>
            <w:r>
              <w:rPr>
                <w:b/>
                <w:i/>
              </w:rPr>
              <w:t>middelen van de Unie ter beschikking worden gesteld via</w:t>
            </w:r>
            <w:r>
              <w:t xml:space="preserve"> partners </w:t>
            </w:r>
            <w:r>
              <w:rPr>
                <w:b/>
                <w:i/>
              </w:rPr>
              <w:t>die voldoen aan de hoogste normen inzake verantwoordingsplicht en toezicht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172.</w:t>
            </w:r>
            <w:r>
              <w:tab/>
            </w:r>
            <w:r>
              <w:t xml:space="preserve">dringt er bij de Commissie op aan om, in het kader van het verlenen van steun en humanitaire hulp aan de Palestijnse bevolking, de steun </w:t>
            </w:r>
            <w:r>
              <w:rPr>
                <w:b/>
                <w:i/>
              </w:rPr>
              <w:t>aan de UNRWA alsook</w:t>
            </w:r>
            <w:r>
              <w:t xml:space="preserve"> aan alle betrouwbare partners, waaronder lokale maatschappelijke organisaties, op te voeren; herinnert eraan dat de Commissie onafhankelijke controles van UNRWA door externe deskundigen, de Rekenkamer en ervaren internationale partners moet waarborgen;</w:t>
            </w:r>
          </w:p>
        </w:tc>
        <w:tc>
          <w:tcPr>
            <w:tcW w:w="4876" w:type="dxa"/>
            <w:tcBorders>
              <w:top w:val="nil"/>
              <w:left w:val="nil"/>
              <w:bottom w:val="nil"/>
              <w:right w:val="nil"/>
            </w:tcBorders>
          </w:tcPr>
          <w:p>
            <w:pPr>
              <w:pStyle w:val="Normal6a"/>
            </w:pPr>
            <w:r>
              <w:t>172.</w:t>
            </w:r>
            <w:r>
              <w:tab/>
            </w:r>
            <w:r>
              <w:t>dringt er bij de Commissie op aan om, in het kader van het verlenen van steun en humanitaire hulp aan de Palestijnse bevolking, de steun aan alle betrouwbare partners, waaronder lokale maatschappelijke organisaties, op te voeren; herinnert eraan dat de Commissie onafhankelijke controles van UNRWA door externe deskundigen, de Rekenkamer en ervaren internationale partners moet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 bis.</w:t>
            </w:r>
            <w:r>
              <w:tab/>
            </w:r>
            <w:r>
              <w:rPr>
                <w:b/>
                <w:i/>
              </w:rPr>
              <w:t>neemt met grote bezorgdheid kennis van interne documenten van Hamas waaruit blijkt dat er banden bestaan tussen het mechanisme voor binnenlandse veiligheid van Hamas en door de EU gefinancierde ngo’s;</w:t>
            </w:r>
            <w:r>
              <w:t xml:space="preserve"> </w:t>
            </w:r>
            <w:r>
              <w:rPr>
                <w:b/>
                <w:i/>
              </w:rPr>
              <w:t>is diep bezorgd over het risico dat met geld van de EU-belastingbetaler onrechtstreeks terroristische activiteiten worden ondersteund;</w:t>
            </w:r>
            <w:r>
              <w:t xml:space="preserve"> </w:t>
            </w:r>
            <w:r>
              <w:rPr>
                <w:b/>
                <w:i/>
              </w:rPr>
              <w:t>verzoekt de Commissie onmiddellijke stappen te ondernemen om deze beschuldigingen te onderzoeken en, indien nodig, financiering van ngo’s die zich niet aan de voorwaarden houden op te schorten en terug te 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uit zijn ernstige bezorgdheid over ernstige tekortkomingen in het beheer van DG NEAR onder verantwoordelijkheid van commissaris Várhelyi tijdens zijn mandaat als commissaris voor Nabuurschap en Uitbreiding (2019-2024);</w:t>
            </w:r>
            <w:r>
              <w:t xml:space="preserve"> </w:t>
            </w:r>
            <w:r>
              <w:rPr>
                <w:b/>
                <w:i/>
              </w:rPr>
              <w:t>merkt op dat in deze periode een ongekend aantal functies in het hoger management gedurende uitzonderlijk lange perioden vacant bleef, waardoor de leidinggevende capaciteit van het directoraat-generaal ernstig werd ondermijnd;</w:t>
            </w:r>
            <w:r>
              <w:t xml:space="preserve"> </w:t>
            </w:r>
            <w:r>
              <w:rPr>
                <w:b/>
                <w:i/>
              </w:rPr>
              <w:t>merkt met name op dat de post van directeur-generaal 28 maanden vacant bleef, die van directeur A 25 maanden, die van directeur NEAR B (zuidelijk nabuurschap) 48 maanden, die van directeur NEAR D (Westelijke Balkan) 35 maanden, die van directeur van de steungroep voor Oekraïne 32 maanden en die van directeur R 22 maanden;</w:t>
            </w:r>
            <w:r>
              <w:t xml:space="preserve"> </w:t>
            </w:r>
            <w:r>
              <w:rPr>
                <w:b/>
                <w:i/>
              </w:rPr>
              <w:t>benadrukt dat deze langdurige vacatures hun weerslag hadden op enkele van de politiek meest gevoelige en operationeel meest kritieke portefeuilles van de Unie, onder meer tijdens de Russische invasie in Oekraïne en de terroristische aanval van Hamas op Israël;</w:t>
            </w:r>
            <w:r>
              <w:t xml:space="preserve"> </w:t>
            </w:r>
            <w:r>
              <w:rPr>
                <w:b/>
                <w:i/>
              </w:rPr>
              <w:t>neemt voorts kennis van de resultaten van de personeelsenquête van DG NEAR van april 2022, waaruit blijkt dat het vertrouwen in het leiderschap van het hoger management aanzienlijk is afgenomen, de slechtste resultaten van de personeelsenquête van het DG ooit;</w:t>
            </w:r>
            <w:r>
              <w:t xml:space="preserve"> </w:t>
            </w:r>
            <w:r>
              <w:rPr>
                <w:b/>
                <w:i/>
              </w:rPr>
              <w:t>is van mening dat DG NEAR jarenlang verstoken laten van stabiele leiding niet verenigbaar is met de plicht van goed bestuur en doeltreffend beheer die van een commissaris wordt verwacht;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uit zijn ernstige bezorgdheid over ernstige tekortkomingen in het beheer van DG NEAR onder verantwoordelijkheid van commissaris Várhelyi tijdens zijn mandaat als commissaris voor Nabuurschap en Uitbreiding (2019-2024);</w:t>
            </w:r>
            <w:r>
              <w:t xml:space="preserve"> </w:t>
            </w:r>
            <w:r>
              <w:rPr>
                <w:b/>
                <w:i/>
              </w:rPr>
              <w:t>merkt op dat in deze periode een ongekend aantal functies in het hoger management gedurende uitzonderlijk lange perioden vacant bleef, waardoor de leidinggevende capaciteit van het directoraat-generaal ernstig werd ondermijnd;</w:t>
            </w:r>
            <w:r>
              <w:t xml:space="preserve"> </w:t>
            </w:r>
            <w:r>
              <w:rPr>
                <w:b/>
                <w:i/>
              </w:rPr>
              <w:t>merkt met name op dat de post van directeur-generaal 28 maanden vacant bleef, die van directeur A 25 maanden, die van directeur NEAR B (zuidelijk nabuurschap) 48 maanden, die van directeur NEAR D (Westelijke Balkan) 35 maanden, die van directeur van de steungroep voor Oekraïne 32 maanden en die van directeur R 22 maanden;</w:t>
            </w:r>
            <w:r>
              <w:t xml:space="preserve"> </w:t>
            </w:r>
            <w:r>
              <w:rPr>
                <w:b/>
                <w:i/>
              </w:rPr>
              <w:t>benadrukt dat deze langdurige vacatures hun weerslag hadden op enkele van de politiek meest gevoelige en operationeel meest kritieke portefeuilles van de Unie, onder meer tijdens de Russische invasie in Oekraïne en de terroristische aanval van Hamas op Israël;</w:t>
            </w:r>
            <w:r>
              <w:t xml:space="preserve"> </w:t>
            </w:r>
            <w:r>
              <w:rPr>
                <w:b/>
                <w:i/>
              </w:rPr>
              <w:t>neemt voorts kennis van de resultaten van de personeelsenquête van DG NEAR van april 2022, waaruit blijkt dat het vertrouwen in het leiderschap van het hoger management aanzienlijk is afgenomen, de slechtste resultaten van de personeelsenquête van het DG ooit;</w:t>
            </w:r>
            <w:r>
              <w:t xml:space="preserve"> </w:t>
            </w:r>
            <w:r>
              <w:rPr>
                <w:b/>
                <w:i/>
              </w:rPr>
              <w:t>is van mening dat DG NEAR jarenlang verstoken laten van stabiele leiding niet verenigbaar is met de plicht van goed bestuur en doeltreffend beheer die van een commissaris wordt verwacht;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173.</w:t>
            </w:r>
            <w:r>
              <w:tab/>
            </w:r>
            <w:r>
              <w:rPr>
                <w:b/>
                <w:i/>
              </w:rPr>
              <w:t>uit zijn ernstige bezorgdheid over ernstige tekortkomingen in het beheer van DG NEAR onder verantwoordelijkheid van commissaris Várhelyi tijdens zijn mandaat als commissaris voor Nabuurschap en Uitbreiding (2019-2024);</w:t>
            </w:r>
            <w:r>
              <w:t xml:space="preserve"> </w:t>
            </w:r>
            <w:r>
              <w:rPr>
                <w:b/>
                <w:i/>
              </w:rPr>
              <w:t>merkt op dat in deze periode een ongekend aantal functies in het hoger management gedurende uitzonderlijk lange perioden vacant bleef, waardoor de leidinggevende capaciteit van het directoraat-generaal ernstig werd ondermijnd;</w:t>
            </w:r>
            <w:r>
              <w:t xml:space="preserve"> </w:t>
            </w:r>
            <w:r>
              <w:rPr>
                <w:b/>
                <w:i/>
              </w:rPr>
              <w:t>merkt met name op dat de post van directeur-generaal 28 maanden vacant bleef, die van directeur A 25 maanden, die van directeur NEAR B (zuidelijk nabuurschap) 48 maanden, die van directeur NEAR D (Westelijke Balkan) 35 maanden, die van directeur van de steungroep voor Oekraïne 32 maanden en die van directeur R 22 maanden;</w:t>
            </w:r>
            <w:r>
              <w:t xml:space="preserve"> </w:t>
            </w:r>
            <w:r>
              <w:rPr>
                <w:b/>
                <w:i/>
              </w:rPr>
              <w:t>benadrukt dat deze langdurige vacatures hun weerslag hadden op enkele van de politiek meest gevoelige en operationeel meest kritieke portefeuilles van de Unie, onder meer tijdens de Russische invasie in Oekraïne en de terroristische aanval van Hamas op Israël;</w:t>
            </w:r>
            <w:r>
              <w:t xml:space="preserve"> </w:t>
            </w:r>
            <w:r>
              <w:rPr>
                <w:b/>
                <w:i/>
              </w:rPr>
              <w:t>neemt voorts kennis van de resultaten van de personeelsenquête van DG NEAR van april 2022, waaruit blijkt dat het vertrouwen in het leiderschap van het hoger management aanzienlijk is afgenomen, de slechtste resultaten van de personeelsenquête van het DG ooit;</w:t>
            </w:r>
            <w:r>
              <w:t xml:space="preserve"> </w:t>
            </w:r>
            <w:r>
              <w:rPr>
                <w:b/>
                <w:i/>
              </w:rPr>
              <w:t>is van mening dat DG NEAR jarenlang verstoken laten van stabiele leiding niet verenigbaar is met de plicht van goed bestuur en doeltreffend beheer die van een commissaris wordt verwacht;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Monika Hohlmeier,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rPr>
                <w:b/>
                <w:i/>
              </w:rPr>
              <w:t>uit zijn ernstige bezorgdheid over ernstige tekortkomingen in het beheer van DG NEAR onder verantwoordelijkheid van commissaris Várhelyi tijdens zijn mandaat als commissaris voor Nabuurschap en Uitbreiding (2019-2024);</w:t>
            </w:r>
            <w:r>
              <w:t xml:space="preserve"> merkt op dat in </w:t>
            </w:r>
            <w:r>
              <w:rPr>
                <w:b/>
                <w:i/>
              </w:rPr>
              <w:t>deze</w:t>
            </w:r>
            <w:r>
              <w:t xml:space="preserve"> periode een </w:t>
            </w:r>
            <w:r>
              <w:rPr>
                <w:b/>
                <w:i/>
              </w:rPr>
              <w:t>ongekend</w:t>
            </w:r>
            <w:r>
              <w:t xml:space="preserve"> aantal functies in het hoger management gedurende </w:t>
            </w:r>
            <w:r>
              <w:rPr>
                <w:b/>
                <w:i/>
              </w:rPr>
              <w:t>uitzonderlijk lange</w:t>
            </w:r>
            <w:r>
              <w:t xml:space="preserve"> perioden vacant </w:t>
            </w:r>
            <w:r>
              <w:rPr>
                <w:b/>
                <w:i/>
              </w:rPr>
              <w:t>bleef, waardoor de leidinggevende capaciteit van het directoraat-generaal ernstig werd ondermijnd</w:t>
            </w:r>
            <w:r>
              <w:t xml:space="preserve">; merkt met name op dat </w:t>
            </w:r>
            <w:r>
              <w:rPr>
                <w:b/>
                <w:i/>
              </w:rPr>
              <w:t>de post</w:t>
            </w:r>
            <w:r>
              <w:t xml:space="preserve"> van directeur-generaal </w:t>
            </w:r>
            <w:r>
              <w:rPr>
                <w:b/>
                <w:i/>
              </w:rPr>
              <w:t>28 maanden vacant bleef, die van</w:t>
            </w:r>
            <w:r>
              <w:t xml:space="preserve"> directeur </w:t>
            </w:r>
            <w:r>
              <w:rPr>
                <w:b/>
                <w:i/>
              </w:rPr>
              <w:t>A 25 maanden, die van directeur NEAR B (zuidelijk nabuurschap) 48 maanden, die van directeur NEAR D (Westelijke Balkan) 35 maanden, die van directeur van de steungroep voor Oekraïne 32 maanden en die van directeur R 22 maanden;</w:t>
            </w:r>
            <w:r>
              <w:t xml:space="preserve"> </w:t>
            </w:r>
            <w:r>
              <w:rPr>
                <w:b/>
                <w:i/>
              </w:rPr>
              <w:t>benadrukt dat deze langdurige vacatures hun weerslag hadden op enkele van de politiek meest gevoelige en operationeel meest kritieke portefeuilles van de Unie, onder meer tijdens de Russische invasie in Oekraïne en de terroristische aanval van Hamas op Israël</w:t>
            </w:r>
            <w:r>
              <w:t xml:space="preserve">; neemt </w:t>
            </w:r>
            <w:r>
              <w:rPr>
                <w:b/>
                <w:i/>
              </w:rPr>
              <w:t>voorts</w:t>
            </w:r>
            <w:r>
              <w:t xml:space="preserve"> kennis van de resultaten van de personeelsenquête van DG NEAR van april 2022</w:t>
            </w:r>
            <w:r>
              <w:rPr>
                <w:b/>
                <w:i/>
              </w:rPr>
              <w:t>, waaruit blijkt dat het vertrouwen in</w:t>
            </w:r>
            <w:r>
              <w:t xml:space="preserve"> het leiderschap </w:t>
            </w:r>
            <w:r>
              <w:rPr>
                <w:b/>
                <w:i/>
              </w:rPr>
              <w:t>van het hoger management aanzienlijk is afgenomen, de slechtste resultaten van de personeelsenquête van het DG ooit;</w:t>
            </w:r>
            <w:r>
              <w:t xml:space="preserve"> </w:t>
            </w:r>
            <w:r>
              <w:rPr>
                <w:b/>
                <w:i/>
              </w:rPr>
              <w:t>is van mening dat DG NEAR jarenlang verstoken laten van stabiele leiding niet verenigbaar is</w:t>
            </w:r>
            <w:r>
              <w:t xml:space="preserve"> met de </w:t>
            </w:r>
            <w:r>
              <w:rPr>
                <w:b/>
                <w:i/>
              </w:rPr>
              <w:t>plicht</w:t>
            </w:r>
            <w:r>
              <w:t xml:space="preserve"> van goed bestuur </w:t>
            </w:r>
            <w:r>
              <w:rPr>
                <w:b/>
                <w:i/>
              </w:rPr>
              <w:t>en doeltreffend beheer die van een commissaris wordt verwacht</w:t>
            </w:r>
            <w:r>
              <w:t>;</w:t>
            </w:r>
          </w:p>
        </w:tc>
        <w:tc>
          <w:tcPr>
            <w:tcW w:w="4876" w:type="dxa"/>
            <w:tcBorders>
              <w:top w:val="nil"/>
              <w:left w:val="nil"/>
              <w:bottom w:val="nil"/>
              <w:right w:val="nil"/>
            </w:tcBorders>
          </w:tcPr>
          <w:p>
            <w:pPr>
              <w:pStyle w:val="Normal6a"/>
            </w:pPr>
            <w:r>
              <w:t>173.</w:t>
            </w:r>
            <w:r>
              <w:tab/>
            </w:r>
            <w:r>
              <w:t xml:space="preserve">merkt op dat in </w:t>
            </w:r>
            <w:r>
              <w:rPr>
                <w:b/>
                <w:i/>
              </w:rPr>
              <w:t>de</w:t>
            </w:r>
            <w:r>
              <w:t xml:space="preserve"> periode </w:t>
            </w:r>
            <w:r>
              <w:rPr>
                <w:b/>
                <w:i/>
              </w:rPr>
              <w:t>2019-2024</w:t>
            </w:r>
            <w:r>
              <w:t xml:space="preserve"> een aantal functies in het hoger management </w:t>
            </w:r>
            <w:r>
              <w:rPr>
                <w:b/>
                <w:i/>
              </w:rPr>
              <w:t>bij DG NEAR</w:t>
            </w:r>
            <w:r>
              <w:t xml:space="preserve"> gedurende </w:t>
            </w:r>
            <w:r>
              <w:rPr>
                <w:b/>
                <w:i/>
              </w:rPr>
              <w:t>langere</w:t>
            </w:r>
            <w:r>
              <w:t xml:space="preserve"> perioden vacant </w:t>
            </w:r>
            <w:r>
              <w:rPr>
                <w:b/>
                <w:i/>
              </w:rPr>
              <w:t>is gebleven</w:t>
            </w:r>
            <w:r>
              <w:t xml:space="preserve">; merkt met name op dat </w:t>
            </w:r>
            <w:r>
              <w:rPr>
                <w:b/>
                <w:i/>
              </w:rPr>
              <w:t>er vacatures waren op het niveau</w:t>
            </w:r>
            <w:r>
              <w:t xml:space="preserve"> van directeur-generaal </w:t>
            </w:r>
            <w:r>
              <w:rPr>
                <w:b/>
                <w:i/>
              </w:rPr>
              <w:t>en</w:t>
            </w:r>
            <w:r>
              <w:t xml:space="preserve"> directeur; neemt kennis van de resultaten van de personeelsenquête van DG NEAR van april 2022 </w:t>
            </w:r>
            <w:r>
              <w:rPr>
                <w:b/>
                <w:i/>
              </w:rPr>
              <w:t>en moedigt de Commissie aan hier lessen uit te trekken en te zorgen voor tijdige benoemingen, continuïteit van</w:t>
            </w:r>
            <w:r>
              <w:t xml:space="preserve"> het leiderschap </w:t>
            </w:r>
            <w:r>
              <w:rPr>
                <w:b/>
                <w:i/>
              </w:rPr>
              <w:t>en doeltreffende beheersstructuren in alle directoraten-generaal, in overeenstemming</w:t>
            </w:r>
            <w:r>
              <w:t xml:space="preserve"> met de </w:t>
            </w:r>
            <w:r>
              <w:rPr>
                <w:b/>
                <w:i/>
              </w:rPr>
              <w:t>beginselen</w:t>
            </w:r>
            <w:r>
              <w:t xml:space="preserve"> van goed bestuur;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173.</w:t>
            </w:r>
            <w:r>
              <w:tab/>
            </w:r>
            <w:r>
              <w:t>uit zijn ernstige bezorgdheid over ernstige tekortkomingen in het beheer van DG NEAR onder verantwoordelijkheid van commissaris Várhelyi tijdens zijn mandaat als commissaris voor Nabuurschap en Uitbreiding (2019-2024); merkt op dat in deze periode een ongekend aantal functies in het hoger management gedurende uitzonderlijk lange perioden vacant bleef, waardoor de leidinggevende capaciteit van het directoraat-generaal ernstig werd ondermijnd; merkt met name op dat de post van directeur-generaal 28 maanden vacant bleef, die van directeur A 25 maanden, die van directeur NEAR B (zuidelijk nabuurschap) 48 maanden, die van directeur NEAR D (Westelijke Balkan) 35 maanden, die van directeur van de steungroep voor Oekraïne 32 maanden en die van directeur R 22 maanden; benadrukt dat deze langdurige vacatures hun weerslag hadden op enkele van de politiek meest gevoelige en operationeel meest kritieke portefeuilles van de Unie, onder meer tijdens de Russische invasie in Oekraïne en de terroristische aanval van Hamas op Israël; neemt voorts kennis van de resultaten van de personeelsenquête van DG NEAR van april 2022, waaruit blijkt dat het vertrouwen in het leiderschap van het hoger management aanzienlijk is afgenomen, de slechtste resultaten van de personeelsenquête van het DG ooit; is van mening dat DG NEAR jarenlang verstoken laten van stabiele leiding niet verenigbaar is met de plicht van goed bestuur en doeltreffend beheer die van een commissaris wordt verwacht;</w:t>
            </w:r>
          </w:p>
        </w:tc>
        <w:tc>
          <w:tcPr>
            <w:tcW w:w="4876" w:type="dxa"/>
            <w:tcBorders>
              <w:top w:val="nil"/>
              <w:left w:val="nil"/>
              <w:bottom w:val="nil"/>
              <w:right w:val="nil"/>
            </w:tcBorders>
          </w:tcPr>
          <w:p>
            <w:pPr>
              <w:pStyle w:val="Normal6a"/>
            </w:pPr>
            <w:r>
              <w:t>173.</w:t>
            </w:r>
            <w:r>
              <w:tab/>
            </w:r>
            <w:r>
              <w:t xml:space="preserve">uit zijn ernstige bezorgdheid over ernstige tekortkomingen in het beheer van DG NEAR onder verantwoordelijkheid van commissaris Várhelyi tijdens zijn mandaat als commissaris voor Nabuurschap en Uitbreiding (2019-2024); merkt op dat in deze periode een ongekend aantal functies in het hoger management gedurende uitzonderlijk lange perioden vacant bleef, waardoor de leidinggevende capaciteit van het directoraat-generaal ernstig werd ondermijnd; merkt met name op dat de post van directeur-generaal 28 maanden vacant bleef, die van directeur A 25 maanden, die van directeur NEAR B (zuidelijk nabuurschap) 48 maanden, die van directeur NEAR D (Westelijke Balkan) 35 maanden, die van directeur van de steungroep voor Oekraïne 32 maanden en die van directeur R 22 maanden; benadrukt dat deze langdurige vacatures hun weerslag hadden op enkele van de politiek meest gevoelige en operationeel meest kritieke portefeuilles van de Unie, onder meer tijdens de Russische invasie in Oekraïne en de terroristische aanval van Hamas op Israël; neemt voorts kennis van de resultaten van de personeelsenquête van DG NEAR van april 2022, waaruit blijkt dat het vertrouwen in het leiderschap van het hoger management aanzienlijk is afgenomen, de slechtste resultaten van de personeelsenquête van het DG ooit; is van mening dat DG NEAR jarenlang verstoken laten van stabiele leiding niet verenigbaar is met de plicht van goed bestuur en doeltreffend beheer die van een commissaris wordt verwacht; </w:t>
            </w:r>
            <w:r>
              <w:rPr>
                <w:b/>
                <w:i/>
              </w:rPr>
              <w:t>verzoekt de Commissie ervoor te zorgen dat kritieke leidinggevende functies onmiddellijk worden ingevuld en dat er noodmechanismen worden ingevoerd om langdurige administratieve lacunes in de toekomst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neemt kennis van de verklaringen van commissaris Várhelyi tijdens de gedachtewisseling in de Commissie begrotingscontrole op 12 januari 2026, waarin hij beweerde dat de post van directeur van de steungroep voor Oekraïne pas in 2022 werd gecreëerd en onmiddellijk daarna was ingevuld;</w:t>
            </w:r>
            <w:r>
              <w:t xml:space="preserve"> </w:t>
            </w:r>
            <w:r>
              <w:rPr>
                <w:b/>
                <w:i/>
              </w:rPr>
              <w:t>betreurt dat deze aan het Parlement verstrekte informatie onjuist was, aangezien de steungroep voor Oekraïne in 2014 werd opgericht en de leiding ervan tussen 2020 en 2023 tijdelijk werd waargenomen door de adjunct-directeur-generaal van DG NEAR, naast haar vele andere functies;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neemt kennis van de verklaringen van commissaris Várhelyi tijdens de gedachtewisseling in de Commissie begrotingscontrole op 12 januari 2026, waarin hij beweerde dat de post van directeur van de steungroep voor Oekraïne pas in 2022 werd gecreëerd en onmiddellijk daarna was ingevuld;</w:t>
            </w:r>
            <w:r>
              <w:t xml:space="preserve"> </w:t>
            </w:r>
            <w:r>
              <w:rPr>
                <w:b/>
                <w:i/>
              </w:rPr>
              <w:t>betreurt dat deze aan het Parlement verstrekte informatie onjuist was, aangezien de steungroep voor Oekraïne in 2014 werd opgericht en de leiding ervan tussen 2020 en 2023 tijdelijk werd waargenomen door de adjunct-directeur-generaal van DG NEAR, naast haar vele andere functies;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174.</w:t>
            </w:r>
            <w:r>
              <w:tab/>
            </w:r>
            <w:r>
              <w:rPr>
                <w:b/>
                <w:i/>
              </w:rPr>
              <w:t>neemt kennis van de verklaringen van commissaris Várhelyi tijdens de gedachtewisseling in de Commissie begrotingscontrole op 12 januari 2026, waarin hij beweerde dat de post van directeur van de steungroep voor Oekraïne pas in 2022 werd gecreëerd en onmiddellijk daarna was ingevuld;</w:t>
            </w:r>
            <w:r>
              <w:t xml:space="preserve"> </w:t>
            </w:r>
            <w:r>
              <w:rPr>
                <w:b/>
                <w:i/>
              </w:rPr>
              <w:t>betreurt dat deze aan het Parlement verstrekte informatie onjuist was, aangezien de steungroep voor Oekraïne in 2014 werd opgericht en de leiding ervan tussen 2020 en 2023 tijdelijk werd waargenomen door de adjunct-directeur-generaal van DG NEAR, naast haar vele andere functies;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174.</w:t>
            </w:r>
            <w:r>
              <w:tab/>
            </w:r>
            <w:r>
              <w:t xml:space="preserve">neemt kennis van </w:t>
            </w:r>
            <w:r>
              <w:rPr>
                <w:b/>
                <w:i/>
              </w:rPr>
              <w:t>de verklaringen van commissaris Várhelyi</w:t>
            </w:r>
            <w:r>
              <w:t xml:space="preserve"> tijdens de </w:t>
            </w:r>
            <w:r>
              <w:rPr>
                <w:b/>
                <w:i/>
              </w:rPr>
              <w:t>gedachtewisseling in de Commissie begrotingscontrole op 12 januari 2026, waarin hij beweerde dat de post van directeur</w:t>
            </w:r>
            <w:r>
              <w:t xml:space="preserve"> van de steungroep voor Oekraïne </w:t>
            </w:r>
            <w:r>
              <w:rPr>
                <w:b/>
                <w:i/>
              </w:rPr>
              <w:t>pas in 2022 werd gecreëerd en onmiddellijk daarna was ingevuld;</w:t>
            </w:r>
            <w:r>
              <w:t xml:space="preserve"> </w:t>
            </w:r>
            <w:r>
              <w:rPr>
                <w:b/>
                <w:i/>
              </w:rPr>
              <w:t>betreurt dat deze aan het Parlement verstrekte informatie onjuist was, aangezien</w:t>
            </w:r>
            <w:r>
              <w:t xml:space="preserve"> de steungroep voor Oekraïne in </w:t>
            </w:r>
            <w:r>
              <w:rPr>
                <w:b/>
                <w:i/>
              </w:rPr>
              <w:t>2014 werd opgericht</w:t>
            </w:r>
            <w:r>
              <w:t xml:space="preserve"> en de leiding </w:t>
            </w:r>
            <w:r>
              <w:rPr>
                <w:b/>
                <w:i/>
              </w:rPr>
              <w:t>ervan tussen 2020 en 2023 tijdelijk werd waargenomen door de adjunct-directeur-generaal van DG NEAR, naast haar vele andere functies</w:t>
            </w:r>
            <w:r>
              <w:t>;</w:t>
            </w:r>
          </w:p>
        </w:tc>
        <w:tc>
          <w:tcPr>
            <w:tcW w:w="4876" w:type="dxa"/>
            <w:tcBorders>
              <w:top w:val="nil"/>
              <w:left w:val="nil"/>
              <w:bottom w:val="nil"/>
              <w:right w:val="nil"/>
            </w:tcBorders>
          </w:tcPr>
          <w:p>
            <w:pPr>
              <w:pStyle w:val="Normal6a"/>
            </w:pPr>
            <w:r>
              <w:t>174.</w:t>
            </w:r>
            <w:r>
              <w:tab/>
            </w:r>
            <w:r>
              <w:t xml:space="preserve">neemt </w:t>
            </w:r>
            <w:r>
              <w:rPr>
                <w:b/>
                <w:i/>
              </w:rPr>
              <w:t>er</w:t>
            </w:r>
            <w:r>
              <w:t xml:space="preserve"> kennis van </w:t>
            </w:r>
            <w:r>
              <w:rPr>
                <w:b/>
                <w:i/>
              </w:rPr>
              <w:t>dat</w:t>
            </w:r>
            <w:r>
              <w:t xml:space="preserve"> tijdens de </w:t>
            </w:r>
            <w:r>
              <w:rPr>
                <w:b/>
                <w:i/>
              </w:rPr>
              <w:t>oprichting en werking</w:t>
            </w:r>
            <w:r>
              <w:t xml:space="preserve"> van de steungroep voor Oekraïne </w:t>
            </w:r>
            <w:r>
              <w:rPr>
                <w:b/>
                <w:i/>
              </w:rPr>
              <w:t>de leiding tijdelijk werd waargenomen terwijl er permanente regelingen werden ingevoerd, merkt op dat</w:t>
            </w:r>
            <w:r>
              <w:t xml:space="preserve"> de steungroep voor Oekraïne in </w:t>
            </w:r>
            <w:r>
              <w:rPr>
                <w:b/>
                <w:i/>
              </w:rPr>
              <w:t>2023 werd ontbonden en dat de portefeuilles werden herverdeeld over de faciliteit voor Oekraïne en andere eenheden, en moedigt de Commissie aan te zorgen voor duidelijke en nauwkeurige verslaglegging aan het Parlement over het beheer</w:t>
            </w:r>
            <w:r>
              <w:t xml:space="preserve"> en de leiding </w:t>
            </w:r>
            <w:r>
              <w:rPr>
                <w:b/>
                <w:i/>
              </w:rPr>
              <w:t>van eenheden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neemt kennis van recente onderzoeksverslagen die in oktober 2025 door verschillende Europese mediakanalen zijn gepubliceerd en waarin wordt beweerd dat de Hongaarse inlichtingendiensten zich bezighielden met spionageactiviteiten in Brussel, waaronder pogingen om Hongaarse onderdanen te werven die werkzaam zijn bij instellingen van de Unie;</w:t>
            </w:r>
            <w:r>
              <w:t xml:space="preserve"> </w:t>
            </w:r>
            <w:r>
              <w:rPr>
                <w:b/>
                <w:i/>
              </w:rPr>
              <w:t>merkt op dat deze activiteiten naar verluidt intensiever waren in de periode 2015-2019, toen de heer Várhelyi de functie van permanent vertegenwoordiger van Hongarije bij de Unie bekleedde en formeel de meerdere was van inlichtingenofficieren die onder diplomatieke dekmantel opereerden;</w:t>
            </w:r>
            <w:r>
              <w:t xml:space="preserve"> </w:t>
            </w:r>
            <w:r>
              <w:rPr>
                <w:b/>
                <w:i/>
              </w:rPr>
              <w:t>benadrukt dat deze aantijgingen weliswaar betrekking hebben op een periode vóór zijn benoeming tot commissaris, maar dat zij verder bijdragen aan ernstige bezorgdheid over zijn gedrag en onafhankelijkheid;</w:t>
            </w:r>
            <w:r>
              <w:t xml:space="preserve"> </w:t>
            </w:r>
            <w:r>
              <w:rPr>
                <w:b/>
                <w:i/>
              </w:rPr>
              <w:t>merkt op dat de Commissie heeft bevestigd dat zij deze aantijgingen intern onderzoekt en verwacht op de hoogte te worden gebracht van de uitkomst van dit onderzoek zodra het is afgerond;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neemt kennis van recente onderzoeksverslagen die in oktober 2025 door verschillende Europese mediakanalen zijn gepubliceerd en waarin wordt beweerd dat de Hongaarse inlichtingendiensten zich bezighielden met spionageactiviteiten in Brussel, waaronder pogingen om Hongaarse onderdanen te werven die werkzaam zijn bij instellingen van de Unie;</w:t>
            </w:r>
            <w:r>
              <w:t xml:space="preserve"> </w:t>
            </w:r>
            <w:r>
              <w:rPr>
                <w:b/>
                <w:i/>
              </w:rPr>
              <w:t>merkt op dat deze activiteiten naar verluidt intensiever waren in de periode 2015-2019, toen de heer Várhelyi de functie van permanent vertegenwoordiger van Hongarije bij de Unie bekleedde en formeel de meerdere was van inlichtingenofficieren die onder diplomatieke dekmantel opereerden;</w:t>
            </w:r>
            <w:r>
              <w:t xml:space="preserve"> </w:t>
            </w:r>
            <w:r>
              <w:rPr>
                <w:b/>
                <w:i/>
              </w:rPr>
              <w:t>benadrukt dat deze aantijgingen weliswaar betrekking hebben op een periode vóór zijn benoeming tot commissaris, maar dat zij verder bijdragen aan ernstige bezorgdheid over zijn gedrag en onafhankelijkheid;</w:t>
            </w:r>
            <w:r>
              <w:t xml:space="preserve"> </w:t>
            </w:r>
            <w:r>
              <w:rPr>
                <w:b/>
                <w:i/>
              </w:rPr>
              <w:t>merkt op dat de Commissie heeft bevestigd dat zij deze aantijgingen intern onderzoekt en verwacht op de hoogte te worden gebracht van de uitkomst van dit onderzoek zodra het is afgerond;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175.</w:t>
            </w:r>
            <w:r>
              <w:tab/>
            </w:r>
            <w:r>
              <w:rPr>
                <w:b/>
                <w:i/>
              </w:rPr>
              <w:t>neemt kennis van recente onderzoeksverslagen die in oktober 2025 door verschillende Europese mediakanalen zijn gepubliceerd en waarin wordt beweerd dat de Hongaarse inlichtingendiensten zich bezighielden met spionageactiviteiten in Brussel, waaronder pogingen om Hongaarse onderdanen te werven die werkzaam zijn bij instellingen van de Unie;</w:t>
            </w:r>
            <w:r>
              <w:t xml:space="preserve"> </w:t>
            </w:r>
            <w:r>
              <w:rPr>
                <w:b/>
                <w:i/>
              </w:rPr>
              <w:t>merkt op dat deze activiteiten naar verluidt intensiever waren in de periode 2015-2019, toen de heer Várhelyi de functie van permanent vertegenwoordiger van Hongarije bij de Unie bekleedde en formeel de meerdere was van inlichtingenofficieren die onder diplomatieke dekmantel opereerden;</w:t>
            </w:r>
            <w:r>
              <w:t xml:space="preserve"> </w:t>
            </w:r>
            <w:r>
              <w:rPr>
                <w:b/>
                <w:i/>
              </w:rPr>
              <w:t>benadrukt dat deze aantijgingen weliswaar betrekking hebben op een periode vóór zijn benoeming tot commissaris, maar dat zij verder bijdragen aan ernstige bezorgdheid over zijn gedrag en onafhankelijkheid;</w:t>
            </w:r>
            <w:r>
              <w:t xml:space="preserve"> </w:t>
            </w:r>
            <w:r>
              <w:rPr>
                <w:b/>
                <w:i/>
              </w:rPr>
              <w:t>merkt op dat de Commissie heeft bevestigd dat zij deze aantijgingen intern onderzoekt en verwacht op de hoogte te worden gebracht van de uitkomst van dit onderzoek zodra het is afgerond;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175.</w:t>
            </w:r>
            <w:r>
              <w:tab/>
            </w:r>
            <w:r>
              <w:t xml:space="preserve">neemt kennis van recente onderzoeksverslagen die in oktober 2025 door verschillende Europese mediakanalen zijn gepubliceerd en waarin wordt beweerd dat de Hongaarse inlichtingendiensten zich bezighielden met spionageactiviteiten in Brussel, waaronder pogingen om Hongaarse onderdanen te werven die werkzaam zijn bij instellingen van de Unie; merkt op dat deze </w:t>
            </w:r>
            <w:r>
              <w:rPr>
                <w:b/>
                <w:i/>
              </w:rPr>
              <w:t>activiteiten naar verluidt intensiever waren in de periode 2015-2019, toen de heer Várhelyi de functie van permanent vertegenwoordiger van Hongarije bij de Unie bekleedde en formeel de meerdere was van inlichtingenofficieren die onder diplomatieke dekmantel opereerden;</w:t>
            </w:r>
            <w:r>
              <w:t xml:space="preserve"> </w:t>
            </w:r>
            <w:r>
              <w:rPr>
                <w:b/>
                <w:i/>
              </w:rPr>
              <w:t>benadrukt dat deze aantijgingen weliswaar</w:t>
            </w:r>
            <w:r>
              <w:t xml:space="preserve"> betrekking hebben op </w:t>
            </w:r>
            <w:r>
              <w:rPr>
                <w:b/>
                <w:i/>
              </w:rPr>
              <w:t>een</w:t>
            </w:r>
            <w:r>
              <w:t xml:space="preserve"> periode </w:t>
            </w:r>
            <w:r>
              <w:rPr>
                <w:b/>
                <w:i/>
              </w:rPr>
              <w:t>vóór zijn benoeming tot commissaris, maar dat zij verder bijdragen aan ernstige bezorgdheid over zijn gedrag en onafhankelijkheid</w:t>
            </w:r>
            <w:r>
              <w:t xml:space="preserve">; merkt op dat de Commissie heeft bevestigd dat zij deze aantijgingen intern onderzoekt </w:t>
            </w:r>
            <w:r>
              <w:rPr>
                <w:b/>
                <w:i/>
              </w:rPr>
              <w:t>en verwacht</w:t>
            </w:r>
            <w:r>
              <w:t xml:space="preserve"> op de hoogte </w:t>
            </w:r>
            <w:r>
              <w:rPr>
                <w:b/>
                <w:i/>
              </w:rPr>
              <w:t>te worden gebracht van de uitkomst van dit</w:t>
            </w:r>
            <w:r>
              <w:t xml:space="preserve"> onderzoek </w:t>
            </w:r>
            <w:r>
              <w:rPr>
                <w:b/>
                <w:i/>
              </w:rPr>
              <w:t>zodra het</w:t>
            </w:r>
            <w:r>
              <w:t xml:space="preserve"> is afgerond;</w:t>
            </w:r>
          </w:p>
        </w:tc>
        <w:tc>
          <w:tcPr>
            <w:tcW w:w="4876" w:type="dxa"/>
            <w:tcBorders>
              <w:top w:val="nil"/>
              <w:left w:val="nil"/>
              <w:bottom w:val="nil"/>
              <w:right w:val="nil"/>
            </w:tcBorders>
          </w:tcPr>
          <w:p>
            <w:pPr>
              <w:pStyle w:val="Normal6a"/>
            </w:pPr>
            <w:r>
              <w:t>175.</w:t>
            </w:r>
            <w:r>
              <w:tab/>
            </w:r>
            <w:r>
              <w:t xml:space="preserve">neemt kennis van recente onderzoeksverslagen die in oktober 2025 door verschillende Europese mediakanalen zijn gepubliceerd en waarin wordt beweerd dat de Hongaarse inlichtingendiensten zich bezighielden met spionageactiviteiten in Brussel, waaronder pogingen om Hongaarse onderdanen te werven die werkzaam zijn bij instellingen van de Unie; merkt op dat deze </w:t>
            </w:r>
            <w:r>
              <w:rPr>
                <w:b/>
                <w:i/>
              </w:rPr>
              <w:t>verslagen</w:t>
            </w:r>
            <w:r>
              <w:t xml:space="preserve"> betrekking hebben op </w:t>
            </w:r>
            <w:r>
              <w:rPr>
                <w:b/>
                <w:i/>
              </w:rPr>
              <w:t>de</w:t>
            </w:r>
            <w:r>
              <w:t xml:space="preserve"> periode </w:t>
            </w:r>
            <w:r>
              <w:rPr>
                <w:b/>
                <w:i/>
              </w:rPr>
              <w:t>2015-2019</w:t>
            </w:r>
            <w:r>
              <w:t>; merkt op dat de Commissie heeft bevestigd dat zij deze aantijgingen intern onderzoekt</w:t>
            </w:r>
            <w:r>
              <w:rPr>
                <w:b/>
                <w:i/>
              </w:rPr>
              <w:t>;</w:t>
            </w:r>
            <w:r>
              <w:t xml:space="preserve"> </w:t>
            </w:r>
            <w:r>
              <w:rPr>
                <w:b/>
                <w:i/>
              </w:rPr>
              <w:t>geeft aan erop te rekenen dat de Commissie een grondige analyse en een grondig onderzoek uitvoert op basis van het werkelijke bewijsmateriaal, en het Parlement</w:t>
            </w:r>
            <w:r>
              <w:t xml:space="preserve"> op de hoogte </w:t>
            </w:r>
            <w:r>
              <w:rPr>
                <w:b/>
                <w:i/>
              </w:rPr>
              <w:t>brengt zodra het</w:t>
            </w:r>
            <w:r>
              <w:t xml:space="preserve"> onderzoek is afgerond;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is van mening dat de ernstige en langdurige tekortkomingen in het beheer van DG NEAR, de verstrekking van onjuiste informatie aan het Parlement in het kader van de kwijtingsprocedure en de hierboven beschreven bijkomende punten van zorg over gedrag en onafhankelijkheid samen wijzen op een patroon dat onverenigbaar is met de normen inzake verantwoordingsplicht, betrouwbaarheid en goed bestuur die van een lid van de Commissie worden verlangd;</w:t>
            </w:r>
            <w:r>
              <w:t xml:space="preserve"> </w:t>
            </w:r>
            <w:r>
              <w:rPr>
                <w:b/>
                <w:i/>
              </w:rPr>
              <w:t>concludeert derhalve dat commissaris Várhelyi niet geschikt kan worden geacht om de verantwoordelijkheden uit te oefenen van een commissaris die belast is met het beheer van politiek gevoelige portefeuilles en aanzienlijke middelen van de Unie;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is van mening dat de ernstige en langdurige tekortkomingen in het beheer van DG NEAR, de verstrekking van onjuiste informatie aan het Parlement in het kader van de kwijtingsprocedure en de hierboven beschreven bijkomende punten van zorg over gedrag en onafhankelijkheid samen wijzen op een patroon dat onverenigbaar is met de normen inzake verantwoordingsplicht, betrouwbaarheid en goed bestuur die van een lid van de Commissie worden verlangd;</w:t>
            </w:r>
            <w:r>
              <w:t xml:space="preserve"> </w:t>
            </w:r>
            <w:r>
              <w:rPr>
                <w:b/>
                <w:i/>
              </w:rPr>
              <w:t>concludeert derhalve dat commissaris Várhelyi niet geschikt kan worden geacht om de verantwoordelijkheden uit te oefenen van een commissaris die belast is met het beheer van politiek gevoelige portefeuilles en aanzienlijke middelen van de Unie;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176.</w:t>
            </w:r>
            <w:r>
              <w:tab/>
            </w:r>
            <w:r>
              <w:rPr>
                <w:b/>
                <w:i/>
              </w:rPr>
              <w:t>is van mening dat de ernstige en langdurige tekortkomingen in het beheer van DG NEAR, de verstrekking van onjuiste informatie aan het Parlement in het kader van de kwijtingsprocedure en de hierboven beschreven bijkomende punten van zorg over gedrag en onafhankelijkheid samen wijzen op een patroon dat onverenigbaar is met de normen inzake verantwoordingsplicht, betrouwbaarheid en goed bestuur die van een lid van de Commissie worden verlangd;</w:t>
            </w:r>
            <w:r>
              <w:t xml:space="preserve"> </w:t>
            </w:r>
            <w:r>
              <w:rPr>
                <w:b/>
                <w:i/>
              </w:rPr>
              <w:t>concludeert derhalve dat commissaris Várhelyi niet geschikt kan worden geacht om de verantwoordelijkheden uit te oefenen van een commissaris die belast is met het beheer van politiek gevoelige portefeuilles en aanzienlijke middelen van de Unie;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176.</w:t>
            </w:r>
            <w:r>
              <w:tab/>
            </w:r>
            <w:r>
              <w:rPr>
                <w:b/>
                <w:i/>
              </w:rPr>
              <w:t>is van mening dat de ernstige en langdurige tekortkomingen in het beheer van DG NEAR, de verstrekking van onjuiste informatie aan</w:t>
            </w:r>
            <w:r>
              <w:t xml:space="preserve"> het Parlement </w:t>
            </w:r>
            <w:r>
              <w:rPr>
                <w:b/>
                <w:i/>
              </w:rPr>
              <w:t>in het kader van de kwijtingsprocedure en de hierboven beschreven bijkomende punten van zorg over gedrag en onafhankelijkheid samen wijzen op een patroon dat onverenigbaar is met de normen inzake verantwoordingsplicht, betrouwbaarheid en goed bestuur die van een lid van de Commissie worden verlangd;</w:t>
            </w:r>
            <w:r>
              <w:t xml:space="preserve"> </w:t>
            </w:r>
            <w:r>
              <w:rPr>
                <w:b/>
                <w:i/>
              </w:rPr>
              <w:t>concludeert derhalve dat commissaris Várhelyi niet geschikt kan worden geacht om de verantwoordelijkheden uit te oefenen van een commissaris die belast is met</w:t>
            </w:r>
            <w:r>
              <w:t xml:space="preserve"> het beheer van politiek gevoelige portefeuilles </w:t>
            </w:r>
            <w:r>
              <w:rPr>
                <w:b/>
                <w:i/>
              </w:rPr>
              <w:t>en aanzienlijke</w:t>
            </w:r>
            <w:r>
              <w:t xml:space="preserve"> middelen van de Unie;</w:t>
            </w:r>
          </w:p>
        </w:tc>
        <w:tc>
          <w:tcPr>
            <w:tcW w:w="4876" w:type="dxa"/>
            <w:tcBorders>
              <w:top w:val="nil"/>
              <w:left w:val="nil"/>
              <w:bottom w:val="nil"/>
              <w:right w:val="nil"/>
            </w:tcBorders>
          </w:tcPr>
          <w:p>
            <w:pPr>
              <w:pStyle w:val="Normal6a"/>
            </w:pPr>
            <w:r>
              <w:t>176.</w:t>
            </w:r>
            <w:r>
              <w:tab/>
            </w:r>
            <w:r>
              <w:rPr>
                <w:b/>
                <w:i/>
              </w:rPr>
              <w:t>moedigt de Commissie aan rekening te houden met geleerde lessen en maatregelen te nemen die bijdragen tot tijdige benoemingen in leidinggevende functies in alle DG’s, en</w:t>
            </w:r>
            <w:r>
              <w:t xml:space="preserve"> het Parlement </w:t>
            </w:r>
            <w:r>
              <w:rPr>
                <w:b/>
                <w:i/>
              </w:rPr>
              <w:t>tijdig nauwkeurige informatie te verstrekken om het vertrouwen te behouden in</w:t>
            </w:r>
            <w:r>
              <w:t xml:space="preserve"> het beheer van politiek gevoelige portefeuilles </w:t>
            </w:r>
            <w:r>
              <w:rPr>
                <w:b/>
                <w:i/>
              </w:rPr>
              <w:t>waar</w:t>
            </w:r>
            <w:r>
              <w:t xml:space="preserve"> middelen van de Unie </w:t>
            </w:r>
            <w:r>
              <w:rPr>
                <w:b/>
                <w:i/>
              </w:rPr>
              <w:t>mee gemoeid zijn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176.</w:t>
            </w:r>
            <w:r>
              <w:tab/>
            </w:r>
            <w:r>
              <w:rPr>
                <w:b/>
                <w:i/>
              </w:rPr>
              <w:t>is van mening dat de ernstige en langdurige tekortkomingen in het beheer van DG NEAR, de verstrekking van onjuiste informatie aan</w:t>
            </w:r>
            <w:r>
              <w:t xml:space="preserve"> het Parlement </w:t>
            </w:r>
            <w:r>
              <w:rPr>
                <w:b/>
                <w:i/>
              </w:rPr>
              <w:t>in het kader van de kwijtingsprocedure en de hierboven beschreven bijkomende punten van zorg over gedrag en onafhankelijkheid samen wijzen op een patroon dat onverenigbaar is met de normen inzake verantwoordingsplicht, betrouwbaarheid en goed bestuur die van een lid van de Commissie worden verlangd;</w:t>
            </w:r>
            <w:r>
              <w:t xml:space="preserve"> </w:t>
            </w:r>
            <w:r>
              <w:rPr>
                <w:b/>
                <w:i/>
              </w:rPr>
              <w:t>concludeert derhalve dat commissaris Várhelyi niet geschikt kan worden geacht om de verantwoordelijkheden uit te oefenen van een commissaris die belast is met</w:t>
            </w:r>
            <w:r>
              <w:t xml:space="preserve"> het beheer van politiek gevoelige portefeuilles </w:t>
            </w:r>
            <w:r>
              <w:rPr>
                <w:b/>
                <w:i/>
              </w:rPr>
              <w:t>en aanzienlijke</w:t>
            </w:r>
            <w:r>
              <w:t xml:space="preserve"> middelen van de Unie;</w:t>
            </w:r>
          </w:p>
        </w:tc>
        <w:tc>
          <w:tcPr>
            <w:tcW w:w="4876" w:type="dxa"/>
            <w:tcBorders>
              <w:top w:val="nil"/>
              <w:left w:val="nil"/>
              <w:bottom w:val="nil"/>
              <w:right w:val="nil"/>
            </w:tcBorders>
          </w:tcPr>
          <w:p>
            <w:pPr>
              <w:pStyle w:val="Normal6a"/>
            </w:pPr>
            <w:r>
              <w:t>176.</w:t>
            </w:r>
            <w:r>
              <w:tab/>
            </w:r>
            <w:r>
              <w:rPr>
                <w:b/>
                <w:i/>
              </w:rPr>
              <w:t>moedigt de Commissie aan rekening te houden met geleerde lessen en maatregelen te nemen die bijdragen tot tijdige benoemingen in leidinggevende functies in alle DG’s, en</w:t>
            </w:r>
            <w:r>
              <w:t xml:space="preserve"> het Parlement </w:t>
            </w:r>
            <w:r>
              <w:rPr>
                <w:b/>
                <w:i/>
              </w:rPr>
              <w:t>tijdig nauwkeurige informatie te verstrekken om het vertrouwen te behouden in</w:t>
            </w:r>
            <w:r>
              <w:t xml:space="preserve"> het beheer van politiek gevoelige portefeuilles </w:t>
            </w:r>
            <w:r>
              <w:rPr>
                <w:b/>
                <w:i/>
              </w:rPr>
              <w:t>waar</w:t>
            </w:r>
            <w:r>
              <w:t xml:space="preserve"> middelen van de Unie </w:t>
            </w:r>
            <w:r>
              <w:rPr>
                <w:b/>
                <w:i/>
              </w:rPr>
              <w:t>mee gemoeid zijn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178.</w:t>
            </w:r>
            <w:r>
              <w:tab/>
            </w:r>
            <w:r>
              <w:t xml:space="preserve">merkt op dat de Oekraïense gespecialiseerde corruptiebestrijdingsorganen (NABU, SAPO en HACC) doorgaan met onderzoeken, vervolgingen en uitspraken doen in zaken op hoog niveau, waaruit blijkt dat onafhankelijke instellingen voor corruptiebestrijding beginnen te functioneren en dat het recente aftreden van beschuldigde ministers aantoont dat de regering in zekere mate reageert en verantwoording aflegt; </w:t>
            </w:r>
            <w:r>
              <w:rPr>
                <w:b/>
                <w:i/>
              </w:rPr>
              <w:t>betreurt echter dat de vooruitgang beperkt blijft, dat onderzoeken door andere rechtshandhavingsinstanties zijn vastgelopen en dat wetgevingsinitiatieven die in 2024 zijn goedgekeurd of ingediend, waaronder pogingen om het NABU en SAPO onder het gezag van de procureur-generaal te plaatsen, de onafhankelijkheid en doeltreffendheid van het kader voor corruptiebestrijding dreigen te ondermijnen;</w:t>
            </w:r>
            <w:r>
              <w:t xml:space="preserve"> </w:t>
            </w:r>
            <w:r>
              <w:rPr>
                <w:b/>
                <w:i/>
              </w:rPr>
              <w:t>is verheugd dat deze wijzigingen na binnenlandse en internationale druk snel zijn teruggedraaid, maar is bezorgd over berichten van instellingen voor corruptiebestrijding en maatschappelijke organisaties over toenemende druk van overheidsdiensten, verminderde transparantie en pogingen om de aansprakelijkheid voor corruptiemisdrijven te beperken;</w:t>
            </w:r>
            <w:r>
              <w:t xml:space="preserve"> verzoekt de autoriteiten om achteruitgang te voorkomen, procedurele vertragingen en belemmeringen in zaken op hoog niveau aan te pakken en verjaringstermijnen te herzien in overeenstemming met de Europese normen;</w:t>
            </w:r>
          </w:p>
        </w:tc>
        <w:tc>
          <w:tcPr>
            <w:tcW w:w="4876" w:type="dxa"/>
            <w:tcBorders>
              <w:top w:val="nil"/>
              <w:left w:val="nil"/>
              <w:bottom w:val="nil"/>
              <w:right w:val="nil"/>
            </w:tcBorders>
          </w:tcPr>
          <w:p>
            <w:pPr>
              <w:pStyle w:val="Normal6a"/>
            </w:pPr>
            <w:r>
              <w:t>178.</w:t>
            </w:r>
            <w:r>
              <w:tab/>
            </w:r>
            <w:r>
              <w:t>merkt op dat de Oekraïense gespecialiseerde corruptiebestrijdingsorganen (NABU, SAPO en HACC) doorgaan met onderzoeken, vervolgingen en uitspraken doen in zaken op hoog niveau, waaruit blijkt dat onafhankelijke instellingen voor corruptiebestrijding beginnen te functioneren en dat het recente aftreden van beschuldigde ministers aantoont dat de regering in zekere mate reageert en verantwoording aflegt; verzoekt de autoriteiten om achteruitgang te voorkomen, procedurele vertragingen en belemmeringen in zaken op hoog niveau aan te pakken en verjaringstermijnen te herzien in overeenstemming met de Europese 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178.</w:t>
            </w:r>
            <w:r>
              <w:tab/>
            </w:r>
            <w:r>
              <w:t>merkt op dat de Oekraïense gespecialiseerde corruptiebestrijdingsorganen (NABU, SAPO en HACC) doorgaan met onderzoeken, vervolgingen en uitspraken doen in zaken op hoog niveau, waaruit blijkt dat onafhankelijke instellingen voor corruptiebestrijding beginnen te functioneren en dat het recente aftreden van beschuldigde ministers aantoont dat de regering in zekere mate reageert en verantwoording aflegt; betreurt echter dat de vooruitgang beperkt blijft, dat onderzoeken door andere rechtshandhavingsinstanties zijn vastgelopen en dat wetgevingsinitiatieven die in 2024 zijn goedgekeurd of ingediend, waaronder pogingen om het NABU en SAPO onder het gezag van de procureur-generaal te plaatsen, de onafhankelijkheid en doeltreffendheid van het kader voor corruptiebestrijding dreigen te ondermijnen; is verheugd dat deze wijzigingen na binnenlandse en internationale druk snel zijn teruggedraaid, maar is bezorgd over berichten van instellingen voor corruptiebestrijding en maatschappelijke organisaties over toenemende druk van overheidsdiensten, verminderde transparantie en pogingen om de aansprakelijkheid voor corruptiemisdrijven te beperken; verzoekt de autoriteiten om achteruitgang te voorkomen, procedurele vertragingen en belemmeringen in zaken op hoog niveau aan te pakken en verjaringstermijnen te herzien in overeenstemming met de Europese normen;</w:t>
            </w:r>
          </w:p>
        </w:tc>
        <w:tc>
          <w:tcPr>
            <w:tcW w:w="4876" w:type="dxa"/>
            <w:tcBorders>
              <w:top w:val="nil"/>
              <w:left w:val="nil"/>
              <w:bottom w:val="nil"/>
              <w:right w:val="nil"/>
            </w:tcBorders>
          </w:tcPr>
          <w:p>
            <w:pPr>
              <w:pStyle w:val="Normal6a"/>
            </w:pPr>
            <w:r>
              <w:t>178.</w:t>
            </w:r>
            <w:r>
              <w:tab/>
            </w:r>
            <w:r>
              <w:t>merkt op dat de Oekraïense gespecialiseerde corruptiebestrijdingsorganen (NABU, SAPO en HACC) doorgaan met onderzoeken, vervolgingen en uitspraken doen in zaken op hoog niveau, waaruit blijkt dat onafhankelijke instellingen voor corruptiebestrijding beginnen te functioneren en dat het recente aftreden van beschuldigde ministers aantoont dat de regering in zekere mate reageert en verantwoording aflegt</w:t>
            </w:r>
            <w:r>
              <w:rPr>
                <w:b/>
                <w:i/>
              </w:rPr>
              <w:t>;</w:t>
            </w:r>
            <w:r>
              <w:t xml:space="preserve"> </w:t>
            </w:r>
            <w:r>
              <w:rPr>
                <w:b/>
                <w:i/>
              </w:rPr>
              <w:t>wijst op de hervormingen die Oekraïne heeft doorgevoerd terwijl het tegelijk met een grootschalige invasie werd geconfronteerd</w:t>
            </w:r>
            <w:r>
              <w:t>; betreurt echter dat de vooruitgang beperkt blijft, dat onderzoeken door andere rechtshandhavingsinstanties zijn vastgelopen en dat wetgevingsinitiatieven die in 2024 zijn goedgekeurd of ingediend, waaronder pogingen om het NABU en SAPO onder het gezag van de procureur-generaal te plaatsen, de onafhankelijkheid en doeltreffendheid van het kader voor corruptiebestrijding dreigen te ondermijnen; is verheugd dat deze wijzigingen na binnenlandse en internationale druk snel zijn teruggedraaid, maar is bezorgd over berichten van instellingen voor corruptiebestrijding en maatschappelijke organisaties over toenemende druk van overheidsdiensten, verminderde transparantie en pogingen om de aansprakelijkheid voor corruptiemisdrijven te beperken; verzoekt de autoriteiten om achteruitgang te voorkomen, procedurele vertragingen en belemmeringen in zaken op hoog niveau aan te pakken en verjaringstermijnen te herzien in overeenstemming met de Europese 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179.</w:t>
            </w:r>
            <w:r>
              <w:tab/>
            </w:r>
            <w:r>
              <w:rPr>
                <w:b/>
                <w:i/>
              </w:rPr>
              <w:t>neemt met bezorgdheid kennis van</w:t>
            </w:r>
            <w:r>
              <w:t xml:space="preserve"> de recente beschuldigingen van fraude in de Oekraïense energiesector</w:t>
            </w:r>
            <w:r>
              <w:rPr>
                <w:b/>
                <w:i/>
              </w:rPr>
              <w:t>, waaronder vermoedens van grootschalige verduistering, manipulatie van aanbestedingen en illegale verrijking waar energiebedrijven en regelgevende instanties in staatseigendom bij betrokken zijn</w:t>
            </w:r>
            <w:r>
              <w:t xml:space="preserve">; benadrukt dat deze beschuldigingen, indien bevestigd, wijzen op structurele kwetsbaarheden in governance-, toezichts- en internecontrolesystemen; </w:t>
            </w:r>
            <w:r>
              <w:rPr>
                <w:b/>
                <w:i/>
              </w:rPr>
              <w:t>wijst erop dat dergelijke gevallen</w:t>
            </w:r>
            <w:r>
              <w:t xml:space="preserve"> het vertrouwen van het publiek </w:t>
            </w:r>
            <w:r>
              <w:rPr>
                <w:b/>
                <w:i/>
              </w:rPr>
              <w:t>dreigen te ondermijnen,</w:t>
            </w:r>
            <w:r>
              <w:t xml:space="preserve"> de geloofwaardigheid van de hervormingen in Oekraïne </w:t>
            </w:r>
            <w:r>
              <w:rPr>
                <w:b/>
                <w:i/>
              </w:rPr>
              <w:t>dreigen aan te tasten en</w:t>
            </w:r>
            <w:r>
              <w:t xml:space="preserve"> de financiële steun van de EU </w:t>
            </w:r>
            <w:r>
              <w:rPr>
                <w:b/>
                <w:i/>
              </w:rPr>
              <w:t>in gevaar dreigen te brengen</w:t>
            </w:r>
            <w:r>
              <w:t>;</w:t>
            </w:r>
          </w:p>
        </w:tc>
        <w:tc>
          <w:tcPr>
            <w:tcW w:w="4876" w:type="dxa"/>
            <w:tcBorders>
              <w:top w:val="nil"/>
              <w:left w:val="nil"/>
              <w:bottom w:val="nil"/>
              <w:right w:val="nil"/>
            </w:tcBorders>
          </w:tcPr>
          <w:p>
            <w:pPr>
              <w:pStyle w:val="Normal6a"/>
            </w:pPr>
            <w:r>
              <w:t>179.</w:t>
            </w:r>
            <w:r>
              <w:tab/>
            </w:r>
            <w:r>
              <w:rPr>
                <w:b/>
                <w:i/>
              </w:rPr>
              <w:t>wijst op</w:t>
            </w:r>
            <w:r>
              <w:t xml:space="preserve"> de recente beschuldigingen van fraude in de Oekraïense energiesector; benadrukt dat deze beschuldigingen, indien bevestigd, wijzen op structurele kwetsbaarheden in governance-, toezichts- en internecontrolesystemen; </w:t>
            </w:r>
            <w:r>
              <w:rPr>
                <w:b/>
                <w:i/>
              </w:rPr>
              <w:t>benadrukt dat moet worden gewerkt aan</w:t>
            </w:r>
            <w:r>
              <w:t xml:space="preserve"> het vertrouwen van het publiek </w:t>
            </w:r>
            <w:r>
              <w:rPr>
                <w:b/>
                <w:i/>
              </w:rPr>
              <w:t>om</w:t>
            </w:r>
            <w:r>
              <w:t xml:space="preserve"> de geloofwaardigheid van de hervormingen in Oekraïne </w:t>
            </w:r>
            <w:r>
              <w:rPr>
                <w:b/>
                <w:i/>
              </w:rPr>
              <w:t>te versterken door middel van versterkte aanbestedings- en internecontrolesystemen, met name voor</w:t>
            </w:r>
            <w:r>
              <w:t xml:space="preserve"> de financiële steun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181 bis.</w:t>
            </w:r>
            <w:r>
              <w:tab/>
            </w:r>
            <w:r>
              <w:rPr>
                <w:b/>
                <w:i/>
              </w:rPr>
              <w:t>benadrukt het strategische belang van de betrokkenheid van de EU in de Westelijke Balkan door middel van pretoetredingssteun en gerelateerde instrumenten, die een sleutelrol spelen bij het ondersteunen van hervormingen, het versterken van institutionele veerkracht en het bevorderen van stabiliteit en economische ontwikkeling in de regio, hetgeen allemaal noodzakelijke voorwaarden zijn voor een sterkere Unie;</w:t>
            </w:r>
            <w:r>
              <w:t xml:space="preserve"> </w:t>
            </w:r>
            <w:r>
              <w:rPr>
                <w:b/>
                <w:i/>
              </w:rPr>
              <w:t>beklemtoont dat aanhoudende financiële steun van de EU gepaard moet gaan met goed financieel beheer, transparantie en prestatiemonitoring om een doeltreffend gebruik van de middelen van de Unie te waarborgen en de geloofwaardigheid van het uitbreidingsbeleid te behouden;</w:t>
            </w:r>
            <w:r>
              <w:t xml:space="preserve"> </w:t>
            </w:r>
            <w:r>
              <w:rPr>
                <w:b/>
                <w:i/>
              </w:rPr>
              <w:t>merkt op dat de uitvoering van het externe optreden en de pretoetredingssteun van de EU in de Westelijke Balkan plaatsvindt in een complexe politieke, economische en institutionele context;</w:t>
            </w:r>
            <w:r>
              <w:t xml:space="preserve"> </w:t>
            </w:r>
            <w:r>
              <w:rPr>
                <w:b/>
                <w:i/>
              </w:rPr>
              <w:t>verzoekt de Commissie de administratieve capaciteit, governancestructuren en technische ondersteuning in begunstigde landen verder te versterken om de absorptie te verbeteren, goed financieel beheer te waarborgen en de doeltreffendheid van de uitgaven van de Unie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181.</w:t>
            </w:r>
            <w:r>
              <w:tab/>
            </w:r>
            <w:r>
              <w:t xml:space="preserve">benadrukt dat het auditcomité, naast zijn toezichthoudende rol, aanbevelingen kan doen aan de Oekraïense autoriteiten over het aanpakken van financiële onregelmatigheden of structurele tekortkomingen in het beheer van middelen van de Unie; wijst erop dat Oekraïne, vertegenwoordigd door het ministerie van Economische Zaken, schriftelijk moet reageren op elke aanbeveling, waarbij ofwel uitvoeringsmaatregelen worden uiteengezet ofwel een gemotiveerde verklaring wordt gegeven voor het niet uitvoeren ervan; </w:t>
            </w:r>
            <w:r>
              <w:rPr>
                <w:b/>
                <w:i/>
              </w:rPr>
              <w:t>benadrukt dat de bevindingen van het auditcomité aanzienlijke financiële gevolgen kunnen hebben, aangezien zijn verslagen, net als die van OLAF, voor de Commissie reden kunnen zijn om de Uniefinanciering in het kader van de faciliteit voor Oekraïne te verminderen, op te schorten of in te houden;</w:t>
            </w:r>
          </w:p>
        </w:tc>
        <w:tc>
          <w:tcPr>
            <w:tcW w:w="4876" w:type="dxa"/>
            <w:tcBorders>
              <w:top w:val="nil"/>
              <w:left w:val="nil"/>
              <w:bottom w:val="nil"/>
              <w:right w:val="nil"/>
            </w:tcBorders>
          </w:tcPr>
          <w:p>
            <w:pPr>
              <w:pStyle w:val="Normal6a"/>
            </w:pPr>
            <w:r>
              <w:t>181.</w:t>
            </w:r>
            <w:r>
              <w:tab/>
            </w:r>
            <w:r>
              <w:t>benadrukt dat het auditcomité, naast zijn toezichthoudende rol, aanbevelingen kan doen aan de Oekraïense autoriteiten over het aanpakken van financiële onregelmatigheden of structurele tekortkomingen in het beheer van middelen van de Unie; wijst erop dat Oekraïne, vertegenwoordigd door het ministerie van Economische Zaken, schriftelijk moet reageren op elke aanbeveling, waarbij ofwel uitvoeringsmaatregelen worden uiteengezet ofwel een gemotiveerde verklaring wordt gegeven voor het niet uitvoeren ervan;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184.</w:t>
            </w:r>
            <w:r>
              <w:tab/>
            </w:r>
            <w:r>
              <w:t>is bezorgd over de toewijzing van middelen van het Europees Fonds voor duurzame ontwikkeling Plus (EFDO+) in het kader van de nieuwe flexibele begroting “Steun voor investeringen” aan begunstigde landen waar de Global Gateway-investeringen gemakkelijker kunnen worden uitgevoerd, ten koste van de prioritering van de minst ontwikkelde landen en kwetsbare en door conflicten getroffen landen;</w:t>
            </w:r>
          </w:p>
        </w:tc>
        <w:tc>
          <w:tcPr>
            <w:tcW w:w="4876" w:type="dxa"/>
            <w:tcBorders>
              <w:top w:val="nil"/>
              <w:left w:val="nil"/>
              <w:bottom w:val="nil"/>
              <w:right w:val="nil"/>
            </w:tcBorders>
          </w:tcPr>
          <w:p>
            <w:pPr>
              <w:pStyle w:val="Normal6a"/>
            </w:pPr>
            <w:r>
              <w:t>184.</w:t>
            </w:r>
            <w:r>
              <w:tab/>
            </w:r>
            <w:r>
              <w:t xml:space="preserve">is bezorgd over de toewijzing van middelen van het Europees Fonds voor duurzame ontwikkeling Plus (EFDO+) in het kader van de nieuwe flexibele begroting “Steun voor investeringen” aan begunstigde landen waar de Global Gateway-investeringen gemakkelijker kunnen worden uitgevoerd, ten koste van </w:t>
            </w:r>
            <w:r>
              <w:rPr>
                <w:b/>
                <w:i/>
              </w:rPr>
              <w:t>Europese landen of van</w:t>
            </w:r>
            <w:r>
              <w:t xml:space="preserve"> de prioritering van de minst ontwikkelde landen en kwetsbare en door conflicten getroffen landen;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merkt op dat, ondanks langdurige financiering door de Unie om de Libische grens- en migratiecontroles te versterken, uit verslagen blijkt dat deze bijstand de voortzetting van systemische schendingen, waaronder gedwongen terugkeer, onmenselijke detentieomstandigheden en sterfgevallen, niet heeft voorkomen en de Unie mogelijk kwetsbaar heeft gemaakt voor reputatieschade;</w:t>
            </w:r>
            <w:r>
              <w:t xml:space="preserve"> </w:t>
            </w:r>
            <w:r>
              <w:rPr>
                <w:b/>
                <w:i/>
              </w:rPr>
              <w:t>benadrukt dat de ontdekking van massagraven in Libië in 2025 en de aanhoudende beschuldigingen van het maatschappelijk middenveld en mensenrechtenorganisaties over de behandeling van migranten de vraag doen rijzen of de financiering van de Unie in dit verband strookt met de fundamentele waarden van de Unie, waaronder eerbiediging van de mensenrechten, en wijst op de noodzaak van strikte mechanismen voor toezicht, transparantie en verantwoordingsplicht om ervoor te zorgen dat migratiegerelateerde bijstand niet indirect bijdraagt aan verdere schade;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merkt op dat, ondanks langdurige financiering door de Unie om de Libische grens- en migratiecontroles te versterken, uit verslagen blijkt dat deze bijstand de voortzetting van systemische schendingen, waaronder gedwongen terugkeer, onmenselijke detentieomstandigheden en sterfgevallen, niet heeft voorkomen en de Unie mogelijk kwetsbaar heeft gemaakt voor reputatieschade;</w:t>
            </w:r>
            <w:r>
              <w:t xml:space="preserve"> </w:t>
            </w:r>
            <w:r>
              <w:rPr>
                <w:b/>
                <w:i/>
              </w:rPr>
              <w:t>benadrukt dat de ontdekking van massagraven in Libië in 2025 en de aanhoudende beschuldigingen van het maatschappelijk middenveld en mensenrechtenorganisaties over de behandeling van migranten de vraag doen rijzen of de financiering van de Unie in dit verband strookt met de fundamentele waarden van de Unie, waaronder eerbiediging van de mensenrechten, en wijst op de noodzaak van strikte mechanismen voor toezicht, transparantie en verantwoordingsplicht om ervoor te zorgen dat migratiegerelateerde bijstand niet indirect bijdraagt aan verdere schade;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185.</w:t>
            </w:r>
            <w:r>
              <w:tab/>
            </w:r>
            <w:r>
              <w:rPr>
                <w:b/>
                <w:i/>
              </w:rPr>
              <w:t>merkt op dat, ondanks langdurige financiering door de Unie om de Libische grens- en migratiecontroles te versterken, uit verslagen blijkt dat deze bijstand de voortzetting van systemische schendingen, waaronder gedwongen terugkeer, onmenselijke detentieomstandigheden en sterfgevallen, niet heeft voorkomen en de Unie mogelijk kwetsbaar heeft gemaakt voor reputatieschade;</w:t>
            </w:r>
            <w:r>
              <w:t xml:space="preserve"> </w:t>
            </w:r>
            <w:r>
              <w:rPr>
                <w:b/>
                <w:i/>
              </w:rPr>
              <w:t>benadrukt dat de ontdekking van massagraven in Libië in 2025 en de aanhoudende beschuldigingen van het maatschappelijk middenveld en mensenrechtenorganisaties over de behandeling van migranten de vraag doen rijzen of de financiering van de Unie in dit verband strookt met de fundamentele waarden van de Unie, waaronder eerbiediging van de mensenrechten, en wijst op de noodzaak van strikte mechanismen voor toezicht, transparantie en verantwoordingsplicht om ervoor te zorgen dat migratiegerelateerde bijstand niet indirect bijdraagt aan verdere schade;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185 ter.</w:t>
            </w:r>
            <w:r>
              <w:tab/>
            </w:r>
            <w:r>
              <w:rPr>
                <w:b/>
                <w:i/>
              </w:rPr>
              <w:t>herinnert eraan dat de EU en haar lidstaten zich blijven inzetten om het herstel en de veerkracht van de nationale diensten van Syrië te ondersteunen en dat de recente EU-financiering voor 2025-2027 uitdrukkelijk gekoppeld is aan vooruitgang op het gebied van een vreedzame, inclusieve transitie;</w:t>
            </w:r>
            <w:r>
              <w:t xml:space="preserve"> </w:t>
            </w:r>
            <w:r>
              <w:rPr>
                <w:b/>
                <w:i/>
              </w:rPr>
              <w:t>stelt met bezorgdheid vast dat recente herzieningen van de Syrische nationale leerplannen ernstige vragen doen rijzen met betrekking tot islamisering, het propageren van de jihad, antisemitisme, de beeldvorming over vrouwen en meisjes, de inclusie van religieuze en etnische minderheden en de bevordering van vrede en verdraagzaamheid;</w:t>
            </w:r>
            <w:r>
              <w:t xml:space="preserve"> </w:t>
            </w:r>
            <w:r>
              <w:rPr>
                <w:b/>
                <w:i/>
              </w:rPr>
              <w:t>verzoekt de Commissie ervoor te zorgen dat de door de EU gefinancierde steun aan de onderwijssector volledig in overeenstemming is met de toezeggingen die zij heeft gedaan met betrekking tot vrouwenrechten, de inclusie van minderheden en Unesco-normen, en aan het Parlement verslag uit te brengen over de wijze waarop deze bepalingen worden gemonitord en gehandhaafd;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185 bis.</w:t>
            </w:r>
            <w:r>
              <w:tab/>
            </w:r>
            <w:r>
              <w:rPr>
                <w:b/>
                <w:i/>
              </w:rPr>
              <w:t>herinnert eraan dat in het strategisch en breed partnerschap tussen de EU en Jordanië voor 2025-2027, dat wordt ondersteund door een pakket van naar schatting 3 miljard EUR, onderwijs centraal staat in de ontwikkeling van menselijk kapitaal en stabiliteit op lange termijn;</w:t>
            </w:r>
            <w:r>
              <w:t xml:space="preserve"> </w:t>
            </w:r>
            <w:r>
              <w:rPr>
                <w:b/>
                <w:i/>
              </w:rPr>
              <w:t>stelt met bezorgdheid vast dat elementen van de Jordaanse nationale leerplannen antisemitische stereotypen, onverdraagzame narratieven en, in sommige gevallen, de verheerlijking van geweld bevatten, hetgeen de sociale cohesie en de doelstellingen van het partnerschap dreigt te ondermijnen;</w:t>
            </w:r>
            <w:r>
              <w:t xml:space="preserve"> </w:t>
            </w:r>
            <w:r>
              <w:rPr>
                <w:b/>
                <w:i/>
              </w:rPr>
              <w:t>verzoekt de Commissie ervoor te zorgen dat de financiële bijstand van de EU aan Jordanië, met inbegrip van subsidies en macrofinanciële bijstand, in overeenstemming is met de EU-waarden en bijdraagt aan onderwijs waarmee vrede, tolerantie en co-existentie worden bevorderd;</w:t>
            </w:r>
            <w:r>
              <w:t xml:space="preserve"> </w:t>
            </w:r>
            <w:r>
              <w:rPr>
                <w:b/>
                <w:i/>
              </w:rPr>
              <w:t>verzoekt de Commissie aan het Parlement verslag uit te brengen over de wijze waarop de naleving van deze normen wordt beoordeeld en aangepakt;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185.</w:t>
            </w:r>
            <w:r>
              <w:tab/>
            </w:r>
            <w:r>
              <w:t xml:space="preserve">merkt op dat, ondanks langdurige financiering door de Unie om de Libische grens- en migratiecontroles te versterken, uit verslagen blijkt dat deze bijstand </w:t>
            </w:r>
            <w:r>
              <w:rPr>
                <w:b/>
                <w:i/>
              </w:rPr>
              <w:t>de voortzetting van systemische schendingen, waaronder gedwongen terugkeer, onmenselijke detentieomstandigheden en sterfgevallen,</w:t>
            </w:r>
            <w:r>
              <w:t xml:space="preserve"> niet heeft </w:t>
            </w:r>
            <w:r>
              <w:rPr>
                <w:b/>
                <w:i/>
              </w:rPr>
              <w:t>voorkomen en</w:t>
            </w:r>
            <w:r>
              <w:t xml:space="preserve"> de Unie mogelijk </w:t>
            </w:r>
            <w:r>
              <w:rPr>
                <w:b/>
                <w:i/>
              </w:rPr>
              <w:t>kwetsbaar heeft gemaakt voor reputatieschade</w:t>
            </w:r>
            <w:r>
              <w:t xml:space="preserve">; </w:t>
            </w:r>
            <w:r>
              <w:rPr>
                <w:b/>
                <w:i/>
              </w:rPr>
              <w:t>benadrukt dat de ontdekking van massagraven in Libië in 2025 en de aanhoudende beschuldigingen van het maatschappelijk middenveld en mensenrechtenorganisaties over de behandeling van migranten de vraag doen rijzen of de financiering van de Unie in dit verband strookt met de fundamentele waarden van de Unie, waaronder eerbiediging van de mensenrechten, en</w:t>
            </w:r>
            <w:r>
              <w:t xml:space="preserve"> wijst op de noodzaak van strikte mechanismen voor toezicht, transparantie en verantwoordingsplicht om ervoor te zorgen dat migratiegerelateerde bijstand niet indirect bijdraagt aan verdere schade;</w:t>
            </w:r>
          </w:p>
        </w:tc>
        <w:tc>
          <w:tcPr>
            <w:tcW w:w="4876" w:type="dxa"/>
            <w:tcBorders>
              <w:top w:val="nil"/>
              <w:left w:val="nil"/>
              <w:bottom w:val="nil"/>
              <w:right w:val="nil"/>
            </w:tcBorders>
          </w:tcPr>
          <w:p>
            <w:pPr>
              <w:pStyle w:val="Normal6a"/>
            </w:pPr>
            <w:r>
              <w:t>185.</w:t>
            </w:r>
            <w:r>
              <w:tab/>
            </w:r>
            <w:r>
              <w:t xml:space="preserve">merkt op dat, ondanks langdurige financiering door de Unie om de Libische grens- en migratiecontroles te versterken, uit verslagen blijkt dat deze bijstand </w:t>
            </w:r>
            <w:r>
              <w:rPr>
                <w:b/>
                <w:i/>
              </w:rPr>
              <w:t>nog</w:t>
            </w:r>
            <w:r>
              <w:t xml:space="preserve"> niet heeft </w:t>
            </w:r>
            <w:r>
              <w:rPr>
                <w:b/>
                <w:i/>
              </w:rPr>
              <w:t>geleid tot een doeltreffend en duurzaam beheer van de migratiestromen en nog steeds aanleiding geeft tot ernstige operationele, humanitaire en bestuurlijke problemen, waardoor</w:t>
            </w:r>
            <w:r>
              <w:t xml:space="preserve"> de Unie mogelijk </w:t>
            </w:r>
            <w:r>
              <w:rPr>
                <w:b/>
                <w:i/>
              </w:rPr>
              <w:t>wordt blootgesteld aan reputatierisico’s</w:t>
            </w:r>
            <w:r>
              <w:t>; wijst op de noodzaak van strikte mechanismen voor toezicht, transparantie en verantwoordingsplicht om ervoor te zorgen dat migratiegerelateerde bijstand niet indirect bijdraagt aan verdere schade;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189 bis.</w:t>
            </w:r>
            <w:r>
              <w:tab/>
            </w:r>
            <w:r>
              <w:rPr>
                <w:b/>
                <w:i/>
              </w:rPr>
              <w:t>onderstreept dat EU-middelen buiten de Unie worden verspild, met name in Afrika, zoals de 5 miljard EUR voor het EU-noodtrustfonds voor Afrika (2015-2024), dat is opgericht om de onderliggende oorzaken van irreguliere migratie aan te pakken met projecten op het gebied van ontwikkeling, veiligheid en grensbeheer;</w:t>
            </w:r>
            <w:r>
              <w:t xml:space="preserve"> </w:t>
            </w:r>
            <w:r>
              <w:rPr>
                <w:b/>
                <w:i/>
              </w:rPr>
              <w:t>wijst erop dat de Europese Rekenkamer dit fonds in meerdere verslagen scherp heeft bekritiseerd, onder meer in 2024 (speciaal verslag SR-2024-17), en daarbij het voorbeeld noemde van blenders die aan scholen zonder elektriciteit werden gegeven</w:t>
            </w:r>
            <w:r>
              <w:rPr>
                <w:b/>
                <w:i/>
                <w:vertAlign w:val="superscript"/>
              </w:rPr>
              <w:t>6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 bis</w:t>
            </w:r>
            <w:r>
              <w:t xml:space="preserve"> </w:t>
            </w:r>
            <w:r>
              <w:rPr>
                <w:b/>
                <w:i/>
              </w:rPr>
              <w:t>https://www.eca.europa.eu/ECAPublications/SR-2024-17/SR-2024-17_NL.pdf.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 bis.</w:t>
            </w:r>
            <w:r>
              <w:tab/>
            </w:r>
            <w:r>
              <w:rPr>
                <w:b/>
                <w:i/>
              </w:rPr>
              <w:t>brengt in herinnering dat ontwikkelingshulp, en met name begrotingssteun, erop is gericht het partnerschap met de partnerlanden van de Unie te versterken, duurzame ontwikkeling te bevorderen, armoede uit te bannen, ongelijkheid terug te dringen en vrede en democratie te bestendigen met als uiteindelijke doel bij te dragen aan de verwezenlijking van de SDG’s;</w:t>
            </w:r>
            <w:r>
              <w:t xml:space="preserve"> </w:t>
            </w:r>
            <w:r>
              <w:rPr>
                <w:b/>
                <w:i/>
              </w:rPr>
              <w:t>merkt op dat de begrotingssteun van de Unie moet uitgaan van de internationaal overeengekomen Busan-beginselen inzake de doeltreffendheid van ontwikkelingshulp, zoals de eigen inbreng van partnerlanden, focus op resultaten, inclusiviteit en verantwoordingsplicht;</w:t>
            </w:r>
            <w:r>
              <w:t xml:space="preserve"> </w:t>
            </w:r>
            <w:r>
              <w:rPr>
                <w:b/>
                <w:i/>
              </w:rPr>
              <w:t>benadrukt dat begrotingssteun transparantie en goed bestuur bevordert en dus ook bijdraagt aan de bestrijding van corruptie en fraude;</w:t>
            </w:r>
            <w:r>
              <w:t xml:space="preserve"> </w:t>
            </w:r>
            <w:r>
              <w:rPr>
                <w:b/>
                <w:i/>
              </w:rPr>
              <w:t>herinnert eraan dat begrotingssteun moet beantwoorden aan de behoeften van de partnerlanden en aan de belangrijkste beleidsmaatregelen van de Unie;</w:t>
            </w:r>
            <w:r>
              <w:t xml:space="preserve"> </w:t>
            </w:r>
            <w:r>
              <w:rPr>
                <w:b/>
                <w:i/>
              </w:rPr>
              <w:t>wijst erop dat het ook nodig is de prestaties van programma’s en hun effecten in de partnerlanden en op de burgerbevolking te meten;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 ter.</w:t>
            </w:r>
            <w:r>
              <w:tab/>
            </w:r>
            <w:r>
              <w:rPr>
                <w:b/>
                <w:i/>
              </w:rPr>
              <w:t>herinnert eraan dat in het kader van de EOF’s twee EU-noodtrustfondsen (EUTF’s) zijn opgericht, namelijk het noodtrustfonds van de Europese Unie voor stabiliteit en de aanpak van de diepere oorzaken van onregelmatige migratie en ontheemding in Afrika (het “EUTF voor Afrika”) en het EU-trustfonds Bêkou voor de Centraal-Afrikaanse Republiek (het “EUTF Bêkou”); herinnert aan het vaste standpunt van het Parlement dat de Commissie moet waarborgen dat elk trustfonds dat als nieuw ontwikkelingsinstrument bedoeld is altijd in overeenstemming is met de algemene strategie en de doelstellingen van het ontwikkelingsbeleid van de Unie, namelijk de armoede terug te dringen en uiteindelijk uit te bannen, zoals verankerd in artikel 208 VWEU;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195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 quater.</w:t>
            </w:r>
            <w:r>
              <w:tab/>
            </w:r>
            <w:r>
              <w:rPr>
                <w:b/>
                <w:i/>
              </w:rPr>
              <w:t>herinnert eraan dat met het EUTF voor Afrika meer dan 5 miljard EUR beschikbaar is gesteld, waarbij 88 % van de bijdragen (4,4 miljard EUR) afkomstig is uit het Europees Ontwikkelingsfonds en de EU-begroting;</w:t>
            </w:r>
            <w:r>
              <w:t xml:space="preserve"> </w:t>
            </w:r>
            <w:r>
              <w:rPr>
                <w:b/>
                <w:i/>
              </w:rPr>
              <w:t>wijst erop dat de nadruk ligt op drie belangrijke regio’s:</w:t>
            </w:r>
            <w:r>
              <w:t xml:space="preserve"> </w:t>
            </w:r>
            <w:r>
              <w:rPr>
                <w:b/>
                <w:i/>
              </w:rPr>
              <w:t>de Sahel en het gebied rond het Tsjaadmeer, de Hoorn van Afrika en Noord-Afrika, waarbij in totaal 27 Afrikaanse landen worden ondersteund;</w:t>
            </w:r>
            <w:r>
              <w:t xml:space="preserve"> </w:t>
            </w:r>
            <w:r>
              <w:rPr>
                <w:b/>
                <w:i/>
              </w:rPr>
              <w:t>betreurt dat, ondanks verschillende verzoeken van het Parlement, het proces voor het beheer en de toewijzing van deze middelen nog steeds niet transparant is en dat niet kan worden gewaarborgd dat bij deze acties de beginselen van officiële ontwikkelingshulp (ODA) worden geëerbiedigd;</w:t>
            </w:r>
            <w:r>
              <w:t xml:space="preserve"> </w:t>
            </w:r>
            <w:r>
              <w:rPr>
                <w:b/>
                <w:i/>
              </w:rPr>
              <w:t>herinnert eraan dat de Rekenkamer heeft gemeld dat het monitoring- en rapportagesysteem onvoldoende nauwkeurig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195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195 quinquies.</w:t>
            </w:r>
            <w:r>
              <w:tab/>
            </w:r>
            <w:r>
              <w:rPr>
                <w:b/>
                <w:i/>
              </w:rPr>
              <w:t>beklemtoont dat de Rekenkamer in Speciaal verslag 17/2024 over het EU-trustfonds voor Afrika het probleem aankaart dat deze risico’s, ondanks een innovatieve benadering voor het vaststellen van risico’s voor de mensenrechten in een volatiele omgeving, niet integraal werden aangepakt;</w:t>
            </w:r>
            <w:r>
              <w:t xml:space="preserve"> </w:t>
            </w:r>
            <w:r>
              <w:rPr>
                <w:b/>
                <w:i/>
              </w:rPr>
              <w:t>betreurt met name dat is vastgesteld dat de potentiële risico’s voor de mensenrechten niet integraal werden beoordeeld en dat de monitoring van en rapportage over mensenrechten niet robuust genoeg waren;</w:t>
            </w:r>
            <w:r>
              <w:t xml:space="preserve"> </w:t>
            </w:r>
            <w:r>
              <w:rPr>
                <w:b/>
                <w:i/>
              </w:rPr>
              <w:t>betreurt dat het EUTF al herhaaldelijk te maken heeft gehad met ernstige mensenrechtenschendingen;</w:t>
            </w:r>
            <w:r>
              <w:t xml:space="preserve"> </w:t>
            </w:r>
            <w:r>
              <w:rPr>
                <w:b/>
                <w:i/>
              </w:rPr>
              <w:t>benadrukt met name de steun aan de autoriteiten en de Libische kustwacht, die hebben bijgedragen aan flagrante schendingen, willekeurige opsluitingen en niet-naleving van het beginsel van non-refoulement;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verlangt dat EU-financiering voor derde landen wordt stopgezet, tenzij deze landen overeenkomsten met de lidstaten sluiten over terugkeer van hun onderdanen die crimineel zijn of Europa zijn uitgezet;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ervoor te zorgen dat geen bijstand van de Unie ten goede komt aan entiteiten die betrokken zijn bij mensenrechtenschendingen, repressie of achteruitgang van de democratie, en de voorwaarden strikt toe te passen, onder meer door de bijstand op te schorten wanneer fundamentele waarden van de Unie worden ondermijnd;</w:t>
            </w:r>
          </w:p>
        </w:tc>
        <w:tc>
          <w:tcPr>
            <w:tcW w:w="4876" w:type="dxa"/>
            <w:tcBorders>
              <w:top w:val="nil"/>
              <w:left w:val="nil"/>
              <w:bottom w:val="nil"/>
              <w:right w:val="nil"/>
            </w:tcBorders>
          </w:tcPr>
          <w:p>
            <w:pPr>
              <w:pStyle w:val="Normal6a"/>
            </w:pPr>
            <w:r>
              <w:t>vii)</w:t>
            </w:r>
            <w:r>
              <w:tab/>
            </w:r>
            <w:r>
              <w:t xml:space="preserve">ervoor te zorgen dat geen bijstand van de Unie ten goede komt aan entiteiten die betrokken zijn bij mensenrechtenschendingen, repressie of achteruitgang van de democratie, en de voorwaarden strikt toe te passen, onder meer door de bijstand op te schorten wanneer fundamentele waarden van de Unie worden ondermijnd </w:t>
            </w:r>
            <w:r>
              <w:rPr>
                <w:b/>
                <w:i/>
              </w:rPr>
              <w:t>of wanneer het land in kwestie weigert zijn onderdanen terug te nemen die de Europese Unie zijn uitgezet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vii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bis)</w:t>
            </w:r>
            <w:r>
              <w:tab/>
            </w:r>
            <w:r>
              <w:rPr>
                <w:b/>
                <w:i/>
              </w:rPr>
              <w:t>ervoor te zorgen dat de bijstand van de Unie aan derde landen gekoppeld is aan eerbiediging van de waarden en doelstellingen van de EU, met name de bescherming van christenen, die vaak een minderheid vormen die het risico loopt te worden vervolgd in lokale gemeenschappen, en samenwerking op het gebied van grensbeheer en beveiliging;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vii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bis)</w:t>
            </w:r>
            <w:r>
              <w:tab/>
            </w:r>
            <w:r>
              <w:rPr>
                <w:b/>
                <w:i/>
              </w:rPr>
              <w:t>ervoor te zorgen dat geen enkel programma van de Unie ten goede komt aan entiteiten die de fundamentele waarden van de Unie niet eerbiedigen, en conditionaliteit strikt toe te passen, onder meer door programma’s met partners die de fundamentele waarden van de Unie ondermijnen op te schorten;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de UNRWA en betrouwbare humanitaire partners te blijven ondersteunen, in combinatie met onafhankelijk toezicht door externe deskundigen en de Rekenkamer, om te zorgen voor doeltreffende controle op en vertrouwen in het gebruik van de middelen van de Unie;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viii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viii)</w:t>
            </w:r>
            <w:r>
              <w:tab/>
            </w:r>
            <w:r>
              <w:rPr>
                <w:b/>
                <w:i/>
              </w:rPr>
              <w:t>de UNRWA en betrouwbare humanitaire partners te blijven ondersteunen, in combinatie met onafhankelijk toezicht door externe deskundigen en de Rekenkamer, om te zorgen voor doeltreffende controle op en vertrouwen in het gebruik van de middelen van de Unie;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Gilles Boyer,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viii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viii bis)</w:t>
            </w:r>
            <w:r>
              <w:tab/>
            </w:r>
            <w:r>
              <w:rPr>
                <w:b/>
                <w:i/>
              </w:rPr>
              <w:t>te verduidelijken welke stappen zij onderneemt om ervoor te zorgen dat de door de EU gefinancierde humanitaire partners de financiële regelgeving en de kaders voor terrorismebestrijding van de Unie volledig naleven;</w:t>
            </w:r>
            <w:r>
              <w:t xml:space="preserve"> </w:t>
            </w:r>
            <w:r>
              <w:rPr>
                <w:b/>
                <w:i/>
              </w:rPr>
              <w:t>verzoekt om een gedetailleerde reactie waarin wordt gespecificeerd welke waarborgen, monitoringmechanismen en corrigerende maatregelen zijn ingevoerd om de integriteit en verantwoordingsplicht van de externe bijstand van de EU te handhaven;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de voorzitter van de Commissie, overeenkomstig artikel 17, lid 6, VEU, te verzoeken het vertrouwen in commissaris Várhelyi op te zeggen;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de voorzitter van de Commissie, overeenkomstig artikel 17, lid 6, VEU, te verzoeken het vertrouwen in commissaris Várhelyi op te zeggen;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de voorzitter van de Commissie, overeenkomstig artikel 17, lid 6, VEU, te verzoeken het vertrouwen in commissaris Várhelyi op te zeggen;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ix)</w:t>
            </w:r>
            <w:r>
              <w:tab/>
            </w:r>
            <w:r>
              <w:rPr>
                <w:b/>
                <w:i/>
              </w:rPr>
              <w:t>de voorzitter van de Commissie, overeenkomstig artikel 17, lid 6, VEU, te verzoeken het vertrouwen in commissaris Várhelyi op te zeggen;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196 – punt xiv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xiv bis)</w:t>
            </w:r>
            <w:r>
              <w:tab/>
            </w:r>
            <w:r>
              <w:rPr>
                <w:b/>
                <w:i/>
              </w:rPr>
              <w:t>samen te werken met de Europese Investeringsbank om ervoor te zorgen dat EIB-leningen aan derde landen afhankelijk worden gesteld van doeltreffende samenwerking met de Unie op het gebied van migratiebeheer, met inbegrip van de sluiting en uitvoering van overnameovereenkomsten;</w:t>
            </w:r>
            <w:r>
              <w:t xml:space="preserve"> </w:t>
            </w:r>
            <w:r>
              <w:rPr>
                <w:b/>
                <w:i/>
              </w:rPr>
              <w:t>benadrukt dat belastingbetalers een legitieme verwachting hebben dat door de EU gesteunde leningen als hefboom dienen voor de strategische belangen van de Unie, met inbegrip van grensbeveiliging;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blijft kritisch over het proces waarbij de Commissie in 2023 besloot 23 van haar kantoorgebouwen in Brussel te verkopen en er 17 terug te leasen voor een periode tot 2029; merkt op dat het besluit hiertoe kennelijk is genomen zonder duidelijke effectbeoordelingen van alle transacties; vindt het met name zorgwekkend dat de Commissie slechts één bod voor de transactie heeft ontvangen van een Belgisch staatsbedrijf, dat een indicatief bod had uitgebracht voordat de Commissie de oproep tot het indienen van aanvragen had gepubliceerd en dat het bod niet voldeed aan de vereisten in de aanbesteding betreffende de geldigheidsduur van een bankgarantie; uit zijn diepe bezorgdheid over het gebrek aan onafhankelijkheid van het evaluatiecomité van de Commissie, aangezien alle leden ondergeschikten waren van de ordonnateur;</w:t>
            </w:r>
          </w:p>
        </w:tc>
        <w:tc>
          <w:tcPr>
            <w:tcW w:w="4876" w:type="dxa"/>
            <w:tcBorders>
              <w:top w:val="nil"/>
              <w:left w:val="nil"/>
              <w:bottom w:val="nil"/>
              <w:right w:val="nil"/>
            </w:tcBorders>
          </w:tcPr>
          <w:p>
            <w:pPr>
              <w:pStyle w:val="Normal6a"/>
            </w:pPr>
            <w:r>
              <w:t>198.</w:t>
            </w:r>
            <w:r>
              <w:tab/>
            </w:r>
            <w:r>
              <w:t xml:space="preserve">blijft kritisch over het proces waarbij de Commissie in 2023 besloot 23 van haar kantoorgebouwen in Brussel te verkopen en er 17 terug te leasen voor een periode tot 2029; merkt op dat het besluit hiertoe kennelijk is genomen zonder duidelijke effectbeoordelingen van alle transacties; vindt het met name zorgwekkend dat de Commissie slechts één bod voor de transactie heeft ontvangen van een Belgisch staatsbedrijf, dat een indicatief bod had uitgebracht voordat de Commissie de oproep tot het indienen van aanvragen had gepubliceerd en dat het bod niet voldeed aan de vereisten in de aanbesteding betreffende de geldigheidsduur van een bankgarantie; uit zijn diepe bezorgdheid over het gebrek aan onafhankelijkheid van het evaluatiecomité van de Commissie, aangezien alle leden ondergeschikten waren van de ordonnateur; </w:t>
            </w:r>
            <w:r>
              <w:rPr>
                <w:b/>
                <w:i/>
              </w:rPr>
              <w:t>stelt met grote bezorgdheid vast dat het Europees Openbaar Ministerie (EOM) een strafrechtelijk onderzoek heeft ingesteld naar de verkoop in 2024 van 23 vastgoedactiva van de Unie aan het Belgische staatsinvesteringsfonds, ter waarde van ongeveer 900 miljoen EUR, en dat de Belgische federale politie op 12 februari 2026 in meerdere gebouwen van de Commissie huiszoekingen heeft verricht in het kader van activiteiten voor het verzamelen van bewijsmateriaal;</w:t>
            </w:r>
            <w:r>
              <w:t xml:space="preserve"> </w:t>
            </w:r>
            <w:r>
              <w:rPr>
                <w:b/>
                <w:i/>
              </w:rPr>
              <w:t>benadrukt dat de verkoop van vastgoedactiva van de Unie van een dergelijke omvang de hoogste normen op het gebied van transparantie, openbare aanbesteding en onafhankelijke evaluatie verdient;</w:t>
            </w:r>
            <w:r>
              <w:t xml:space="preserve"> </w:t>
            </w:r>
            <w:r>
              <w:rPr>
                <w:b/>
                <w:i/>
              </w:rPr>
              <w:t>verzoekt de Commissie volledig mee te werken aan het onderzoek van het EOM en de kwijtingsautoriteit een gedetailleerd overzicht te verstrekken van alle procedurele stappen die bij de verkoop zijn genomen, met inbegrip van de gebruikte taxatiemethode, de beoordeling van concurrerende biedingen en de rol van de voormalige commissaris voor Begroting in het besluitvormingsproces;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blijft kritisch over het proces waarbij de Commissie in 2023 besloot 23 van haar kantoorgebouwen in Brussel te verkopen en er 17 terug te leasen voor een periode tot 2029; merkt op dat het besluit hiertoe kennelijk is genomen zonder duidelijke effectbeoordelingen van alle transacties; vindt het met name zorgwekkend dat de Commissie slechts één bod voor de transactie heeft ontvangen van een Belgisch staatsbedrijf, dat een indicatief bod had uitgebracht voordat de Commissie de oproep tot het indienen van aanvragen had gepubliceerd en dat het bod niet voldeed aan de vereisten in de aanbesteding betreffende de geldigheidsduur van een bankgarantie; uit zijn diepe bezorgdheid over het gebrek aan onafhankelijkheid van het evaluatiecomité van de Commissie, aangezien alle leden ondergeschikten waren van de ordonnateur;</w:t>
            </w:r>
          </w:p>
        </w:tc>
        <w:tc>
          <w:tcPr>
            <w:tcW w:w="4876" w:type="dxa"/>
            <w:tcBorders>
              <w:top w:val="nil"/>
              <w:left w:val="nil"/>
              <w:bottom w:val="nil"/>
              <w:right w:val="nil"/>
            </w:tcBorders>
          </w:tcPr>
          <w:p>
            <w:pPr>
              <w:pStyle w:val="Normal6a"/>
            </w:pPr>
            <w:r>
              <w:t>198.</w:t>
            </w:r>
            <w:r>
              <w:tab/>
            </w:r>
            <w:r>
              <w:t xml:space="preserve">blijft kritisch over het proces waarbij de Commissie in 2023 besloot 23 van haar kantoorgebouwen in Brussel te verkopen en er 17 terug te leasen voor een periode tot 2029; merkt op dat het besluit hiertoe kennelijk is genomen zonder duidelijke effectbeoordelingen van alle transacties; vindt het met name zorgwekkend dat de Commissie slechts één bod voor de transactie heeft ontvangen van een Belgisch staatsbedrijf, dat een indicatief bod had uitgebracht voordat de Commissie de oproep tot het indienen van aanvragen had gepubliceerd en dat het bod niet voldeed aan de vereisten in de aanbesteding betreffende de geldigheidsduur van een bankgarantie; uit zijn diepe bezorgdheid over het gebrek aan onafhankelijkheid van het evaluatiecomité van de Commissie, aangezien alle leden ondergeschikten waren van de ordonnateur; </w:t>
            </w:r>
            <w:r>
              <w:rPr>
                <w:b/>
                <w:i/>
              </w:rPr>
              <w:t>wijst in dit verband op de recente activiteiten van het Europees Openbaar Ministerie voor het verzamelen van bewijsmateriaal in verband met deze transactie, waardoor de ernstige twijfels over de behandeling en het beheer van de verkoop nog toenemen;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 xml:space="preserve">blijft kritisch over het proces waarbij de Commissie in 2023 besloot 23 van haar kantoorgebouwen in Brussel te verkopen en er 17 terug te leasen voor een periode tot 2029; merkt op dat het besluit hiertoe kennelijk is genomen zonder duidelijke effectbeoordelingen van alle transacties; vindt het met name zorgwekkend dat de Commissie slechts één bod voor de transactie heeft ontvangen van een Belgisch staatsbedrijf, dat een indicatief bod had uitgebracht voordat de Commissie de oproep tot het indienen van aanvragen had gepubliceerd en dat het bod niet voldeed aan de vereisten in de aanbesteding betreffende de geldigheidsduur van een bankgarantie; </w:t>
            </w:r>
            <w:r>
              <w:rPr>
                <w:b/>
                <w:i/>
              </w:rPr>
              <w:t>uit zijn diepe bezorgdheid over het gebrek aan onafhankelijkheid</w:t>
            </w:r>
            <w:r>
              <w:t xml:space="preserve"> van het </w:t>
            </w:r>
            <w:r>
              <w:rPr>
                <w:b/>
                <w:i/>
              </w:rPr>
              <w:t>evaluatiecomité van</w:t>
            </w:r>
            <w:r>
              <w:t xml:space="preserve"> de Commissie</w:t>
            </w:r>
            <w:r>
              <w:rPr>
                <w:b/>
                <w:i/>
              </w:rPr>
              <w:t>, aangezien alle leden ondergeschikten waren van de ordonnateur</w:t>
            </w:r>
            <w:r>
              <w:t>;</w:t>
            </w:r>
          </w:p>
        </w:tc>
        <w:tc>
          <w:tcPr>
            <w:tcW w:w="4876" w:type="dxa"/>
            <w:tcBorders>
              <w:top w:val="nil"/>
              <w:left w:val="nil"/>
              <w:bottom w:val="nil"/>
              <w:right w:val="nil"/>
            </w:tcBorders>
          </w:tcPr>
          <w:p>
            <w:pPr>
              <w:pStyle w:val="Normal6a"/>
            </w:pPr>
            <w:r>
              <w:t>198.</w:t>
            </w:r>
            <w:r>
              <w:tab/>
            </w:r>
            <w:r>
              <w:t xml:space="preserve">blijft kritisch over het proces waarbij de Commissie in 2023 besloot 23 van haar kantoorgebouwen in Brussel te verkopen en er 17 terug te leasen voor een periode tot 2029; merkt op dat het besluit hiertoe kennelijk is genomen zonder duidelijke effectbeoordelingen van alle transacties; vindt het met name zorgwekkend dat de Commissie slechts één bod voor de transactie heeft ontvangen van een Belgisch staatsbedrijf, dat een indicatief bod had uitgebracht voordat de Commissie de oproep tot het indienen van aanvragen had gepubliceerd en dat het bod niet voldeed aan de vereisten in de aanbesteding betreffende de geldigheidsduur van een bankgarantie; </w:t>
            </w:r>
            <w:r>
              <w:rPr>
                <w:b/>
                <w:i/>
              </w:rPr>
              <w:t>merkt op dat er momenteel een onderzoek loopt onder leiding</w:t>
            </w:r>
            <w:r>
              <w:t xml:space="preserve"> van het </w:t>
            </w:r>
            <w:r>
              <w:rPr>
                <w:b/>
                <w:i/>
              </w:rPr>
              <w:t>Europees Openbaar Ministerie;</w:t>
            </w:r>
            <w:r>
              <w:t xml:space="preserve"> </w:t>
            </w:r>
            <w:r>
              <w:rPr>
                <w:b/>
                <w:i/>
              </w:rPr>
              <w:t>verzoekt</w:t>
            </w:r>
            <w:r>
              <w:t xml:space="preserve"> de Commissie </w:t>
            </w:r>
            <w:r>
              <w:rPr>
                <w:b/>
                <w:i/>
              </w:rPr>
              <w:t>de kwijtingsautoriteit alle relevante informatie en documentatie over deze transactie te verstrekken, in volledige transparantie en met inachtneming van het lopende onderzoek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198.</w:t>
            </w:r>
            <w:r>
              <w:tab/>
            </w:r>
            <w:r>
              <w:t>blijft kritisch over het proces waarbij de Commissie in 2023 besloot 23 van haar kantoorgebouwen in Brussel te verkopen en er 17 terug te leasen voor een periode tot 2029; merkt op dat het besluit hiertoe kennelijk is genomen zonder duidelijke effectbeoordelingen van alle transacties; vindt het met name zorgwekkend dat de Commissie slechts één bod voor de transactie heeft ontvangen van een Belgisch staatsbedrijf, dat een indicatief bod had uitgebracht voordat de Commissie de oproep tot het indienen van aanvragen had gepubliceerd en dat het bod niet voldeed aan de vereisten in de aanbesteding betreffende de geldigheidsduur van een bankgarantie; uit zijn diepe bezorgdheid over het gebrek aan onafhankelijkheid van het evaluatiecomité van de Commissie, aangezien alle leden ondergeschikten waren van de ordonnateur;</w:t>
            </w:r>
          </w:p>
        </w:tc>
        <w:tc>
          <w:tcPr>
            <w:tcW w:w="4876" w:type="dxa"/>
            <w:tcBorders>
              <w:top w:val="nil"/>
              <w:left w:val="nil"/>
              <w:bottom w:val="nil"/>
              <w:right w:val="nil"/>
            </w:tcBorders>
          </w:tcPr>
          <w:p>
            <w:pPr>
              <w:pStyle w:val="Normal6a"/>
            </w:pPr>
            <w:r>
              <w:t>198.</w:t>
            </w:r>
            <w:r>
              <w:tab/>
            </w:r>
            <w:r>
              <w:t xml:space="preserve">blijft kritisch over het proces waarbij de Commissie in 2023 besloot 23 van haar kantoorgebouwen in Brussel </w:t>
            </w:r>
            <w:r>
              <w:rPr>
                <w:b/>
                <w:i/>
              </w:rPr>
              <w:t>voor bijna 1 miljard EUR</w:t>
            </w:r>
            <w:r>
              <w:t xml:space="preserve"> te verkopen en er 17 terug te leasen voor een periode tot 2029; merkt op dat het besluit hiertoe kennelijk is genomen zonder duidelijke effectbeoordelingen van alle transacties; vindt het met name zorgwekkend dat de Commissie slechts één bod voor de transactie heeft ontvangen van een Belgisch staatsbedrijf, dat een indicatief bod had uitgebracht voordat de Commissie de oproep tot het indienen van aanvragen had gepubliceerd en dat het bod niet voldeed aan de vereisten in de aanbesteding betreffende de geldigheidsduur van een bankgarantie; uit zijn diepe bezorgdheid over het gebrek aan onafhankelijkheid van het evaluatiecomité van de Commissie, aangezien alle leden ondergeschikten waren van de ordonnateur;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198 bis.</w:t>
            </w:r>
            <w:r>
              <w:tab/>
            </w:r>
            <w:r>
              <w:rPr>
                <w:b/>
                <w:i/>
              </w:rPr>
              <w:t>neemt ter kennis dat de politie op 12 februari 2026 de gebouwen van de Commissie heeft doorzocht wegens verdenking van fraude bij de verkoop van gebouwen van de Commissie voor bijna 1 miljard EUR;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199.</w:t>
            </w:r>
            <w:r>
              <w:tab/>
            </w:r>
            <w:r>
              <w:t xml:space="preserve">merkt op dat de Commissie meldt dat er in de periode 2021-2024 54 verzoeken om bijstand op grond van artikel 24 van het Statuut zijn ingediend en dat er slechts acht zijn opgevolgd met de opening van een administratief onderzoek; vindt dat dit aantal zorgwekkend laag is, omdat dit betekent dat 85 % van de verzoeken zonder follow-up </w:t>
            </w:r>
            <w:r>
              <w:rPr>
                <w:b/>
                <w:i/>
              </w:rPr>
              <w:t>zijn</w:t>
            </w:r>
            <w:r>
              <w:t xml:space="preserve"> afgewezen; is ingenomen met het feit dat het bureau van de hoofdvertrouwenspersoon is versterkt, aangezien ongeveer 300 personeelsleden van de Commissie het in een jaar tijd bij gevallen van intimidatie om hulp hebben gevraagd; merkt voorts op dat 14 klachten rechtstreeks bij het Bureau voor onderzoek en disciplinaire zaken van de Commissie (IDOC) zijn ingediend, waarbij vier zaken na beoordeling als niet-zaken zijn gesloten en twee zaken na administratief onderzoek zonder follow-up zijn gesloten, pretuchtrechtelijke procedures leidden tot één waarschuwing, één schriftelijke waarschuwing en drie berispingen, één zaak bevindt zich nog in de pretuchtrechtelijke fase en twee zaken zijn momenteel in behandeling bij de tuchtraad, terwijl twee zaken rechtstreeks aan OLAF werden gemeld, die beide werden afgewezen op grond van onvoldoende verdenking; wijst erop dat deze aantallen zeer laag lijken voor een organisatie met meer dan 30 000 werknemers en moedigt de Commissie aan de mogelijkheden voor werknemers te verbeteren om gevallen van intimidatie in een veilige omgeving aan de orde te stellen; </w:t>
            </w:r>
            <w:r>
              <w:rPr>
                <w:b/>
                <w:i/>
              </w:rPr>
              <w:t>betreurt dat de Commissie niet met een door haarzelf opgesteld verslag is gekomen waarin de redenen voor het kennelijke disfunctioneren van de formele intimidatieprocedure worden geanalyseerd, zoals was gevraagd in het kader van de kwijtingsprocedure 2023;</w:t>
            </w:r>
          </w:p>
        </w:tc>
        <w:tc>
          <w:tcPr>
            <w:tcW w:w="4876" w:type="dxa"/>
            <w:tcBorders>
              <w:top w:val="nil"/>
              <w:left w:val="nil"/>
              <w:bottom w:val="nil"/>
              <w:right w:val="nil"/>
            </w:tcBorders>
          </w:tcPr>
          <w:p>
            <w:pPr>
              <w:pStyle w:val="Normal6a"/>
            </w:pPr>
            <w:r>
              <w:t>199.</w:t>
            </w:r>
            <w:r>
              <w:tab/>
            </w:r>
            <w:r>
              <w:t xml:space="preserve">merkt op dat de Commissie meldt dat er in de periode 2021-2024 54 verzoeken om bijstand op grond van artikel 24 van het Statuut zijn ingediend en dat er slechts acht zijn opgevolgd met de opening van een administratief onderzoek; vindt dat dit aantal zorgwekkend laag is, omdat dit betekent dat 85 % van de verzoeken zonder follow-up </w:t>
            </w:r>
            <w:r>
              <w:rPr>
                <w:b/>
                <w:i/>
              </w:rPr>
              <w:t>is</w:t>
            </w:r>
            <w:r>
              <w:t xml:space="preserve"> afgewezen; is ingenomen met het feit dat het bureau van de hoofdvertrouwenspersoon is versterkt, aangezien ongeveer 300 personeelsleden van de Commissie het in een jaar tijd bij gevallen van intimidatie om hulp hebben gevraagd; merkt voorts op dat 14 klachten rechtstreeks bij het Bureau voor onderzoek en disciplinaire zaken van de Commissie (IDOC) zijn ingediend, waarbij vier zaken na beoordeling als niet-zaken zijn gesloten en twee zaken na administratief onderzoek zonder follow-up zijn gesloten, pretuchtrechtelijke procedures leidden tot één waarschuwing, één schriftelijke waarschuwing en drie berispingen, één zaak bevindt zich nog in de pretuchtrechtelijke fase en twee zaken zijn momenteel in behandeling bij de tuchtraad, terwijl twee zaken rechtstreeks aan OLAF werden gemeld, die beide werden afgewezen op grond van onvoldoende verdenking; wijst erop dat deze aantallen zeer laag lijken voor een organisatie met meer dan 30 000 werknemers en moedigt de Commissie aan de mogelijkheden voor werknemers te verbeteren om gevallen van intimidatie in een veilige omgeving aan de orde te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202.</w:t>
            </w:r>
            <w:r>
              <w:tab/>
            </w:r>
            <w:r>
              <w:t xml:space="preserve">benadrukt dat transparantie in het bestuur en toegang tot informatie en documenten sleutelelementen zijn voor het waarborgen van </w:t>
            </w:r>
            <w:r>
              <w:rPr>
                <w:b/>
                <w:i/>
              </w:rPr>
              <w:t>een rechtvaardige</w:t>
            </w:r>
            <w:r>
              <w:t xml:space="preserve"> en democratisch </w:t>
            </w:r>
            <w:r>
              <w:rPr>
                <w:b/>
                <w:i/>
              </w:rPr>
              <w:t>gezonde samenleving;</w:t>
            </w:r>
            <w:r>
              <w:t xml:space="preserve"> </w:t>
            </w:r>
            <w:r>
              <w:rPr>
                <w:b/>
                <w:i/>
              </w:rPr>
              <w:t>betreurt in dit verband dat er de afgelopen jaren talloze voorbeelden zijn geweest waarbij</w:t>
            </w:r>
            <w:r>
              <w:t xml:space="preserve"> de Commissie </w:t>
            </w:r>
            <w:r>
              <w:rPr>
                <w:b/>
                <w:i/>
              </w:rPr>
              <w:t>niet aan redelijke</w:t>
            </w:r>
            <w:r>
              <w:t xml:space="preserve"> transparantienormen </w:t>
            </w:r>
            <w:r>
              <w:rPr>
                <w:b/>
                <w:i/>
              </w:rPr>
              <w:t>voldeed, zoals ook blijkt uit de verloren rechtszaak over tekstberichten tussen de voorzitter van de Commissie en de CEO van Pfizer</w:t>
            </w:r>
            <w:r>
              <w:rPr>
                <w:b/>
                <w:i/>
                <w:vertAlign w:val="superscript"/>
              </w:rPr>
              <w:t>19</w:t>
            </w:r>
            <w:r>
              <w:rPr>
                <w:b/>
                <w:i/>
              </w:rPr>
              <w:t>;</w:t>
            </w:r>
            <w:r>
              <w:t xml:space="preserve"> </w:t>
            </w:r>
            <w:r>
              <w:rPr>
                <w:b/>
                <w:i/>
              </w:rPr>
              <w:t>wijst erop dat het voor de geloofwaardigheid van de Commissie belangrijk is dat zij zorgt voor een strikte en betrouwbare uitvoering van de nieuwe richtsnoeren betreffende</w:t>
            </w:r>
            <w:r>
              <w:t xml:space="preserve"> het gebruik van tekstberichten </w:t>
            </w:r>
            <w:r>
              <w:rPr>
                <w:b/>
                <w:i/>
              </w:rPr>
              <w:t>in verband met werkstromen</w:t>
            </w:r>
            <w:r>
              <w:t xml:space="preserve"> en dat </w:t>
            </w:r>
            <w:r>
              <w:rPr>
                <w:b/>
                <w:i/>
              </w:rPr>
              <w:t>ten minste twee gekwalificeerde personen controleren of tekstberichten die in verband met het werk worden uitgewisseld, belangrijke</w:t>
            </w:r>
            <w:r>
              <w:t xml:space="preserve"> informatie </w:t>
            </w:r>
            <w:r>
              <w:rPr>
                <w:b/>
                <w:i/>
              </w:rPr>
              <w:t>bevatten voordat zij worden gewist, met name tekstberichten die door commissarissen en de voorzitter</w:t>
            </w:r>
            <w:r>
              <w:t xml:space="preserve"> van de </w:t>
            </w:r>
            <w:r>
              <w:rPr>
                <w:b/>
                <w:i/>
              </w:rPr>
              <w:t>Commissie worden uitgewisseld</w:t>
            </w:r>
            <w:r>
              <w:t>;</w:t>
            </w:r>
          </w:p>
        </w:tc>
        <w:tc>
          <w:tcPr>
            <w:tcW w:w="4876" w:type="dxa"/>
            <w:tcBorders>
              <w:top w:val="nil"/>
              <w:left w:val="nil"/>
              <w:bottom w:val="nil"/>
              <w:right w:val="nil"/>
            </w:tcBorders>
          </w:tcPr>
          <w:p>
            <w:pPr>
              <w:pStyle w:val="Normal6a"/>
            </w:pPr>
            <w:r>
              <w:t>202.</w:t>
            </w:r>
            <w:r>
              <w:tab/>
            </w:r>
            <w:r>
              <w:t xml:space="preserve">benadrukt dat transparantie in het bestuur en toegang tot informatie en documenten sleutelelementen zijn voor het waarborgen van </w:t>
            </w:r>
            <w:r>
              <w:rPr>
                <w:b/>
                <w:i/>
              </w:rPr>
              <w:t>goed, verantwoordelijk</w:t>
            </w:r>
            <w:r>
              <w:t xml:space="preserve"> en democratisch </w:t>
            </w:r>
            <w:r>
              <w:rPr>
                <w:b/>
                <w:i/>
              </w:rPr>
              <w:t>robuust bestuur;</w:t>
            </w:r>
            <w:r>
              <w:t xml:space="preserve"> </w:t>
            </w:r>
            <w:r>
              <w:rPr>
                <w:b/>
                <w:i/>
              </w:rPr>
              <w:t>merkt op dat</w:t>
            </w:r>
            <w:r>
              <w:t xml:space="preserve"> de Commissie </w:t>
            </w:r>
            <w:r>
              <w:rPr>
                <w:b/>
                <w:i/>
              </w:rPr>
              <w:t>ernaar streeft de hoge</w:t>
            </w:r>
            <w:r>
              <w:t xml:space="preserve"> transparantienormen </w:t>
            </w:r>
            <w:r>
              <w:rPr>
                <w:b/>
                <w:i/>
              </w:rPr>
              <w:t>te bereiken;</w:t>
            </w:r>
            <w:r>
              <w:t xml:space="preserve"> </w:t>
            </w:r>
            <w:r>
              <w:rPr>
                <w:b/>
                <w:i/>
              </w:rPr>
              <w:t>is van mening dat</w:t>
            </w:r>
            <w:r>
              <w:t xml:space="preserve"> het gebruik van tekstberichten </w:t>
            </w:r>
            <w:r>
              <w:rPr>
                <w:b/>
                <w:i/>
              </w:rPr>
              <w:t>de transparantie niet ondermijnt als wordt gewaarborgd dat informele uitwisselingen niet in de plaats komen van officiële communicatie</w:t>
            </w:r>
            <w:r>
              <w:t xml:space="preserve"> en dat </w:t>
            </w:r>
            <w:r>
              <w:rPr>
                <w:b/>
                <w:i/>
              </w:rPr>
              <w:t>alle</w:t>
            </w:r>
            <w:r>
              <w:t xml:space="preserve"> informatie </w:t>
            </w:r>
            <w:r>
              <w:rPr>
                <w:b/>
                <w:i/>
              </w:rPr>
              <w:t>met betrekking tot besluitvorming of workflow via officiële kanalen wordt doorgegeven, met volledige inachtneming</w:t>
            </w:r>
            <w:r>
              <w:t xml:space="preserve"> van de </w:t>
            </w:r>
            <w:r>
              <w:rPr>
                <w:b/>
                <w:i/>
              </w:rPr>
              <w:t>transparantievereisten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Zaak T-36/23.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202 bis.</w:t>
            </w:r>
            <w:r>
              <w:tab/>
            </w:r>
            <w:r>
              <w:rPr>
                <w:b/>
                <w:i/>
              </w:rPr>
              <w:t>stelt met bezorgdheid vast dat de Commissie in 2024 haar interne regels inzake de toegang van het publiek tot documenten heeft herzien;</w:t>
            </w:r>
            <w:r>
              <w:t xml:space="preserve"> </w:t>
            </w:r>
            <w:r>
              <w:rPr>
                <w:b/>
                <w:i/>
              </w:rPr>
              <w:t>is van mening dat deze wijzigingen onverenigbaar zijn met het recht op toegang tot documenten dat is ontwikkeld in Verordening (EG) nr. 1049/2001;</w:t>
            </w:r>
            <w:r>
              <w:t xml:space="preserve"> </w:t>
            </w:r>
            <w:r>
              <w:rPr>
                <w:b/>
                <w:i/>
              </w:rPr>
              <w:t>benadrukt dat in de regels bijvoorbeeld staat dat alleen “inhoud die belangrijke informatie is die geen korte levensduur heeft, wordt [...] geregistreerd” en wordt voorzien in het automatisch verdwijnen van tekstberichten;</w:t>
            </w:r>
            <w:r>
              <w:t xml:space="preserve"> </w:t>
            </w:r>
            <w:r>
              <w:rPr>
                <w:b/>
                <w:i/>
              </w:rPr>
              <w:t>merkt op dat de wettigheid van deze regels momenteel wordt aangevochten voor het Hof van Justitie</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https://www.access-info.org/2025-03-25/joint-legal-challenge-filed-against-european-commissions-new-access-to-documents-rules/.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203.</w:t>
            </w:r>
            <w:r>
              <w:tab/>
            </w:r>
            <w:r>
              <w:t>wijst erop dat toegang tot documenten een belangrijk beginsel is om transparantie in het openbaar bestuur te waarborgen; wijst erop dat de Commissie helaas in veel situaties niet binnen de gestelde termijnen heeft geantwoord, met name wat betreft zaken in het kader van de confirmatieve verzoeken, waarbij de Europese Ombudsman systematische en aanzienlijke vertragingen in de reactie van de administratie van de Commissie heeft vastgesteld; benadrukt dat het voor de geloofwaardigheid van de Commissie van essentieel belang is dat journalisten en het grote publiek binnen de wettelijk toepasselijke termijnen toegang hebben tot documenten;</w:t>
            </w:r>
          </w:p>
        </w:tc>
        <w:tc>
          <w:tcPr>
            <w:tcW w:w="4876" w:type="dxa"/>
            <w:tcBorders>
              <w:top w:val="nil"/>
              <w:left w:val="nil"/>
              <w:bottom w:val="nil"/>
              <w:right w:val="nil"/>
            </w:tcBorders>
          </w:tcPr>
          <w:p>
            <w:pPr>
              <w:pStyle w:val="Normal6a"/>
            </w:pPr>
            <w:r>
              <w:t>203.</w:t>
            </w:r>
            <w:r>
              <w:tab/>
            </w:r>
            <w:r>
              <w:t xml:space="preserve">wijst erop dat toegang tot documenten een belangrijk beginsel is om transparantie in het openbaar bestuur te waarborgen; wijst erop dat de Commissie helaas in veel situaties niet binnen de gestelde termijnen heeft geantwoord, met name wat betreft zaken in het kader van de confirmatieve verzoeken, waarbij de Europese Ombudsman systematische en aanzienlijke vertragingen in de reactie van de administratie van de Commissie heeft vastgesteld; benadrukt dat het voor de geloofwaardigheid van de Commissie van essentieel belang is dat journalisten en het grote publiek binnen de wettelijk toepasselijke termijnen toegang hebben tot documenten; </w:t>
            </w:r>
            <w:r>
              <w:rPr>
                <w:b/>
                <w:i/>
              </w:rPr>
              <w:t>benadrukt voorts dat transparantie niet alleen tijdige toegang vereist, maar ook dat de documenten zelf in duidelijke en begrijpelijke taal zijn opgesteld, aangezien al te technocratische communicatie vol jargon in feite betekent dat burgers betekenisvolle toegang tot informatie wordt ontzegd, zelfs wanneer documenten formeel beschikbaar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203 bis.</w:t>
            </w:r>
            <w:r>
              <w:tab/>
            </w:r>
            <w:r>
              <w:rPr>
                <w:b/>
                <w:i/>
              </w:rPr>
              <w:t>stelt bezorgd vast dat de openbare communicatie van de Commissie wordt gekenmerkt door een overdreven technocratische stijl die de communicatie grotendeels onbegrijpelijk maakt voor gewone burgers;</w:t>
            </w:r>
            <w:r>
              <w:t xml:space="preserve"> </w:t>
            </w:r>
            <w:r>
              <w:rPr>
                <w:b/>
                <w:i/>
              </w:rPr>
              <w:t>neemt nota van de bevindingen van de collegiaal getoetste studie “Clear messages to the European public?” (Rauh, Journal of European Integration, vol. 45(4), 2022, blz. 683-701), waaruit blijkt dat in de persberichten van de Commissie complexere taal en minder vertrouwde woorden worden gebruikt dan in de output van nationale regeringen en zelfs in abstracte wetenschappelijke publicaties;</w:t>
            </w:r>
            <w:r>
              <w:t xml:space="preserve"> </w:t>
            </w:r>
            <w:r>
              <w:rPr>
                <w:b/>
                <w:i/>
              </w:rPr>
              <w:t>is van mening dat dergelijke communicatiepraktijken politieke besluiten effectief aan publieke controle onttrekken en de kwaliteit van het EU-bestuur ondermijnen;</w:t>
            </w:r>
            <w:r>
              <w:t xml:space="preserve"> </w:t>
            </w:r>
            <w:r>
              <w:rPr>
                <w:b/>
                <w:i/>
              </w:rPr>
              <w:t>verzoekt de Commissie meetbare normen voor heldere taal vast te stellen voor alle publieksgerichte communicatie, met inbegrip van persberichten, programmabeschrijvingen en begrotingsdocumenten, en jaarlijks verslag uit te brengen over de naleving van deze 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rPr>
                <w:b/>
                <w:i/>
              </w:rPr>
              <w:t>herinnert eraan dat</w:t>
            </w:r>
            <w:r>
              <w:t xml:space="preserve"> de Europese Ombudsman </w:t>
            </w:r>
            <w:r>
              <w:rPr>
                <w:b/>
                <w:i/>
              </w:rPr>
              <w:t>gevallen van wanbeheer heeft vastgesteld in verband met</w:t>
            </w:r>
            <w:r>
              <w:t xml:space="preserve"> verschillende wetgevingsvoorstellen die de Commissie in 2025 heeft ingediend</w:t>
            </w:r>
            <w:r>
              <w:rPr>
                <w:b/>
                <w:i/>
              </w:rPr>
              <w:t>;</w:t>
            </w:r>
            <w:r>
              <w:t xml:space="preserve"> </w:t>
            </w:r>
            <w:r>
              <w:rPr>
                <w:b/>
                <w:i/>
              </w:rPr>
              <w:t>merkt met grote bezorgdheid op dat deze gevallen het Omnibus I-pakket omvatten, waarbij de tijd voor overleg tussen de diensten van de Commissie in een weekend was teruggebracht tot minder dan 24 uur en waarbij er geen duidelijke interne verslagen waren van een klimaatconsistentiebeoordeling die was uitgevoerd</w:t>
            </w:r>
            <w:r>
              <w:t xml:space="preserve">; wijst op het belang van naleving van de regels inzake betere wetgeving; benadrukt dat </w:t>
            </w:r>
            <w:r>
              <w:rPr>
                <w:b/>
                <w:i/>
              </w:rPr>
              <w:t>de Europese Unie geen enkele</w:t>
            </w:r>
            <w:r>
              <w:t xml:space="preserve"> wereldwijde </w:t>
            </w:r>
            <w:r>
              <w:rPr>
                <w:b/>
                <w:i/>
              </w:rPr>
              <w:t>concurrentiewedloop zal winnen door het tenietdoen van enkele</w:t>
            </w:r>
            <w:r>
              <w:t xml:space="preserve"> fundamenten </w:t>
            </w:r>
            <w:r>
              <w:rPr>
                <w:b/>
                <w:i/>
              </w:rPr>
              <w:t>waarop de Unie is gegrondvest, waaronder beginselen voor het waarborgen van</w:t>
            </w:r>
            <w:r>
              <w:t xml:space="preserve"> robuuste</w:t>
            </w:r>
            <w:r>
              <w:rPr>
                <w:b/>
                <w:i/>
              </w:rPr>
              <w:t>, duurzame</w:t>
            </w:r>
            <w:r>
              <w:t xml:space="preserve"> en juridisch solide wetgeving die zorgt voor een stabiel regelgevingsklimaat </w:t>
            </w:r>
            <w:r>
              <w:rPr>
                <w:b/>
                <w:i/>
              </w:rPr>
              <w:t>waarin de particuliere sector kan opereren</w:t>
            </w:r>
            <w:r>
              <w:t>;</w:t>
            </w:r>
          </w:p>
        </w:tc>
        <w:tc>
          <w:tcPr>
            <w:tcW w:w="4876" w:type="dxa"/>
            <w:tcBorders>
              <w:top w:val="nil"/>
              <w:left w:val="nil"/>
              <w:bottom w:val="nil"/>
              <w:right w:val="nil"/>
            </w:tcBorders>
          </w:tcPr>
          <w:p>
            <w:pPr>
              <w:pStyle w:val="Normal6a"/>
            </w:pPr>
            <w:r>
              <w:t>204.</w:t>
            </w:r>
            <w:r>
              <w:tab/>
            </w:r>
            <w:r>
              <w:rPr>
                <w:b/>
                <w:i/>
              </w:rPr>
              <w:t>neemt kennis van de bezorgdheid van</w:t>
            </w:r>
            <w:r>
              <w:t xml:space="preserve"> de Europese Ombudsman </w:t>
            </w:r>
            <w:r>
              <w:rPr>
                <w:b/>
                <w:i/>
              </w:rPr>
              <w:t>over</w:t>
            </w:r>
            <w:r>
              <w:t xml:space="preserve"> verschillende wetgevingsvoorstellen die de Commissie in 2025 heeft ingediend; wijst op het belang van naleving van de regels inzake betere wetgeving; benadrukt dat </w:t>
            </w:r>
            <w:r>
              <w:rPr>
                <w:b/>
                <w:i/>
              </w:rPr>
              <w:t>het</w:t>
            </w:r>
            <w:r>
              <w:t xml:space="preserve"> wereldwijde </w:t>
            </w:r>
            <w:r>
              <w:rPr>
                <w:b/>
                <w:i/>
              </w:rPr>
              <w:t>concurrentievermogen van de Unie afhankelijk is van het behoud van sterke</w:t>
            </w:r>
            <w:r>
              <w:t xml:space="preserve"> fundamenten </w:t>
            </w:r>
            <w:r>
              <w:rPr>
                <w:b/>
                <w:i/>
              </w:rPr>
              <w:t>en</w:t>
            </w:r>
            <w:r>
              <w:t xml:space="preserve"> robuuste en juridisch solide wetgeving die zorgt voor een stabiel </w:t>
            </w:r>
            <w:r>
              <w:rPr>
                <w:b/>
                <w:i/>
              </w:rPr>
              <w:t>en voorspelbaar</w:t>
            </w:r>
            <w:r>
              <w:t xml:space="preserve"> regelgevingsklimaat </w:t>
            </w:r>
            <w:r>
              <w:rPr>
                <w:b/>
                <w:i/>
              </w:rPr>
              <w:t>voor bedrijven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herinnert eraan dat de Europese Ombudsman gevallen van wanbeheer heeft vastgesteld in verband met verschillende wetgevingsvoorstellen die de Commissie in 2025 heeft ingediend; merkt met grote bezorgdheid op dat deze gevallen het Omnibus I-pakket omvatten, waarbij de tijd voor overleg tussen de diensten van de Commissie in een weekend was teruggebracht tot minder dan 24 uur en waarbij er geen duidelijke interne verslagen waren van een klimaatconsistentiebeoordeling die was uitgevoerd; wijst op het belang van naleving van de regels inzake betere wetgeving; benadrukt dat de Europese Unie geen enkele wereldwijde concurrentiewedloop zal winnen door het tenietdoen van enkele fundamenten waarop de Unie is gegrondvest, waaronder beginselen voor het waarborgen van robuuste, duurzame en juridisch solide wetgeving die zorgt voor een stabiel regelgevingsklimaat waarin de particuliere sector kan opereren;</w:t>
            </w:r>
          </w:p>
        </w:tc>
        <w:tc>
          <w:tcPr>
            <w:tcW w:w="4876" w:type="dxa"/>
            <w:tcBorders>
              <w:top w:val="nil"/>
              <w:left w:val="nil"/>
              <w:bottom w:val="nil"/>
              <w:right w:val="nil"/>
            </w:tcBorders>
          </w:tcPr>
          <w:p>
            <w:pPr>
              <w:pStyle w:val="Normal6a"/>
            </w:pPr>
            <w:r>
              <w:t>204.</w:t>
            </w:r>
            <w:r>
              <w:tab/>
            </w:r>
            <w:r>
              <w:t xml:space="preserve">herinnert eraan dat de Europese Ombudsman gevallen van wanbeheer heeft vastgesteld in verband met verschillende wetgevingsvoorstellen die de Commissie in 2025 heeft ingediend; merkt met grote bezorgdheid op dat deze gevallen het Omnibus I-pakket omvatten, waarbij de tijd voor overleg tussen de diensten van de Commissie in een weekend was teruggebracht tot minder dan 24 uur en waarbij er geen duidelijke interne verslagen waren van een klimaatconsistentiebeoordeling die was uitgevoerd; wijst op het belang van naleving van de regels inzake betere wetgeving; benadrukt dat de Europese Unie geen enkele wereldwijde concurrentiewedloop zal winnen door het tenietdoen van enkele fundamenten waarop de Unie is gegrondvest, waaronder beginselen voor het waarborgen van robuuste, duurzame en juridisch solide wetgeving die zorgt voor een stabiel regelgevingsklimaat waarin de particuliere sector kan opereren; </w:t>
            </w:r>
            <w:r>
              <w:rPr>
                <w:b/>
                <w:i/>
              </w:rPr>
              <w:t>is van mening dat de Commissie moet streven naar vereenvoudiging van de regelgeving via passende procedurele kanalen, en dringt erop aan dat alle toekomstige vereenvoudigingsvoorstellen vergezeld gaan van een gekwantificeerde beoordeling van de administratieve lasten die zij beogen te verminderen;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 xml:space="preserve">herinnert eraan dat de Europese Ombudsman gevallen van wanbeheer heeft vastgesteld in verband met verschillende wetgevingsvoorstellen die de Commissie in 2025 heeft ingediend; merkt met grote bezorgdheid op dat deze gevallen het Omnibus I-pakket omvatten, waarbij de tijd voor overleg tussen de diensten van de Commissie in een weekend was teruggebracht tot minder dan 24 uur </w:t>
            </w:r>
            <w:r>
              <w:rPr>
                <w:b/>
                <w:i/>
              </w:rPr>
              <w:t>en waarbij er geen duidelijke interne verslagen waren van een klimaatconsistentiebeoordeling die was uitgevoerd</w:t>
            </w:r>
            <w:r>
              <w:t>; wijst op het belang van naleving van de regels inzake betere wetgeving; benadrukt dat de Europese Unie geen enkele wereldwijde concurrentiewedloop zal winnen door het tenietdoen van enkele fundamenten waarop de Unie is gegrondvest, waaronder beginselen voor het waarborgen van robuuste, duurzame en juridisch solide wetgeving die zorgt voor een stabiel regelgevingsklimaat waarin de particuliere sector kan opereren;</w:t>
            </w:r>
          </w:p>
        </w:tc>
        <w:tc>
          <w:tcPr>
            <w:tcW w:w="4876" w:type="dxa"/>
            <w:tcBorders>
              <w:top w:val="nil"/>
              <w:left w:val="nil"/>
              <w:bottom w:val="nil"/>
              <w:right w:val="nil"/>
            </w:tcBorders>
          </w:tcPr>
          <w:p>
            <w:pPr>
              <w:pStyle w:val="Normal6a"/>
            </w:pPr>
            <w:r>
              <w:t>204.</w:t>
            </w:r>
            <w:r>
              <w:tab/>
            </w:r>
            <w:r>
              <w:t>herinnert eraan dat de Europese Ombudsman gevallen van wanbeheer heeft vastgesteld in verband met verschillende wetgevingsvoorstellen die de Commissie in 2025 heeft ingediend; merkt met grote bezorgdheid op dat deze gevallen het Omnibus I-pakket omvatten, waarbij de tijd voor overleg tussen de diensten van de Commissie in een weekend was teruggebracht tot minder dan 24 uur; wijst op het belang van naleving van de regels inzake betere wetgeving; benadrukt dat de Europese Unie geen enkele wereldwijde concurrentiewedloop zal winnen door het tenietdoen van enkele fundamenten waarop de Unie is gegrondvest, waaronder beginselen voor het waarborgen van robuuste, duurzame en juridisch solide wetgeving die zorgt voor een stabiel regelgevingsklimaat waarin de particuliere sector kan opereren;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204.</w:t>
            </w:r>
            <w:r>
              <w:tab/>
            </w:r>
            <w:r>
              <w:t xml:space="preserve">herinnert eraan dat de Europese Ombudsman gevallen van wanbeheer heeft vastgesteld in verband met verschillende wetgevingsvoorstellen die de Commissie in 2025 heeft ingediend; merkt met grote bezorgdheid op dat deze gevallen het Omnibus I-pakket omvatten, waarbij de tijd voor overleg tussen de diensten van de Commissie in een weekend was teruggebracht tot minder dan 24 uur en waarbij er geen duidelijke interne verslagen waren van een klimaatconsistentiebeoordeling die was uitgevoerd; wijst op het belang van naleving van de regels inzake betere wetgeving; benadrukt </w:t>
            </w:r>
            <w:r>
              <w:rPr>
                <w:b/>
                <w:i/>
              </w:rPr>
              <w:t>dat de Europese Unie geen enkele wereldwijde concurrentiewedloop zal winnen door het tenietdoen van enkele fundamenten waarop de Unie is gegrondvest, waaronder beginselen voor het waarborgen</w:t>
            </w:r>
            <w:r>
              <w:t xml:space="preserve"> van robuuste, duurzame en juridisch solide wetgeving die zorgt voor een stabiel regelgevingsklimaat waarin de particuliere sector kan opereren;</w:t>
            </w:r>
          </w:p>
        </w:tc>
        <w:tc>
          <w:tcPr>
            <w:tcW w:w="4876" w:type="dxa"/>
            <w:tcBorders>
              <w:top w:val="nil"/>
              <w:left w:val="nil"/>
              <w:bottom w:val="nil"/>
              <w:right w:val="nil"/>
            </w:tcBorders>
          </w:tcPr>
          <w:p>
            <w:pPr>
              <w:pStyle w:val="Normal6a"/>
            </w:pPr>
            <w:r>
              <w:t>204.</w:t>
            </w:r>
            <w:r>
              <w:tab/>
            </w:r>
            <w:r>
              <w:t xml:space="preserve">herinnert eraan dat de Europese Ombudsman gevallen van wanbeheer heeft vastgesteld in verband met verschillende wetgevingsvoorstellen die de Commissie in 2025 heeft ingediend; merkt met grote bezorgdheid op dat deze gevallen het Omnibus I-pakket omvatten, waarbij de tijd voor overleg tussen de diensten van de Commissie in een weekend was teruggebracht tot minder dan 24 uur en waarbij er geen duidelijke interne verslagen waren van een klimaatconsistentiebeoordeling die was uitgevoerd </w:t>
            </w:r>
            <w:r>
              <w:rPr>
                <w:b/>
                <w:i/>
              </w:rPr>
              <w:t>en de Commissie niet kon uitleggen hoe zij belanghebbenden voor haar vergaderingen had geselecteerd, terwijl, volgens documenten die met de Ombudsman werden gedeeld, de meeste uitgenodigde belanghebbenden vertegenwoordigers van de sector waren</w:t>
            </w:r>
            <w:r>
              <w:t xml:space="preserve">; wijst op het belang van naleving van de regels inzake betere wetgeving; benadrukt </w:t>
            </w:r>
            <w:r>
              <w:rPr>
                <w:b/>
                <w:i/>
              </w:rPr>
              <w:t>het belang</w:t>
            </w:r>
            <w:r>
              <w:t xml:space="preserve"> van robuuste, duurzame en juridisch solide wetgeving die zorgt voor een stabiel regelgevingsklimaat waarin de particuliere sector kan opereren;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 bis.</w:t>
            </w:r>
            <w:r>
              <w:tab/>
            </w:r>
            <w:r>
              <w:rPr>
                <w:b/>
                <w:i/>
              </w:rPr>
              <w:t>merkt op dat de Commissie, nadat het Europees Openbaar Ministerie eind 2024 een strafrechtelijk onderzoek had geopend naar beschuldigingen van corruptie waarbij een hoge ambtenaar van de Commissie betrokken was en naar aanleiding van de in 2024 door OLAF geformuleerde aanbeveling, haar eigen tuchtprocedure tegen die ambtenaar heeft ingeleid;</w:t>
            </w:r>
            <w:r>
              <w:t xml:space="preserve"> </w:t>
            </w:r>
            <w:r>
              <w:rPr>
                <w:b/>
                <w:i/>
              </w:rPr>
              <w:t>merkt op dat de Commissie onlangs heeft bekendgemaakt dat zij de procedure heeft afgerond en heeft vastgesteld dat de betrokken ambtenaar de toepasselijke regels van het Statuut heeft geschonden, waaronder bepalingen inzake belangenconflicten, transparantie, aanvaarding van geschenken en openbaarmaking van documenten;</w:t>
            </w:r>
            <w:r>
              <w:t xml:space="preserve"> </w:t>
            </w:r>
            <w:r>
              <w:rPr>
                <w:b/>
                <w:i/>
              </w:rPr>
              <w:t>herinnert eraan dat de tuchtprocedure werd ingeleid naar aanleiding van de bevindingen van OLAF betreffende een onderzoek naar beschuldigingen dat vertrouwelijke informatie over een belangrijke luchtvaartovereenkomst met de staat Qatar was uitgewisseld in ruil voor geschenken;</w:t>
            </w:r>
            <w:r>
              <w:t xml:space="preserve"> </w:t>
            </w:r>
            <w:r>
              <w:rPr>
                <w:b/>
                <w:i/>
              </w:rPr>
              <w:t>merkt op dat de hoge ambtenaar, gezien zijn toenmalige functie als directeur-generaal bij het directoraat-generaal Mobiliteit en Vervoer van de Commissie, aanzienlijke invloed heeft uitgeoefend op het onderhandelingsproces en bijgevolg op de daaruit voortvloeiende luchtvervoersovereenkomst tussen de Europese Unie en haar lidstaten en de staat Qatar, die op 18 oktober 2021 is ondertekend;</w:t>
            </w:r>
            <w:r>
              <w:t xml:space="preserve"> </w:t>
            </w:r>
            <w:r>
              <w:rPr>
                <w:b/>
                <w:i/>
              </w:rPr>
              <w:t>verzoekt de Commissie daarom, gezien de aard van de feiten die de Commissie ertoe hebben gebracht een tuchtprocedure in te leiden en de aard van de maatregelen waartoe het college van commissarissen ten aanzien van die hoge ambtenaar heeft besloten, de toepassing van die overeenkomst onmiddellijk op te schorten;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 bis.</w:t>
            </w:r>
            <w:r>
              <w:tab/>
            </w:r>
            <w:r>
              <w:rPr>
                <w:b/>
                <w:i/>
              </w:rPr>
              <w:t>herinnert aan de gedragscode voor de leden van de Europese Commissie, waarin is bepaald dat commissarissen zich moeten onthouden van activiteiten die hun onafhankelijkheid of het beeld daarvan in het gedrang kunnen brengen, met name tijdens politiek gevoelige perioden zoals verkiezingscampagnes;</w:t>
            </w:r>
            <w:r>
              <w:t xml:space="preserve"> </w:t>
            </w:r>
            <w:r>
              <w:rPr>
                <w:b/>
                <w:i/>
              </w:rPr>
              <w:t>spreekt in dit verband zijn diepe bezorgdheid uit over het feit dat de uitvoerend vicevoorzitter voor Cohesie en Hervormingen en de commissaris voor Defensie en Ruimtevaart op 5 februari 2026 hebben deelgenomen aan een persconferentie ter ondersteuning van een nationale kandidaat in Slovenië, tijdens de campagneweken vóór de verkiezingen;</w:t>
            </w:r>
            <w:r>
              <w:t xml:space="preserve"> </w:t>
            </w:r>
            <w:r>
              <w:rPr>
                <w:b/>
                <w:i/>
              </w:rPr>
              <w:t>verzoekt de Commissie de omstandigheden in verband met de deelname van de twee commissarissen aan de persconferentie te onderzoeken;</w:t>
            </w:r>
            <w:r>
              <w:t xml:space="preserve"> </w:t>
            </w:r>
            <w:r>
              <w:rPr>
                <w:b/>
                <w:i/>
              </w:rPr>
              <w:t>verwacht van de Commissie dat zij haar gehechtheid aan de beginselen van onafhankelijkheid en neutraliteit bevestigt en ervoor zorgt dat dergelijke situaties zich in de toekomst niet voordoen;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 ter.</w:t>
            </w:r>
            <w:r>
              <w:tab/>
            </w:r>
            <w:r>
              <w:rPr>
                <w:b/>
                <w:i/>
              </w:rPr>
              <w:t>neemt met grote bezorgdheid kennis van de onlangs gemelde uitwisselingen tussen personeelsleden van DG TRADE en vertegenwoordigers van de tabaksindustrie, die erop wijzen dat personeelsleden van DG TRADE mogelijk hebben gehandeld op manieren die een bedrijf in de sector ten goede zijn gekomen door derde landen ertoe aan te moedigen de regelgevingsbeperkingen en het belastingbeleid voor bepaalde tabaksproducten af te zwakken;</w:t>
            </w:r>
            <w:r>
              <w:t xml:space="preserve"> </w:t>
            </w:r>
            <w:r>
              <w:rPr>
                <w:b/>
                <w:i/>
              </w:rPr>
              <w:t>merkt op dat de Europese Ombudsman in zijn besluit van 19 december 2023 heeft vastgesteld dat het verzuim van de Commissie om te zorgen voor een alomvattende, voor alle afdelingen geldende aanpak inzake transparantie tijdens vergaderingen met de tabaksindustrie neerkomt op wanbeheer;</w:t>
            </w:r>
            <w:r>
              <w:t xml:space="preserve"> </w:t>
            </w:r>
            <w:r>
              <w:rPr>
                <w:b/>
                <w:i/>
              </w:rPr>
              <w:t>herinnert eraan dat de EU, als partij bij de Kaderovereenkomst van de WHO voor de bestrijding van tabaksgebruik (FCTC), haar beleid moet beschermen tegen de commerciële en andere gevestigde belangen van de tabaksindustrie en de interactie moet beperken tot wat strikt noodzakelijk is voor regelgevingsdoeleinden;</w:t>
            </w:r>
            <w:r>
              <w:t xml:space="preserve"> </w:t>
            </w:r>
            <w:r>
              <w:rPr>
                <w:b/>
                <w:i/>
              </w:rPr>
              <w:t>benadrukt daarom dat er geen interacties met betrekking tot het tabaksbestrijdingsbeleid van derde landen mogen worden toegestaan;</w:t>
            </w:r>
            <w:r>
              <w:t xml:space="preserve"> </w:t>
            </w:r>
            <w:r>
              <w:rPr>
                <w:b/>
                <w:i/>
              </w:rPr>
              <w:t>betreurt dat de vergaderingen die naar verluidt hebben plaatsgevonden niet openbaar zijn gemaakt;</w:t>
            </w:r>
            <w:r>
              <w:t xml:space="preserve"> </w:t>
            </w:r>
            <w:r>
              <w:rPr>
                <w:b/>
                <w:i/>
              </w:rPr>
              <w:t>dringt aan op de volledige toepassing van artikel 5, lid 3, van de FCTC, op grond waarvan interacties onderworpen zijn aan strikte beperkingen en volledig transparant moeten zijn;</w:t>
            </w:r>
            <w:r>
              <w:t xml:space="preserve"> </w:t>
            </w:r>
            <w:r>
              <w:rPr>
                <w:b/>
                <w:i/>
              </w:rPr>
              <w:t>verzoekt de Commissie deze zaak dringend te onderzoeken en aan de kwijtingsautoriteit verslag uit te brengen over haar bevindingen;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 bis.</w:t>
            </w:r>
            <w:r>
              <w:tab/>
            </w:r>
            <w:r>
              <w:rPr>
                <w:b/>
                <w:i/>
              </w:rPr>
              <w:t>wijst erop dat de uit Estland afkomstige Henrik Hololei in de periode dat hij directeur-generaal Vervoer bij de Commissie was, vertrouwelijke documenten zou hebben doorgespeeld aan Qatar, die onder meer betrekking hadden op het standpunt van Frankrijk en Duitsland en het ontwerp van een overeenkomst die destijd in Brussel werd voorbereid met het oog op de onderhandelingen over de in oktober 2021 tussen de EU en Qatar ondertekende luchtvaartovereenkomst;</w:t>
            </w:r>
            <w:r>
              <w:t xml:space="preserve"> </w:t>
            </w:r>
            <w:r>
              <w:rPr>
                <w:b/>
                <w:i/>
              </w:rPr>
              <w:t xml:space="preserve">wijst erop dat Henrik Hololei tussen 2015 en 2021 heeft gereisd, vakanties met zijn gezin heeft doorgebracht, heeft gewinkeld en gebruik heeft gemaakt van chauffeursdiensten, hetgeen “gewone” reizen op kosten van Qatar ver te buiten is gegaan; </w:t>
            </w:r>
            <w:r>
              <w:t xml:space="preserve"> </w:t>
            </w:r>
            <w:r>
              <w:rPr>
                <w:b/>
                <w:i/>
              </w:rPr>
              <w:t>wijst erop dat journalisten pas op 29 januari 2026 zijn anonieme ontslag</w:t>
            </w:r>
            <w:r>
              <w:rPr>
                <w:b/>
                <w:i/>
                <w:vertAlign w:val="superscript"/>
              </w:rPr>
              <w:t>1 bis</w:t>
            </w:r>
            <w:r>
              <w:t xml:space="preserve"> </w:t>
            </w:r>
            <w:r>
              <w:rPr>
                <w:b/>
                <w:i/>
              </w:rPr>
              <w:t>openbaar hebben gemaakt, ook al had het Europees Bureau voor fraudebestrijding (OLAF) reeds midden 2024 de Commissie aanbevolen disciplinaire maatregelen in overweging te nemen;</w:t>
            </w:r>
            <w:r>
              <w:t xml:space="preserve"> </w:t>
            </w:r>
            <w:r>
              <w:rPr>
                <w:b/>
                <w:i/>
              </w:rPr>
              <w:t>vindt het zorgwekkend dat hij al deze jaren waarschijnlijk nog altijd een salaris van meer dan 15 000 EUR per maand heeft ontvangen;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https://www.contexte.com/fr/actualite/transports/informations-contre-cadeaux-lolaf-aurait-établi-de-possibles-faits-de-corruption-de-lancien-directeur-general-des-transports-a-la-commission_207437.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 bis.</w:t>
            </w:r>
            <w:r>
              <w:tab/>
            </w:r>
            <w:r>
              <w:rPr>
                <w:b/>
                <w:i/>
              </w:rPr>
              <w:t>betreurt het feit dat bepaalde onderzoeken naar schandalen waarbij hoge ambtenaren betrokken zijn, veel tijd in beslag hebben genomen en niet zijn uitgevoerd met volledige transparantie, wat aanleiding geeft tot bezorgdheid over de betrouwbaarheid van de verstrekte 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 ter.</w:t>
            </w:r>
            <w:r>
              <w:tab/>
            </w:r>
            <w:r>
              <w:rPr>
                <w:b/>
                <w:i/>
              </w:rPr>
              <w:t>herinnert eraan dat de Ombudsman kritiek heeft geuit op de procedure van de Commissie voor het beheer van “draaideurbewegingen” van haar personeelsleden (OI/1/2021/KR),</w:t>
            </w:r>
            <w:r>
              <w:t xml:space="preserve"> </w:t>
            </w:r>
            <w:r>
              <w:rPr>
                <w:b/>
                <w:i/>
              </w:rPr>
              <w:t> aangezien de Commissie slechts twee van de honderd tijdens haar strategisch onderzoek bestudeerde gevallen had verboden; wijst erop dat de Ombudsman heeft geconcludeerd dat de Commissie een strengere aanpak moet hanteren voor het overstappen van haar hogere leidinggevende personeelsleden naar banen in de particuliere sector kort na hun vertrek;</w:t>
            </w:r>
            <w:r>
              <w:t xml:space="preserve"> </w:t>
            </w:r>
            <w:r>
              <w:rPr>
                <w:b/>
                <w:i/>
              </w:rPr>
              <w:t>merkt op dat de Commissie voormalig Europees commissaris en voormalig Frans minister van Financiën Thierry Breton (2019-2024) echter toestemming heeft gegeven om (opnieuw) lid te worden van de internationale adviesraad van Bank of America; merkt op dat deze activiteit hem drie dagen per jaar zal bezighouden en dat hij heeft verklaard dat hij geen salaris zal ontvangen en geen werknemer zal zijn, wat vragen doet rijzen over zijn motieven en status;</w:t>
            </w:r>
            <w:r>
              <w:t xml:space="preserve"> </w:t>
            </w:r>
            <w:r>
              <w:rPr>
                <w:b/>
                <w:i/>
              </w:rPr>
              <w:t>stelt vast dat Thierry Breton terugkeert naar eerder beklede functies (2013-2019);</w:t>
            </w:r>
            <w:r>
              <w:t xml:space="preserve"> </w:t>
            </w:r>
            <w:r>
              <w:rPr>
                <w:b/>
                <w:i/>
              </w:rPr>
              <w:t>betreurt dat de procedure niet voorziet in transparantie op het gebied van beloning of compensatie;</w:t>
            </w:r>
            <w:r>
              <w:t xml:space="preserve"> </w:t>
            </w:r>
            <w:r>
              <w:rPr>
                <w:b/>
                <w:i/>
              </w:rPr>
              <w:t>verzoekt de Commissie in dit verband een commissaris of directeur-generaal te verbieden om aan het einde van zijn of haar ambtstermijn een functie op te nemen in een niet-Europese onderneming of organisatie van systemische omvang;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 bis.</w:t>
            </w:r>
            <w:r>
              <w:tab/>
            </w:r>
            <w:r>
              <w:rPr>
                <w:b/>
                <w:i/>
              </w:rPr>
              <w:t>herinnert eraan dat in maart 2025, naar aanleiding van een in 2023 gestart OLAF-onderzoek, een tuchtprocedure is ingeleid tegen de voormalige directeur-generaal van DG MOVE wegens het aanvaarden van een geschenk van Qatar terwijl de Commissie aan het onderhandelen was over de overeenkomst tussen de EU en Qatar over een vrij luchtruim;</w:t>
            </w:r>
            <w:r>
              <w:t xml:space="preserve"> </w:t>
            </w:r>
            <w:r>
              <w:rPr>
                <w:b/>
                <w:i/>
              </w:rPr>
              <w:t>neemt kennis van het feit dat de Commissie heeft besloten de hoge ambtenaar te ontslaan wegens schending van de toepasselijke regels inzake belangenconflicten, transparantie, aanvaarding van geschenken en openbaarmaking van documenten;</w:t>
            </w:r>
            <w:r>
              <w:t xml:space="preserve"> </w:t>
            </w:r>
            <w:r>
              <w:rPr>
                <w:b/>
                <w:i/>
              </w:rPr>
              <w:t>uit zijn bezorgdheid over het feit dat noch het EOM, noch de nationale gerechtelijke instanties bij de procedure betrokken waren;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204 quater.</w:t>
            </w:r>
            <w:r>
              <w:tab/>
            </w:r>
            <w:r>
              <w:rPr>
                <w:b/>
                <w:i/>
              </w:rPr>
              <w:t>betreurt het interventionisme en de inmenging van de Commissie in de verkiezingsprocessen van lidstaten of derde landen uit hoofde van de digitaledienstenverordening of om andere redenen, zoals de brief van Thierry Breton tegen het interview van Donald Trump met Elon Musk in de zomer van 2024;</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205.</w:t>
            </w:r>
            <w:r>
              <w:tab/>
            </w:r>
            <w:r>
              <w:t xml:space="preserve">betreurt </w:t>
            </w:r>
            <w:r>
              <w:rPr>
                <w:b/>
                <w:i/>
              </w:rPr>
              <w:t>de</w:t>
            </w:r>
            <w:r>
              <w:t xml:space="preserve"> technische, organisatorische en procedurele tekortkomingen van de werking van EPSO in de afgelopen jaren, die hebben geleid tot ernstige reputatieschade voor de algemene aanwervingsprocedure van de Unie en ernstige negatieve gevolgen hebben gehad voor veel kandidaten die tijd en middelen hebben geïnvesteerd in pogingen om deel te nemen aan selectieprocedures die zijn geannuleerd, vertraging opliepen of ernstige technische tekortkomingen vertoonden;</w:t>
            </w:r>
          </w:p>
        </w:tc>
        <w:tc>
          <w:tcPr>
            <w:tcW w:w="4876" w:type="dxa"/>
            <w:tcBorders>
              <w:top w:val="nil"/>
              <w:left w:val="nil"/>
              <w:bottom w:val="nil"/>
              <w:right w:val="nil"/>
            </w:tcBorders>
          </w:tcPr>
          <w:p>
            <w:pPr>
              <w:pStyle w:val="Normal6a"/>
            </w:pPr>
            <w:r>
              <w:t>205.</w:t>
            </w:r>
            <w:r>
              <w:tab/>
            </w:r>
            <w:r>
              <w:t xml:space="preserve">betreurt </w:t>
            </w:r>
            <w:r>
              <w:rPr>
                <w:b/>
                <w:i/>
              </w:rPr>
              <w:t>ten zeerste de aanhoudende en systemische</w:t>
            </w:r>
            <w:r>
              <w:t xml:space="preserve"> technische, organisatorische en procedurele tekortkomingen van de werking van EPSO in de afgelopen jaren</w:t>
            </w:r>
            <w:r>
              <w:rPr>
                <w:b/>
                <w:i/>
              </w:rPr>
              <w:t>, met onder andere herhaalde vertragingen, annuleringen van vergelijkend onderzoeken en ernstige technische fouten bij online proeven en selectieprocedures</w:t>
            </w:r>
            <w:r>
              <w:t xml:space="preserve">, die hebben geleid tot ernstige reputatieschade voor de algemene aanwervingsprocedure van de Unie en ernstige negatieve gevolgen hebben gehad voor veel kandidaten die </w:t>
            </w:r>
            <w:r>
              <w:rPr>
                <w:b/>
                <w:i/>
              </w:rPr>
              <w:t>aanzienlijke</w:t>
            </w:r>
            <w:r>
              <w:t xml:space="preserve"> tijd en middelen hebben geïnvesteerd in pogingen om deel te nemen aan selectieprocedures die zijn geannuleerd, vertraging opliepen of ernstige technische tekortkomingen vertoonden; </w:t>
            </w:r>
            <w:r>
              <w:rPr>
                <w:b/>
                <w:i/>
              </w:rPr>
              <w:t>benadrukt dat deze tekortkomingen de aantrekkelijkheid, geloofwaardigheid en administratieve capaciteit van de instellingen van de Unie op lange termijn dreigen te ondermijnen en daarom dringend corrigerende maatregelen vereisen;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205 bis.</w:t>
            </w:r>
            <w:r>
              <w:tab/>
            </w:r>
            <w:r>
              <w:rPr>
                <w:b/>
                <w:i/>
              </w:rPr>
              <w:t>uit zijn bezorgdheid over de bevindingen van de Europese Ombudsman in verschillende onderzoeken naar de werking van EPSO, waarin wanbeheer werd vastgesteld bij de behandeling van klachten van kandidaten, met name met betrekking tot procedures voor tests op afstand, technische tekortkomingen en tekortkomingen van het platform, en inconsistente of onduidelijke communicatie met kandidaten over technische problemen;</w:t>
            </w:r>
            <w:r>
              <w:t xml:space="preserve"> </w:t>
            </w:r>
            <w:r>
              <w:rPr>
                <w:b/>
                <w:i/>
              </w:rPr>
              <w:t>merkt op dat de Ombudsman EPSO heeft bekritiseerd vanwege zijn inflexibiliteit, tegenstrijdige instructies, ongerechtvaardigde besluiten en afwijzing van geldige klachten, zelfs wanneer kandidaten de officiële richtsnoeren voor meldingen hadden gevolgd;</w:t>
            </w:r>
            <w:r>
              <w:t xml:space="preserve"> </w:t>
            </w:r>
            <w:r>
              <w:rPr>
                <w:b/>
                <w:i/>
              </w:rPr>
              <w:t>is ingenomen met de aanbevelingen van de Ombudsman voor verbetering, waaronder de mogelijkheid voor kandidaten om tests af te leggen in fysieke testcentra, de verstrekking van duidelijke en volledige informatie over klachtenprocedures en de noodzaak van een transparantere, eerlijkere en responsievere behandeling van klachten van kandidaten;</w:t>
            </w:r>
            <w:r>
              <w:t xml:space="preserve"> </w:t>
            </w:r>
            <w:r>
              <w:rPr>
                <w:b/>
                <w:i/>
              </w:rPr>
              <w:t>verzoekt de Commissie om, in samenwerking met EPSO en de andere instellingen van de Unie, te zorgen voor de volledige en tijdige uitvoering van de aanbevelingen van de Ombudsman, en het vertrouwen in de eerlijkheid, toegankelijkheid en betrouwbaarheid van de selectieprocedures van EPSO te 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206.</w:t>
            </w:r>
            <w:r>
              <w:tab/>
            </w:r>
            <w:r>
              <w:t xml:space="preserve">moedigt de Commissie en de leiding van EPSO aan om </w:t>
            </w:r>
            <w:r>
              <w:rPr>
                <w:b/>
                <w:i/>
              </w:rPr>
              <w:t>alle</w:t>
            </w:r>
            <w:r>
              <w:t xml:space="preserve"> aspecten van de selectieprocedure te evalueren om ervoor te zorgen dat de Commissie en andere instellingen van de Unie een beroep kunnen doen op EPSO voor de identificatie en selectie van hooggekwalificeerde en gemotiveerde kandidaten voor alle soorten functies bij de instellingen; moedigt de Commissie tegelijkertijd aan hardnekkige onevenwichtigheden in de geografische vertegenwoordiging van de diensten aan te pakken;</w:t>
            </w:r>
          </w:p>
        </w:tc>
        <w:tc>
          <w:tcPr>
            <w:tcW w:w="4876" w:type="dxa"/>
            <w:tcBorders>
              <w:top w:val="nil"/>
              <w:left w:val="nil"/>
              <w:bottom w:val="nil"/>
              <w:right w:val="nil"/>
            </w:tcBorders>
          </w:tcPr>
          <w:p>
            <w:pPr>
              <w:pStyle w:val="Normal6a"/>
            </w:pPr>
            <w:r>
              <w:t>206.</w:t>
            </w:r>
            <w:r>
              <w:tab/>
            </w:r>
            <w:r>
              <w:t xml:space="preserve">moedigt de Commissie en de leiding van EPSO aan om </w:t>
            </w:r>
            <w:r>
              <w:rPr>
                <w:b/>
                <w:i/>
              </w:rPr>
              <w:t>de oplossing van deze tekortkomingen met voorrang te behandelen en om alle tekortkomingen met betrekking tot de kritieke</w:t>
            </w:r>
            <w:r>
              <w:t xml:space="preserve"> aspecten van de selectieprocedure te evalueren</w:t>
            </w:r>
            <w:r>
              <w:rPr>
                <w:b/>
                <w:i/>
              </w:rPr>
              <w:t>, met inbegrip van governance, digitale infrastructuur en communicatie met kandidaten,</w:t>
            </w:r>
            <w:r>
              <w:t xml:space="preserve"> om ervoor te zorgen dat de Commissie en andere instellingen van de Unie </w:t>
            </w:r>
            <w:r>
              <w:rPr>
                <w:b/>
                <w:i/>
              </w:rPr>
              <w:t>volledig en onverwijld</w:t>
            </w:r>
            <w:r>
              <w:t xml:space="preserve"> een beroep kunnen doen op EPSO voor de identificatie en selectie van hooggekwalificeerde en gemotiveerde kandidaten voor alle soorten functies bij de instellingen; moedigt de Commissie tegelijkertijd aan hardnekkige onevenwichtigheden in de geografische vertegenwoordiging van de diensten aan te 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206 bis.</w:t>
            </w:r>
            <w:r>
              <w:tab/>
            </w:r>
            <w:r>
              <w:rPr>
                <w:b/>
                <w:i/>
              </w:rPr>
              <w:t>moedigt het GSZV aan dekking te bieden voor een breder scala aan ziekten, met inbegrip van bijkomende auto-immuunziekten, en een breder scala aan tests en behandelingen te vergoeden;</w:t>
            </w:r>
            <w:r>
              <w:t xml:space="preserve"> </w:t>
            </w:r>
            <w:r>
              <w:rPr>
                <w:b/>
                <w:i/>
              </w:rPr>
              <w:t>moedigt het GSZV ook aan de hotline beschikbaar te stellen tijdens volledige werkuren, van 9 uur tot 17.30 uur , en ervoor te zorgen dat oproepen snel worden beantwoord;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208 bis.</w:t>
            </w:r>
            <w:r>
              <w:tab/>
            </w:r>
            <w:r>
              <w:rPr>
                <w:b/>
                <w:i/>
              </w:rPr>
              <w:t>herinnert eraan dat de rol van de school erin bestaat kinderen te leren lezen, schrijven en tellen;</w:t>
            </w:r>
            <w:r>
              <w:t xml:space="preserve"> </w:t>
            </w:r>
            <w:r>
              <w:rPr>
                <w:b/>
                <w:i/>
              </w:rPr>
              <w:t>merkt op dat onmiddellijk leren schrijven in sommige Europese scholen systematisch geen prioriteit is;</w:t>
            </w:r>
            <w:r>
              <w:t xml:space="preserve"> </w:t>
            </w:r>
            <w:r>
              <w:rPr>
                <w:b/>
                <w:i/>
              </w:rPr>
              <w:t>merkt op dat leerkrachten soms niet worden vervangen;</w:t>
            </w:r>
            <w:r>
              <w:t xml:space="preserve"> </w:t>
            </w:r>
            <w:r>
              <w:rPr>
                <w:b/>
                <w:i/>
              </w:rPr>
              <w:t>merkt op dat sommige Europese scholen herhaaldelijk worden getroffen door stroomonderbrekingen en dat er klachten zijn over de hygiëne in de gebouwen, met name de toiletten, terwijl er inspanningen worden geleverd om genderneutrale toiletten te installeren en de woke-ideologie in te voeren in de schoolbibliotheken;</w:t>
            </w:r>
            <w:r>
              <w:t xml:space="preserve"> </w:t>
            </w:r>
            <w:r>
              <w:rPr>
                <w:b/>
                <w:i/>
              </w:rPr>
              <w:t>merkt op dat er pas laat talen worden aangeleerd en dat taallessen soms worden toevertrouwd aan buitenlanders, terwijl het mogelijk lijkt Franstalige Belgische burgers te vinden in België;</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210 bis.</w:t>
            </w:r>
            <w:r>
              <w:tab/>
            </w:r>
            <w:r>
              <w:rPr>
                <w:b/>
                <w:i/>
              </w:rPr>
              <w:t>stelt met bezorgdheid vast dat de Commissie zich in 2024 slechts aan de in het Reglement van het Parlement vastgestelde termijnen heeft gehouden met betrekking tot een beperkt aantal schriftelijke vragen, met een bijzonder laag nalevingspercentage voor prioritaire vragen, en dat talrijke antwoorden zijn ingediend na de voorgeschreven termijnen;</w:t>
            </w:r>
            <w:r>
              <w:t xml:space="preserve"> </w:t>
            </w:r>
            <w:r>
              <w:rPr>
                <w:b/>
                <w:i/>
              </w:rPr>
              <w:t>herinnert eraan dat het verstrekken van tijdige en substantiële antwoorden een kernonderdeel vormt van doeltreffende parlementaire controle en democratische verantwoordingsplicht;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211 bis.</w:t>
            </w:r>
            <w:r>
              <w:tab/>
            </w:r>
            <w:r>
              <w:rPr>
                <w:b/>
                <w:i/>
              </w:rPr>
              <w:t>merkt op dat de directeur-generaal Begroting van de Commissie tijdens haar hoorzitting in september 2025 niet heeft uitgelegd op welk begrotingsonderdeel en waarom de Commissie in haar systeem voor financiële transparantie in 2024 een betaling aan Pfizer van 53,57 miljoen EUR heeft gedeclareerd;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212 – punt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te zorgen </w:t>
            </w:r>
            <w:r>
              <w:rPr>
                <w:b/>
                <w:i/>
              </w:rPr>
              <w:t>voor een strikte en betrouwbare toepassing van de nieuwe richtsnoeren voor</w:t>
            </w:r>
            <w:r>
              <w:t xml:space="preserve"> het gebruik van tekstberichten </w:t>
            </w:r>
            <w:r>
              <w:rPr>
                <w:b/>
                <w:i/>
              </w:rPr>
              <w:t>in verband met werkstromen, met name</w:t>
            </w:r>
            <w:r>
              <w:t xml:space="preserve"> met betrekking tot </w:t>
            </w:r>
            <w:r>
              <w:rPr>
                <w:b/>
                <w:i/>
              </w:rPr>
              <w:t>commissarissen en de voorzitter</w:t>
            </w:r>
            <w:r>
              <w:t xml:space="preserve"> van de </w:t>
            </w:r>
            <w:r>
              <w:rPr>
                <w:b/>
                <w:i/>
              </w:rPr>
              <w:t>Commissie, om in de toekomst gerechtvaardigde kritiek op de behandeling van dergelijke tekstberichten door de Commissie te voorkomen</w:t>
            </w:r>
            <w:r>
              <w:t>;</w:t>
            </w:r>
          </w:p>
        </w:tc>
        <w:tc>
          <w:tcPr>
            <w:tcW w:w="4876" w:type="dxa"/>
            <w:tcBorders>
              <w:top w:val="nil"/>
              <w:left w:val="nil"/>
              <w:bottom w:val="nil"/>
              <w:right w:val="nil"/>
            </w:tcBorders>
          </w:tcPr>
          <w:p>
            <w:pPr>
              <w:pStyle w:val="Normal6a"/>
            </w:pPr>
            <w:r>
              <w:t>vi)</w:t>
            </w:r>
            <w:r>
              <w:tab/>
            </w:r>
            <w:r>
              <w:rPr>
                <w:b/>
                <w:i/>
              </w:rPr>
              <w:t>ervoor</w:t>
            </w:r>
            <w:r>
              <w:t xml:space="preserve"> te zorgen </w:t>
            </w:r>
            <w:r>
              <w:rPr>
                <w:b/>
                <w:i/>
              </w:rPr>
              <w:t>dat</w:t>
            </w:r>
            <w:r>
              <w:t xml:space="preserve"> het gebruik van tekstberichten </w:t>
            </w:r>
            <w:r>
              <w:rPr>
                <w:b/>
                <w:i/>
              </w:rPr>
              <w:t>de transparantie niet ondermijnt, door te waarborgen dat informele uitwisselingen niet in de plaats komen van officiële communicatie en dat alle informatie</w:t>
            </w:r>
            <w:r>
              <w:t xml:space="preserve"> met betrekking tot </w:t>
            </w:r>
            <w:r>
              <w:rPr>
                <w:b/>
                <w:i/>
              </w:rPr>
              <w:t>besluitvorming of workflow wordt doorgegeven via officiële kanalen, met volledige inachtneming</w:t>
            </w:r>
            <w:r>
              <w:t xml:space="preserve"> van de </w:t>
            </w:r>
            <w:r>
              <w:rPr>
                <w:b/>
                <w:i/>
              </w:rPr>
              <w:t>transparantievereisten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212 – punt vi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bis)</w:t>
            </w:r>
            <w:r>
              <w:tab/>
            </w:r>
            <w:r>
              <w:rPr>
                <w:b/>
                <w:i/>
              </w:rPr>
              <w:t>de wijzigingen van 2024 te herzien en zijn reglement van orde te wijzigen om ervoor te zorgen dat Verordening (EG) nr. 1049/2001 volledig wordt nageleefd;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212 – punt vii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bis)</w:t>
            </w:r>
            <w:r>
              <w:tab/>
            </w:r>
            <w:r>
              <w:rPr>
                <w:b/>
                <w:i/>
              </w:rPr>
              <w:t>te zorgen voor een voorspelbare, consistente en niet-willekeurige toepassing van haar regels voor betere regelgeving door te voorzien in een definitie van “dringende” situaties die een afwijking van de in de regels vastgestelde vereisten rechtvaardigen en, indien afwijkingen worden toegestaan, een procedure vast te stellen om ervoor te zorgen dat de dringende voorbereiding van wetgevingsvoorstellen nog steeds voldoet aan de beginselen van een transparant, empirisch onderbouwd en inclusief wetgevingsproces;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212 – punt vii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ter)</w:t>
            </w:r>
            <w:r>
              <w:tab/>
            </w:r>
            <w:r>
              <w:rPr>
                <w:b/>
                <w:i/>
              </w:rPr>
              <w:t>in het licht van de gedragscode voor de leden van de Europese Commissie de omstandigheden te onderzoeken rond de deelname van de uitvoerend vicevoorzitter voor Cohesie en Hervormingen en de commissaris voor Defensie en Ruimtevaart aan een persconferentie op 5 februari 2026 ter ondersteuning van een nationale kandidaat in Slovenië tijdens de campagne, slechts enkele weken voor de verkiezingen, en haar beoordeling te delen met de kwijtingsautoriteit, en ervoor te zorgen dat dergelijke situaties zich in de toekomst niet voordoen;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212 – punt ix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ix bis)</w:t>
            </w:r>
            <w:r>
              <w:tab/>
            </w:r>
            <w:r>
              <w:rPr>
                <w:b/>
                <w:i/>
              </w:rPr>
              <w:t>een onafhankelijke leesbaarheidsaudit te laten uitvoeren van haar belangrijkste resultaten die algemeen bekend worden gemaakt, onder andere persberichten, programmagidsen en jaarlijkse activiteitenverslagen, getoetst aan de mededelingen van de nationale regeringen in de officiële talen van de Unie;</w:t>
            </w:r>
            <w:r>
              <w:t xml:space="preserve"> </w:t>
            </w:r>
            <w:r>
              <w:rPr>
                <w:b/>
                <w:i/>
              </w:rPr>
              <w:t>dringt erop aan dat de resultaten worden gepubliceerd en dat de Commissie een concreet actieplan met duidelijke doelstellingen en termijnen ontwikkelt om haar communicatie op een niveau te brengen dat toegankelijk is voor burgers met een diploma middelbaar onderwijs;</w:t>
            </w:r>
            <w:r>
              <w:t xml:space="preserve"> </w:t>
            </w:r>
            <w:r>
              <w:rPr>
                <w:b/>
                <w:i/>
              </w:rPr>
              <w:t>benadrukt dat middelen die zijn toegewezen aan de communicatieactiviteiten van de Commissie niet als goed besteed kunnen worden beschouwd als de output onbegrijpelijk blijft voor de belastingbetalers die deze financieren;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215 bis.</w:t>
            </w:r>
            <w:r>
              <w:tab/>
            </w:r>
            <w:r>
              <w:rPr>
                <w:b/>
                <w:i/>
              </w:rPr>
              <w:t>merkt op dat betalingen door de Europese Commissie in het kader van de RRF afhankelijk zijn van de bevredigende verwezenlijking van overeengekomen mijlpalen en streefdoelen, in plaats van van de verificatie van de naleving van de EU- en nationale regels bij individuele uitgaven, wat het moeilijk maakt om de naleving van de toepasselijke wettelijke vereisten te beoordelen;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215 ter.</w:t>
            </w:r>
            <w:r>
              <w:tab/>
            </w:r>
            <w:r>
              <w:rPr>
                <w:b/>
                <w:i/>
              </w:rPr>
              <w:t>stelt vast dat in de verordening tot instelling van de herstel- en veerkrachtfaciliteit geen criteria zijn gespecificeerd om het begrip “bevredigend” uit te leggen met betrekking tot de verwezenlijking van mijlpalen en streefdoelen, en dat deze beoordeling in het geval van kwalitatieve criteria afhangt van meerdere beoordelingen, die leiden tot verschillende mogelijke uitleggingen met betrekking tot de vraag of op bevredigende wijze aan de mijlpalen of streefdoelen is voldaan; stelt vast dat gevallen waarin de mijlpalen of streefdoelen vaag zijn omschreven, zoals er zijn, ertoe leiden dat de criteria voor het beoordelen van de verwezenlijking ervan onduidelijk blijven;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Tomáš Zdechovský, Jacek Protas,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217.</w:t>
            </w:r>
            <w:r>
              <w:tab/>
            </w:r>
            <w:r>
              <w:t xml:space="preserve">herinnert eraan dat de supermijlpalen van de herstel- en veerkrachtfaciliteit voor Polen specifieke hervormingen op het gebied van justitie voorschreven, waaronder ten eerste de ontmanteling van de tuchtkamer van het Hooggerechtshof en de vervanging ervan door een onafhankelijke kamer van het Hooggerechtshof, en ten tweede het recht voor alle rechters die werden getroffen door de beslissingen van de tuchtkamer, om hun zaak binnen een duidelijke termijn door de nieuwe kamer te laten herzien; merkt op dat de PiS-regering, in een poging om aan deze supermijlpaal te voldoen, in juni 2022 de tuchtkamer heeft afgeschaft en een nieuwe kamer voor beroepsaansprakelijkheid heeft opgericht, en benadrukt dat er geen middelen van de Unie zijn uitbetaald, aangezien dit een cosmetische verandering was; merkt </w:t>
            </w:r>
            <w:r>
              <w:rPr>
                <w:b/>
                <w:i/>
              </w:rPr>
              <w:t>echter</w:t>
            </w:r>
            <w:r>
              <w:t xml:space="preserve"> op dat de Commissie</w:t>
            </w:r>
            <w:r>
              <w:rPr>
                <w:b/>
                <w:i/>
              </w:rPr>
              <w:t>, nadat het kabinet van Donald Tusk in 2023 aan de macht kwam, dezelfde hervormingen die de PiS-regering meer dan een jaar eerder had doorgevoerd,</w:t>
            </w:r>
            <w:r>
              <w:t xml:space="preserve"> heeft </w:t>
            </w:r>
            <w:r>
              <w:rPr>
                <w:b/>
                <w:i/>
              </w:rPr>
              <w:t>gebruikt om te verklaren</w:t>
            </w:r>
            <w:r>
              <w:t xml:space="preserve"> dat de supermijlpalen waren bereikt; benadrukt dat </w:t>
            </w:r>
            <w:r>
              <w:rPr>
                <w:b/>
                <w:i/>
              </w:rPr>
              <w:t>deze volgorde ernstige twijfels doet rijzen over de vraag of Polen de</w:t>
            </w:r>
            <w:r>
              <w:t xml:space="preserve"> mijlpalen op het gebied van rechterlijke onafhankelijkheid volledig </w:t>
            </w:r>
            <w:r>
              <w:rPr>
                <w:b/>
                <w:i/>
              </w:rPr>
              <w:t>en</w:t>
            </w:r>
            <w:r>
              <w:t xml:space="preserve"> duurzaam </w:t>
            </w:r>
            <w:r>
              <w:rPr>
                <w:b/>
                <w:i/>
              </w:rPr>
              <w:t>heeft verwezenlijkt, en dat de vrijgave van middelen uit de RRF mogelijk voorbarig was, aangezien kernelementen van de supermijlpalen nog steeds niet zijn vervuld;</w:t>
            </w:r>
            <w:r>
              <w:t xml:space="preserve"> </w:t>
            </w:r>
            <w:r>
              <w:rPr>
                <w:b/>
                <w:i/>
              </w:rPr>
              <w:t>benadrukt dat het Hof ook ernstige tekortkomingen heeft geconstateerd bij de benoeming van rechters in Polen, maar dat het, vanwege de lopende zaak C-517/24</w:t>
            </w:r>
            <w:r>
              <w:t xml:space="preserve"> van het Hof van Justitie van de </w:t>
            </w:r>
            <w:r>
              <w:rPr>
                <w:b/>
                <w:i/>
              </w:rPr>
              <w:t>Europese Unie over een verzoek om een prejudiciële beslissing dat rechtstreeks verband houdt met deze kwestie, in zijn jaarverslagen 2024 heeft besloten geen conclusies te trekken over de bevredigende vervulling van deze twee mijlpalen</w:t>
            </w:r>
            <w:r>
              <w:t xml:space="preserve">; </w:t>
            </w:r>
            <w:r>
              <w:rPr>
                <w:b/>
                <w:i/>
              </w:rPr>
              <w:t>benadrukt dat de uitkomst van zaak C-517/24 doorslaggevend zal zijn voor de beoordeling van de regelmatigheid van de betrokken betalingen uit de RRF;</w:t>
            </w:r>
          </w:p>
        </w:tc>
        <w:tc>
          <w:tcPr>
            <w:tcW w:w="4876" w:type="dxa"/>
            <w:tcBorders>
              <w:top w:val="nil"/>
              <w:left w:val="nil"/>
              <w:bottom w:val="nil"/>
              <w:right w:val="nil"/>
            </w:tcBorders>
          </w:tcPr>
          <w:p>
            <w:pPr>
              <w:pStyle w:val="Normal6a"/>
            </w:pPr>
            <w:r>
              <w:t>217.</w:t>
            </w:r>
            <w:r>
              <w:tab/>
            </w:r>
            <w:r>
              <w:t xml:space="preserve">herinnert eraan dat de supermijlpalen van de herstel- en veerkrachtfaciliteit voor Polen specifieke hervormingen op het gebied van justitie voorschreven, waaronder ten eerste de ontmanteling van de tuchtkamer van het Hooggerechtshof en de vervanging ervan door een onafhankelijke kamer van het Hooggerechtshof, en ten tweede het recht voor alle rechters die werden getroffen door de beslissingen van de tuchtkamer, om hun zaak binnen een duidelijke termijn door de nieuwe kamer te laten herzien; merkt op dat de PiS-regering, in een poging om aan deze supermijlpaal te voldoen, in juni 2022 de tuchtkamer heeft afgeschaft en een nieuwe kamer voor beroepsaansprakelijkheid heeft opgericht, en benadrukt dat er geen middelen van de Unie zijn uitbetaald, aangezien dit een cosmetische verandering was; merkt op dat de Commissie </w:t>
            </w:r>
            <w:r>
              <w:rPr>
                <w:b/>
                <w:i/>
              </w:rPr>
              <w:t>vervolgens verdere ontwikkelingen heeft beoordeeld en</w:t>
            </w:r>
            <w:r>
              <w:t xml:space="preserve"> heeft </w:t>
            </w:r>
            <w:r>
              <w:rPr>
                <w:b/>
                <w:i/>
              </w:rPr>
              <w:t>verklaard</w:t>
            </w:r>
            <w:r>
              <w:t xml:space="preserve"> dat de supermijlpalen waren bereikt</w:t>
            </w:r>
            <w:r>
              <w:rPr>
                <w:b/>
                <w:i/>
              </w:rPr>
              <w:t>, zodat RRF-middelen konden worden uitbetaald</w:t>
            </w:r>
            <w:r>
              <w:t xml:space="preserve">; benadrukt dat </w:t>
            </w:r>
            <w:r>
              <w:rPr>
                <w:b/>
                <w:i/>
              </w:rPr>
              <w:t>het bereiken van</w:t>
            </w:r>
            <w:r>
              <w:t xml:space="preserve"> mijlpalen op het gebied van rechterlijke onafhankelijkheid volledig</w:t>
            </w:r>
            <w:r>
              <w:rPr>
                <w:b/>
                <w:i/>
              </w:rPr>
              <w:t>, doeltreffend en in de praktijk</w:t>
            </w:r>
            <w:r>
              <w:t xml:space="preserve"> duurzaam </w:t>
            </w:r>
            <w:r>
              <w:rPr>
                <w:b/>
                <w:i/>
              </w:rPr>
              <w:t>moet zijn, in overeenstemming met het Unierecht en de jurisprudentie</w:t>
            </w:r>
            <w:r>
              <w:t xml:space="preserve"> van het Hof van Justitie</w:t>
            </w:r>
            <w:r>
              <w:rPr>
                <w:b/>
                <w:i/>
              </w:rPr>
              <w:t>, teneinde de rechtszekerheid te waarborgen en de begroting</w:t>
            </w:r>
            <w:r>
              <w:t xml:space="preserve"> van de </w:t>
            </w:r>
            <w:r>
              <w:rPr>
                <w:b/>
                <w:i/>
              </w:rPr>
              <w:t>Unie te beschermen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217.</w:t>
            </w:r>
            <w:r>
              <w:tab/>
            </w:r>
            <w:r>
              <w:t xml:space="preserve">herinnert eraan dat de supermijlpalen van de herstel- en veerkrachtfaciliteit voor Polen specifieke hervormingen op het gebied van justitie voorschreven, waaronder ten eerste de ontmanteling van de tuchtkamer van het Hooggerechtshof en de vervanging ervan door een onafhankelijke kamer van het Hooggerechtshof, en ten tweede het recht voor alle rechters die werden getroffen door de beslissingen van de tuchtkamer, om hun zaak binnen een duidelijke termijn door de nieuwe kamer te laten herzien; merkt op dat de PiS-regering, in een poging om aan deze supermijlpaal te voldoen, in juni 2022 de tuchtkamer heeft afgeschaft en een nieuwe kamer voor beroepsaansprakelijkheid heeft opgericht, en benadrukt dat er geen middelen van de Unie zijn uitbetaald, </w:t>
            </w:r>
            <w:r>
              <w:rPr>
                <w:b/>
                <w:i/>
              </w:rPr>
              <w:t>aangezien dit een cosmetische verandering was</w:t>
            </w:r>
            <w:r>
              <w:t>; merkt echter op dat de Commissie, nadat het kabinet van Donald Tusk in 2023 aan de macht kwam, dezelfde hervormingen die de PiS-regering meer dan een jaar eerder had doorgevoerd, heeft gebruikt om te verklaren dat de supermijlpalen waren bereikt; benadrukt dat deze volgorde ernstige twijfels doet rijzen over de vraag of Polen de mijlpalen op het gebied van rechterlijke onafhankelijkheid volledig en duurzaam heeft verwezenlijkt, en dat de vrijgave van middelen uit de RRF mogelijk voorbarig was, aangezien kernelementen van de supermijlpalen nog steeds niet zijn vervuld; benadrukt dat het Hof ook ernstige tekortkomingen heeft geconstateerd bij de benoeming van rechters in Polen, maar dat het, vanwege de lopende zaak C-517/24 van het Hof van Justitie van de Europese Unie over een verzoek om een prejudiciële beslissing dat rechtstreeks verband houdt met deze kwestie, in zijn jaarverslagen 2024 heeft besloten geen conclusies te trekken over de bevredigende vervulling van deze twee mijlpalen; benadrukt dat de uitkomst van zaak C-517/24 doorslaggevend zal zijn voor de beoordeling van de regelmatigheid van de betrokken betalingen uit de RRF;</w:t>
            </w:r>
          </w:p>
        </w:tc>
        <w:tc>
          <w:tcPr>
            <w:tcW w:w="4876" w:type="dxa"/>
            <w:tcBorders>
              <w:top w:val="nil"/>
              <w:left w:val="nil"/>
              <w:bottom w:val="nil"/>
              <w:right w:val="nil"/>
            </w:tcBorders>
          </w:tcPr>
          <w:p>
            <w:pPr>
              <w:pStyle w:val="Normal6a"/>
            </w:pPr>
            <w:r>
              <w:t>217.</w:t>
            </w:r>
            <w:r>
              <w:tab/>
            </w:r>
            <w:r>
              <w:t xml:space="preserve">herinnert eraan dat de supermijlpalen van de herstel- en veerkrachtfaciliteit voor Polen specifieke hervormingen op het gebied van justitie voorschreven, waaronder ten eerste de ontmanteling van de tuchtkamer van het Hooggerechtshof en de vervanging ervan door een onafhankelijke kamer van het Hooggerechtshof, en ten tweede het recht voor alle rechters die werden getroffen door de beslissingen van de tuchtkamer, om hun zaak binnen een duidelijke termijn door de nieuwe kamer te laten herzien; merkt op dat de PiS-regering, in een poging om aan deze supermijlpaal te voldoen, in juni 2022 de tuchtkamer heeft afgeschaft en een nieuwe kamer voor beroepsaansprakelijkheid heeft opgericht, en benadrukt dat er geen middelen van de Unie zijn uitbetaald, </w:t>
            </w:r>
            <w:r>
              <w:rPr>
                <w:b/>
                <w:i/>
              </w:rPr>
              <w:t>omdat de Commissie politieke druk wilde uitoefenen op de populair rechtse en nationale regering, die door de Polen was gekozen;</w:t>
            </w:r>
            <w:r>
              <w:t xml:space="preserve"> </w:t>
            </w:r>
            <w:r>
              <w:rPr>
                <w:b/>
                <w:i/>
              </w:rPr>
              <w:t>is van mening dat de Commissie daarmee haar rol van neutrale garant te buiten is gegaan</w:t>
            </w:r>
            <w:r>
              <w:t xml:space="preserve">; merkt echter op dat de Commissie, nadat het </w:t>
            </w:r>
            <w:r>
              <w:rPr>
                <w:b/>
                <w:i/>
              </w:rPr>
              <w:t>Europees gezinde</w:t>
            </w:r>
            <w:r>
              <w:t xml:space="preserve"> kabinet van Donald Tusk in 2023 aan de macht kwam, dezelfde hervormingen die de PiS-regering meer dan een jaar eerder had doorgevoerd, heeft gebruikt om te verklaren dat de supermijlpalen waren bereikt; benadrukt dat deze volgorde ernstige twijfels doet rijzen over de vraag of Polen de mijlpalen op het gebied van rechterlijke onafhankelijkheid volledig en duurzaam heeft verwezenlijkt, en dat de vrijgave van middelen uit de RRF mogelijk voorbarig was, aangezien kernelementen van de supermijlpalen nog steeds niet zijn vervuld; benadrukt dat het Hof ook ernstige tekortkomingen heeft geconstateerd bij de benoeming van rechters in Polen, maar dat het, vanwege de lopende zaak C-517/24 van het Hof van Justitie van de Europese Unie over een verzoek om een prejudiciële beslissing dat rechtstreeks verband houdt met deze kwestie, in zijn jaarverslagen 2024 heeft besloten geen conclusies te trekken over de bevredigende vervulling van deze twee mijlpalen; benadrukt dat de uitkomst van zaak C-517/24 doorslaggevend zal zijn voor de beoordeling van de regelmatigheid van de betrokken betalingen uit de RRF;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218.</w:t>
            </w:r>
            <w:r>
              <w:tab/>
            </w:r>
            <w:r>
              <w:t xml:space="preserve">merkt </w:t>
            </w:r>
            <w:r>
              <w:rPr>
                <w:b/>
                <w:i/>
              </w:rPr>
              <w:t>met bijzondere bezorgdheid</w:t>
            </w:r>
            <w:r>
              <w:t xml:space="preserve"> op dat de Rekenkamer heeft vastgesteld dat projecten met betrekking tot één mijlpaal en drie streefdoelen in twee betalingen vóór de subsidiabiliteitsperiode waren gestart; merkt op dat in de verordening is bepaald dat alleen maatregelen die vanaf 1 februari 2020 van start zijn gegaan, in aanmerking komen voor RRF-financiering, maar dat daarin niet nader wordt omschreven wat de “start” van een maatregel inhoudt; merkt op dat de Commissie in oktober 2024 richtsnoeren gepubliceerd waarin wordt gesteld dat zij de “start” van een maatregel interpreteert als het begin van de uitvoering van die maatregel ter plaatse, wanneer de kosten daadwerkelijk worden gemaakt; </w:t>
            </w:r>
            <w:r>
              <w:rPr>
                <w:b/>
                <w:i/>
              </w:rPr>
              <w:t>herinnert echter aan het standpunt van</w:t>
            </w:r>
            <w:r>
              <w:t xml:space="preserve"> de Rekenkamer </w:t>
            </w:r>
            <w:r>
              <w:rPr>
                <w:b/>
                <w:i/>
              </w:rPr>
              <w:t>dat</w:t>
            </w:r>
            <w:r>
              <w:t xml:space="preserve"> de start van een maatregel </w:t>
            </w:r>
            <w:r>
              <w:rPr>
                <w:b/>
                <w:i/>
              </w:rPr>
              <w:t>moet worden beschouwd</w:t>
            </w:r>
            <w:r>
              <w:t xml:space="preserve"> als de datum van de eerste juridische verbintenis (zoals een contract, kooporder of financieringsbesluit), </w:t>
            </w:r>
            <w:r>
              <w:rPr>
                <w:b/>
                <w:i/>
              </w:rPr>
              <w:t>aangezien dit</w:t>
            </w:r>
            <w:r>
              <w:t xml:space="preserve"> de start van de eerste activiteit in verband met de maatregel </w:t>
            </w:r>
            <w:r>
              <w:rPr>
                <w:b/>
                <w:i/>
              </w:rPr>
              <w:t>vormt;</w:t>
            </w:r>
            <w:r>
              <w:t xml:space="preserve"> </w:t>
            </w:r>
            <w:r>
              <w:rPr>
                <w:b/>
                <w:i/>
              </w:rPr>
              <w:t>is het niet eens met de interpretatie van</w:t>
            </w:r>
            <w:r>
              <w:t xml:space="preserve"> de Commissie </w:t>
            </w:r>
            <w:r>
              <w:rPr>
                <w:b/>
                <w:i/>
              </w:rPr>
              <w:t>dat de subsidiabiliteitsperiode alleen betrekking heeft op de startdatum van de werkzaamheden aan een specifiek project en niet op</w:t>
            </w:r>
            <w:r>
              <w:t xml:space="preserve"> het begin van de </w:t>
            </w:r>
            <w:r>
              <w:rPr>
                <w:b/>
                <w:i/>
              </w:rPr>
              <w:t>voorbereidings- of planningsfase</w:t>
            </w:r>
            <w:r>
              <w:t>;</w:t>
            </w:r>
          </w:p>
        </w:tc>
        <w:tc>
          <w:tcPr>
            <w:tcW w:w="4876" w:type="dxa"/>
            <w:tcBorders>
              <w:top w:val="nil"/>
              <w:left w:val="nil"/>
              <w:bottom w:val="nil"/>
              <w:right w:val="nil"/>
            </w:tcBorders>
          </w:tcPr>
          <w:p>
            <w:pPr>
              <w:pStyle w:val="Normal6a"/>
            </w:pPr>
            <w:r>
              <w:t>218.</w:t>
            </w:r>
            <w:r>
              <w:tab/>
            </w:r>
            <w:r>
              <w:t xml:space="preserve">merkt op dat de Rekenkamer heeft vastgesteld dat projecten met betrekking tot één mijlpaal en drie streefdoelen in twee betalingen vóór de subsidiabiliteitsperiode waren gestart; merkt op dat in de verordening is bepaald dat alleen maatregelen die vanaf 1 februari 2020 van start zijn gegaan, in aanmerking komen voor RRF-financiering, maar dat daarin niet nader wordt omschreven wat de “start” van een maatregel inhoudt; merkt op dat de Commissie in oktober 2024 richtsnoeren gepubliceerd waarin wordt gesteld dat zij de “start” van een maatregel interpreteert als het begin van de uitvoering van die maatregel ter plaatse, wanneer de kosten daadwerkelijk worden gemaakt; </w:t>
            </w:r>
            <w:r>
              <w:rPr>
                <w:b/>
                <w:i/>
              </w:rPr>
              <w:t>merkt op dat</w:t>
            </w:r>
            <w:r>
              <w:t xml:space="preserve"> de Rekenkamer de start van een maatregel </w:t>
            </w:r>
            <w:r>
              <w:rPr>
                <w:b/>
                <w:i/>
              </w:rPr>
              <w:t>beschouwt</w:t>
            </w:r>
            <w:r>
              <w:t xml:space="preserve"> als de datum van de eerste juridische verbintenis (zoals een contract, kooporder of financieringsbesluit), </w:t>
            </w:r>
            <w:r>
              <w:rPr>
                <w:b/>
                <w:i/>
              </w:rPr>
              <w:t>die</w:t>
            </w:r>
            <w:r>
              <w:t xml:space="preserve"> de start </w:t>
            </w:r>
            <w:r>
              <w:rPr>
                <w:b/>
                <w:i/>
              </w:rPr>
              <w:t>vormt</w:t>
            </w:r>
            <w:r>
              <w:t xml:space="preserve"> van de eerste activiteit in verband met de maatregel</w:t>
            </w:r>
            <w:r>
              <w:rPr>
                <w:b/>
                <w:i/>
              </w:rPr>
              <w:t>,</w:t>
            </w:r>
            <w:r>
              <w:t xml:space="preserve"> </w:t>
            </w:r>
            <w:r>
              <w:rPr>
                <w:b/>
                <w:i/>
              </w:rPr>
              <w:t>terwijl</w:t>
            </w:r>
            <w:r>
              <w:t xml:space="preserve"> de Commissie </w:t>
            </w:r>
            <w:r>
              <w:rPr>
                <w:b/>
                <w:i/>
              </w:rPr>
              <w:t>de start beschouwt als</w:t>
            </w:r>
            <w:r>
              <w:t xml:space="preserve"> het begin van de </w:t>
            </w:r>
            <w:r>
              <w:rPr>
                <w:b/>
                <w:i/>
              </w:rPr>
              <w:t>uitvoering ter plaatse, wanneer de kosten daadwerkelijk worden gemaakt</w:t>
            </w:r>
            <w:r>
              <w:t xml:space="preserve">; </w:t>
            </w:r>
            <w:r>
              <w:rPr>
                <w:b/>
                <w:i/>
              </w:rPr>
              <w:t>stelt vast dat er verschillende interpretaties bestaan van wat de "start" van een maatregel in het kader van de RRF inhoudt;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221.</w:t>
            </w:r>
            <w:r>
              <w:tab/>
            </w:r>
            <w:r>
              <w:t>merkt op dat eind 2024 de betalingen in het kader van het RRF 197,5 miljard EUR bedroegen van de 358,9 miljard EUR aan vastgelegde subsidies, waardoor er eind 2026 nog 161,4 miljard EUR moet worden uitbetaald; merkt op dat dit aanzienlijke volume aan uitstaande betalingen, geconcentreerd in de laatste twee jaar van het instrument, het risico van knelpunten bij de uitvoering en verdere vertragingen vergroot, met name in lidstaten met structurele capaciteitsproblemen; wijst erop dat de tijdige absorptie van de resterende RRF-subsidies zal afhangen van de kwaliteit en rijpheid van hervormingen en investeringen, de stabiliteit van nationale governancesystemen en het vermogen van de Commissie om een groot aantal betalingsverzoeken binnen een kort tijdsbestek efficiënt te verwerken;</w:t>
            </w:r>
          </w:p>
        </w:tc>
        <w:tc>
          <w:tcPr>
            <w:tcW w:w="4876" w:type="dxa"/>
            <w:tcBorders>
              <w:top w:val="nil"/>
              <w:left w:val="nil"/>
              <w:bottom w:val="nil"/>
              <w:right w:val="nil"/>
            </w:tcBorders>
          </w:tcPr>
          <w:p>
            <w:pPr>
              <w:pStyle w:val="Normal6a"/>
            </w:pPr>
            <w:r>
              <w:t>221.</w:t>
            </w:r>
            <w:r>
              <w:tab/>
            </w:r>
            <w:r>
              <w:t>merkt op dat eind 2024 de betalingen in het kader van het RRF 197,5 miljard EUR bedroegen van de 358,9 miljard EUR aan vastgelegde subsidies, waardoor er eind 2026 nog 161,4 miljard EUR moet worden uitbetaald; merkt op dat dit aanzienlijke volume aan uitstaande betalingen, geconcentreerd in de laatste twee jaar van het instrument, het risico van knelpunten bij de uitvoering en verdere vertragingen vergroot, met name in lidstaten met structurele capaciteitsproblemen; wijst erop dat de tijdige absorptie van de resterende RRF-subsidies zal afhangen van de kwaliteit en rijpheid van hervormingen en investeringen, de stabiliteit van nationale governancesystemen</w:t>
            </w:r>
            <w:r>
              <w:rPr>
                <w:b/>
                <w:i/>
              </w:rPr>
              <w:t>, de beschikbaarheid van administratieve capaciteit en technische ondersteuning</w:t>
            </w:r>
            <w:r>
              <w:t xml:space="preserve"> en het vermogen van de Commissie om een groot aantal betalingsverzoeken binnen een kort tijdsbestek efficiënt te verwerken; </w:t>
            </w:r>
            <w:r>
              <w:rPr>
                <w:b/>
                <w:i/>
              </w:rPr>
              <w:t>verzoekt de Commissie nauw samen te werken met de lidstaten, met name die met structurele capaciteitsbeperkingen, door gerichte technische bijstand, richtsnoeren en administratieve ondersteuning te verlenen om de volledige en doeltreffende uitvoering van RRF-investeringen en -hervormingen in alle lidstaten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Tomáš Zdechovský,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224.</w:t>
            </w:r>
            <w:r>
              <w:tab/>
            </w:r>
            <w:r>
              <w:t xml:space="preserve">wijst op zijn bezorgdheid over de bevindingen van de Rekenkamer in Speciaal verslag 22/2024 over dubbele financiering als gevolg van het RRF-model; benadrukt dat de nationale plannen van de lidstaten zogenaamde “nulkostenmaatregelen” kunnen bevatten, d.w.z. maatregelen waarvoor naar schatting geen kosten door de RRF hoeven te worden gefinancierd, en waarbij er helemaal geen controle is op dubbele financiering, aangezien de Commissie van mening is dat maatregelen waarvoor geen RRF-middelen worden verstrekt, vanuit dat oogpunt geen risico inhouden; merkt op dat </w:t>
            </w:r>
            <w:r>
              <w:rPr>
                <w:b/>
                <w:i/>
              </w:rPr>
              <w:t>het Hof in 2024 niettemin een geval van dubbele financiering in Kroatië</w:t>
            </w:r>
            <w:r>
              <w:t xml:space="preserve"> heeft </w:t>
            </w:r>
            <w:r>
              <w:rPr>
                <w:b/>
                <w:i/>
              </w:rPr>
              <w:t>vastgesteld;</w:t>
            </w:r>
            <w:r>
              <w:t xml:space="preserve"> </w:t>
            </w:r>
            <w:r>
              <w:rPr>
                <w:b/>
                <w:i/>
              </w:rPr>
              <w:t>merkt voorts op dat de Commissie geen bevestigde gegevens verzamelt over</w:t>
            </w:r>
            <w:r>
              <w:t xml:space="preserve"> gevallen van dubbele financiering </w:t>
            </w:r>
            <w:r>
              <w:rPr>
                <w:b/>
                <w:i/>
              </w:rPr>
              <w:t>in het kader van de RRF in 2024 en voornamelijk vertrouwt op de systemen van de lidstaten, ondanks het feit dat</w:t>
            </w:r>
            <w:r>
              <w:t xml:space="preserve"> de Rekenkamer dubbele financiering </w:t>
            </w:r>
            <w:r>
              <w:rPr>
                <w:b/>
                <w:i/>
              </w:rPr>
              <w:t>als structurele blinde vlek heeft aangemerkt</w:t>
            </w:r>
            <w:r>
              <w:t>;</w:t>
            </w:r>
          </w:p>
        </w:tc>
        <w:tc>
          <w:tcPr>
            <w:tcW w:w="4876" w:type="dxa"/>
            <w:tcBorders>
              <w:top w:val="nil"/>
              <w:left w:val="nil"/>
              <w:bottom w:val="nil"/>
              <w:right w:val="nil"/>
            </w:tcBorders>
          </w:tcPr>
          <w:p>
            <w:pPr>
              <w:pStyle w:val="Normal6a"/>
            </w:pPr>
            <w:r>
              <w:t>224.</w:t>
            </w:r>
            <w:r>
              <w:tab/>
            </w:r>
            <w:r>
              <w:t xml:space="preserve">wijst op zijn bezorgdheid over de bevindingen van de Rekenkamer in Speciaal verslag 22/2024 over dubbele financiering als gevolg van het RRF-model; benadrukt dat de nationale plannen van de lidstaten zogenaamde “nulkostenmaatregelen” kunnen bevatten, d.w.z. maatregelen waarvoor naar schatting geen kosten door de RRF hoeven te worden gefinancierd, en waarbij er helemaal geen controle is op dubbele financiering, aangezien de Commissie van mening is dat maatregelen waarvoor geen RRF-middelen worden verstrekt, vanuit dat oogpunt geen risico inhouden; merkt op dat </w:t>
            </w:r>
            <w:r>
              <w:rPr>
                <w:b/>
                <w:i/>
              </w:rPr>
              <w:t>de Rekenkamer melding</w:t>
            </w:r>
            <w:r>
              <w:t xml:space="preserve"> heeft </w:t>
            </w:r>
            <w:r>
              <w:rPr>
                <w:b/>
                <w:i/>
              </w:rPr>
              <w:t>gemaakt van mogelijke</w:t>
            </w:r>
            <w:r>
              <w:t xml:space="preserve"> gevallen van dubbele financiering </w:t>
            </w:r>
            <w:r>
              <w:rPr>
                <w:b/>
                <w:i/>
              </w:rPr>
              <w:t>met betrekking tot RRF-maatregelen;</w:t>
            </w:r>
            <w:r>
              <w:t xml:space="preserve"> </w:t>
            </w:r>
            <w:r>
              <w:rPr>
                <w:b/>
                <w:i/>
              </w:rPr>
              <w:t>herinnert eraan dat de gerapporteerde vaststelling in Kroatië betrekking heeft op een dergelijke nulkostenmaatregel, en dat noch de Commissie, noch de lidstaat van mening zijn dat er RRF-middelen zijn gedupliceerd; onderstreept dat de vaststelling van</w:t>
            </w:r>
            <w:r>
              <w:t xml:space="preserve"> de Rekenkamer </w:t>
            </w:r>
            <w:r>
              <w:rPr>
                <w:b/>
                <w:i/>
              </w:rPr>
              <w:t>veeleer het gevolg is van verschillende interpretaties van wat "financiering" vormt dan van daadwerkelijke dubbele financiering;</w:t>
            </w:r>
            <w:r>
              <w:t xml:space="preserve"> </w:t>
            </w:r>
            <w:r>
              <w:rPr>
                <w:b/>
                <w:i/>
              </w:rPr>
              <w:t>verzoekt de Commissie de toepassing van de regels inzake</w:t>
            </w:r>
            <w:r>
              <w:t xml:space="preserve"> dubbele financiering </w:t>
            </w:r>
            <w:r>
              <w:rPr>
                <w:b/>
                <w:i/>
              </w:rPr>
              <w:t>te blijven monitoren en de lidstaten hierover richtsnoeren te blijven verstrekken, en tegelijkertijd het in de RRF-verordening vastgestelde juridische en methodologische kader te erkennen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herinnert eraan dat in de verordening is bepaald dat maatregelen en acties met betrekking tot eerder vervulde mijlpalen en streefdoelen niet mogen zijn teruggedraaid en dat de lidstaten dit moeten bevestigen in de beheersverklaringen bij hun betalingsverzoeken; </w:t>
            </w:r>
            <w:r>
              <w:rPr>
                <w:b/>
                <w:i/>
              </w:rPr>
              <w:t>merkt met bezorgdheid op dat de Rekenkamer één geval van terugdraaiing heeft vastgesteld, namelijk van een Grieks streefdoel met betrekking tot de oprichting en volledige werking van vijftig instellingen voor geestelijke gezondheidszorg, dat in het jaarverslag 2023 van de Rekenkamer werd beschouwd als niet op bevredigende wijze vervuld, aangezien vijf van de vijftig instellingen niet operationeel werden bevonden;</w:t>
            </w:r>
            <w:r>
              <w:t xml:space="preserve"> </w:t>
            </w:r>
            <w:r>
              <w:rPr>
                <w:b/>
                <w:i/>
              </w:rPr>
              <w:t>betreurt dat het rechtskader voor de RRF de Commissie niet in staat stelt om terugdraaiingen na 31 december 2026 doeltreffend aan te pakken;</w:t>
            </w:r>
          </w:p>
        </w:tc>
        <w:tc>
          <w:tcPr>
            <w:tcW w:w="4876" w:type="dxa"/>
            <w:tcBorders>
              <w:top w:val="nil"/>
              <w:left w:val="nil"/>
              <w:bottom w:val="nil"/>
              <w:right w:val="nil"/>
            </w:tcBorders>
          </w:tcPr>
          <w:p>
            <w:pPr>
              <w:pStyle w:val="Normal6a"/>
            </w:pPr>
            <w:r>
              <w:t>225.</w:t>
            </w:r>
            <w:r>
              <w:tab/>
            </w:r>
            <w:r>
              <w:t>herinnert eraan dat in de verordening is bepaald dat maatregelen en acties met betrekking tot eerder vervulde mijlpalen en streefdoelen niet mogen zijn teruggedraaid en dat de lidstaten dit moeten bevestigen in de beheersverklaringen bij hun betalingsverzoeken;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herinnert eraan dat in de verordening is bepaald dat maatregelen en acties met betrekking tot eerder vervulde mijlpalen en streefdoelen niet mogen zijn teruggedraaid en dat de lidstaten dit moeten bevestigen in de beheersverklaringen bij hun betalingsverzoeken; </w:t>
            </w:r>
            <w:r>
              <w:rPr>
                <w:b/>
                <w:i/>
              </w:rPr>
              <w:t>merkt met bezorgdheid op dat de Rekenkamer één geval van terugdraaiing heeft vastgesteld, namelijk van een Grieks streefdoel met betrekking tot de oprichting en volledige werking van vijftig instellingen voor geestelijke gezondheidszorg, dat in het jaarverslag 2023 van de Rekenkamer werd beschouwd als niet op bevredigende wijze vervuld, aangezien vijf van de vijftig instellingen niet operationeel werden bevonden;</w:t>
            </w:r>
            <w:r>
              <w:t xml:space="preserve"> betreurt dat het rechtskader voor de RRF de Commissie niet in staat stelt om terugdraaiingen na 31 december 2026 doeltreffend aan te pakken;</w:t>
            </w:r>
          </w:p>
        </w:tc>
        <w:tc>
          <w:tcPr>
            <w:tcW w:w="4876" w:type="dxa"/>
            <w:tcBorders>
              <w:top w:val="nil"/>
              <w:left w:val="nil"/>
              <w:bottom w:val="nil"/>
              <w:right w:val="nil"/>
            </w:tcBorders>
          </w:tcPr>
          <w:p>
            <w:pPr>
              <w:pStyle w:val="Normal6a"/>
            </w:pPr>
            <w:r>
              <w:t>225.</w:t>
            </w:r>
            <w:r>
              <w:tab/>
            </w:r>
            <w:r>
              <w:t>herinnert eraan dat in de verordening is bepaald dat maatregelen en acties met betrekking tot eerder vervulde mijlpalen en streefdoelen niet mogen zijn teruggedraaid en dat de lidstaten dit moeten bevestigen in de beheersverklaringen bij hun betalingsverzoeken; betreurt dat het rechtskader voor de RRF de Commissie niet in staat stelt om terugdraaiingen na 31 december 2026 doeltreffend aan te 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herinnert eraan dat in de verordening is bepaald dat maatregelen en acties met betrekking tot eerder vervulde mijlpalen en streefdoelen niet mogen zijn teruggedraaid en dat de lidstaten dit moeten bevestigen in de beheersverklaringen bij hun betalingsverzoeken; merkt met bezorgdheid op dat de Rekenkamer één geval van terugdraaiing heeft vastgesteld, namelijk van een Grieks streefdoel met betrekking tot de oprichting en volledige werking van vijftig instellingen voor geestelijke gezondheidszorg, dat in het jaarverslag 2023 van de Rekenkamer werd beschouwd als niet op bevredigende wijze vervuld, aangezien vijf van de vijftig instellingen niet operationeel werden bevonden; betreurt dat het rechtskader voor de RRF de Commissie niet in staat stelt om terugdraaiingen na 31 december 2026 doeltreffend aan te pakken;</w:t>
            </w:r>
          </w:p>
        </w:tc>
        <w:tc>
          <w:tcPr>
            <w:tcW w:w="4876" w:type="dxa"/>
            <w:tcBorders>
              <w:top w:val="nil"/>
              <w:left w:val="nil"/>
              <w:bottom w:val="nil"/>
              <w:right w:val="nil"/>
            </w:tcBorders>
          </w:tcPr>
          <w:p>
            <w:pPr>
              <w:pStyle w:val="Normal6a"/>
            </w:pPr>
            <w:r>
              <w:t>225.</w:t>
            </w:r>
            <w:r>
              <w:tab/>
            </w:r>
            <w:r>
              <w:t xml:space="preserve">herinnert eraan dat in de verordening is bepaald dat maatregelen en acties met betrekking tot eerder vervulde mijlpalen en streefdoelen niet mogen zijn teruggedraaid en dat de lidstaten dit moeten bevestigen in de beheersverklaringen bij hun betalingsverzoeken; merkt met bezorgdheid op dat de Rekenkamer één geval van terugdraaiing heeft vastgesteld, namelijk van een Grieks streefdoel met betrekking tot de oprichting en volledige werking van vijftig instellingen voor geestelijke gezondheidszorg, dat in het jaarverslag 2023 van de Rekenkamer werd beschouwd als niet op bevredigende wijze vervuld, aangezien vijf van de vijftig instellingen niet operationeel werden bevonden; betreurt dat het rechtskader voor de RRF de Commissie niet in staat stelt om terugdraaiingen na 31 december 2026 doeltreffend aan te pakken; </w:t>
            </w:r>
            <w:r>
              <w:rPr>
                <w:b/>
                <w:i/>
              </w:rPr>
              <w:t>verzoekt de Commissie de monitoringmechanismen te versterken en ervoor te zorgen dat de in het kader van de RRF gefinancierde hervormingen en investeringen operationeel blijven en een duurzaam effect sorteren na de uitbetalingsperiode, teneinde de financiële belangen van de Unie en het geld van de belastingbetaler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herinnert eraan dat in de verordening is bepaald dat maatregelen en acties met betrekking tot eerder vervulde mijlpalen en streefdoelen niet mogen zijn teruggedraaid en dat de lidstaten dit moeten bevestigen in de beheersverklaringen bij hun betalingsverzoeken; merkt met bezorgdheid op dat de Rekenkamer één geval van terugdraaiing heeft vastgesteld, namelijk van een Grieks streefdoel met betrekking tot de oprichting en volledige werking van vijftig instellingen voor geestelijke gezondheidszorg, dat in het jaarverslag 2023 van de Rekenkamer werd beschouwd als niet op bevredigende wijze vervuld, aangezien vijf van de vijftig instellingen niet operationeel werden bevonden; betreurt dat het rechtskader voor de RRF de Commissie niet in staat stelt om terugdraaiingen na 31 december 2026 doeltreffend aan te pakken;</w:t>
            </w:r>
          </w:p>
        </w:tc>
        <w:tc>
          <w:tcPr>
            <w:tcW w:w="4876" w:type="dxa"/>
            <w:tcBorders>
              <w:top w:val="nil"/>
              <w:left w:val="nil"/>
              <w:bottom w:val="nil"/>
              <w:right w:val="nil"/>
            </w:tcBorders>
          </w:tcPr>
          <w:p>
            <w:pPr>
              <w:pStyle w:val="Normal6a"/>
            </w:pPr>
            <w:r>
              <w:t>225.</w:t>
            </w:r>
            <w:r>
              <w:tab/>
            </w:r>
            <w:r>
              <w:t xml:space="preserve">herinnert eraan dat in de verordening is bepaald dat maatregelen en acties met betrekking tot eerder vervulde mijlpalen en streefdoelen niet mogen zijn teruggedraaid en dat de lidstaten dit moeten bevestigen in de beheersverklaringen bij hun betalingsverzoeken; merkt met bezorgdheid op dat de Rekenkamer één geval van terugdraaiing heeft vastgesteld, namelijk van een Grieks streefdoel met betrekking tot de oprichting en volledige werking van vijftig instellingen voor geestelijke gezondheidszorg, dat in het jaarverslag 2023 van de Rekenkamer werd beschouwd als niet op bevredigende wijze vervuld, aangezien vijf van de vijftig instellingen niet operationeel werden bevonden; betreurt dat het rechtskader voor de RRF de Commissie niet in staat stelt om terugdraaiingen na 31 december 2026 doeltreffend aan te pakken; </w:t>
            </w:r>
            <w:r>
              <w:rPr>
                <w:b/>
                <w:i/>
              </w:rPr>
              <w:t>dringt aan op een sterkere focus op gezondheidsbevordering, ziektepreventie en de vermindering van ongelijkheden op gezondheidsgebied, met inbegrip van specifieke financiering voor geestelijke gezondheid, niet-overdraagbare ziekten, genderbewuste gezondheidsinterventies en de gezondheidsbehoeften van kinderen en jongeren;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225.</w:t>
            </w:r>
            <w:r>
              <w:tab/>
            </w:r>
            <w:r>
              <w:t xml:space="preserve">herinnert eraan dat in de verordening is bepaald dat maatregelen en acties met betrekking tot eerder vervulde mijlpalen en streefdoelen niet mogen zijn teruggedraaid en dat de lidstaten dit moeten bevestigen in de beheersverklaringen bij hun betalingsverzoeken; merkt met bezorgdheid op dat de Rekenkamer één geval van terugdraaiing heeft vastgesteld, namelijk van een </w:t>
            </w:r>
            <w:r>
              <w:rPr>
                <w:b/>
                <w:i/>
              </w:rPr>
              <w:t>Grieks</w:t>
            </w:r>
            <w:r>
              <w:t xml:space="preserve"> streefdoel met betrekking tot de oprichting en volledige werking van vijftig instellingen voor geestelijke gezondheidszorg, dat in het jaarverslag 2023 van de Rekenkamer werd beschouwd als niet op bevredigende wijze vervuld, aangezien vijf van de vijftig instellingen niet operationeel werden bevonden; betreurt dat het rechtskader voor de RRF de Commissie niet in staat stelt om terugdraaiingen na 31 december 2026 doeltreffend aan te pakken;</w:t>
            </w:r>
          </w:p>
        </w:tc>
        <w:tc>
          <w:tcPr>
            <w:tcW w:w="4876" w:type="dxa"/>
            <w:tcBorders>
              <w:top w:val="nil"/>
              <w:left w:val="nil"/>
              <w:bottom w:val="nil"/>
              <w:right w:val="nil"/>
            </w:tcBorders>
          </w:tcPr>
          <w:p>
            <w:pPr>
              <w:pStyle w:val="Normal6a"/>
            </w:pPr>
            <w:r>
              <w:t>225.</w:t>
            </w:r>
            <w:r>
              <w:tab/>
            </w:r>
            <w:r>
              <w:t>herinnert eraan dat in de verordening is bepaald dat maatregelen en acties met betrekking tot eerder vervulde mijlpalen en streefdoelen niet mogen zijn teruggedraaid en dat de lidstaten dit moeten bevestigen in de beheersverklaringen bij hun betalingsverzoeken; merkt met bezorgdheid op dat de Rekenkamer één geval van terugdraaiing heeft vastgesteld, namelijk van een streefdoel met betrekking tot de oprichting en volledige werking van vijftig instellingen voor geestelijke gezondheidszorg, dat in het jaarverslag 2023 van de Rekenkamer werd beschouwd als niet op bevredigende wijze vervuld, aangezien vijf van de vijftig instellingen niet operationeel werden bevonden; betreurt dat het rechtskader voor de RRF de Commissie niet in staat stelt om terugdraaiingen na 31 december 2026 doeltreffend aan te 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227.</w:t>
            </w:r>
            <w:r>
              <w:tab/>
            </w:r>
            <w:r>
              <w:t>merkt op dat in het kader van het Europees Semester jaarlijks wordt toegezien op de uitvoering van de maatregelen in de budgettair-structurele plannen voor de middellange termijn, waarbij de lidstaten voortgangsverslagen indienen bij de Commissie; merkt op dat deze verslagen, overeenkomstig de richtsnoeren</w:t>
            </w:r>
            <w:r>
              <w:rPr>
                <w:vertAlign w:val="superscript"/>
              </w:rPr>
              <w:t>20</w:t>
            </w:r>
            <w:r>
              <w:t>voor de lidstaten betreffende de informatievereisten voor de budgettair-structurele plannen voor de middellange termijn en voor de jaarlijkse voortgangsverslagen, gedurende de looptijd van de RRF informatie moeten bevatten over de voortgang bij de uitvoering van de hervormingen en investeringen in het kader van de herstel- en veerkrachtplannen die in de budgettair-structurele plannen voor de middellange termijn zijn opgenomen;</w:t>
            </w:r>
          </w:p>
        </w:tc>
        <w:tc>
          <w:tcPr>
            <w:tcW w:w="4876" w:type="dxa"/>
            <w:tcBorders>
              <w:top w:val="nil"/>
              <w:left w:val="nil"/>
              <w:bottom w:val="nil"/>
              <w:right w:val="nil"/>
            </w:tcBorders>
          </w:tcPr>
          <w:p>
            <w:pPr>
              <w:pStyle w:val="Normal6a"/>
            </w:pPr>
            <w:r>
              <w:t>227.</w:t>
            </w:r>
            <w:r>
              <w:tab/>
            </w:r>
            <w:r>
              <w:t>merkt op dat in het kader van het Europees Semester jaarlijks wordt toegezien op de uitvoering van de maatregelen in de budgettair-structurele plannen voor de middellange termijn, waarbij de lidstaten voortgangsverslagen indienen bij de Commissie; merkt op dat deze verslagen, overeenkomstig de richtsnoeren</w:t>
            </w:r>
            <w:r>
              <w:rPr>
                <w:vertAlign w:val="superscript"/>
              </w:rPr>
              <w:t>20</w:t>
            </w:r>
            <w:r>
              <w:t xml:space="preserve"> voor de lidstaten betreffende de informatievereisten voor de budgettair-structurele plannen voor de middellange termijn en voor de jaarlijkse voortgangsverslagen, gedurende de looptijd van de RRF informatie moeten bevatten over de voortgang bij de uitvoering van de hervormingen en investeringen in het kader van de herstel- en veerkrachtplannen die in de budgettair-structurele plannen voor de middellange termijn zijn opgenomen; </w:t>
            </w:r>
            <w:r>
              <w:rPr>
                <w:b/>
                <w:i/>
              </w:rPr>
              <w:t>onderstreept dat deze verslagen van essentieel belang zijn om transparantie, verantwoordingsplicht en een doeltreffend gebruik van Uniemiddelen te waarborgen, en verzoekt de Commissie na te gaan of de lidstaten volledige, tijdige en nauwkeurige informatie verstrekken in overeenstemming met de doelstellingen van de herstel- en veerkrachtfaciliteit;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Richtsnoer C/2024/3975, 21 juni 2024.</w:t>
            </w:r>
          </w:p>
        </w:tc>
        <w:tc>
          <w:tcPr>
            <w:tcW w:w="4876" w:type="dxa"/>
            <w:tcBorders>
              <w:top w:val="nil"/>
              <w:left w:val="nil"/>
              <w:bottom w:val="nil"/>
              <w:right w:val="nil"/>
            </w:tcBorders>
          </w:tcPr>
          <w:p>
            <w:pPr>
              <w:pStyle w:val="Normal6a"/>
            </w:pPr>
            <w:r>
              <w:rPr>
                <w:vertAlign w:val="superscript"/>
              </w:rPr>
              <w:t>20</w:t>
            </w:r>
            <w:r>
              <w:t xml:space="preserve"> </w:t>
            </w:r>
            <w:r>
              <w:t>Richtsnoer C/2024/3975, 21 juni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228.</w:t>
            </w:r>
            <w:r>
              <w:tab/>
            </w:r>
            <w:r>
              <w:t>merkt op dat de Commissie sinds 2021 twintig definitieve controleverslagen over mijlpalen en streefdoelen heeft uitgebracht, die 591 aanbevelingen aan 15 lidstaten bevatten; is met name bezorgd over het feit dat voor de meeste (64 %) van de 136 aanbevelingen met betrekking tot kritieke en zeer belangrijke bevindingen de in het controleverslag vastgestelde uitvoeringstermijn al was verstreken; merkt op dat de Commissie erkent dat dergelijke vertragingen bij de uitvoering door sommige lidstaten goed zijn voor 22 % van het totale aantal aanbevelingen in verband met kritieke en zeer belangrijke bevindingen;</w:t>
            </w:r>
          </w:p>
        </w:tc>
        <w:tc>
          <w:tcPr>
            <w:tcW w:w="4876" w:type="dxa"/>
            <w:tcBorders>
              <w:top w:val="nil"/>
              <w:left w:val="nil"/>
              <w:bottom w:val="nil"/>
              <w:right w:val="nil"/>
            </w:tcBorders>
          </w:tcPr>
          <w:p>
            <w:pPr>
              <w:pStyle w:val="Normal6a"/>
            </w:pPr>
            <w:r>
              <w:t>228.</w:t>
            </w:r>
            <w:r>
              <w:tab/>
            </w:r>
            <w:r>
              <w:t xml:space="preserve">merkt op dat de Commissie sinds 2021 twintig definitieve controleverslagen over mijlpalen en streefdoelen heeft uitgebracht, die 591 aanbevelingen aan 15 lidstaten bevatten; is met name bezorgd over het feit dat voor de meeste (64 %) van de 136 aanbevelingen met betrekking tot kritieke en zeer belangrijke bevindingen de in het controleverslag vastgestelde uitvoeringstermijn al was verstreken; merkt op dat de Commissie erkent dat dergelijke vertragingen bij de uitvoering door sommige lidstaten goed zijn voor 22 % van het totale aantal aanbevelingen in verband met kritieke en zeer belangrijke bevindingen; </w:t>
            </w:r>
            <w:r>
              <w:rPr>
                <w:b/>
                <w:i/>
              </w:rPr>
              <w:t>neemt voorts kennis van de aanvaarding door de Commissie van de aanbeveling van de Rekenkamer om de redenen voor vertragingen bij de uitvoering door de lidstaten te analyseren en van haar lopende evaluatie van de status van alle openstaande aanbevelingen;</w:t>
            </w:r>
            <w:r>
              <w:t xml:space="preserve"> </w:t>
            </w:r>
            <w:r>
              <w:rPr>
                <w:b/>
                <w:i/>
              </w:rPr>
              <w:t>verwacht dat de Commissie de vertragingen bij de uitvoering van haar aanbevelingen naar aanleiding van de controles achteraf dringend aanpakt;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229.</w:t>
            </w:r>
            <w:r>
              <w:tab/>
            </w:r>
            <w:r>
              <w:t xml:space="preserve">neemt kennis van de opmerking van de Rekenkamer dat de </w:t>
            </w:r>
            <w:r>
              <w:rPr>
                <w:b/>
                <w:i/>
              </w:rPr>
              <w:t>controlesystemen van de lidstaten om de naleving van de regels inzake</w:t>
            </w:r>
            <w:r>
              <w:t xml:space="preserve"> overheidsopdrachten en staatssteun </w:t>
            </w:r>
            <w:r>
              <w:rPr>
                <w:b/>
                <w:i/>
              </w:rPr>
              <w:t>te waarborgen</w:t>
            </w:r>
            <w:r>
              <w:t>, onvoldoende doeltreffend zijn; merkt op dat de Rekenkamer tekortkomingen in 22 afzonderlijke openbare-aanbestedingsprocedures heeft vastgesteld, waaronder een gebrek aan controles om belangenconflicten te voorkomen / op te sporen, tekortkomingen in de rechtvaardiging van het gebruik van de spoedprocedure, en tekortkomingen in de raming van de waarde van de opdracht en de duur van het project, hetgeen leidt tot aanzienlijke verschillen tussen de aanbestedingsstukken en de daadwerkelijk ondertekende contracten;</w:t>
            </w:r>
          </w:p>
        </w:tc>
        <w:tc>
          <w:tcPr>
            <w:tcW w:w="4876" w:type="dxa"/>
            <w:tcBorders>
              <w:top w:val="nil"/>
              <w:left w:val="nil"/>
              <w:bottom w:val="nil"/>
              <w:right w:val="nil"/>
            </w:tcBorders>
          </w:tcPr>
          <w:p>
            <w:pPr>
              <w:pStyle w:val="Normal6a"/>
            </w:pPr>
            <w:r>
              <w:t>229.</w:t>
            </w:r>
            <w:r>
              <w:tab/>
            </w:r>
            <w:r>
              <w:t xml:space="preserve">neemt kennis van de opmerking van de Rekenkamer dat de </w:t>
            </w:r>
            <w:r>
              <w:rPr>
                <w:b/>
                <w:i/>
              </w:rPr>
              <w:t>Commissie haar controles op</w:t>
            </w:r>
            <w:r>
              <w:t xml:space="preserve"> overheidsopdrachten en staatssteun </w:t>
            </w:r>
            <w:r>
              <w:rPr>
                <w:b/>
                <w:i/>
              </w:rPr>
              <w:t>weliswaar heeft verbeterd</w:t>
            </w:r>
            <w:r>
              <w:t xml:space="preserve">, </w:t>
            </w:r>
            <w:r>
              <w:rPr>
                <w:b/>
                <w:i/>
              </w:rPr>
              <w:t>maar dat de controlesystemen van de lidstaten nog steeds</w:t>
            </w:r>
            <w:r>
              <w:t xml:space="preserve"> onvoldoende doeltreffend zijn; merkt op dat de Rekenkamer tekortkomingen in 22 afzonderlijke openbare-aanbestedingsprocedures heeft vastgesteld, waaronder een gebrek aan controles om belangenconflicten te voorkomen / op te sporen, tekortkomingen in de rechtvaardiging van het gebruik van de spoedprocedure, en tekortkomingen in de raming van de waarde van de opdracht en de duur van het project, hetgeen leidt tot aanzienlijke verschillen tussen de aanbestedingsstukken en de daadwerkelijk ondertekende contracten; </w:t>
            </w:r>
            <w:r>
              <w:rPr>
                <w:b/>
                <w:i/>
              </w:rPr>
              <w:t>merkt op dat de Commissie haar richtsnoeren voor de lidstaten momenteel herziet om de desbetreffende controles op nationaal niveau te verbeteren;</w:t>
            </w:r>
            <w:r>
              <w:t xml:space="preserve"> </w:t>
            </w:r>
            <w:r>
              <w:rPr>
                <w:b/>
                <w:i/>
              </w:rPr>
              <w:t>onderstreept dat de naleving van de regels inzake overheidsopdrachten en staatssteun weliswaar over het algemeen geen invloed heeft op de regelmatigheid van de door de Commissie aan de lidstaten verrichte RRF-betalingen, maar dat deze regels van cruciaal belang zijn om te zorgen voor een goed werkende interne markt.</w:t>
            </w:r>
            <w:r>
              <w:t xml:space="preserve"> </w:t>
            </w:r>
            <w:r>
              <w:rPr>
                <w:b/>
                <w:i/>
              </w:rPr>
              <w:t>is daarom van mening dat financiering afhankelijk moet worden gesteld van de naleving van de toepasselijke internemarktregels;</w:t>
            </w:r>
            <w:r>
              <w:t xml:space="preserve"> </w:t>
            </w:r>
            <w:r>
              <w:rPr>
                <w:b/>
                <w:i/>
              </w:rPr>
              <w:t>merkt op dat de commissaris voor Begroting, Fraudebestrijding en Openbaar Bestuur tijdens zijn hoorzitting in de Commissie CONT op 8 december 2025 heeft erkend dat een van de tekortkomingen die niet mag worden herhaald, is dat de regels inzake overheidsopdrachten en staatssteun niet zijn opgenomen als betalingsvoorwaarden, en heeft toegezegd dat de Commissie dit zal corrigeren voor financiering in het kader van het volgende MFK;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229 bis.</w:t>
            </w:r>
            <w:r>
              <w:tab/>
            </w:r>
            <w:r>
              <w:rPr>
                <w:b/>
                <w:i/>
              </w:rPr>
              <w:t>herinnert eraan dat de Commissie controlemijlpalen is blijven toevoegen na de ontdekking van tekortkomingen in de controlesystemen van de lidstaten;</w:t>
            </w:r>
            <w:r>
              <w:t xml:space="preserve"> </w:t>
            </w:r>
            <w:r>
              <w:rPr>
                <w:b/>
                <w:i/>
              </w:rPr>
              <w:t>is het eens met de visie van de Rekenkamer dat het bestaan van controlemijlpalen een positieve stap is in het verbeteren van de controlesystemen van de lidstaten, maar ook aangeeft dat de systemen van de lidstaten niet geheel doeltreffend zijn;</w:t>
            </w:r>
            <w:r>
              <w:t xml:space="preserve"> </w:t>
            </w:r>
            <w:r>
              <w:rPr>
                <w:b/>
                <w:i/>
              </w:rPr>
              <w:t>herhaalt zijn bezorgdheid over de aanhoudende tekortkomingen die de Rekenkamer heeft vastgesteld bij de uitvoering van de controlesystemen van de lidstaten, die een risico vormen voor de bescherming van de financiële belangen van de EU;</w:t>
            </w:r>
            <w:r>
              <w:t xml:space="preserve"> </w:t>
            </w:r>
            <w:r>
              <w:rPr>
                <w:b/>
                <w:i/>
              </w:rPr>
              <w:t>herhaalt zijn verzoek aan de Commissie om waar nodig doortastende en snelle maatregelen te nemen en volledig gebruik te maken van de bepalingen van de RRF-verordening als er tekortkomingen in de controlesystemen van de lidstaten blijven bestaan;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230.</w:t>
            </w:r>
            <w:r>
              <w:tab/>
            </w:r>
            <w:r>
              <w:t>merkt op dat de Rekenkamer voor vijf lidstaten tekortkomingen heeft vastgesteld in hun beheersverklaringen, die zekerheid moeten verschaffen dat de bij de betalingsverzoeken ingediende informatie volledig, nauwkeurig en betrouwbaar is; neemt kennis van de bevinding van de Rekenkamer dat de vijf lidstaten</w:t>
            </w:r>
            <w:r>
              <w:rPr>
                <w:b/>
                <w:i/>
              </w:rPr>
              <w:t>, waaronder Tsjechië, Spanje, Frankrijk, Kroatië en Slowakije,</w:t>
            </w:r>
            <w:r>
              <w:t xml:space="preserve"> zich er bij de indiening van het betalingsverzoek van bewust waren dat er onvoldoende bewijs was voor de bevredigende verwezenlijking van sommige mijlpalen en streefdoelen, maar dat geen ervan in hun beheersverklaring een voorbehoud heeft opgenomen waarin wordt benadrukt dat een mijlpaal/doelstelling ten tijde van het betalingsverzoek slechts gedeeltelijk was verwezenlijkt;</w:t>
            </w:r>
          </w:p>
        </w:tc>
        <w:tc>
          <w:tcPr>
            <w:tcW w:w="4876" w:type="dxa"/>
            <w:tcBorders>
              <w:top w:val="nil"/>
              <w:left w:val="nil"/>
              <w:bottom w:val="nil"/>
              <w:right w:val="nil"/>
            </w:tcBorders>
          </w:tcPr>
          <w:p>
            <w:pPr>
              <w:pStyle w:val="Normal6a"/>
            </w:pPr>
            <w:r>
              <w:t>230.</w:t>
            </w:r>
            <w:r>
              <w:tab/>
            </w:r>
            <w:r>
              <w:t>merkt op dat de Rekenkamer voor vijf lidstaten tekortkomingen heeft vastgesteld in hun beheersverklaringen, die zekerheid moeten verschaffen dat de bij de betalingsverzoeken ingediende informatie volledig, nauwkeurig en betrouwbaar is; neemt kennis van de bevinding van de Rekenkamer dat de vijf lidstaten zich er bij de indiening van het betalingsverzoek van bewust waren dat er onvoldoende bewijs was voor de bevredigende verwezenlijking van sommige mijlpalen en streefdoelen, maar dat geen ervan in hun beheersverklaring een voorbehoud heeft opgenomen waarin wordt benadrukt dat een mijlpaal/doelstelling ten tijde van het betalingsverzoek slechts gedeeltelijk was verwezenlijkt;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232.</w:t>
            </w:r>
            <w:r>
              <w:tab/>
            </w:r>
            <w:r>
              <w:t xml:space="preserve">neemt kennis van de opmerking van de Rekenkamer dat, wat betreft ernstige onregelmatigheden die niet door de lidstaat zijn gecorrigeerd, de directeur-generaal van DG ECFIN in zijn betrouwbaarheidsverklaring een voorbehoud heeft gemaakt naar aanleiding van het hoge risico dat in één lidstaat (Tsjechië) is vastgesteld als gevolg van twee gevallen van belangenconflicten waarvoor de lidstaat weigerde corrigerende maatregelen te nemen; merkt op dat dit voorbehoud betrekking heeft op twee RRF-betalingen en dat de Commissie ook twintig betalingen als middelgroot risico en vijf betalingen als laag risico op ernstige onregelmatigheden heeft beoordeeld; </w:t>
            </w:r>
            <w:r>
              <w:rPr>
                <w:b/>
                <w:i/>
              </w:rPr>
              <w:t>stelt</w:t>
            </w:r>
            <w:r>
              <w:t xml:space="preserve"> met bezorgdheid </w:t>
            </w:r>
            <w:r>
              <w:rPr>
                <w:b/>
                <w:i/>
              </w:rPr>
              <w:t>vast</w:t>
            </w:r>
            <w:r>
              <w:t xml:space="preserve"> dat, aangezien de risicobeoordelingscriteria </w:t>
            </w:r>
            <w:r>
              <w:rPr>
                <w:b/>
                <w:i/>
              </w:rPr>
              <w:t>vergelijkbaar zijn met die van</w:t>
            </w:r>
            <w:r>
              <w:t xml:space="preserve"> de lidstaten </w:t>
            </w:r>
            <w:r>
              <w:rPr>
                <w:b/>
                <w:i/>
              </w:rPr>
              <w:t>voor de controle van</w:t>
            </w:r>
            <w:r>
              <w:t xml:space="preserve"> overheidsopdrachten en staatssteun, de </w:t>
            </w:r>
            <w:r>
              <w:rPr>
                <w:b/>
                <w:i/>
              </w:rPr>
              <w:t>Rekenkamer van mening is dat ook bij deze</w:t>
            </w:r>
            <w:r>
              <w:t xml:space="preserve"> beoordeling </w:t>
            </w:r>
            <w:r>
              <w:rPr>
                <w:b/>
                <w:i/>
              </w:rPr>
              <w:t>het risiconiveau wordt onderschat</w:t>
            </w:r>
            <w:r>
              <w:t>;</w:t>
            </w:r>
          </w:p>
        </w:tc>
        <w:tc>
          <w:tcPr>
            <w:tcW w:w="4876" w:type="dxa"/>
            <w:tcBorders>
              <w:top w:val="nil"/>
              <w:left w:val="nil"/>
              <w:bottom w:val="nil"/>
              <w:right w:val="nil"/>
            </w:tcBorders>
          </w:tcPr>
          <w:p>
            <w:pPr>
              <w:pStyle w:val="Normal6a"/>
            </w:pPr>
            <w:r>
              <w:t>232.</w:t>
            </w:r>
            <w:r>
              <w:tab/>
            </w:r>
            <w:r>
              <w:t xml:space="preserve">neemt kennis van de opmerking van de Rekenkamer dat, wat betreft ernstige onregelmatigheden die niet door de lidstaat zijn gecorrigeerd, de directeur-generaal van DG ECFIN in zijn betrouwbaarheidsverklaring een voorbehoud heeft gemaakt naar aanleiding van het hoge risico dat in één lidstaat (Tsjechië) is vastgesteld als gevolg van twee gevallen van belangenconflicten waarvoor de lidstaat weigerde corrigerende maatregelen te nemen; merkt op dat dit voorbehoud betrekking heeft op twee RRF-betalingen en dat de Commissie ook twintig betalingen als middelgroot risico en vijf betalingen als laag risico op ernstige onregelmatigheden heeft beoordeeld; </w:t>
            </w:r>
            <w:r>
              <w:rPr>
                <w:b/>
                <w:i/>
              </w:rPr>
              <w:t>neemt</w:t>
            </w:r>
            <w:r>
              <w:t xml:space="preserve"> met bezorgdheid </w:t>
            </w:r>
            <w:r>
              <w:rPr>
                <w:b/>
                <w:i/>
              </w:rPr>
              <w:t>nota van het standpunt van de Rekenkamer</w:t>
            </w:r>
            <w:r>
              <w:t xml:space="preserve"> dat, aangezien de risicobeoordelingscriteria </w:t>
            </w:r>
            <w:r>
              <w:rPr>
                <w:b/>
                <w:i/>
              </w:rPr>
              <w:t>grotendeels zijn afgestemd op die welke door</w:t>
            </w:r>
            <w:r>
              <w:t xml:space="preserve"> de lidstaten </w:t>
            </w:r>
            <w:r>
              <w:rPr>
                <w:b/>
                <w:i/>
              </w:rPr>
              <w:t>worden gebruikt op gebieden als</w:t>
            </w:r>
            <w:r>
              <w:t xml:space="preserve"> overheidsopdrachten en staatssteun, de </w:t>
            </w:r>
            <w:r>
              <w:rPr>
                <w:b/>
                <w:i/>
              </w:rPr>
              <w:t>algemene</w:t>
            </w:r>
            <w:r>
              <w:t xml:space="preserve"> beoordeling </w:t>
            </w:r>
            <w:r>
              <w:rPr>
                <w:b/>
                <w:i/>
              </w:rPr>
              <w:t>mogelijk niet volledig het niveau van het onderliggende risico weergeeft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232.</w:t>
            </w:r>
            <w:r>
              <w:tab/>
            </w:r>
            <w:r>
              <w:t xml:space="preserve">neemt kennis van de opmerking van de Rekenkamer dat, wat betreft ernstige onregelmatigheden die niet door de lidstaat zijn gecorrigeerd, de directeur-generaal van DG ECFIN in zijn betrouwbaarheidsverklaring een voorbehoud heeft gemaakt naar aanleiding van het hoge risico dat in één lidstaat </w:t>
            </w:r>
            <w:r>
              <w:rPr>
                <w:b/>
                <w:i/>
              </w:rPr>
              <w:t>(Tsjechië)</w:t>
            </w:r>
            <w:r>
              <w:t xml:space="preserve"> is vastgesteld als gevolg van twee gevallen van belangenconflicten waarvoor de lidstaat weigerde corrigerende maatregelen te nemen; merkt op dat dit voorbehoud betrekking heeft op twee RRF-betalingen en dat de Commissie ook twintig betalingen als middelgroot risico en vijf betalingen als laag risico op ernstige onregelmatigheden heeft beoordeeld; stelt met bezorgdheid vast dat, aangezien de risicobeoordelingscriteria vergelijkbaar zijn met die van de lidstaten voor de controle van overheidsopdrachten en staatssteun, de Rekenkamer van mening is dat ook bij deze beoordeling het risiconiveau wordt onderschat;</w:t>
            </w:r>
          </w:p>
        </w:tc>
        <w:tc>
          <w:tcPr>
            <w:tcW w:w="4876" w:type="dxa"/>
            <w:tcBorders>
              <w:top w:val="nil"/>
              <w:left w:val="nil"/>
              <w:bottom w:val="nil"/>
              <w:right w:val="nil"/>
            </w:tcBorders>
          </w:tcPr>
          <w:p>
            <w:pPr>
              <w:pStyle w:val="Normal6a"/>
            </w:pPr>
            <w:r>
              <w:t>232.</w:t>
            </w:r>
            <w:r>
              <w:tab/>
            </w:r>
            <w:r>
              <w:t>neemt kennis van de opmerking van de Rekenkamer dat, wat betreft ernstige onregelmatigheden die niet door de lidstaat zijn gecorrigeerd, de directeur-generaal van DG ECFIN in zijn betrouwbaarheidsverklaring een voorbehoud heeft gemaakt naar aanleiding van het hoge risico dat in één lidstaat is vastgesteld als gevolg van twee gevallen van belangenconflicten waarvoor de lidstaat weigerde corrigerende maatregelen te nemen; merkt op dat dit voorbehoud betrekking heeft op twee RRF-betalingen en dat de Commissie ook twintig betalingen als middelgroot risico en vijf betalingen als laag risico op ernstige onregelmatigheden heeft beoordeeld; stelt met bezorgdheid vast dat, aangezien de risicobeoordelingscriteria vergelijkbaar zijn met die van de lidstaten voor de controle van overheidsopdrachten en staatssteun, de Rekenkamer van mening is dat ook bij deze beoordeling het risiconiveau wordt onderschat;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is bezorgd over het feit dat de Rekenkamer meldt dat de Commissie slechts over beperkte informatie over opgespoorde fraude beschikt; benadrukt dat het EOM eind 2024 311 lopende zaken in verband met NextGenerationEU behandelde, die op vier na allemaal betrekking hadden op de RRF, hetgeen neerkomt op ongeveer 17 % van alle lopende onderzoeken naar uitgavenfraude; stelt vast dat de geschatte schade voor de financiële belangen van de Unie 2,8 miljard EUR bedraagt, hetgeen neerkomt op 30 % (2023: 25 %) van de totale geschatte schade als gevolg van alle fraude met uitgaven van de EU; is bezorgd over het feit dat in de beheersverklaringen van de lidstaten in 2024 slechts vijf gevallen van geconstateerde vermoedelijke fraude is gemeld, hetgeen betekent dat een zeer beperkt van de bij het EOM openstaande zaken door de lidstaten zelf was gemeld, waardoor twijfels ontstaan over het vermogen van de lidstaten om fraude op te sporen en te bestrijden; wijst erop dat de door het EOM gepresenteerde cijfers bevestigen dat het risico op fraude in de RRF aanwezig is en dat zij vragen oproepen over het vermogen van de lidstaten om vermoedelijke fraude en de genomen corrigerende maatregelen vast te stellen en te melden;</w:t>
            </w:r>
          </w:p>
        </w:tc>
        <w:tc>
          <w:tcPr>
            <w:tcW w:w="4876" w:type="dxa"/>
            <w:tcBorders>
              <w:top w:val="nil"/>
              <w:left w:val="nil"/>
              <w:bottom w:val="nil"/>
              <w:right w:val="nil"/>
            </w:tcBorders>
          </w:tcPr>
          <w:p>
            <w:pPr>
              <w:pStyle w:val="Normal6a"/>
            </w:pPr>
            <w:r>
              <w:t>233.</w:t>
            </w:r>
            <w:r>
              <w:tab/>
            </w:r>
            <w:r>
              <w:t xml:space="preserve">is bezorgd over het feit dat de Rekenkamer meldt dat de Commissie slechts over beperkte informatie over opgespoorde fraude beschikt; benadrukt dat het EOM eind 2024 311 lopende zaken in verband met NextGenerationEU behandelde, die op vier na allemaal betrekking hadden op de RRF, hetgeen neerkomt op ongeveer 17 % van alle lopende onderzoeken naar uitgavenfraude; stelt vast dat de geschatte schade voor de financiële belangen van de Unie 2,8 miljard EUR bedraagt, hetgeen neerkomt op 30 % (2023: 25 %) van de totale geschatte schade als gevolg van alle fraude met uitgaven van de EU; is bezorgd over het feit dat in de beheersverklaringen van de lidstaten in 2024 slechts vijf gevallen van geconstateerde vermoedelijke fraude is gemeld, hetgeen betekent dat een zeer beperkt van de bij het EOM openstaande zaken door de lidstaten zelf was gemeld, waardoor twijfels ontstaan over het vermogen van de lidstaten om fraude op te sporen en te bestrijden; wijst erop dat de door het EOM gepresenteerde cijfers bevestigen dat het risico op fraude in de RRF aanwezig is en dat zij vragen oproepen over het vermogen van de lidstaten om vermoedelijke fraude en de genomen corrigerende maatregelen vast te stellen en te melden; </w:t>
            </w:r>
            <w:r>
              <w:rPr>
                <w:b/>
                <w:i/>
              </w:rPr>
              <w:t>is bezorgd over het feit dat de melding van gevallen door EU-instellingen, waaronder de Commissie, nog geen 3 % bedraagt, wat aanleiding geeft tot verdere bezorgdheid over het vermogen van de Commissie om toezicht te houden op de herstel- en veerkrachtfaciliteit;</w:t>
            </w:r>
            <w:r>
              <w:t xml:space="preserve"> </w:t>
            </w:r>
            <w:r>
              <w:rPr>
                <w:b/>
                <w:i/>
              </w:rPr>
              <w:t>is ook bezorgd over het feit dat, aangezien de uitvoering van de herstel- en veerkrachtfaciliteit nog niet voor de helft is voltooid, het EOM verwacht dat het aantal zaken zal blijven toenemen;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is bezorgd over het feit dat de Rekenkamer meldt dat de Commissie slechts over beperkte informatie over opgespoorde fraude beschikt; benadrukt dat het EOM eind 2024 311 lopende zaken in verband met NextGenerationEU behandelde, die op vier na allemaal betrekking hadden op de RRF, hetgeen neerkomt op ongeveer 17 % van alle lopende onderzoeken naar uitgavenfraude; stelt vast dat de geschatte schade voor de financiële belangen van de Unie 2,8 miljard EUR bedraagt, hetgeen neerkomt op 30 % (2023: 25 %) van de totale geschatte schade als gevolg van alle fraude met uitgaven van de EU; </w:t>
            </w:r>
            <w:r>
              <w:rPr>
                <w:b/>
                <w:i/>
              </w:rPr>
              <w:t>is bezorgd over het feit</w:t>
            </w:r>
            <w:r>
              <w:t xml:space="preserve"> dat in de beheersverklaringen van de lidstaten in 2024 slechts vijf gevallen van geconstateerde vermoedelijke fraude </w:t>
            </w:r>
            <w:r>
              <w:rPr>
                <w:b/>
                <w:i/>
              </w:rPr>
              <w:t>is</w:t>
            </w:r>
            <w:r>
              <w:t xml:space="preserve"> gemeld</w:t>
            </w:r>
            <w:r>
              <w:rPr>
                <w:b/>
                <w:i/>
              </w:rPr>
              <w:t>, hetgeen betekent dat een zeer beperkt</w:t>
            </w:r>
            <w:r>
              <w:t xml:space="preserve"> van de </w:t>
            </w:r>
            <w:r>
              <w:rPr>
                <w:b/>
                <w:i/>
              </w:rPr>
              <w:t>bij het EOM openstaande zaken</w:t>
            </w:r>
            <w:r>
              <w:t xml:space="preserve"> door de </w:t>
            </w:r>
            <w:r>
              <w:rPr>
                <w:b/>
                <w:i/>
              </w:rPr>
              <w:t>lidstaten zelf was gemeld, waardoor twijfels ontstaan over het vermogen van de lidstaten om fraude op te sporen en te bestrijden</w:t>
            </w:r>
            <w:r>
              <w:t xml:space="preserve">; wijst erop dat de door het EOM gepresenteerde cijfers bevestigen dat het risico op fraude in de RRF aanwezig is </w:t>
            </w:r>
            <w:r>
              <w:rPr>
                <w:b/>
                <w:i/>
              </w:rPr>
              <w:t>en dat zij vragen oproepen over het vermogen van de lidstaten om vermoedelijke fraude en de genomen corrigerende maatregelen vast te stellen en te melden</w:t>
            </w:r>
            <w:r>
              <w:t>;</w:t>
            </w:r>
          </w:p>
        </w:tc>
        <w:tc>
          <w:tcPr>
            <w:tcW w:w="4876" w:type="dxa"/>
            <w:tcBorders>
              <w:top w:val="nil"/>
              <w:left w:val="nil"/>
              <w:bottom w:val="nil"/>
              <w:right w:val="nil"/>
            </w:tcBorders>
          </w:tcPr>
          <w:p>
            <w:pPr>
              <w:pStyle w:val="Normal6a"/>
            </w:pPr>
            <w:r>
              <w:t>233.</w:t>
            </w:r>
            <w:r>
              <w:tab/>
            </w:r>
            <w:r>
              <w:t xml:space="preserve">is bezorgd over het feit dat de Rekenkamer meldt dat de Commissie slechts over beperkte informatie over opgespoorde fraude beschikt </w:t>
            </w:r>
            <w:r>
              <w:rPr>
                <w:b/>
                <w:i/>
              </w:rPr>
              <w:t>en onderstreept dat de informatiestromen moeten worden verbeterd om de bescherming van de financiële belangen van de Unie te waarborgen, met name door middel van versterkte voorzorgsmaatregelen</w:t>
            </w:r>
            <w:r>
              <w:t xml:space="preserve">; benadrukt dat het EOM eind 2024 311 lopende zaken in verband met NextGenerationEU behandelde, die op vier na allemaal betrekking hadden op de RRF, hetgeen neerkomt op ongeveer 17 % van alle lopende onderzoeken naar uitgavenfraude; stelt vast dat de geschatte schade voor de financiële belangen van de Unie 2,8 miljard EUR bedraagt, hetgeen neerkomt op 30 % (2023: 25 %) van de totale geschatte schade als gevolg van alle fraude met uitgaven van de EU; </w:t>
            </w:r>
            <w:r>
              <w:rPr>
                <w:b/>
                <w:i/>
              </w:rPr>
              <w:t>merkt op dat de lidstaten vermoedelijke gevallen van fraude via verschillende kanalen kunnen melden, waaronder de beheersverklaring bij hun betalingsverzoeken, en dat zij in elk geval verplicht zijn de relevante autoriteiten, met name OLAF en het EOM, in kennis te stellen van vermoedelijke fraude;</w:t>
            </w:r>
            <w:r>
              <w:t xml:space="preserve"> </w:t>
            </w:r>
            <w:r>
              <w:rPr>
                <w:b/>
                <w:i/>
              </w:rPr>
              <w:t>merkt op dat</w:t>
            </w:r>
            <w:r>
              <w:t xml:space="preserve"> dat in de beheersverklaringen van de lidstaten in 2024 slechts vijf gevallen van geconstateerde vermoedelijke fraude </w:t>
            </w:r>
            <w:r>
              <w:rPr>
                <w:b/>
                <w:i/>
              </w:rPr>
              <w:t>zijn</w:t>
            </w:r>
            <w:r>
              <w:t xml:space="preserve"> gemeld</w:t>
            </w:r>
            <w:r>
              <w:rPr>
                <w:b/>
                <w:i/>
              </w:rPr>
              <w:t>;</w:t>
            </w:r>
            <w:r>
              <w:t xml:space="preserve"> </w:t>
            </w:r>
            <w:r>
              <w:rPr>
                <w:b/>
                <w:i/>
              </w:rPr>
              <w:t>merkt voorts op dat 90 %</w:t>
            </w:r>
            <w:r>
              <w:t xml:space="preserve"> van de </w:t>
            </w:r>
            <w:r>
              <w:rPr>
                <w:b/>
                <w:i/>
              </w:rPr>
              <w:t>nieuw geopende onderzoeken is gestart na rechtstreekse kennisgeving</w:t>
            </w:r>
            <w:r>
              <w:t xml:space="preserve"> door de </w:t>
            </w:r>
            <w:r>
              <w:rPr>
                <w:b/>
                <w:i/>
              </w:rPr>
              <w:t>nationale autoriteiten aan het EOM</w:t>
            </w:r>
            <w:r>
              <w:t>; wijst erop dat de door het EOM gepresenteerde cijfers bevestigen dat het risico op fraude in de RRF aanwezig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is bezorgd over het feit dat de Rekenkamer meldt dat de Commissie slechts over beperkte informatie over opgespoorde fraude beschikt; benadrukt dat het EOM eind 2024 311 lopende zaken in verband met NextGenerationEU behandelde, die op vier na allemaal betrekking hadden op de RRF, hetgeen neerkomt op ongeveer 17 % van alle lopende onderzoeken naar uitgavenfraude; stelt vast dat de geschatte schade voor de financiële belangen van de Unie 2,8 miljard EUR bedraagt, hetgeen neerkomt op 30 % (2023: 25 %) van de totale geschatte schade als gevolg van alle fraude met uitgaven van de EU; is bezorgd over het feit dat in de beheersverklaringen van de lidstaten in 2024 slechts vijf gevallen van geconstateerde vermoedelijke fraude is gemeld, hetgeen betekent dat een zeer beperkt van de bij het EOM openstaande zaken door de lidstaten zelf was gemeld, waardoor twijfels ontstaan over het vermogen van de lidstaten om fraude op te sporen en te bestrijden; wijst erop dat </w:t>
            </w:r>
            <w:r>
              <w:rPr>
                <w:b/>
                <w:i/>
              </w:rPr>
              <w:t>de door</w:t>
            </w:r>
            <w:r>
              <w:t xml:space="preserve"> het EOM </w:t>
            </w:r>
            <w:r>
              <w:rPr>
                <w:b/>
                <w:i/>
              </w:rPr>
              <w:t>gepresenteerde cijfers bevestigen dat het risico op fraude</w:t>
            </w:r>
            <w:r>
              <w:t xml:space="preserve"> in de </w:t>
            </w:r>
            <w:r>
              <w:rPr>
                <w:b/>
                <w:i/>
              </w:rPr>
              <w:t>RRF aanwezig is en dat zij vragen oproepen over het vermogen</w:t>
            </w:r>
            <w:r>
              <w:t xml:space="preserve"> van de </w:t>
            </w:r>
            <w:r>
              <w:rPr>
                <w:b/>
                <w:i/>
              </w:rPr>
              <w:t>lidstaten om vermoedelijke fraude en de genomen corrigerende maatregelen vast te stellen en te melden</w:t>
            </w:r>
            <w:r>
              <w:t>;</w:t>
            </w:r>
          </w:p>
        </w:tc>
        <w:tc>
          <w:tcPr>
            <w:tcW w:w="4876" w:type="dxa"/>
            <w:tcBorders>
              <w:top w:val="nil"/>
              <w:left w:val="nil"/>
              <w:bottom w:val="nil"/>
              <w:right w:val="nil"/>
            </w:tcBorders>
          </w:tcPr>
          <w:p>
            <w:pPr>
              <w:pStyle w:val="Normal6a"/>
            </w:pPr>
            <w:r>
              <w:t>233.</w:t>
            </w:r>
            <w:r>
              <w:tab/>
            </w:r>
            <w:r>
              <w:t xml:space="preserve">is bezorgd over het feit dat de Rekenkamer meldt dat de Commissie slechts over beperkte informatie over opgespoorde fraude beschikt; benadrukt dat het EOM eind 2024 311 lopende zaken in verband met NextGenerationEU behandelde, die op vier na allemaal betrekking hadden op de RRF, hetgeen neerkomt op ongeveer 17 % van alle lopende onderzoeken naar uitgavenfraude; stelt vast dat de geschatte schade voor de financiële belangen van de Unie 2,8 miljard EUR bedraagt, hetgeen neerkomt op 30 % (2023: 25 %) van de totale geschatte schade als gevolg van alle fraude met uitgaven van de EU; is bezorgd over het feit dat in de beheersverklaringen van de lidstaten in 2024 slechts vijf gevallen van geconstateerde vermoedelijke fraude is gemeld, hetgeen betekent dat een zeer beperkt van de bij het EOM openstaande zaken door de lidstaten zelf was gemeld, waardoor twijfels ontstaan over het vermogen van de lidstaten om fraude op te sporen en te bestrijden; wijst erop dat </w:t>
            </w:r>
            <w:r>
              <w:rPr>
                <w:b/>
                <w:i/>
              </w:rPr>
              <w:t>deze situatie aantoont dat de nationale opsporings- en meldingscapaciteiten, de samenwerking met</w:t>
            </w:r>
            <w:r>
              <w:t xml:space="preserve"> het EOM </w:t>
            </w:r>
            <w:r>
              <w:rPr>
                <w:b/>
                <w:i/>
              </w:rPr>
              <w:t>en de Commissie en de algemene doeltreffendheid en consistentie van fraudebestrijdingssystemen</w:t>
            </w:r>
            <w:r>
              <w:t xml:space="preserve"> in de </w:t>
            </w:r>
            <w:r>
              <w:rPr>
                <w:b/>
                <w:i/>
              </w:rPr>
              <w:t>hele Unie verder moeten worden versterkt;</w:t>
            </w:r>
            <w:r>
              <w:t xml:space="preserve"> </w:t>
            </w:r>
            <w:r>
              <w:rPr>
                <w:b/>
                <w:i/>
              </w:rPr>
              <w:t>benadrukt dat de bescherming</w:t>
            </w:r>
            <w:r>
              <w:t xml:space="preserve"> van de </w:t>
            </w:r>
            <w:r>
              <w:rPr>
                <w:b/>
                <w:i/>
              </w:rPr>
              <w:t>middelen van de Unie en het geld van de belastingbetaler een degelijk, gecoördineerd en goed toegerust fraudebestrijdingskader vereist, zowel op het niveau van de Unie als op nationaal niveau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233.</w:t>
            </w:r>
            <w:r>
              <w:tab/>
            </w:r>
            <w:r>
              <w:t xml:space="preserve">is bezorgd over het feit dat de Rekenkamer meldt dat de Commissie slechts over beperkte informatie over opgespoorde fraude beschikt; benadrukt dat het EOM eind 2024 311 lopende zaken in verband met NextGenerationEU behandelde, die op vier na allemaal betrekking hadden op de RRF, hetgeen neerkomt op ongeveer 17 % van alle lopende onderzoeken naar uitgavenfraude; stelt vast dat de geschatte schade voor de financiële belangen van de Unie 2,8 miljard EUR bedraagt, hetgeen neerkomt op 30 % (2023: 25 %) van de totale geschatte schade als gevolg van alle fraude met uitgaven van de EU; </w:t>
            </w:r>
            <w:r>
              <w:rPr>
                <w:b/>
                <w:i/>
              </w:rPr>
              <w:t>is bezorgd over het feit dat in de beheersverklaringen van</w:t>
            </w:r>
            <w:r>
              <w:t xml:space="preserve"> de lidstaten </w:t>
            </w:r>
            <w:r>
              <w:rPr>
                <w:b/>
                <w:i/>
              </w:rPr>
              <w:t>in 2024 slechts vijf</w:t>
            </w:r>
            <w:r>
              <w:t xml:space="preserve"> gevallen van </w:t>
            </w:r>
            <w:r>
              <w:rPr>
                <w:b/>
                <w:i/>
              </w:rPr>
              <w:t>geconstateerde</w:t>
            </w:r>
            <w:r>
              <w:t xml:space="preserve"> vermoedelijke fraude </w:t>
            </w:r>
            <w:r>
              <w:rPr>
                <w:b/>
                <w:i/>
              </w:rPr>
              <w:t>is</w:t>
            </w:r>
            <w:r>
              <w:t xml:space="preserve"> gemeld</w:t>
            </w:r>
            <w:r>
              <w:rPr>
                <w:b/>
                <w:i/>
              </w:rPr>
              <w:t>, hetgeen betekent dat een zeer beperkt van de bij het EOM openstaande zaken door de lidstaten zelf was gemeld, waardoor twijfels ontstaan over het vermogen van de lidstaten om fraude op te sporen en te bestrijden</w:t>
            </w:r>
            <w:r>
              <w:t xml:space="preserve">; wijst erop dat de door het EOM gepresenteerde cijfers bevestigen dat het risico op fraude in de RRF aanwezig is </w:t>
            </w:r>
            <w:r>
              <w:rPr>
                <w:b/>
                <w:i/>
              </w:rPr>
              <w:t>en dat zij vragen oproepen over het vermogen van de lidstaten om vermoedelijke fraude en de genomen corrigerende maatregelen vast te stellen en te melden</w:t>
            </w:r>
            <w:r>
              <w:t>;</w:t>
            </w:r>
          </w:p>
        </w:tc>
        <w:tc>
          <w:tcPr>
            <w:tcW w:w="4876" w:type="dxa"/>
            <w:tcBorders>
              <w:top w:val="nil"/>
              <w:left w:val="nil"/>
              <w:bottom w:val="nil"/>
              <w:right w:val="nil"/>
            </w:tcBorders>
          </w:tcPr>
          <w:p>
            <w:pPr>
              <w:pStyle w:val="Normal6a"/>
            </w:pPr>
            <w:r>
              <w:t>233.</w:t>
            </w:r>
            <w:r>
              <w:tab/>
            </w:r>
            <w:r>
              <w:t xml:space="preserve">is bezorgd over het feit dat de Rekenkamer meldt dat de Commissie slechts over beperkte informatie over opgespoorde fraude beschikt; benadrukt dat het EOM eind 2024 311 lopende zaken in verband met NextGenerationEU behandelde, die op vier na allemaal betrekking hadden op de RRF, hetgeen neerkomt op ongeveer 17 % van alle lopende onderzoeken naar uitgavenfraude; stelt vast dat de geschatte schade voor de financiële belangen van de Unie 2,8 miljard EUR bedraagt, hetgeen neerkomt op 30 % (2023: 25 %) van de totale geschatte schade als gevolg van alle fraude met uitgaven van de EU; </w:t>
            </w:r>
            <w:r>
              <w:rPr>
                <w:b/>
                <w:i/>
              </w:rPr>
              <w:t>benadrukt echter dat het EOM de Commissie slechts officieel in kennis had gesteld van 75 zaken in verband met de RRF, en dat 80 % van deze gemelde zaken betrekking had op één maatregel in één lidstaat, Italië;</w:t>
            </w:r>
            <w:r>
              <w:t xml:space="preserve"> </w:t>
            </w:r>
            <w:r>
              <w:rPr>
                <w:b/>
                <w:i/>
              </w:rPr>
              <w:t>neemt ook kennis van de bevinding van het EOM dat de nationale rechtshandhavingsinstanties de belangrijkste bron van meldingen bleven, aangezien 90 % van de nieuwe onderzoeken werd geopend op basis van hun informatie;</w:t>
            </w:r>
            <w:r>
              <w:t xml:space="preserve"> </w:t>
            </w:r>
            <w:r>
              <w:rPr>
                <w:b/>
                <w:i/>
              </w:rPr>
              <w:t>maakt ook uit Speciaal verslag nr. 06/2026 van de Rekenkamer over fraudebestrijding in het kader van de herstel- en veerkrachtfaciliteit op dat</w:t>
            </w:r>
            <w:r>
              <w:t xml:space="preserve"> de lidstaten </w:t>
            </w:r>
            <w:r>
              <w:rPr>
                <w:b/>
                <w:i/>
              </w:rPr>
              <w:t>vanaf het begin van de herstel- en veerkrachtfaciliteit in 2021 tot eind 2024 51</w:t>
            </w:r>
            <w:r>
              <w:t xml:space="preserve"> gevallen van vermoedelijke fraude </w:t>
            </w:r>
            <w:r>
              <w:rPr>
                <w:b/>
                <w:i/>
              </w:rPr>
              <w:t>aan DG ECFIN hadden</w:t>
            </w:r>
            <w:r>
              <w:t xml:space="preserve"> gemeld; wijst erop dat de door het EOM gepresenteerde cijfers bevestigen dat het risico op fraude in de RRF aanwezig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234.</w:t>
            </w:r>
            <w:r>
              <w:tab/>
            </w:r>
            <w:r>
              <w:t xml:space="preserve">merkt op dat de Commissie op 3 november 2025 een uitvoeringsbesluit heeft vastgesteld over de gedeeltelijke opschorting van de uitbetaling van de tweede tranche van de niet-terugbetaalbare steun aan Bulgarije, aangezien één controlemijlpaal niet op bevredigende wijze was vervuld; </w:t>
            </w:r>
            <w:r>
              <w:rPr>
                <w:b/>
                <w:i/>
              </w:rPr>
              <w:t>merkt op dat</w:t>
            </w:r>
            <w:r>
              <w:t xml:space="preserve"> de Bulgaarse regering </w:t>
            </w:r>
            <w:r>
              <w:rPr>
                <w:b/>
                <w:i/>
              </w:rPr>
              <w:t>een hervorming heeft doorgevoerd</w:t>
            </w:r>
            <w:r>
              <w:t xml:space="preserve"> om te zorgen voor een politiek onafhankelijke benoeming van de commissie voor corruptiebestrijding</w:t>
            </w:r>
            <w:r>
              <w:rPr>
                <w:b/>
                <w:i/>
              </w:rPr>
              <w:t>, en</w:t>
            </w:r>
            <w:r>
              <w:t xml:space="preserve"> dat in het uitvoeringsbesluit van de Commissie verder wordt opgemerkt dat de nationale vergadering een overheersende rol blijft spelen bij zowel de voordracht als de benoeming van het bestuur van de commissie voor corruptiebestrijding</w:t>
            </w:r>
            <w:r>
              <w:rPr>
                <w:b/>
                <w:i/>
              </w:rPr>
              <w:t>, met name de drie leden, en dat het benoemingscomité deze rol op zichzelf niet kan beperken</w:t>
            </w:r>
            <w:r>
              <w:t xml:space="preserve">; merkt op dat Bulgarije zes maanden de tijd heeft om </w:t>
            </w:r>
            <w:r>
              <w:rPr>
                <w:b/>
                <w:i/>
              </w:rPr>
              <w:t>een manier te vinden om</w:t>
            </w:r>
            <w:r>
              <w:t xml:space="preserve"> het wetgevingskader te herzien </w:t>
            </w:r>
            <w:r>
              <w:rPr>
                <w:b/>
                <w:i/>
              </w:rPr>
              <w:t>en aan te tonen dat het voldoet</w:t>
            </w:r>
            <w:r>
              <w:t xml:space="preserve"> aan de vereiste drempel </w:t>
            </w:r>
            <w:r>
              <w:rPr>
                <w:b/>
                <w:i/>
              </w:rPr>
              <w:t>van politieke onafhankelijkheid om de tweede tranche van de niet-terugbetaalbare steun in het kader van de RRF te ontvangen;</w:t>
            </w:r>
            <w:r>
              <w:t xml:space="preserve"> </w:t>
            </w:r>
            <w:r>
              <w:rPr>
                <w:b/>
                <w:i/>
              </w:rPr>
              <w:t>herinnert de Commissie eraan dat</w:t>
            </w:r>
            <w:r>
              <w:t xml:space="preserve"> de opschorting alleen mag worden opgeheven wanneer Bulgarije de nodige maatregelen heeft genomen om ervoor te zorgen dat de mijlpaal op bevredigende wijze wordt verwezenlijkt;</w:t>
            </w:r>
          </w:p>
        </w:tc>
        <w:tc>
          <w:tcPr>
            <w:tcW w:w="4876" w:type="dxa"/>
            <w:tcBorders>
              <w:top w:val="nil"/>
              <w:left w:val="nil"/>
              <w:bottom w:val="nil"/>
              <w:right w:val="nil"/>
            </w:tcBorders>
          </w:tcPr>
          <w:p>
            <w:pPr>
              <w:pStyle w:val="Normal6a"/>
            </w:pPr>
            <w:r>
              <w:t>234.</w:t>
            </w:r>
            <w:r>
              <w:tab/>
            </w:r>
            <w:r>
              <w:rPr>
                <w:b/>
                <w:i/>
              </w:rPr>
              <w:t>is ingenomen met de hervormingen die Bulgarije heeft voltooid en de substantiële vooruitgang die in 2025 is geboekt, waarbij het land ongeveer 31 % van zijn totale toegewezen RRF-financiering heeft ontvangen, in twee tranches van in totaal 1,91 miljard EUR;</w:t>
            </w:r>
            <w:r>
              <w:t xml:space="preserve"> </w:t>
            </w:r>
            <w:r>
              <w:rPr>
                <w:b/>
                <w:i/>
              </w:rPr>
              <w:t>neemt kennis van belangrijke hervormingen op het gebied van overheidsopdrachten en justitiële transparantie, liberalisering van de energiemarkt, maatregelen voor de uitfasering van steenkool, uitbreiding van hernieuwbare energie, onderwijs, gezondheidszorg en e-gezondheidszorg, en duurzaam vervoer;</w:t>
            </w:r>
            <w:r>
              <w:t xml:space="preserve"> </w:t>
            </w:r>
            <w:r>
              <w:rPr>
                <w:b/>
                <w:i/>
              </w:rPr>
              <w:t>merkt op dat deze betalingen samen een nieuwe impuls geven aan de economische, energie-, sociale en institutionele hervormingen van Bulgarije in het kader van de herstel- en veerkrachtfaciliteit;</w:t>
            </w:r>
            <w:r>
              <w:t xml:space="preserve"> merkt op dat de Commissie op 3 november 2025 een uitvoeringsbesluit heeft vastgesteld over de gedeeltelijke opschorting van de uitbetaling van de tweede tranche van de niet-terugbetaalbare steun aan Bulgarije, aangezien één controlemijlpaal niet op bevredigende wijze was vervuld; </w:t>
            </w:r>
            <w:r>
              <w:rPr>
                <w:b/>
                <w:i/>
              </w:rPr>
              <w:t>neemt kennis van de inspanningen van</w:t>
            </w:r>
            <w:r>
              <w:t xml:space="preserve"> de Bulgaarse regering </w:t>
            </w:r>
            <w:r>
              <w:rPr>
                <w:b/>
                <w:i/>
              </w:rPr>
              <w:t>om hervormingen door te voeren</w:t>
            </w:r>
            <w:r>
              <w:t xml:space="preserve"> om te zorgen voor een politiek onafhankelijke benoeming van de commissie voor corruptiebestrijding</w:t>
            </w:r>
            <w:r>
              <w:rPr>
                <w:b/>
                <w:i/>
              </w:rPr>
              <w:t>;</w:t>
            </w:r>
            <w:r>
              <w:t xml:space="preserve"> </w:t>
            </w:r>
            <w:r>
              <w:rPr>
                <w:b/>
                <w:i/>
              </w:rPr>
              <w:t>merkt voorts op</w:t>
            </w:r>
            <w:r>
              <w:t xml:space="preserve"> dat in het uitvoeringsbesluit van de Commissie verder wordt opgemerkt dat de nationale vergadering een overheersende rol blijft spelen bij zowel de voordracht als de benoeming van het bestuur van de commissie voor corruptiebestrijding; merkt op dat Bulgarije zes maanden de tijd heeft om het wetgevingskader te herzien </w:t>
            </w:r>
            <w:r>
              <w:rPr>
                <w:b/>
                <w:i/>
              </w:rPr>
              <w:t>om te voldoen</w:t>
            </w:r>
            <w:r>
              <w:t xml:space="preserve"> aan de vereiste drempel</w:t>
            </w:r>
            <w:r>
              <w:rPr>
                <w:b/>
                <w:i/>
              </w:rPr>
              <w:t>;</w:t>
            </w:r>
            <w:r>
              <w:t xml:space="preserve"> </w:t>
            </w:r>
            <w:r>
              <w:rPr>
                <w:b/>
                <w:i/>
              </w:rPr>
              <w:t>onderstreept</w:t>
            </w:r>
            <w:r>
              <w:t xml:space="preserve"> de opschorting alleen mag worden opgeheven wanneer Bulgarije de nodige maatregelen heeft genomen om ervoor te zorgen dat de mijlpaal op bevredigende wijze wordt verwezenlijkt;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 bis.</w:t>
            </w:r>
            <w:r>
              <w:tab/>
            </w:r>
            <w:r>
              <w:rPr>
                <w:b/>
                <w:i/>
              </w:rPr>
              <w:t>neemt kennis van de herhaalde bevindingen van de Rekenkamer dat bepaalde nationale rekenkamers tekortkomingen vertonen op het gebied van reikwijdte, kwaliteit, documentatie en verslaglegging;</w:t>
            </w:r>
            <w:r>
              <w:t xml:space="preserve"> </w:t>
            </w:r>
            <w:r>
              <w:rPr>
                <w:b/>
                <w:i/>
              </w:rPr>
              <w:t>benadrukt dat er behoefte is aan een duidelijk kader van verantwoordelijkheden om kwaliteit en consistentie te waarborgen;</w:t>
            </w:r>
            <w:r>
              <w:t xml:space="preserve"> </w:t>
            </w:r>
            <w:r>
              <w:rPr>
                <w:b/>
                <w:i/>
              </w:rPr>
              <w:t>dringt erop aan dat controleorganen in de lidstaten voldoen aan internationaal aanvaarde controlenormen;</w:t>
            </w:r>
            <w:r>
              <w:t xml:space="preserve"> </w:t>
            </w:r>
            <w:r>
              <w:rPr>
                <w:b/>
                <w:i/>
              </w:rPr>
              <w:t>waarschuwt dat het nalaten hiervan de betrouwbaarheid van hun werk ondermijnt en risico’s met zich meebrengt voor de single-auditaanpak;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 ter.</w:t>
            </w:r>
            <w:r>
              <w:tab/>
            </w:r>
            <w:r>
              <w:rPr>
                <w:b/>
                <w:i/>
              </w:rPr>
              <w:t>betreurt de onvolledige controlesporen die de Rekenkamer heeft waargenomen in de herstel- en veerkrachtfaciliteit, die de traceerbaarheid verzwakken en het vermogen van het Parlement en de Rekenkamer om controle uit te oefenen beperken;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 quater.</w:t>
            </w:r>
            <w:r>
              <w:tab/>
            </w:r>
            <w:r>
              <w:rPr>
                <w:b/>
                <w:i/>
              </w:rPr>
              <w:t>wijst erop dat alle databanken en informatiesystemen van de Commissie die worden gebruikt voor het verzamelen, uitwisselen en controleren van gegevens tussen de Commissie en de lidstaten, toegankelijk moeten zijn voor de Rekenkamer;</w:t>
            </w:r>
            <w:r>
              <w:t xml:space="preserve"> </w:t>
            </w:r>
            <w:r>
              <w:rPr>
                <w:b/>
                <w:i/>
              </w:rPr>
              <w:t>benadrukt dat de Rekenkamer rechtstreeks en onmiddellijk toegang moet hebben tot de oorspronkelijke gegevens zoals die in het systeem zijn geregistreerd, zonder voorafgaande wijziging, aggregatie of bewerking door nationale autoriteiten of diensten van de Commissie;</w:t>
            </w:r>
            <w:r>
              <w:t xml:space="preserve"> </w:t>
            </w:r>
            <w:r>
              <w:rPr>
                <w:b/>
                <w:i/>
              </w:rPr>
              <w:t>benadrukt dat deze toegang essentieel is om de onafhankelijkheid, betrouwbaarheid en doeltreffendheid van controles te waarborgen en de transparantie en verantwoordingsplicht bij de uitvoering van de begroting van de Unie te handhaven;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234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234 quinquies.</w:t>
            </w:r>
            <w:r>
              <w:tab/>
            </w:r>
            <w:r>
              <w:rPr>
                <w:b/>
                <w:i/>
              </w:rPr>
              <w:t>spreekt zijn bezorgdheid uit over het feit dat RRF-audits en andere prestatiegerichte instrumenten gericht zijn op systeemgerichte controles dan op controles van daadwerkelijk gedane uitgaven;</w:t>
            </w:r>
            <w:r>
              <w:t xml:space="preserve"> </w:t>
            </w:r>
            <w:r>
              <w:rPr>
                <w:b/>
                <w:i/>
              </w:rPr>
              <w:t>waarschuwt dat dergelijke systeemgerichte controles mogelijk geen licht werpen op onderliggende problemen die kunnen overslaan en het goede financiële beheer van de begroting van de Unie en de bescherming van de financiële belangen van de Unie ernstig kunnen ondermijnen;</w:t>
            </w:r>
            <w:r>
              <w:t xml:space="preserve"> </w:t>
            </w:r>
            <w:r>
              <w:rPr>
                <w:b/>
                <w:i/>
              </w:rPr>
              <w:t>verzoekt de Commissie doortastende corrigerende maatregelen te nemen, de controle- en accreditatieprocedures te versterken en ervoor te zorgen dat soortgelijke systemische tekortkomingen zich niet meer kunnen voordoen, met inachtneming van het evenredigheidsbeginsel met betrekking tot verslagleggings- en documentatieverplichtingen;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is van mening dat de RRF een grondwettelijke toets vormt voor democratische verantwoording, gezien de omvang, snelheid en het uitzonderlijke uitvoeringsmodel ervan; wijst erop dat de rol van het Parlement als kwijtingsautoriteit alleen zinvol is als de normen inzake transparantie, traceerbaarheid en verificatie in alle lidstaten strikt en consequent worden toegepast;</w:t>
            </w:r>
          </w:p>
        </w:tc>
        <w:tc>
          <w:tcPr>
            <w:tcW w:w="4876" w:type="dxa"/>
            <w:tcBorders>
              <w:top w:val="nil"/>
              <w:left w:val="nil"/>
              <w:bottom w:val="nil"/>
              <w:right w:val="nil"/>
            </w:tcBorders>
          </w:tcPr>
          <w:p>
            <w:pPr>
              <w:pStyle w:val="Normal6a"/>
            </w:pPr>
            <w:r>
              <w:t>235.</w:t>
            </w:r>
            <w:r>
              <w:tab/>
            </w:r>
            <w:r>
              <w:t>is van mening dat de RRF een grondwettelijke toets vormt voor democratische verantwoording, gezien de omvang, snelheid en het uitzonderlijke uitvoeringsmodel ervan</w:t>
            </w:r>
            <w:r>
              <w:rPr>
                <w:b/>
                <w:i/>
              </w:rPr>
              <w:t>;</w:t>
            </w:r>
            <w:r>
              <w:t xml:space="preserve"> </w:t>
            </w:r>
            <w:r>
              <w:rPr>
                <w:b/>
                <w:i/>
              </w:rPr>
              <w:t>herinnert eraan dat de RRF wordt gefinancierd door middel van ongekende gemeenschappelijke Europese leningen en dat er daarom de strengste normen voor moeten gelden op het gebied van financiële verantwoordelijkheid, transparantie en kosteneffectiviteit voor de Europese belastingbetalers</w:t>
            </w:r>
            <w:r>
              <w:t xml:space="preserve">; wijst erop dat de rol van het Parlement als kwijtingsautoriteit alleen zinvol is als de normen inzake transparantie, traceerbaarheid en verificatie in alle lidstaten strikt en consequent worden toegepast </w:t>
            </w:r>
            <w:r>
              <w:rPr>
                <w:b/>
                <w:i/>
              </w:rPr>
              <w:t>en als de beoordeling van mijlpalen en streefdoelen op volledig objectieve en niet-gepolitiseerde wijze wordt uitgevoerd, met waarborging van de gelijke behandeling van de lidstaten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is van mening dat de RRF een grondwettelijke toets vormt voor democratische verantwoording, gezien de omvang, snelheid en het uitzonderlijke uitvoeringsmodel ervan; wijst erop dat de rol van het Parlement als kwijtingsautoriteit alleen zinvol is als de normen inzake transparantie, traceerbaarheid en verificatie in alle lidstaten strikt en consequent worden toegepast;</w:t>
            </w:r>
          </w:p>
        </w:tc>
        <w:tc>
          <w:tcPr>
            <w:tcW w:w="4876" w:type="dxa"/>
            <w:tcBorders>
              <w:top w:val="nil"/>
              <w:left w:val="nil"/>
              <w:bottom w:val="nil"/>
              <w:right w:val="nil"/>
            </w:tcBorders>
          </w:tcPr>
          <w:p>
            <w:pPr>
              <w:pStyle w:val="Normal6a"/>
            </w:pPr>
            <w:r>
              <w:t>235.</w:t>
            </w:r>
            <w:r>
              <w:tab/>
            </w:r>
            <w:r>
              <w:t xml:space="preserve">is van mening dat de RRF een grondwettelijke toets vormt voor democratische verantwoording, gezien de omvang, snelheid en het uitzonderlijke uitvoeringsmodel ervan; wijst erop dat de rol van het Parlement als kwijtingsautoriteit alleen zinvol is als de normen inzake transparantie, traceerbaarheid en verificatie in alle lidstaten strikt en consequent worden toegepast; </w:t>
            </w:r>
            <w:r>
              <w:rPr>
                <w:b/>
                <w:i/>
              </w:rPr>
              <w:t>is van mening dat elke verschuiving naar op prestaties gebaseerde instrumenten gepaard moet gaan met parlementaire controle om de democratische verantwoordingsplicht te waarborgen;</w:t>
            </w:r>
            <w:r>
              <w:t xml:space="preserve"> </w:t>
            </w:r>
            <w:r>
              <w:rPr>
                <w:b/>
                <w:i/>
              </w:rPr>
              <w:t>is gekant tegen elk voorstel dat het institutionele evenwicht zou verstoren en de rol van het Parlement als kwijtingsautoriteit zou ondermijnen;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235.</w:t>
            </w:r>
            <w:r>
              <w:tab/>
            </w:r>
            <w:r>
              <w:t>is van mening dat de RRF een grondwettelijke toets vormt voor democratische verantwoording, gezien de omvang, snelheid en het uitzonderlijke uitvoeringsmodel ervan; wijst erop dat de rol van het Parlement als kwijtingsautoriteit alleen zinvol is als de normen inzake transparantie, traceerbaarheid en verificatie in alle lidstaten strikt en consequent worden toegepast;</w:t>
            </w:r>
          </w:p>
        </w:tc>
        <w:tc>
          <w:tcPr>
            <w:tcW w:w="4876" w:type="dxa"/>
            <w:tcBorders>
              <w:top w:val="nil"/>
              <w:left w:val="nil"/>
              <w:bottom w:val="nil"/>
              <w:right w:val="nil"/>
            </w:tcBorders>
          </w:tcPr>
          <w:p>
            <w:pPr>
              <w:pStyle w:val="Normal6a"/>
            </w:pPr>
            <w:r>
              <w:t>235.</w:t>
            </w:r>
            <w:r>
              <w:tab/>
            </w:r>
            <w:r>
              <w:t xml:space="preserve">is van mening dat de RRF een grondwettelijke toets vormt voor democratische verantwoording, gezien de omvang, snelheid en het uitzonderlijke uitvoeringsmodel ervan; wijst erop dat de rol van het Parlement als kwijtingsautoriteit alleen zinvol is als de normen inzake transparantie, traceerbaarheid en verificatie in alle lidstaten strikt en consequent worden toegepast; </w:t>
            </w:r>
            <w:r>
              <w:rPr>
                <w:b/>
                <w:i/>
              </w:rPr>
              <w:t>is het eens met het standpunt van de Rekenkamer dat de traceerbaarheid van middelen belangrijk is voor de bescherming van de financiële belangen van de EU, zodat natuurlijke personen die uiteindelijk EU-middelen ontvangen, kunnen worden geïdentificeerd;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236.</w:t>
            </w:r>
            <w:r>
              <w:tab/>
            </w:r>
            <w:r>
              <w:t>neemt kennis van de opmerking van de Rekenkamer dat de traceerbaarheid van RRF‑middelen niet systematisch is in alle lidstaten en dat de bestaande systemen in twee lidstaten niet zorgden voor de systematische verzameling van gegevens over uitgaven van de eindontvangers van RRF-middelen; betreurt de bevinding van de Rekenkamer dat er, ondanks de richtsnoeren van de Commissie over de door de lidstaten te volgen methode voor het publiceren van de honderd grootste eindontvangers</w:t>
            </w:r>
            <w:r>
              <w:rPr>
                <w:vertAlign w:val="superscript"/>
              </w:rPr>
              <w:t>21</w:t>
            </w:r>
            <w:r>
              <w:t>, aanzienlijke verschillen bestaan in het soort informatie dat wordt gepubliceerd; merkt ook op dat twee lidstaten toegewezen (d.w.z. begrote) of uitbetaalde bedragen meldden, maar in sommige gevallen alleen op het niveau van intermediaire instanties, en in sommige gevallen gecombineerd met nationale financiering, en dat één lidstaat alleen gegevens heeft gerapporteerd met betrekking tot maatregelen met mijlpalen en streefdoelen die ter betaling aan de Commissie zijn voorgelegd, hetgeen de uitvoering van lopende maatregelen niet volledig weerspiegelde;</w:t>
            </w:r>
          </w:p>
        </w:tc>
        <w:tc>
          <w:tcPr>
            <w:tcW w:w="4876" w:type="dxa"/>
            <w:tcBorders>
              <w:top w:val="nil"/>
              <w:left w:val="nil"/>
              <w:bottom w:val="nil"/>
              <w:right w:val="nil"/>
            </w:tcBorders>
          </w:tcPr>
          <w:p>
            <w:pPr>
              <w:pStyle w:val="Normal6a"/>
            </w:pPr>
            <w:r>
              <w:t>236.</w:t>
            </w:r>
            <w:r>
              <w:tab/>
            </w:r>
            <w:r>
              <w:t>neemt kennis van de opmerking van de Rekenkamer dat de traceerbaarheid van RRF‑middelen niet systematisch is in alle lidstaten en dat de bestaande systemen in twee lidstaten niet zorgden voor de systematische verzameling van gegevens over uitgaven van de eindontvangers van RRF-middelen; betreurt de bevinding van de Rekenkamer dat er, ondanks de richtsnoeren van de Commissie over de door de lidstaten te volgen methode voor het publiceren van de honderd grootste eindontvangers</w:t>
            </w:r>
            <w:r>
              <w:rPr>
                <w:vertAlign w:val="superscript"/>
              </w:rPr>
              <w:t>21</w:t>
            </w:r>
            <w:r>
              <w:t xml:space="preserve">, aanzienlijke verschillen bestaan in het soort informatie dat wordt gepubliceerd; </w:t>
            </w:r>
            <w:r>
              <w:rPr>
                <w:b/>
                <w:i/>
              </w:rPr>
              <w:t>uit zijn ernstige bezorgdheid over het feit dat dergelijke tekortkomingen op het gebied van transparantie en traceerbaarheid het vertrouwen van het publiek en een doeltreffende democratische controle van de uitgaven in het kader van de herstel- en veerkrachtfaciliteit dreigen te ondermijnen;</w:t>
            </w:r>
            <w:r>
              <w:t xml:space="preserve"> merkt ook op dat twee lidstaten toegewezen (d.w.z. begrote) of uitbetaalde bedragen meldden, maar in sommige gevallen alleen op het niveau van intermediaire instanties, en in sommige gevallen gecombineerd met nationale financiering, en dat één lidstaat alleen gegevens heeft gerapporteerd met betrekking tot maatregelen met mijlpalen en streefdoelen die ter betaling aan de Commissie zijn voorgelegd, hetgeen de uitvoering van lopende maatregelen niet volledig weerspiegelde;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COM(2024)0474, bijlage 5, bijlage bij het verslag van de Commissie aan het Europees Parlement en de Raad over de uitvoering van de herstel- en veerkrachtfaciliteit, 10 oktober 2024.</w:t>
            </w:r>
          </w:p>
        </w:tc>
        <w:tc>
          <w:tcPr>
            <w:tcW w:w="4876" w:type="dxa"/>
            <w:tcBorders>
              <w:top w:val="nil"/>
              <w:left w:val="nil"/>
              <w:bottom w:val="nil"/>
              <w:right w:val="nil"/>
            </w:tcBorders>
          </w:tcPr>
          <w:p>
            <w:pPr>
              <w:pStyle w:val="Normal6a"/>
            </w:pPr>
            <w:r>
              <w:rPr>
                <w:vertAlign w:val="superscript"/>
              </w:rPr>
              <w:t>21</w:t>
            </w:r>
            <w:r>
              <w:t xml:space="preserve"> </w:t>
            </w:r>
            <w:r>
              <w:t>COM(2024)0474, bijlage 5, bijlage bij het verslag van de Commissie aan het Europees Parlement en de Raad over de uitvoering van de herstel- en veerkrachtfaciliteit, 10 oktober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236.</w:t>
            </w:r>
            <w:r>
              <w:tab/>
            </w:r>
            <w:r>
              <w:t>neemt kennis van de opmerking van de Rekenkamer dat de traceerbaarheid van RRF‑middelen niet systematisch is in alle lidstaten en dat de bestaande systemen in twee lidstaten niet zorgden voor de systematische verzameling van gegevens over uitgaven van de eindontvangers van RRF-middelen; betreurt de bevinding van de Rekenkamer dat er, ondanks de richtsnoeren van de Commissie over de door de lidstaten te volgen methode voor het publiceren van de honderd grootste eindontvangers</w:t>
            </w:r>
            <w:r>
              <w:rPr>
                <w:vertAlign w:val="superscript"/>
              </w:rPr>
              <w:t>21</w:t>
            </w:r>
            <w:r>
              <w:rPr>
                <w:b/>
                <w:i/>
              </w:rPr>
              <w:t>,</w:t>
            </w:r>
            <w:r>
              <w:t xml:space="preserve"> aanzienlijke verschillen bestaan in het soort informatie dat wordt gepubliceerd; merkt ook op dat twee lidstaten toegewezen (d.w.z. begrote) of uitbetaalde bedragen meldden, maar in sommige gevallen alleen op het niveau van intermediaire instanties, en in sommige gevallen gecombineerd met nationale financiering, en dat één lidstaat alleen gegevens heeft gerapporteerd met betrekking tot maatregelen met mijlpalen en streefdoelen die ter betaling aan de Commissie zijn voorgelegd, hetgeen de uitvoering van lopende maatregelen niet volledig weerspiegelde;</w:t>
            </w:r>
          </w:p>
        </w:tc>
        <w:tc>
          <w:tcPr>
            <w:tcW w:w="4876" w:type="dxa"/>
            <w:tcBorders>
              <w:top w:val="nil"/>
              <w:left w:val="nil"/>
              <w:bottom w:val="nil"/>
              <w:right w:val="nil"/>
            </w:tcBorders>
          </w:tcPr>
          <w:p>
            <w:pPr>
              <w:pStyle w:val="Normal6a"/>
            </w:pPr>
            <w:r>
              <w:t>236.</w:t>
            </w:r>
            <w:r>
              <w:tab/>
            </w:r>
            <w:r>
              <w:rPr>
                <w:b/>
                <w:i/>
              </w:rPr>
              <w:t>merkt op dat de Rekenkamer voor 2024 de nationale systemen van vijf lidstaten heeft beoordeeld om na te gaan of zij de RRF-middelen konden traceren van de nationale begroting tot bij de eindontvangers en verder, en of zij gegevens konden verstrekken over de door de eindontvangers gedane uitgaven;</w:t>
            </w:r>
            <w:r>
              <w:t xml:space="preserve"> neemt kennis van de opmerking van de Rekenkamer dat de traceerbaarheid van RRF‑middelen niet systematisch is in alle lidstaten en dat de bestaande systemen in twee lidstaten niet zorgden voor de systematische verzameling van gegevens over uitgaven van de eindontvangers van RRF-middelen; betreurt de bevinding van de Rekenkamer dat er, ondanks de richtsnoeren van de Commissie over de door de lidstaten te volgen methode voor het publiceren van de honderd grootste eindontvangers</w:t>
            </w:r>
            <w:r>
              <w:rPr>
                <w:vertAlign w:val="superscript"/>
              </w:rPr>
              <w:t>21</w:t>
            </w:r>
            <w:r>
              <w:t xml:space="preserve"> aanzienlijke verschillen bestaan in het soort informatie dat wordt gepubliceerd; merkt ook op dat twee lidstaten toegewezen (d.w.z. begrote) of uitbetaalde bedragen meldden, maar in sommige gevallen alleen op het niveau van intermediaire instanties, en in sommige gevallen gecombineerd met nationale financiering, en dat één lidstaat alleen gegevens heeft gerapporteerd met betrekking tot maatregelen met mijlpalen en streefdoelen die ter betaling aan de Commissie zijn voorgelegd, hetgeen de uitvoering van lopende maatregelen niet volledig weerspiegelde;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COM(2024)0474, bijlage 5, bijlage bij het verslag van de Commissie aan het Europees Parlement en de Raad over de uitvoering van de herstel- en veerkrachtfaciliteit, 10 oktober 2024.</w:t>
            </w:r>
          </w:p>
        </w:tc>
        <w:tc>
          <w:tcPr>
            <w:tcW w:w="4876" w:type="dxa"/>
            <w:tcBorders>
              <w:top w:val="nil"/>
              <w:left w:val="nil"/>
              <w:bottom w:val="nil"/>
              <w:right w:val="nil"/>
            </w:tcBorders>
          </w:tcPr>
          <w:p>
            <w:pPr>
              <w:pStyle w:val="Normal6a"/>
            </w:pPr>
            <w:r>
              <w:rPr>
                <w:vertAlign w:val="superscript"/>
              </w:rPr>
              <w:t>21</w:t>
            </w:r>
            <w:r>
              <w:t xml:space="preserve"> </w:t>
            </w:r>
            <w:r>
              <w:t>COM(2024)0474, bijlage 5, bijlage bij het verslag van de Commissie aan het Europees Parlement en de Raad over de uitvoering van de herstel- en veerkrachtfaciliteit, 10 oktober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Eero Heinäluoma,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 xml:space="preserve">herinnert eraan dat artikel 22, lid 2, punt d), ii), van de RRF-verordening (Verordening (EU) 2021/241) </w:t>
            </w:r>
            <w:r>
              <w:rPr>
                <w:b/>
                <w:i/>
              </w:rPr>
              <w:t>voorziet in de verplichting van</w:t>
            </w:r>
            <w:r>
              <w:t xml:space="preserve"> de lidstaten om, ten behoeve van de audit en controle </w:t>
            </w:r>
            <w:r>
              <w:rPr>
                <w:b/>
                <w:i/>
              </w:rPr>
              <w:t>en om te voorzien in</w:t>
            </w:r>
            <w:r>
              <w:t xml:space="preserve"> vergelijkbare informatie over het gebruik van RRF-middelen, </w:t>
            </w:r>
            <w:r>
              <w:rPr>
                <w:b/>
                <w:i/>
              </w:rPr>
              <w:t>de naam</w:t>
            </w:r>
            <w:r>
              <w:t xml:space="preserve"> van de </w:t>
            </w:r>
            <w:r>
              <w:rPr>
                <w:b/>
                <w:i/>
              </w:rPr>
              <w:t>contractant en de subcontractant</w:t>
            </w:r>
            <w:r>
              <w:t xml:space="preserve"> te verzamelen </w:t>
            </w:r>
            <w:r>
              <w:rPr>
                <w:b/>
                <w:i/>
              </w:rPr>
              <w:t>wanneer de eindontvanger een aanbestedende dienst is, en dat artikel 25 bis, lid 2, van Verordening (EU) nr. 2023/435</w:t>
            </w:r>
            <w:r>
              <w:rPr>
                <w:b/>
                <w:i/>
                <w:vertAlign w:val="superscript"/>
              </w:rPr>
              <w:t>22</w:t>
            </w:r>
            <w:r>
              <w:rPr>
                <w:b/>
                <w:i/>
              </w:rPr>
              <w:t>tot wijziging van de RRF-verordening vereist dat de lidstaten informatie bekendmaken over de honderd</w:t>
            </w:r>
            <w:r>
              <w:t xml:space="preserve"> eindontvangers </w:t>
            </w:r>
            <w:r>
              <w:rPr>
                <w:b/>
                <w:i/>
              </w:rPr>
              <w:t>die het hoogste bedrag</w:t>
            </w:r>
            <w:r>
              <w:t xml:space="preserve"> aan financiering in het kader van de </w:t>
            </w:r>
            <w:r>
              <w:rPr>
                <w:b/>
                <w:i/>
              </w:rPr>
              <w:t>RRF</w:t>
            </w:r>
            <w:r>
              <w:t xml:space="preserve"> ontvangen</w:t>
            </w:r>
            <w:r>
              <w:rPr>
                <w:b/>
                <w:i/>
              </w:rPr>
              <w:t>, en dat in het geval van een rechtspersoon de volledige naam en het btw-identificatienummer of het fiscaal identificatienummer van de ontvanger, of een ander uniek identificatiemiddel op nationaal niveau, moet worden bekendgemaakt</w:t>
            </w:r>
            <w:r>
              <w:t>; merkt op dat de Commissie in haar richtsnoeren voor herstel- en veerkrachtplannen</w:t>
            </w:r>
            <w:r>
              <w:rPr>
                <w:vertAlign w:val="superscript"/>
              </w:rPr>
              <w:t>23</w:t>
            </w:r>
            <w:r>
              <w:t xml:space="preserve">een eindontvanger omschrijft als de “laatste entiteit die middelen ontvangt en geen contractant of subcontractant is”; is zeer bezorgd over deze interpretatie van het begrip “eindontvanger”, die in strijd is met de bestaande wetgeving; </w:t>
            </w:r>
            <w:r>
              <w:rPr>
                <w:b/>
                <w:i/>
              </w:rPr>
              <w:t>wijst erop dat, indien</w:t>
            </w:r>
            <w:r>
              <w:t xml:space="preserve"> de Commissie </w:t>
            </w:r>
            <w:r>
              <w:rPr>
                <w:b/>
                <w:i/>
              </w:rPr>
              <w:t>blijft weigeren</w:t>
            </w:r>
            <w:r>
              <w:t xml:space="preserve"> volledige transparantie </w:t>
            </w:r>
            <w:r>
              <w:rPr>
                <w:b/>
                <w:i/>
              </w:rPr>
              <w:t>te waarborgen</w:t>
            </w:r>
            <w:r>
              <w:t>, het Parlement alle beschikbare maatregelen zal overwegen om naleving af te dwingen, om te voorkomen dat een soortgelijke interpretatie wordt toegepast op de transparantiebepalingen in andere financiële regelgeving; is van mening dat het aanhoudende verzuim om te zorgen voor een zinvolle publicatie van de eindontvangers ernstige twijfels oproept over het vermogen van het Parlement om op weloverwogen wijze kwijting te verlenen; herinnert eraan dat het Parlement in eerdere kwijtingsresoluties herhaaldelijk ernstige bezorgdheid heeft geuit met betrekking tot de RRF, onder meer over de transparantie van eindbegunstigden</w:t>
            </w:r>
            <w:r>
              <w:rPr>
                <w:b/>
                <w:i/>
              </w:rPr>
              <w:t>, en eist derhalve dat de Commissie binnen zes maanden een volledige en zinvolle lijst van eindbegunstigden indient, met uitsluiting van louter intermediaire entiteiten zoals ministeries of beheersautoriteiten</w:t>
            </w:r>
            <w:r>
              <w:t xml:space="preserve">; </w:t>
            </w:r>
            <w:r>
              <w:rPr>
                <w:b/>
                <w:i/>
              </w:rPr>
              <w:t>stelt dat, als dit niet gebeurt, het Parlement de zaak aanhangig zal maken bij het Europees Hof van Justitie om ervoor te zorgen dat burgers en belanghebbenden volledige toegang tot deze informatie hebben;</w:t>
            </w:r>
          </w:p>
        </w:tc>
        <w:tc>
          <w:tcPr>
            <w:tcW w:w="4876" w:type="dxa"/>
            <w:tcBorders>
              <w:top w:val="nil"/>
              <w:left w:val="nil"/>
              <w:bottom w:val="nil"/>
              <w:right w:val="nil"/>
            </w:tcBorders>
          </w:tcPr>
          <w:p>
            <w:pPr>
              <w:pStyle w:val="Normal6a"/>
            </w:pPr>
            <w:r>
              <w:t>237.</w:t>
            </w:r>
            <w:r>
              <w:tab/>
            </w:r>
            <w:r>
              <w:t xml:space="preserve">herinnert eraan dat artikel 22, lid 2, punt d), ii), van de RRF-verordening (Verordening (EU) 2021/241) de lidstaten </w:t>
            </w:r>
            <w:r>
              <w:rPr>
                <w:b/>
                <w:i/>
              </w:rPr>
              <w:t>verplicht</w:t>
            </w:r>
            <w:r>
              <w:t xml:space="preserve"> om, ten behoeve van de audit en controle</w:t>
            </w:r>
            <w:r>
              <w:rPr>
                <w:b/>
                <w:i/>
              </w:rPr>
              <w:t>,</w:t>
            </w:r>
            <w:r>
              <w:t xml:space="preserve"> vergelijkbare informatie </w:t>
            </w:r>
            <w:r>
              <w:rPr>
                <w:b/>
                <w:i/>
              </w:rPr>
              <w:t>te verzamelen</w:t>
            </w:r>
            <w:r>
              <w:t xml:space="preserve"> over het gebruik van RRF-middelen, </w:t>
            </w:r>
            <w:r>
              <w:rPr>
                <w:b/>
                <w:i/>
              </w:rPr>
              <w:t>met inbegrip</w:t>
            </w:r>
            <w:r>
              <w:t xml:space="preserve"> van de </w:t>
            </w:r>
            <w:r>
              <w:rPr>
                <w:b/>
                <w:i/>
              </w:rPr>
              <w:t>namen van eindontvangers, contractanten en subcontractanten, en uiteindelijke begunstigden;</w:t>
            </w:r>
            <w:r>
              <w:t xml:space="preserve"> </w:t>
            </w:r>
            <w:r>
              <w:rPr>
                <w:b/>
                <w:i/>
              </w:rPr>
              <w:t>herinnert er voorts aan dat de verordening de lidstaten weliswaar niet verplicht om informatie</w:t>
            </w:r>
            <w:r>
              <w:t xml:space="preserve"> te verzamelen </w:t>
            </w:r>
            <w:r>
              <w:rPr>
                <w:b/>
                <w:i/>
              </w:rPr>
              <w:t>en te publiceren over uitgaven die</w:t>
            </w:r>
            <w:r>
              <w:t xml:space="preserve"> eindontvangers </w:t>
            </w:r>
            <w:r>
              <w:rPr>
                <w:b/>
                <w:i/>
              </w:rPr>
              <w:t>hebben gedaan om mijlpalen of streefdoelen na te streven, noch om dergelijke informatie te verstrekken bij hun in het kader van de herstel- en veerkrachtfaciliteit ingediende betalingsverzoeken, maar dat zij deze informatie wel moeten publiceren voor de 100 “eindontvangers” die de grootste bedragen</w:t>
            </w:r>
            <w:r>
              <w:t xml:space="preserve"> aan financiering in het kader van de </w:t>
            </w:r>
            <w:r>
              <w:rPr>
                <w:b/>
                <w:i/>
              </w:rPr>
              <w:t>herstel- en veerkrachtfaciliteit</w:t>
            </w:r>
            <w:r>
              <w:t xml:space="preserve"> ontvangen; merkt op dat de Commissie in haar richtsnoeren voor herstel- en veerkrachtplannen</w:t>
            </w:r>
            <w:r>
              <w:rPr>
                <w:vertAlign w:val="superscript"/>
              </w:rPr>
              <w:t>23</w:t>
            </w:r>
            <w:r>
              <w:t xml:space="preserve"> een eindontvanger omschrijft als de “laatste entiteit die middelen ontvangt en geen contractant of subcontractant is”; is zeer bezorgd over deze interpretatie van het begrip “eindontvanger”, </w:t>
            </w:r>
            <w:r>
              <w:rPr>
                <w:b/>
                <w:i/>
              </w:rPr>
              <w:t>en herhaalt zijn standpunt dat</w:t>
            </w:r>
            <w:r>
              <w:t xml:space="preserve"> die in strijd is met de bestaande wetgeving; </w:t>
            </w:r>
            <w:r>
              <w:rPr>
                <w:b/>
                <w:i/>
              </w:rPr>
              <w:t>benadrukt dat het van</w:t>
            </w:r>
            <w:r>
              <w:t xml:space="preserve"> de Commissie </w:t>
            </w:r>
            <w:r>
              <w:rPr>
                <w:b/>
                <w:i/>
              </w:rPr>
              <w:t>verwacht dat zij de naleving van de bestaande wetgeving handhaaft en alle haar ter beschikking staande middelen aanwendt om ervoor te zorgen dat de lidstaten</w:t>
            </w:r>
            <w:r>
              <w:t xml:space="preserve"> volledige </w:t>
            </w:r>
            <w:r>
              <w:rPr>
                <w:b/>
                <w:i/>
              </w:rPr>
              <w:t>en zinvolle lijsten van eindbegunstigden verstrekken, met uitsluiting van louter intermediaire entiteiten zoals ministeries of beheersautoriteiten;</w:t>
            </w:r>
            <w:r>
              <w:t xml:space="preserve"> </w:t>
            </w:r>
            <w:r>
              <w:rPr>
                <w:b/>
                <w:i/>
              </w:rPr>
              <w:t>onderstreept dat, om te zorgen voor</w:t>
            </w:r>
            <w:r>
              <w:t xml:space="preserve"> transparantie, het Parlement alle beschikbare maatregelen zal overwegen om naleving af te dwingen, </w:t>
            </w:r>
            <w:r>
              <w:rPr>
                <w:b/>
                <w:i/>
              </w:rPr>
              <w:t>en</w:t>
            </w:r>
            <w:r>
              <w:t xml:space="preserve"> om te voorkomen dat een soortgelijke interpretatie wordt toegepast op de transparantiebepalingen in andere financiële regelgeving; is van mening dat het aanhoudende verzuim om te zorgen voor een zinvolle publicatie van de eindontvangers ernstige twijfels oproept over het vermogen van het Parlement om op weloverwogen wijze kwijting te verlenen; herinnert eraan dat het Parlement in eerdere kwijtingsresoluties herhaaldelijk ernstige bezorgdheid heeft geuit met betrekking tot de RRF, onder meer over de transparantie van eindbegunstigden;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 (PB L 63 van 28.2.2023, blz. 1, ELI: http://data.europa.eu/eli/reg/2023/435/oj).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bijlage 5, bijlage bij het verslag van de Commissie aan het Europees Parlement en de Raad over de uitvoering van de herstel- en veerkrachtfaciliteit, 10 oktober 2024.</w:t>
            </w:r>
          </w:p>
        </w:tc>
        <w:tc>
          <w:tcPr>
            <w:tcW w:w="4876" w:type="dxa"/>
            <w:tcBorders>
              <w:top w:val="nil"/>
              <w:left w:val="nil"/>
              <w:bottom w:val="nil"/>
              <w:right w:val="nil"/>
            </w:tcBorders>
          </w:tcPr>
          <w:p>
            <w:pPr>
              <w:pStyle w:val="Normal6a"/>
            </w:pPr>
            <w:r>
              <w:rPr>
                <w:vertAlign w:val="superscript"/>
              </w:rPr>
              <w:t>23</w:t>
            </w:r>
            <w:r>
              <w:t xml:space="preserve"> </w:t>
            </w:r>
            <w:r>
              <w:t>COM(2024)0474, bijlage 5, bijlage bij het verslag van de Commissie aan het Europees Parlement en de Raad over de uitvoering van de herstel- en veerkrachtfaciliteit, 10 oktober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herinnert eraan dat artikel 22, lid 2, punt</w:t>
            </w:r>
            <w:r>
              <w:rPr>
                <w:b/>
                <w:i/>
              </w:rPr>
              <w:t xml:space="preserve"> d)</w:t>
            </w:r>
            <w:r>
              <w:t>, ii), van de RRF-verordening (Verordening (EU) 2021/241) voorziet in de verplichting van de lidstaten om, ten behoeve van de audit en controle en om te voorzien in vergelijkbare informatie over het gebruik van RRF-middelen, de naam van de contractant en de subcontractant te verzamelen wanneer de eindontvanger een aanbestedende dienst is, en dat artikel 25 bis, lid 2, van Verordening (EU) nr. 2023/435</w:t>
            </w:r>
            <w:r>
              <w:rPr>
                <w:b/>
                <w:i/>
                <w:vertAlign w:val="superscript"/>
              </w:rPr>
              <w:t>22</w:t>
            </w:r>
            <w:r>
              <w:t xml:space="preserve">tot wijziging van de RRF-verordening vereist dat de lidstaten informatie bekendmaken over de honderd eindontvangers die het hoogste bedrag aan financiering in het kader van de RRF ontvangen, en dat in het geval van een rechtspersoon de volledige naam en het btw-identificatienummer of het fiscaal identificatienummer van de ontvanger, of een ander uniek identificatiemiddel op nationaal niveau, moet worden bekendgemaakt; </w:t>
            </w:r>
            <w:r>
              <w:rPr>
                <w:b/>
                <w:i/>
              </w:rPr>
              <w:t>merkt op dat</w:t>
            </w:r>
            <w:r>
              <w:t xml:space="preserve"> de Commissie in haar richtsnoeren voor herstel- en veerkrachtplannen</w:t>
            </w:r>
            <w:r>
              <w:rPr>
                <w:b/>
                <w:i/>
                <w:vertAlign w:val="superscript"/>
              </w:rPr>
              <w:t>23</w:t>
            </w:r>
            <w:r>
              <w:t xml:space="preserve">een eindontvanger </w:t>
            </w:r>
            <w:r>
              <w:rPr>
                <w:b/>
                <w:i/>
              </w:rPr>
              <w:t>omschrijft</w:t>
            </w:r>
            <w:r>
              <w:t xml:space="preserve"> als de “laatste entiteit die middelen ontvangt en geen contractant of subcontractant is”; is zeer bezorgd over deze interpretatie van het begrip “eindontvanger”</w:t>
            </w:r>
            <w:r>
              <w:rPr>
                <w:b/>
                <w:i/>
              </w:rPr>
              <w:t>, die in strijd is met de bestaande wetgeving;</w:t>
            </w:r>
            <w:r>
              <w:t xml:space="preserve"> </w:t>
            </w:r>
            <w:r>
              <w:rPr>
                <w:b/>
                <w:i/>
              </w:rPr>
              <w:t>wijst erop dat, indien de Commissie blijft weigeren</w:t>
            </w:r>
            <w:r>
              <w:t xml:space="preserve"> volledige transparantie </w:t>
            </w:r>
            <w:r>
              <w:rPr>
                <w:b/>
                <w:i/>
              </w:rPr>
              <w:t>te waarborgen, het Parlement alle beschikbare maatregelen zal overwegen om naleving af te dwingen, om te voorkomen dat een soortgelijke interpretatie wordt toegepast op de transparantiebepalingen in andere financiële regelgeving</w:t>
            </w:r>
            <w:r>
              <w:t xml:space="preserve">; is van mening dat het aanhoudende verzuim om te zorgen voor een zinvolle publicatie van de eindontvangers </w:t>
            </w:r>
            <w:r>
              <w:rPr>
                <w:b/>
                <w:i/>
              </w:rPr>
              <w:t>ernstige twijfels oproept over</w:t>
            </w:r>
            <w:r>
              <w:t xml:space="preserve"> het vermogen van het Parlement om op weloverwogen wijze </w:t>
            </w:r>
            <w:r>
              <w:rPr>
                <w:b/>
                <w:i/>
              </w:rPr>
              <w:t>kwijting te verlenen</w:t>
            </w:r>
            <w:r>
              <w:t xml:space="preserve">; herinnert eraan dat het Parlement in eerdere kwijtingsresoluties herhaaldelijk ernstige bezorgdheid heeft geuit met betrekking tot de RRF, onder meer over de transparantie van eindbegunstigden, en </w:t>
            </w:r>
            <w:r>
              <w:rPr>
                <w:b/>
                <w:i/>
              </w:rPr>
              <w:t>eist derhalve dat</w:t>
            </w:r>
            <w:r>
              <w:t xml:space="preserve"> de Commissie </w:t>
            </w:r>
            <w:r>
              <w:rPr>
                <w:b/>
                <w:i/>
              </w:rPr>
              <w:t>binnen zes maanden een volledige en</w:t>
            </w:r>
            <w:r>
              <w:t xml:space="preserve"> zinvolle lijst van eindbegunstigden </w:t>
            </w:r>
            <w:r>
              <w:rPr>
                <w:b/>
                <w:i/>
              </w:rPr>
              <w:t>indient</w:t>
            </w:r>
            <w:r>
              <w:t xml:space="preserve">, met uitsluiting van louter intermediaire entiteiten zoals ministeries of beheersautoriteiten; </w:t>
            </w:r>
            <w:r>
              <w:rPr>
                <w:b/>
                <w:i/>
              </w:rPr>
              <w:t>stelt dat, als dit niet gebeurt, het Parlement de zaak aanhangig zal maken bij het Europees Hof van Justitie om ervoor te zorgen dat burgers en belanghebbenden volledige toegang tot deze informatie hebben;</w:t>
            </w:r>
          </w:p>
        </w:tc>
        <w:tc>
          <w:tcPr>
            <w:tcW w:w="4876" w:type="dxa"/>
            <w:tcBorders>
              <w:top w:val="nil"/>
              <w:left w:val="nil"/>
              <w:bottom w:val="nil"/>
              <w:right w:val="nil"/>
            </w:tcBorders>
          </w:tcPr>
          <w:p>
            <w:pPr>
              <w:pStyle w:val="Normal6a"/>
            </w:pPr>
            <w:r>
              <w:t>237.</w:t>
            </w:r>
            <w:r>
              <w:tab/>
            </w:r>
            <w:r>
              <w:t>herinnert eraan dat artikel 22, lid 2, punt</w:t>
            </w:r>
            <w:r>
              <w:rPr>
                <w:b/>
                <w:i/>
              </w:rPr>
              <w:t> d)</w:t>
            </w:r>
            <w:r>
              <w:t>, ii), van de RRF-verordening (Verordening (EU) 2021/241) voorziet in de verplichting van de lidstaten om, ten behoeve van de audit en controle en om te voorzien in vergelijkbare informatie over het gebruik van RRF-middelen, de naam van de contractant en de subcontractant te verzamelen wanneer de eindontvanger een aanbestedende dienst is, en dat artikel 25 bis, lid 2, van Verordening (EU) nr. 2023/435</w:t>
            </w:r>
            <w:r>
              <w:rPr>
                <w:b/>
                <w:i/>
              </w:rPr>
              <w:t>[6]</w:t>
            </w:r>
            <w:r>
              <w:t xml:space="preserve"> tot wijziging van de RRF-verordening vereist dat de lidstaten informatie bekendmaken over de honderd eindontvangers die het hoogste bedrag aan financiering in het kader van de RRF ontvangen, en dat in het geval van een rechtspersoon de volledige naam en het btw-identificatienummer of het fiscaal identificatienummer van de ontvanger, of een ander uniek identificatiemiddel op nationaal niveau, moet worden bekendgemaakt; </w:t>
            </w:r>
            <w:r>
              <w:rPr>
                <w:b/>
                <w:i/>
              </w:rPr>
              <w:t>neemt kennis van het standpunt van</w:t>
            </w:r>
            <w:r>
              <w:t xml:space="preserve"> de Commissie in haar richtsnoeren voor herstel- en veerkrachtplannen</w:t>
            </w:r>
            <w:r>
              <w:rPr>
                <w:b/>
                <w:i/>
              </w:rPr>
              <w:t>[7], waarin</w:t>
            </w:r>
            <w:r>
              <w:t xml:space="preserve"> een eindontvanger </w:t>
            </w:r>
            <w:r>
              <w:rPr>
                <w:b/>
                <w:i/>
              </w:rPr>
              <w:t>wordt omschreven</w:t>
            </w:r>
            <w:r>
              <w:t xml:space="preserve"> als de “laatste entiteit die middelen ontvangt en geen contractant of subcontractant is”; is zeer bezorgd over deze interpretatie van het begrip “eindontvanger”</w:t>
            </w:r>
            <w:r>
              <w:rPr>
                <w:b/>
                <w:i/>
              </w:rPr>
              <w:t>; onderstreept dat</w:t>
            </w:r>
            <w:r>
              <w:t xml:space="preserve"> volledige transparantie </w:t>
            </w:r>
            <w:r>
              <w:rPr>
                <w:b/>
                <w:i/>
              </w:rPr>
              <w:t>belangrijk is en dat alle eindontvangers duidelijk moeten worden geïdentificeerd</w:t>
            </w:r>
            <w:r>
              <w:t xml:space="preserve">; is van mening dat het aanhoudende verzuim om te zorgen voor een zinvolle publicatie van de eindontvangers het vermogen van het Parlement </w:t>
            </w:r>
            <w:r>
              <w:rPr>
                <w:b/>
                <w:i/>
              </w:rPr>
              <w:t>verzwakt</w:t>
            </w:r>
            <w:r>
              <w:t xml:space="preserve"> om op weloverwogen wijze </w:t>
            </w:r>
            <w:r>
              <w:rPr>
                <w:b/>
                <w:i/>
              </w:rPr>
              <w:t>de uitvoering van RRF-middelen te beoordelen</w:t>
            </w:r>
            <w:r>
              <w:t xml:space="preserve">; herinnert eraan dat het Parlement in eerdere kwijtingsresoluties herhaaldelijk ernstige bezorgdheid heeft geuit met betrekking tot de RRF, onder meer over de transparantie van eindbegunstigden, en </w:t>
            </w:r>
            <w:r>
              <w:rPr>
                <w:b/>
                <w:i/>
              </w:rPr>
              <w:t>moedigt</w:t>
            </w:r>
            <w:r>
              <w:t xml:space="preserve"> de Commissie </w:t>
            </w:r>
            <w:r>
              <w:rPr>
                <w:b/>
                <w:i/>
              </w:rPr>
              <w:t>derhalve aan een</w:t>
            </w:r>
            <w:r>
              <w:t xml:space="preserve"> zinvolle lijst van eindbegunstigden </w:t>
            </w:r>
            <w:r>
              <w:rPr>
                <w:b/>
                <w:i/>
              </w:rPr>
              <w:t>in te dienen</w:t>
            </w:r>
            <w:r>
              <w:t>, met uitsluiting van louter intermediaire entiteiten zoals ministeries of beheersautoriteiten;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 (PB L 63 van 28.2.2023, blz. 1, ELI: http://data.europa.eu/eli/reg/2023/435/oj).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COM(2024)0474, bijlage 5, bijlage bij het verslag van de Commissie aan het Europees Parlement en de Raad over de uitvoering van de herstel- en veerkrachtfaciliteit, 10 oktober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herinnert eraan dat artikel 22, lid 2, punt</w:t>
            </w:r>
            <w:r>
              <w:rPr>
                <w:b/>
                <w:i/>
              </w:rPr>
              <w:t xml:space="preserve"> d)</w:t>
            </w:r>
            <w:r>
              <w:t>, ii), van de RRF-verordening (Verordening (EU) 2021/241) voorziet in de verplichting van de lidstaten om, ten behoeve van de audit en controle en om te voorzien in vergelijkbare informatie over het gebruik van RRF-middelen, de naam van de contractant en de subcontractant te verzamelen wanneer de eindontvanger een aanbestedende dienst is, en dat artikel 25 bis, lid 2, van Verordening (EU) nr. 2023/435</w:t>
            </w:r>
            <w:r>
              <w:rPr>
                <w:vertAlign w:val="superscript"/>
              </w:rPr>
              <w:t>22</w:t>
            </w:r>
            <w:r>
              <w:t>tot wijziging van de RRF-verordening vereist dat de lidstaten informatie bekendmaken over de honderd eindontvangers die het hoogste bedrag aan financiering in het kader van de RRF ontvangen, en dat in het geval van een rechtspersoon de volledige naam en het btw-identificatienummer of het fiscaal identificatienummer van de ontvanger, of een ander uniek identificatiemiddel op nationaal niveau, moet worden bekendgemaakt; merkt op dat de Commissie in haar richtsnoeren voor herstel- en veerkrachtplannen</w:t>
            </w:r>
            <w:r>
              <w:rPr>
                <w:vertAlign w:val="superscript"/>
              </w:rPr>
              <w:t>23</w:t>
            </w:r>
            <w:r>
              <w:t xml:space="preserve">een eindontvanger omschrijft als de “laatste entiteit die middelen ontvangt en geen contractant of subcontractant is”; is zeer bezorgd over deze interpretatie van het begrip “eindontvanger”, die in strijd is met de bestaande wetgeving; wijst erop dat, indien de Commissie blijft weigeren volledige transparantie te waarborgen, het Parlement alle beschikbare maatregelen zal overwegen om naleving af te dwingen, om te voorkomen dat een soortgelijke interpretatie wordt toegepast op de transparantiebepalingen in andere financiële regelgeving; </w:t>
            </w:r>
            <w:r>
              <w:rPr>
                <w:b/>
                <w:i/>
              </w:rPr>
              <w:t>is van mening dat het aanhoudende verzuim om te zorgen voor een zinvolle publicatie van de eindontvangers ernstige twijfels oproept over het vermogen van het Parlement om op weloverwogen wijze kwijting te verlenen;</w:t>
            </w:r>
            <w:r>
              <w:t xml:space="preserve"> herinnert eraan dat het Parlement in eerdere kwijtingsresoluties herhaaldelijk ernstige bezorgdheid heeft geuit met betrekking tot de RRF, onder meer over de transparantie van eindbegunstigden, en eist derhalve dat de Commissie binnen zes maanden een volledige en zinvolle lijst van eindbegunstigden indient, met uitsluiting van louter intermediaire entiteiten zoals ministeries of beheersautoriteiten; </w:t>
            </w:r>
            <w:r>
              <w:rPr>
                <w:b/>
                <w:i/>
              </w:rPr>
              <w:t>stelt dat, als dit niet gebeurt, het Parlement de zaak aanhangig zal maken bij het Europees Hof van Justitie om ervoor te zorgen dat burgers en belanghebbenden volledige toegang tot deze informatie hebben;</w:t>
            </w:r>
          </w:p>
        </w:tc>
        <w:tc>
          <w:tcPr>
            <w:tcW w:w="4876" w:type="dxa"/>
            <w:tcBorders>
              <w:top w:val="nil"/>
              <w:left w:val="nil"/>
              <w:bottom w:val="nil"/>
              <w:right w:val="nil"/>
            </w:tcBorders>
          </w:tcPr>
          <w:p>
            <w:pPr>
              <w:pStyle w:val="Normal6a"/>
            </w:pPr>
            <w:r>
              <w:t>237.</w:t>
            </w:r>
            <w:r>
              <w:tab/>
            </w:r>
            <w:r>
              <w:t>herinnert eraan dat artikel 22, lid 2, punt</w:t>
            </w:r>
            <w:r>
              <w:rPr>
                <w:b/>
                <w:i/>
              </w:rPr>
              <w:t> d)</w:t>
            </w:r>
            <w:r>
              <w:t>, ii), van de RRF-verordening (Verordening (EU) 2021/241) voorziet in de verplichting van de lidstaten om, ten behoeve van de audit en controle en om te voorzien in vergelijkbare informatie over het gebruik van RRF-middelen, de naam van de contractant en de subcontractant te verzamelen wanneer de eindontvanger een aanbestedende dienst is, en dat artikel 25 bis, lid 2, van Verordening (EU) nr. 2023/435</w:t>
            </w:r>
            <w:r>
              <w:rPr>
                <w:vertAlign w:val="superscript"/>
              </w:rPr>
              <w:t>22</w:t>
            </w:r>
            <w:r>
              <w:t xml:space="preserve"> tot wijziging van de RRF-verordening vereist dat de lidstaten informatie bekendmaken over de honderd eindontvangers die het hoogste bedrag aan financiering in het kader van de RRF ontvangen, en dat in het geval van een rechtspersoon de volledige naam en het btw-identificatienummer of het fiscaal identificatienummer van de ontvanger, of een ander uniek identificatiemiddel op nationaal niveau, moet worden bekendgemaakt; merkt op dat de Commissie in haar richtsnoeren voor herstel- en veerkrachtplannen</w:t>
            </w:r>
            <w:r>
              <w:rPr>
                <w:vertAlign w:val="superscript"/>
              </w:rPr>
              <w:t>23</w:t>
            </w:r>
            <w:r>
              <w:t xml:space="preserve"> een eindontvanger omschrijft als de “laatste entiteit die middelen ontvangt en geen contractant of subcontractant is”; is zeer bezorgd over deze interpretatie van het begrip “eindontvanger”, die in strijd is met de bestaande wetgeving; wijst erop dat, indien de Commissie blijft weigeren volledige transparantie te waarborgen, het Parlement alle beschikbare maatregelen zal overwegen om naleving af te dwingen, om te voorkomen dat een soortgelijke interpretatie wordt toegepast op de transparantiebepalingen in andere financiële regelgeving; herinnert eraan dat het Parlement in eerdere kwijtingsresoluties herhaaldelijk ernstige bezorgdheid heeft geuit met betrekking tot de RRF, onder meer over de transparantie van eindbegunstigden, en eist derhalve dat de Commissie binnen zes maanden een volledige en zinvolle lijst van eindbegunstigden indient, met uitsluiting van louter intermediaire entiteiten zoals ministeries of beheersautoriteiten;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 (PB L 63 van 28.2.2023, blz. 1</w:t>
            </w:r>
            <w:r>
              <w:rPr>
                <w:b/>
                <w:i/>
              </w:rPr>
              <w:t>,</w:t>
            </w:r>
            <w:r>
              <w:t xml:space="preserve">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 (PB L 63 van 28.2.2023, blz. 1</w:t>
            </w:r>
            <w:r>
              <w:rPr>
                <w:b/>
                <w:i/>
              </w:rPr>
              <w:t>;</w:t>
            </w:r>
            <w:r>
              <w:t xml:space="preserve">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bijlage 5, bijlage bij het verslag van de Commissie aan het Europees Parlement en de Raad over de uitvoering van de herstel- en veerkrachtfaciliteit, 10 oktober 2024.</w:t>
            </w:r>
          </w:p>
        </w:tc>
        <w:tc>
          <w:tcPr>
            <w:tcW w:w="4876" w:type="dxa"/>
            <w:tcBorders>
              <w:top w:val="nil"/>
              <w:left w:val="nil"/>
              <w:bottom w:val="nil"/>
              <w:right w:val="nil"/>
            </w:tcBorders>
          </w:tcPr>
          <w:p>
            <w:pPr>
              <w:pStyle w:val="Normal6a"/>
            </w:pPr>
            <w:r>
              <w:rPr>
                <w:vertAlign w:val="superscript"/>
              </w:rPr>
              <w:t>23</w:t>
            </w:r>
            <w:r>
              <w:t xml:space="preserve"> </w:t>
            </w:r>
            <w:r>
              <w:t>COM(2024)0474, bijlage 5, bijlage bij het verslag van de Commissie aan het Europees Parlement en de Raad over de uitvoering van de herstel- en veerkrachtfaciliteit, 10 oktober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herinnert eraan dat artikel 22, lid 2, punt</w:t>
            </w:r>
            <w:r>
              <w:rPr>
                <w:b/>
                <w:i/>
              </w:rPr>
              <w:t xml:space="preserve"> d)</w:t>
            </w:r>
            <w:r>
              <w:t>, ii), van de RRF-verordening (Verordening (EU) 2021/241) voorziet in de verplichting van de lidstaten om, ten behoeve van de audit en controle en om te voorzien in vergelijkbare informatie over het gebruik van RRF-middelen, de naam van de contractant en de subcontractant te verzamelen wanneer de eindontvanger een aanbestedende dienst is, en dat artikel 25 bis, lid 2, van Verordening (EU) nr. 2023/435</w:t>
            </w:r>
            <w:r>
              <w:rPr>
                <w:vertAlign w:val="superscript"/>
              </w:rPr>
              <w:t>22</w:t>
            </w:r>
            <w:r>
              <w:t>tot wijziging van de RRF-verordening vereist dat de lidstaten informatie bekendmaken over de honderd eindontvangers die het hoogste bedrag aan financiering in het kader van de RRF ontvangen, en dat in het geval van een rechtspersoon de volledige naam en het btw-identificatienummer of het fiscaal identificatienummer van de ontvanger, of een ander uniek identificatiemiddel op nationaal niveau, moet worden bekendgemaakt; merkt op dat de Commissie in haar richtsnoeren voor herstel- en veerkrachtplannen</w:t>
            </w:r>
            <w:r>
              <w:rPr>
                <w:vertAlign w:val="superscript"/>
              </w:rPr>
              <w:t>23</w:t>
            </w:r>
            <w:r>
              <w:t>een eindontvanger omschrijft als de “laatste entiteit die middelen ontvangt en geen contractant of subcontractant is”; is zeer bezorgd over deze interpretatie van het begrip “eindontvanger”, die in strijd is met de bestaande wetgeving; wijst erop dat, indien de Commissie blijft weigeren volledige transparantie te waarborgen, het Parlement alle beschikbare maatregelen zal overwegen om naleving af te dwingen, om te voorkomen dat een soortgelijke interpretatie wordt toegepast op de transparantiebepalingen in andere financiële regelgeving; is van mening dat het aanhoudende verzuim om te zorgen voor een zinvolle publicatie van de eindontvangers ernstige twijfels oproept over het vermogen van het Parlement om op weloverwogen wijze kwijting te verlenen; herinnert eraan dat het Parlement in eerdere kwijtingsresoluties herhaaldelijk ernstige bezorgdheid heeft geuit met betrekking tot de RRF, onder meer over de transparantie van eindbegunstigden, en eist derhalve dat de Commissie binnen zes maanden een volledige en zinvolle lijst van eindbegunstigden indient, met uitsluiting van louter intermediaire entiteiten zoals ministeries of beheersautoriteiten</w:t>
            </w:r>
            <w:r>
              <w:rPr>
                <w:b/>
                <w:i/>
              </w:rPr>
              <w:t>;</w:t>
            </w:r>
            <w:r>
              <w:t xml:space="preserve"> </w:t>
            </w:r>
            <w:r>
              <w:rPr>
                <w:b/>
                <w:i/>
              </w:rPr>
              <w:t>stelt dat</w:t>
            </w:r>
            <w:r>
              <w:t xml:space="preserve">, </w:t>
            </w:r>
            <w:r>
              <w:rPr>
                <w:b/>
                <w:i/>
              </w:rPr>
              <w:t>als dit niet gebeurt, het Parlement de zaak aanhangig zal maken bij het Europees Hof van Justitie</w:t>
            </w:r>
            <w:r>
              <w:t xml:space="preserve"> om ervoor te zorgen dat burgers en belanghebbenden volledige toegang tot deze informatie hebben;</w:t>
            </w:r>
          </w:p>
        </w:tc>
        <w:tc>
          <w:tcPr>
            <w:tcW w:w="4876" w:type="dxa"/>
            <w:tcBorders>
              <w:top w:val="nil"/>
              <w:left w:val="nil"/>
              <w:bottom w:val="nil"/>
              <w:right w:val="nil"/>
            </w:tcBorders>
          </w:tcPr>
          <w:p>
            <w:pPr>
              <w:pStyle w:val="Normal6a"/>
            </w:pPr>
            <w:r>
              <w:t>237.</w:t>
            </w:r>
            <w:r>
              <w:tab/>
            </w:r>
            <w:r>
              <w:t>herinnert eraan dat artikel 22, lid 2, punt</w:t>
            </w:r>
            <w:r>
              <w:rPr>
                <w:b/>
                <w:i/>
              </w:rPr>
              <w:t> d)</w:t>
            </w:r>
            <w:r>
              <w:t>, ii), van de RRF-verordening (Verordening (EU) 2021/241) voorziet in de verplichting van de lidstaten om, ten behoeve van de audit en controle en om te voorzien in vergelijkbare informatie over het gebruik van RRF-middelen, de naam van de contractant en de subcontractant te verzamelen wanneer de eindontvanger een aanbestedende dienst is, en dat artikel 25 bis, lid 2, van Verordening (EU) nr. 2023/435</w:t>
            </w:r>
            <w:r>
              <w:rPr>
                <w:vertAlign w:val="superscript"/>
              </w:rPr>
              <w:t>22</w:t>
            </w:r>
            <w:r>
              <w:t xml:space="preserve"> tot wijziging van de RRF-verordening vereist dat de lidstaten informatie bekendmaken over de honderd eindontvangers die het hoogste bedrag aan financiering in het kader van de RRF ontvangen, en dat in het geval van een rechtspersoon de volledige naam en het btw-identificatienummer of het fiscaal identificatienummer van de ontvanger, of een ander uniek identificatiemiddel op nationaal niveau, moet worden bekendgemaakt; merkt op dat de Commissie in haar richtsnoeren voor herstel- en veerkrachtplannen</w:t>
            </w:r>
            <w:r>
              <w:rPr>
                <w:vertAlign w:val="superscript"/>
              </w:rPr>
              <w:t>23</w:t>
            </w:r>
            <w:r>
              <w:t xml:space="preserve"> een eindontvanger omschrijft als de “laatste entiteit die middelen ontvangt en geen contractant of subcontractant is”; is zeer bezorgd over deze interpretatie van het begrip “eindontvanger”, die in strijd is met de bestaande wetgeving; wijst erop dat, indien de Commissie blijft weigeren volledige transparantie te waarborgen, het Parlement alle beschikbare maatregelen zal overwegen om naleving af te dwingen, om te voorkomen dat een soortgelijke interpretatie wordt toegepast op de transparantiebepalingen in andere financiële regelgeving;is van mening dat het aanhoudende verzuim om te zorgen voor een zinvolle publicatie van de eindontvangers ernstige twijfels oproept over het vermogen van het Parlement om op weloverwogen wijze kwijting te verlenen; herinnert eraan dat het Parlement in eerdere kwijtingsresoluties herhaaldelijk ernstige bezorgdheid heeft geuit met betrekking tot de RRF, onder meer over de transparantie van eindbegunstigden, en eist derhalve dat de Commissie binnen zes maanden een volledige en zinvolle lijst van eindbegunstigden indient, met uitsluiting van louter intermediaire entiteiten zoals ministeries of beheersautoriteiten, om ervoor te zorgen dat burgers en belanghebbenden volledige toegang tot deze informatie hebben;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 (PB L 63 van 28.2.2023, blz. 1</w:t>
            </w:r>
            <w:r>
              <w:rPr>
                <w:b/>
                <w:i/>
              </w:rPr>
              <w:t>,</w:t>
            </w:r>
            <w:r>
              <w:t xml:space="preserve">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 (PB L 63 van 28.2.2023, blz. 1</w:t>
            </w:r>
            <w:r>
              <w:rPr>
                <w:b/>
                <w:i/>
              </w:rPr>
              <w:t>;</w:t>
            </w:r>
            <w:r>
              <w:t xml:space="preserve">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bijlage 5, bijlage bij het verslag van de Commissie aan het Europees Parlement en de Raad over de uitvoering van de herstel- en veerkrachtfaciliteit, 10 oktober 2024.</w:t>
            </w:r>
          </w:p>
        </w:tc>
        <w:tc>
          <w:tcPr>
            <w:tcW w:w="4876" w:type="dxa"/>
            <w:tcBorders>
              <w:top w:val="nil"/>
              <w:left w:val="nil"/>
              <w:bottom w:val="nil"/>
              <w:right w:val="nil"/>
            </w:tcBorders>
          </w:tcPr>
          <w:p>
            <w:pPr>
              <w:pStyle w:val="Normal6a"/>
            </w:pPr>
            <w:r>
              <w:rPr>
                <w:vertAlign w:val="superscript"/>
              </w:rPr>
              <w:t>23</w:t>
            </w:r>
            <w:r>
              <w:t xml:space="preserve"> </w:t>
            </w:r>
            <w:r>
              <w:t>COM(2024)0474, bijlage 5, bijlage bij het verslag van de Commissie aan het Europees Parlement en de Raad over de uitvoering van de herstel- en veerkrachtfaciliteit, 10 oktober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Şerban Dimitrie Sturdza, 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237.</w:t>
            </w:r>
            <w:r>
              <w:tab/>
            </w:r>
            <w:r>
              <w:t>herinnert eraan dat artikel 22, lid 2, punt</w:t>
            </w:r>
            <w:r>
              <w:rPr>
                <w:b/>
                <w:i/>
              </w:rPr>
              <w:t xml:space="preserve"> d)</w:t>
            </w:r>
            <w:r>
              <w:t>, ii), van de RRF-verordening (Verordening (EU) 2021/241) voorziet in de verplichting van de lidstaten om, ten behoeve van de audit en controle en om te voorzien in vergelijkbare informatie over het gebruik van RRF-middelen, de naam van de contractant en de subcontractant te verzamelen wanneer de eindontvanger een aanbestedende dienst is, en dat artikel 25 bis, lid 2, van Verordening (EU) nr. 2023/435</w:t>
            </w:r>
            <w:r>
              <w:rPr>
                <w:vertAlign w:val="superscript"/>
              </w:rPr>
              <w:t>22</w:t>
            </w:r>
            <w:r>
              <w:t>tot wijziging van de RRF-verordening vereist dat de lidstaten informatie bekendmaken over de honderd eindontvangers die het hoogste bedrag aan financiering in het kader van de RRF ontvangen, en dat in het geval van een rechtspersoon de volledige naam en het btw-identificatienummer of het fiscaal identificatienummer van de ontvanger, of een ander uniek identificatiemiddel op nationaal niveau, moet worden bekendgemaakt; merkt op dat de Commissie in haar richtsnoeren voor herstel- en veerkrachtplannen</w:t>
            </w:r>
            <w:r>
              <w:rPr>
                <w:vertAlign w:val="superscript"/>
              </w:rPr>
              <w:t>23</w:t>
            </w:r>
            <w:r>
              <w:t>een eindontvanger omschrijft als de “laatste entiteit die middelen ontvangt en geen contractant of subcontractant is”; is zeer bezorgd over deze interpretatie van het begrip “eindontvanger”, die in strijd is met de bestaande wetgeving; wijst erop dat, indien de Commissie blijft weigeren volledige transparantie te waarborgen, het Parlement alle beschikbare maatregelen zal overwegen om naleving af te dwingen, om te voorkomen dat een soortgelijke interpretatie wordt toegepast op de transparantiebepalingen in andere financiële regelgeving; is van mening dat het aanhoudende verzuim om te zorgen voor een zinvolle publicatie van de eindontvangers ernstige twijfels oproept over het vermogen van het Parlement om op weloverwogen wijze kwijting te verlenen; herinnert eraan dat het Parlement in eerdere kwijtingsresoluties herhaaldelijk ernstige bezorgdheid heeft geuit met betrekking tot de RRF, onder meer over de transparantie van eindbegunstigden, en eist derhalve dat de Commissie binnen zes maanden een volledige en zinvolle lijst van eindbegunstigden indient, met uitsluiting van louter intermediaire entiteiten zoals ministeries of beheersautoriteiten; stelt dat, als dit niet gebeurt, het Parlement de zaak aanhangig zal maken bij het Europees Hof van Justitie om ervoor te zorgen dat burgers en belanghebbenden volledige toegang tot deze informatie hebben;</w:t>
            </w:r>
          </w:p>
        </w:tc>
        <w:tc>
          <w:tcPr>
            <w:tcW w:w="4876" w:type="dxa"/>
            <w:tcBorders>
              <w:top w:val="nil"/>
              <w:left w:val="nil"/>
              <w:bottom w:val="nil"/>
              <w:right w:val="nil"/>
            </w:tcBorders>
          </w:tcPr>
          <w:p>
            <w:pPr>
              <w:pStyle w:val="Normal6a"/>
            </w:pPr>
            <w:r>
              <w:t>237.</w:t>
            </w:r>
            <w:r>
              <w:tab/>
            </w:r>
            <w:r>
              <w:t>herinnert eraan dat artikel 22, lid 2, punt</w:t>
            </w:r>
            <w:r>
              <w:rPr>
                <w:b/>
                <w:i/>
              </w:rPr>
              <w:t> d)</w:t>
            </w:r>
            <w:r>
              <w:t>, ii), van de RRF-verordening (Verordening (EU) 2021/241) voorziet in de verplichting van de lidstaten om, ten behoeve van de audit en controle en om te voorzien in vergelijkbare informatie over het gebruik van RRF-middelen, de naam van de contractant en de subcontractant te verzamelen wanneer de eindontvanger een aanbestedende dienst is, en dat artikel 25 bis, lid 2, van Verordening (EU) nr. 2023/435</w:t>
            </w:r>
            <w:r>
              <w:rPr>
                <w:vertAlign w:val="superscript"/>
              </w:rPr>
              <w:t>22</w:t>
            </w:r>
            <w:r>
              <w:t xml:space="preserve"> tot wijziging van de RRF-verordening vereist dat de lidstaten informatie bekendmaken over de honderd eindontvangers die het hoogste bedrag aan financiering in het kader van de RRF ontvangen, en dat in het geval van een rechtspersoon de volledige naam en het btw-identificatienummer of het fiscaal identificatienummer van de ontvanger, of een ander uniek identificatiemiddel op nationaal niveau, moet worden bekendgemaakt; merkt op dat de Commissie in haar richtsnoeren voor herstel- en veerkrachtplannen</w:t>
            </w:r>
            <w:r>
              <w:rPr>
                <w:vertAlign w:val="superscript"/>
              </w:rPr>
              <w:t>23</w:t>
            </w:r>
            <w:r>
              <w:t xml:space="preserve"> een eindontvanger omschrijft als de “laatste entiteit die middelen ontvangt en geen contractant of subcontractant is”; is zeer bezorgd over deze interpretatie van het begrip “eindontvanger”, die in strijd is met de bestaande wetgeving; wijst erop dat, indien de Commissie blijft weigeren volledige transparantie te waarborgen, het Parlement alle beschikbare maatregelen zal overwegen om naleving af te dwingen, om te voorkomen dat een soortgelijke interpretatie wordt toegepast op de transparantiebepalingen in andere financiële regelgeving;is van mening dat het aanhoudende verzuim om te zorgen voor een zinvolle publicatie van de eindontvangers ernstige twijfels oproept over het vermogen van het Parlement om op weloverwogen wijze kwijting te verlenen; herinnert eraan dat het Parlement in eerdere kwijtingsresoluties herhaaldelijk ernstige bezorgdheid heeft geuit met betrekking tot de RRF, onder meer over de transparantie van eindbegunstigden, en eist derhalve dat de Commissie binnen zes maanden een volledige en zinvolle lijst van eindbegunstigden indient, met uitsluiting van louter intermediaire entiteiten zoals ministeries of beheersautoriteiten; stelt dat, als dit niet gebeurt, het Parlement de zaak aanhangig zal maken bij het Europees Hof van Justitie om ervoor te zorgen dat burgers en belanghebbenden volledige toegang tot deze informatie hebben; </w:t>
            </w:r>
            <w:r>
              <w:rPr>
                <w:b/>
                <w:i/>
              </w:rPr>
              <w:t>benadrukt dat volledige en betrouwbare informatie over de eindontvangers en eindbegunstigden van essentieel belang is om misbruik van middelen te voorkomen, fraude op te sporen en gelijke normen inzake verantwoordingsplicht in alle lidstaten te waarborgen;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 (PB L 63 van 28.2.2023, blz. 1</w:t>
            </w:r>
            <w:r>
              <w:rPr>
                <w:b/>
                <w:i/>
              </w:rPr>
              <w:t>,</w:t>
            </w:r>
            <w:r>
              <w:t xml:space="preserve"> ELI: http://data.europa.eu/eli/reg/2023/435/oj).</w:t>
            </w:r>
          </w:p>
        </w:tc>
        <w:tc>
          <w:tcPr>
            <w:tcW w:w="4876" w:type="dxa"/>
            <w:tcBorders>
              <w:top w:val="nil"/>
              <w:left w:val="nil"/>
              <w:bottom w:val="nil"/>
              <w:right w:val="nil"/>
            </w:tcBorders>
          </w:tcPr>
          <w:p>
            <w:pPr>
              <w:pStyle w:val="Normal6a"/>
            </w:pPr>
            <w:r>
              <w:rPr>
                <w:vertAlign w:val="superscript"/>
              </w:rPr>
              <w:t>22</w:t>
            </w:r>
            <w:r>
              <w:t xml:space="preserve"> </w:t>
            </w:r>
            <w:r>
              <w:t>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 (PB L 63 van 28.2.2023, blz. 1</w:t>
            </w:r>
            <w:r>
              <w:rPr>
                <w:b/>
                <w:i/>
              </w:rPr>
              <w:t>;</w:t>
            </w:r>
            <w:r>
              <w:t xml:space="preserve"> ELI: http://data.europa.eu/eli/reg/2023/435/oj).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COM(2024)0474, bijlage 5, bijlage bij het verslag van de Commissie aan het Europees Parlement en de Raad over de uitvoering van de herstel- en veerkrachtfaciliteit, 10 oktober 2024.</w:t>
            </w:r>
          </w:p>
        </w:tc>
        <w:tc>
          <w:tcPr>
            <w:tcW w:w="4876" w:type="dxa"/>
            <w:tcBorders>
              <w:top w:val="nil"/>
              <w:left w:val="nil"/>
              <w:bottom w:val="nil"/>
              <w:right w:val="nil"/>
            </w:tcBorders>
          </w:tcPr>
          <w:p>
            <w:pPr>
              <w:pStyle w:val="Normal6a"/>
            </w:pPr>
            <w:r>
              <w:rPr>
                <w:vertAlign w:val="superscript"/>
              </w:rPr>
              <w:t>23</w:t>
            </w:r>
            <w:r>
              <w:t xml:space="preserve"> </w:t>
            </w:r>
            <w:r>
              <w:t>COM(2024)0474, bijlage 5, bijlage bij het verslag van de Commissie aan het Europees Parlement en de Raad over de uitvoering van de herstel- en veerkrachtfaciliteit, 10 oktober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239.</w:t>
            </w:r>
            <w:r>
              <w:tab/>
            </w:r>
            <w:r>
              <w:t>benadrukt voorts dat de leden van de commissie CONT de Commissie op 4 februari 2025 hebben verzocht om voor elke lidstaat de lijst te verstrekken van de honderd grootste natuurlijke personen of entiteiten die middelen ontvangen uit de RRF, met inbegrip van contractanten en subcontractanten; vindt het onaanvaardbaar dat slechts zes lidstaten de gevraagde gegevens met de diensten van de Commissie hebben gedeeld en dat een lidstaat te kennen heeft gegeven de lijst in de toekomst te willen delen, terwijl drie andere lidstaten hebben aangegeven de gegevens niet te zullen verstrekken, met het argument dat het verzoek niet in overeenstemming was met de rapportagevereisten uit hoofde van de RRF-verordening, terwijl de overige 17 lidstaten niet op het verzoek van de Commissie hebben gereageerd;</w:t>
            </w:r>
          </w:p>
        </w:tc>
        <w:tc>
          <w:tcPr>
            <w:tcW w:w="4876" w:type="dxa"/>
            <w:tcBorders>
              <w:top w:val="nil"/>
              <w:left w:val="nil"/>
              <w:bottom w:val="nil"/>
              <w:right w:val="nil"/>
            </w:tcBorders>
          </w:tcPr>
          <w:p>
            <w:pPr>
              <w:pStyle w:val="Normal6a"/>
            </w:pPr>
            <w:r>
              <w:t>239.</w:t>
            </w:r>
            <w:r>
              <w:tab/>
            </w:r>
            <w:r>
              <w:t xml:space="preserve">benadrukt voorts dat de leden van de commissie CONT de Commissie op 4 februari 2025 hebben verzocht om voor elke lidstaat de lijst te verstrekken van de honderd grootste natuurlijke personen of entiteiten die middelen ontvangen uit de RRF, met inbegrip van contractanten en subcontractanten; vindt het onaanvaardbaar dat slechts zes lidstaten de gevraagde gegevens met de diensten van de Commissie hebben gedeeld en dat een lidstaat te kennen heeft gegeven de lijst in de toekomst te willen delen, terwijl drie andere lidstaten hebben aangegeven de gegevens niet te zullen verstrekken, met het argument dat het verzoek niet in overeenstemming was met de rapportagevereisten uit hoofde van de RRF-verordening, terwijl de overige 17 lidstaten niet op het verzoek van de Commissie hebben gereageerd; </w:t>
            </w:r>
            <w:r>
              <w:rPr>
                <w:b/>
                <w:i/>
              </w:rPr>
              <w:t>stelt vast dat de leden de lijst ook in voorgaande jaren al hebben opgevraagd, maar geen antwoord van de Commissie hebben ontvangen;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239.</w:t>
            </w:r>
            <w:r>
              <w:tab/>
            </w:r>
            <w:r>
              <w:t>benadrukt voorts dat de leden van de commissie CONT de Commissie op 4 februari 2025 hebben verzocht om voor elke lidstaat de lijst te verstrekken van de honderd grootste natuurlijke personen of entiteiten die middelen ontvangen uit de RRF, met inbegrip van contractanten en subcontractanten; vindt het onaanvaardbaar dat slechts zes lidstaten de gevraagde gegevens met de diensten van de Commissie hebben gedeeld en dat een lidstaat te kennen heeft gegeven de lijst in de toekomst te willen delen, terwijl drie andere lidstaten hebben aangegeven de gegevens niet te zullen verstrekken, met het argument dat het verzoek niet in overeenstemming was met de rapportagevereisten uit hoofde van de RRF-verordening, terwijl de overige 17 lidstaten niet op het verzoek van de Commissie hebben gereageerd;</w:t>
            </w:r>
          </w:p>
        </w:tc>
        <w:tc>
          <w:tcPr>
            <w:tcW w:w="4876" w:type="dxa"/>
            <w:tcBorders>
              <w:top w:val="nil"/>
              <w:left w:val="nil"/>
              <w:bottom w:val="nil"/>
              <w:right w:val="nil"/>
            </w:tcBorders>
          </w:tcPr>
          <w:p>
            <w:pPr>
              <w:pStyle w:val="Normal6a"/>
            </w:pPr>
            <w:r>
              <w:t>239.</w:t>
            </w:r>
            <w:r>
              <w:tab/>
            </w:r>
            <w:r>
              <w:t xml:space="preserve">benadrukt voorts dat de leden van de commissie CONT de Commissie op 4 februari 2025 </w:t>
            </w:r>
            <w:r>
              <w:rPr>
                <w:b/>
                <w:i/>
              </w:rPr>
              <w:t>in verband met de kwijting uit hoofde van artikel 319 VWEU</w:t>
            </w:r>
            <w:r>
              <w:t xml:space="preserve"> hebben verzocht om voor elke lidstaat de lijst te verstrekken van de honderd grootste natuurlijke personen of entiteiten die middelen ontvangen uit de RRF, met inbegrip van contractanten en subcontractanten; vindt het onaanvaardbaar dat slechts zes lidstaten de gevraagde gegevens met de diensten van de Commissie hebben gedeeld en dat een lidstaat te kennen heeft gegeven de lijst in de toekomst te willen delen, terwijl drie andere lidstaten hebben aangegeven de gegevens niet te zullen verstrekken, met het argument dat het verzoek niet in overeenstemming was met de rapportagevereisten uit hoofde van de RRF-verordening, terwijl de overige 17 lidstaten niet op het verzoek van de Commissie hebben gereageerd;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239 bis.</w:t>
            </w:r>
            <w:r>
              <w:tab/>
            </w:r>
            <w:r>
              <w:rPr>
                <w:b/>
                <w:i/>
              </w:rPr>
              <w:t>herinnert eraan dat de herstel- en veerkrachtfaciliteit een cruciale bijdrage heeft geleverd aan het voorkomen van een ernstige economische neergang en sociale crisis als gevolg van de COVID-19-pandemie, en aan haar vermogen om een krachtig crisisresponsinstrument te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239 bis.</w:t>
            </w:r>
            <w:r>
              <w:tab/>
            </w:r>
            <w:r>
              <w:rPr>
                <w:b/>
                <w:i/>
              </w:rPr>
              <w:t>betreurt dat de Rekenkamer een oordeel met beperking heeft moeten afgeven over de wettigheid en regelmatigheid van de uitgaven in het kader van de herstel- en veerkrachtfaciliteit (RRF);</w:t>
            </w:r>
            <w:r>
              <w:t xml:space="preserve"> </w:t>
            </w:r>
            <w:r>
              <w:rPr>
                <w:b/>
                <w:i/>
              </w:rPr>
              <w:t>betreurt in dit verband de inzet van dit nieuwe, zogenaamd tijdelijke en flexibele, maar uiterst kostbare type instrument, dat de Europese Rekenkamer regelmatig bekritiseert wegens gebrek aan transparantie bij het behalen van mijlpalen en doelstellingen en wegens gebrek aan objectiviteit bij het verstrekken van financiële middelen, en dat volledig in handen van de Commissie ligt;</w:t>
            </w:r>
            <w:r>
              <w:t xml:space="preserve"> </w:t>
            </w:r>
            <w:r>
              <w:rPr>
                <w:b/>
                <w:i/>
              </w:rPr>
              <w:t>bekritiseert de geplande ontwikkeling van dit type instrument, dat weinig garanties voor follow-up en dus weinig bescherming van de financiële belangen van de Unie biedt;</w:t>
            </w:r>
            <w:r>
              <w:t xml:space="preserve"> </w:t>
            </w:r>
            <w:r>
              <w:rPr>
                <w:b/>
                <w:i/>
              </w:rPr>
              <w:t>laakt voorts dat de Unie door de enorme schuld die dit type instrument genereert in een afhankelijkheidspositie ten opzichte van haar crediteuren terechtgekomen is en mogelijk het risico loopt op inmenging van buitenaf;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Tomáš Zdechovský, Jacek Protas,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iv)</w:t>
            </w:r>
            <w:r>
              <w:tab/>
            </w:r>
            <w:r>
              <w:rPr>
                <w:b/>
                <w:i/>
              </w:rPr>
              <w:t>te overwegen de betalingen aan Polen op te schorten als de twee supermijlpalen ter versterking van de onafhankelijkheid en onpartijdigheid van de rechterlijke macht niet of slechts gedeeltelijk worden gehaald;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rPr>
                <w:b/>
                <w:i/>
              </w:rPr>
              <w:t>te overwegen de betalingen aan</w:t>
            </w:r>
            <w:r>
              <w:t xml:space="preserve"> Polen </w:t>
            </w:r>
            <w:r>
              <w:rPr>
                <w:b/>
                <w:i/>
              </w:rPr>
              <w:t>op te schorten als de twee supermijlpalen ter versterking van de onafhankelijkheid en onpartijdigheid van de rechterlijke macht niet of slechts gedeeltelijk worden gehaald</w:t>
            </w:r>
            <w:r>
              <w:t>;</w:t>
            </w:r>
          </w:p>
        </w:tc>
        <w:tc>
          <w:tcPr>
            <w:tcW w:w="4876" w:type="dxa"/>
            <w:tcBorders>
              <w:top w:val="nil"/>
              <w:left w:val="nil"/>
              <w:bottom w:val="nil"/>
              <w:right w:val="nil"/>
            </w:tcBorders>
          </w:tcPr>
          <w:p>
            <w:pPr>
              <w:pStyle w:val="Normal6a"/>
            </w:pPr>
            <w:r>
              <w:t>iv)</w:t>
            </w:r>
            <w:r>
              <w:tab/>
            </w:r>
            <w:r>
              <w:rPr>
                <w:b/>
                <w:i/>
              </w:rPr>
              <w:t>wijst erop dat in</w:t>
            </w:r>
            <w:r>
              <w:t xml:space="preserve"> Polen </w:t>
            </w:r>
            <w:r>
              <w:rPr>
                <w:b/>
                <w:i/>
              </w:rPr>
              <w:t>misbruik aan het licht is gekomen van een deel van het herstelplan na COVID-19 via een programma van 2 400 door de EU gefinancierde subsidies ter waarde van 282 miljoen EUR die waren bedoeld voor hotels, restaurants, en culturele centra nadat in het kader van een campagne voor meer transparantie werd onthuld dat subsidies zijn verstrekt voor jachten, wodkabars en een bedrijf dat op hetzelfde adres was geregistreerd als een swingerclub</w:t>
            </w:r>
            <w:r>
              <w:rPr>
                <w:b/>
                <w:i/>
                <w:vertAlign w:val="superscript"/>
              </w:rPr>
              <w:t>8 bis</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 bis</w:t>
            </w:r>
            <w:r>
              <w:t xml:space="preserve"> </w:t>
            </w:r>
            <w:r>
              <w:rPr>
                <w:b/>
                <w:i/>
              </w:rPr>
              <w:t>https://www.politico.eu/article/poland-freezes-covid-cash-payouts-after-swingers-club-and-yacht-storm/.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dringend fraudedetectiemechanismen te versterken, met inbegrip van het gebruik van een verplichte frauderisicobeoordeling voor alle grootschalige RRF‑projecten;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v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bis)</w:t>
            </w:r>
            <w:r>
              <w:tab/>
            </w:r>
            <w:r>
              <w:rPr>
                <w:b/>
                <w:i/>
              </w:rPr>
              <w:t>betreurt het feit dat de toegang van de Rekenkamer tot FENIX, het rapportage-instrument voor de RRF, nog steeds een openstaande kwestie is;</w:t>
            </w:r>
            <w:r>
              <w:t xml:space="preserve"> </w:t>
            </w:r>
            <w:r>
              <w:rPr>
                <w:b/>
                <w:i/>
              </w:rPr>
              <w:t>eist dat de Commissie onverwijld een bindende interinstitutionele regeling te treffen om ervoor te zorgen dat de Rekenkamer volledige, systematische en realtimetoegang heeft tot alle relevante databanken, waaronder Arachne en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de bepalingen met betrekking tot de “eindontvangers” consistent en nauwkeurig toe te passen door haar richtsnoeren over herstel- en veerkrachtplannen te herzien, met de lidstaten over de correcte toepassing van de definitie van “eindontvangers” te communiceren en de kwijtingsautoriteit binnen zes maanden een volledige en zinvolle lijst van eindbegunstigden te verstrekken, met uitsluiting van louter intermediaire entiteiten zoals ministeries of beheersautoriteiten;</w:t>
            </w:r>
          </w:p>
        </w:tc>
        <w:tc>
          <w:tcPr>
            <w:tcW w:w="4876" w:type="dxa"/>
            <w:tcBorders>
              <w:top w:val="nil"/>
              <w:left w:val="nil"/>
              <w:bottom w:val="nil"/>
              <w:right w:val="nil"/>
            </w:tcBorders>
          </w:tcPr>
          <w:p>
            <w:pPr>
              <w:pStyle w:val="Normal6a"/>
            </w:pPr>
            <w:r>
              <w:t>vi)</w:t>
            </w:r>
            <w:r>
              <w:tab/>
            </w:r>
            <w:r>
              <w:t xml:space="preserve">de bepalingen met betrekking tot de “eindontvangers” </w:t>
            </w:r>
            <w:r>
              <w:rPr>
                <w:b/>
                <w:i/>
              </w:rPr>
              <w:t>van de RRF-verordening</w:t>
            </w:r>
            <w:r>
              <w:t xml:space="preserve"> consistent en nauwkeurig toe te passen door haar richtsnoeren over herstel- en veerkrachtplannen te herzien, met de lidstaten over de correcte toepassing van de definitie van “eindontvangers” te communiceren</w:t>
            </w:r>
            <w:r>
              <w:rPr>
                <w:b/>
                <w:i/>
              </w:rPr>
              <w:t>, en meer gestandaardiseerde en vergelijkbare verslagleggingsformaten voor alle lidstaten vast te stellen, met inbegrip van uitgebreide en betrouwbare gegevens over eindontvangers en eindbegunstigden, teneinde een goede beoordeling te kunnen uitvoeren van de prestaties, het effect en de toegevoegde waarde van RRF-uitgaven, die gefinancierd worden met belastinggeld,</w:t>
            </w:r>
            <w:r>
              <w:t xml:space="preserve"> en de kwijtingsautoriteit binnen zes maanden een volledige en zinvolle lijst van eindbegunstigden te verstrekken, met uitsluiting van louter intermediaire entiteiten zoals ministeries of beheersautoriteiten;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de bepalingen met betrekking tot de “eindontvangers” consistent en nauwkeurig toe te passen </w:t>
            </w:r>
            <w:r>
              <w:rPr>
                <w:b/>
                <w:i/>
              </w:rPr>
              <w:t>door haar richtsnoeren over herstel- en veerkrachtplannen te herzien, met</w:t>
            </w:r>
            <w:r>
              <w:t xml:space="preserve"> de lidstaten over de </w:t>
            </w:r>
            <w:r>
              <w:rPr>
                <w:b/>
                <w:i/>
              </w:rPr>
              <w:t>correcte toepassing van de definitie van “eindontvangers” te communiceren en</w:t>
            </w:r>
            <w:r>
              <w:t xml:space="preserve"> de kwijtingsautoriteit </w:t>
            </w:r>
            <w:r>
              <w:rPr>
                <w:b/>
                <w:i/>
              </w:rPr>
              <w:t>binnen zes maanden een volledige en zinvolle lijst van eindbegunstigden te verstrekken</w:t>
            </w:r>
            <w:r>
              <w:t>, met uitsluiting van louter intermediaire entiteiten zoals ministeries of beheersautoriteiten;</w:t>
            </w:r>
          </w:p>
        </w:tc>
        <w:tc>
          <w:tcPr>
            <w:tcW w:w="4876" w:type="dxa"/>
            <w:tcBorders>
              <w:top w:val="nil"/>
              <w:left w:val="nil"/>
              <w:bottom w:val="nil"/>
              <w:right w:val="nil"/>
            </w:tcBorders>
          </w:tcPr>
          <w:p>
            <w:pPr>
              <w:pStyle w:val="Normal6a"/>
            </w:pPr>
            <w:r>
              <w:t>vi)</w:t>
            </w:r>
            <w:r>
              <w:tab/>
            </w:r>
            <w:r>
              <w:t xml:space="preserve">de bepalingen met betrekking tot de “eindontvangers” </w:t>
            </w:r>
            <w:r>
              <w:rPr>
                <w:b/>
                <w:i/>
              </w:rPr>
              <w:t>van de RRF-verordening</w:t>
            </w:r>
            <w:r>
              <w:t xml:space="preserve"> consistent en nauwkeurig toe te passen </w:t>
            </w:r>
            <w:r>
              <w:rPr>
                <w:b/>
                <w:i/>
              </w:rPr>
              <w:t>om ervoor te zorgen dat</w:t>
            </w:r>
            <w:r>
              <w:t xml:space="preserve"> de lidstaten </w:t>
            </w:r>
            <w:r>
              <w:rPr>
                <w:b/>
                <w:i/>
              </w:rPr>
              <w:t>gegevens verzamelen en verstrekken</w:t>
            </w:r>
            <w:r>
              <w:t xml:space="preserve"> over de </w:t>
            </w:r>
            <w:r>
              <w:rPr>
                <w:b/>
                <w:i/>
              </w:rPr>
              <w:t>laatste entiteiten die middelen ontvangen, en deze informatie ter beschikking stellen van</w:t>
            </w:r>
            <w:r>
              <w:t xml:space="preserve"> de kwijtingsautoriteit, met uitsluiting van louter intermediaire entiteiten zoals ministeries of beheersautoriteiten;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de bepalingen met betrekking tot de “eindontvangers” consistent en nauwkeurig toe te passen door haar richtsnoeren over herstel- en veerkrachtplannen te herzien, met de lidstaten over de correcte toepassing van de definitie van “eindontvangers” te communiceren en de kwijtingsautoriteit </w:t>
            </w:r>
            <w:r>
              <w:rPr>
                <w:b/>
                <w:i/>
              </w:rPr>
              <w:t>binnen zes maanden</w:t>
            </w:r>
            <w:r>
              <w:t xml:space="preserve"> een volledige en zinvolle lijst van eindbegunstigden te verstrekken, met uitsluiting van louter intermediaire entiteiten zoals ministeries of beheersautoriteiten;</w:t>
            </w:r>
          </w:p>
        </w:tc>
        <w:tc>
          <w:tcPr>
            <w:tcW w:w="4876" w:type="dxa"/>
            <w:tcBorders>
              <w:top w:val="nil"/>
              <w:left w:val="nil"/>
              <w:bottom w:val="nil"/>
              <w:right w:val="nil"/>
            </w:tcBorders>
          </w:tcPr>
          <w:p>
            <w:pPr>
              <w:pStyle w:val="Normal6a"/>
            </w:pPr>
            <w:r>
              <w:t>vi)</w:t>
            </w:r>
            <w:r>
              <w:tab/>
            </w:r>
            <w:r>
              <w:t xml:space="preserve">de bepalingen met betrekking tot de “eindontvangers” </w:t>
            </w:r>
            <w:r>
              <w:rPr>
                <w:b/>
                <w:i/>
              </w:rPr>
              <w:t>van de RRF-verordening</w:t>
            </w:r>
            <w:r>
              <w:t xml:space="preserve"> consistent en nauwkeurig toe te passen door haar richtsnoeren over herstel- en veerkrachtplannen te herzien, met de lidstaten over de correcte toepassing van de definitie van “eindontvangers” te communiceren en de kwijtingsautoriteit een volledige en zinvolle lijst van eindbegunstigden te verstrekken, met uitsluiting van louter intermediaire entiteiten zoals ministeries of beheersautoriteiten;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vi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bis)</w:t>
            </w:r>
            <w:r>
              <w:tab/>
            </w:r>
            <w:r>
              <w:rPr>
                <w:b/>
                <w:i/>
              </w:rPr>
              <w:t>dringt aan op meer transparantie in de RRF door de tijdige publicatie van beoordelingen van de Commissie, nationale verslagen, audits en herstelmaatregelen in een toegankelijk en verifieerbaar formaat, zodat het Parlement, de Rekenkamer en de burgers naar behoren toezicht kunnen uitoefenen;</w:t>
            </w:r>
            <w:r>
              <w:t xml:space="preserve"> </w:t>
            </w:r>
            <w:r>
              <w:rPr>
                <w:b/>
                <w:i/>
              </w:rPr>
              <w:t>is voorstander van een gelaagde aanpak van toegang — volledige realtimetoegang voor de Rekenkamer, onbeperkte informatierechten voor het Parlement en transparante publieke toegang in overeenstemming met de uitspraken van het HvJ-EU — waarbij de naleving van de AVG en de EU-regels inzake gegevensbescherming wordt gewaarborgd;</w:t>
            </w:r>
            <w:r>
              <w:t xml:space="preserve"> </w:t>
            </w:r>
            <w:r>
              <w:rPr>
                <w:b/>
                <w:i/>
              </w:rPr>
              <w:t>benadrukt dat gepubliceerde gegevens de daadwerkelijke uitvoering en resultaten van projecten moeten weerspiegelen;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te zorgen voor consistente prestatie-informatie in het MFK voor de periode na 2027 door het vaststellen van één reeks duidelijk omschreven beleidsterreinen en een consistente methode om uitdagingen, doelstellingen, maatregelen, financiering en prestatie-indicatoren aan één of meer beleidsterreinen te koppelen;</w:t>
            </w:r>
          </w:p>
        </w:tc>
        <w:tc>
          <w:tcPr>
            <w:tcW w:w="4876" w:type="dxa"/>
            <w:tcBorders>
              <w:top w:val="nil"/>
              <w:left w:val="nil"/>
              <w:bottom w:val="nil"/>
              <w:right w:val="nil"/>
            </w:tcBorders>
          </w:tcPr>
          <w:p>
            <w:pPr>
              <w:pStyle w:val="Normal6a"/>
            </w:pPr>
            <w:r>
              <w:t>vii)</w:t>
            </w:r>
            <w:r>
              <w:tab/>
            </w:r>
            <w:r>
              <w:t>te zorgen voor consistente prestatie-informatie in het MFK voor de periode na 2027 door het vaststellen van één reeks duidelijk omschreven beleidsterreinen en een consistente methode om uitdagingen, doelstellingen, maatregelen, financiering en prestatie-indicatoren aan één of meer beleidsterreinen te koppelen</w:t>
            </w:r>
            <w:r>
              <w:rPr>
                <w:b/>
                <w:i/>
              </w:rPr>
              <w:t>, onder meer door het gebruik van geharmoniseerde rapportagekaders en meetbare, vergelijkbare indicatoren in alle lidstaten, om een duidelijke beoordeling mogelijk te maken van de resultaten, efficiëntie en waarde voor de financiering van de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voor de herziening van instrumenten en verordeningen na 2026 voor te stellen dat de lidstaten verplicht vermoedelijke fraude en onregelmatigheden melden aan de hand van een geharmoniseerde taxonomie die is afgestemd op de normen en behoeften van OLAF/EOM</w:t>
            </w:r>
            <w:r>
              <w:rPr>
                <w:b/>
                <w:i/>
              </w:rPr>
              <w:t>, en sancties opnemen voor systemische onderrapportage.</w:t>
            </w:r>
          </w:p>
        </w:tc>
        <w:tc>
          <w:tcPr>
            <w:tcW w:w="4876" w:type="dxa"/>
            <w:tcBorders>
              <w:top w:val="nil"/>
              <w:left w:val="nil"/>
              <w:bottom w:val="nil"/>
              <w:right w:val="nil"/>
            </w:tcBorders>
          </w:tcPr>
          <w:p>
            <w:pPr>
              <w:pStyle w:val="Normal6a"/>
            </w:pPr>
            <w:r>
              <w:t>x)</w:t>
            </w:r>
            <w:r>
              <w:tab/>
            </w:r>
            <w:r>
              <w:t>voor de herziening van instrumenten en verordeningen na 2026 voor te stellen dat de lidstaten verplicht vermoedelijke fraude en onregelmatigheden melden aan de hand van een geharmoniseerde taxonomie die is afgestemd op de normen en behoeften van OLAF/EOM</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x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 bis)</w:t>
            </w:r>
            <w:r>
              <w:tab/>
            </w:r>
            <w:r>
              <w:rPr>
                <w:b/>
                <w:i/>
              </w:rPr>
              <w:t>een macro-economische evaluatie uit te voeren met als doel de doeltreffendheid en efficiëntie van de EU-steun aan de lidstaten via de herstel- en veerkrachtfaciliteit te beoordelen, met inbegrip van de mate waarin de steun tijdig is verleend en in verhouding staat tot de beoogde doelstellingen van de faciliteit, met name het herstel van de COVID-19-crisis, en deze te delen met de kwijtingsautoriteit;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x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 bis)</w:t>
            </w:r>
            <w:r>
              <w:tab/>
            </w:r>
            <w:r>
              <w:rPr>
                <w:b/>
                <w:i/>
              </w:rPr>
              <w:t>nauw samen te werken met de lidstaten, met name die met beperkingen op het gebied van administratieve capaciteit, door gerichte technische bijstand te verlenen en richtsnoeren te verstrekken om de volledige en doeltreffende uitvoering van RRF-investeringen en -hervormingen in alle lidstaten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x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 bis)</w:t>
            </w:r>
            <w:r>
              <w:tab/>
            </w:r>
            <w:r>
              <w:rPr>
                <w:b/>
                <w:i/>
              </w:rPr>
              <w:t>roept op tot de invoering van voorspellende analytische tools op basis van AI en machinaal leren, waarmee auditors in real time risicobeoordelingen kunnen uitvoeren en afwijkingen effectiever kunnen vaststellen;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241 – punt x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 ter)</w:t>
            </w:r>
            <w:r>
              <w:tab/>
            </w:r>
            <w:r>
              <w:rPr>
                <w:b/>
                <w:i/>
              </w:rPr>
              <w:t>verzoekt de Commissie meer gestandaardiseerde en vergelijkbare rapportageformaten in alle lidstaten te eisen, met inbegrip van uitgebreide en betrouwbare gegevens over eindontvangers en eindbegunstigden, teneinde een goede beoordeling te kunnen uitvoeren van de prestaties, het effect en de toegevoegde waarde van RRF-uitgaven, die gefinancierd worden met belastinggeld;</w:t>
            </w:r>
            <w:r>
              <w:t xml:space="preserve"> </w:t>
            </w:r>
            <w:r>
              <w:rPr>
                <w:b/>
                <w:i/>
              </w:rPr>
              <w:t>verzoekt de Commissie van volledige transparantie en traceerbaarheid van RRF-financiering een kernvoorwaarde voor uitbetaling te maken wanneer ernstige tekortkomingen in de nationale rapportage- of controlesystemen worden vastgesteld, en ten volle gebruik te maken van haar toezichts-, audit- en corrigerende bevoegdheden uit hoofde van het RRF-kader om te zorgen voor geharmoniseerde, betrouwbare en tijdige verslaglegging in de hele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784.513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188</w:t>
    </w:r>
    <w:r>
      <w:fldChar w:fldCharType="end"/>
    </w:r>
    <w:r>
      <w:t>/</w:t>
    </w:r>
    <w:r>
      <w:fldChar w:fldCharType="begin"/>
    </w:r>
    <w:r>
      <w:instrText xml:space="preserve"> NUMPAGES </w:instrText>
    </w:r>
    <w:r>
      <w:fldChar w:fldCharType="separate"/>
    </w:r>
    <w:r>
      <w:t>188</w:t>
    </w:r>
    <w:r>
      <w:fldChar w:fldCharType="end"/>
    </w:r>
    <w:r>
      <w:tab/>
    </w:r>
    <w:r>
      <w:rPr>
        <w:rStyle w:val="HideTWBExt"/>
      </w:rPr>
      <w:t>&lt;PathFdR&gt;</w:t>
    </w:r>
    <w:r>
      <w:t>AM\1337951NL.docx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AM\1337951NL.docx</w:t>
    </w:r>
    <w:r>
      <w:rPr>
        <w:rStyle w:val="HideTWBExt"/>
      </w:rPr>
      <w:t>&lt;/PathFdR&gt;</w:t>
    </w:r>
    <w:r>
      <w:tab/>
    </w:r>
    <w:r>
      <w:fldChar w:fldCharType="begin"/>
    </w:r>
    <w:r>
      <w:instrText xml:space="preserve"> PAGE </w:instrText>
    </w:r>
    <w:r>
      <w:fldChar w:fldCharType="separate"/>
    </w:r>
    <w:r>
      <w:t>187</w:t>
    </w:r>
    <w:r>
      <w:fldChar w:fldCharType="end"/>
    </w:r>
    <w:r>
      <w:t>/</w:t>
    </w:r>
    <w:r>
      <w:fldChar w:fldCharType="begin"/>
    </w:r>
    <w:r>
      <w:instrText xml:space="preserve"> NUMPAGES </w:instrText>
    </w:r>
    <w:r>
      <w:fldChar w:fldCharType="separate"/>
    </w:r>
    <w:r>
      <w:t>188</w:t>
    </w:r>
    <w:r>
      <w:fldChar w:fldCharType="end"/>
    </w:r>
    <w:r>
      <w:tab/>
    </w:r>
    <w:r>
      <w:t>PE</w:t>
    </w:r>
    <w:r>
      <w:rPr>
        <w:rStyle w:val="HideTWBExt"/>
      </w:rPr>
      <w:t>&lt;NoPE&gt;</w:t>
    </w:r>
    <w:r>
      <w:t>784.513</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AM\1337951NL.docx</w:t>
    </w:r>
    <w:r>
      <w:rPr>
        <w:rStyle w:val="HideTWBExt"/>
      </w:rPr>
      <w:t>&lt;/PathFdR&gt;</w:t>
    </w:r>
    <w:r>
      <w:tab/>
    </w:r>
    <w:r>
      <w:tab/>
    </w:r>
    <w:r>
      <w:t>PE</w:t>
    </w:r>
    <w:r>
      <w:rPr>
        <w:rStyle w:val="HideTWBExt"/>
      </w:rPr>
      <w:t>&lt;NoPE&gt;</w:t>
    </w:r>
    <w:r>
      <w:t>784.513</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188</Pages>
  <Words>50704</Words>
  <Characters>306577</Characters>
  <Application>Microsoft Office Word</Application>
  <DocSecurity>0</DocSecurity>
  <Lines>1</Lines>
  <Paragraphs>2278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1337951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407084</vt:lpwstr>
  </property>
  <property fmtid="{D5CDD505-2E9C-101B-9397-08002B2CF9AE}" pid="7" name="dmxml.render.traceId">
    <vt:lpwstr>69affbd3aab47f1929d03d8e4a383908</vt:lpwstr>
  </property>
  <property fmtid="{D5CDD505-2E9C-101B-9397-08002B2CF9AE}" pid="8" name="FooterPath">
    <vt:lpwstr>AM\1337951NL.docx</vt:lpwstr>
  </property>
  <property fmtid="{D5CDD505-2E9C-101B-9397-08002B2CF9AE}" pid="9" name="PE Number">
    <vt:lpwstr>784.513</vt:lpwstr>
  </property>
  <property fmtid="{D5CDD505-2E9C-101B-9397-08002B2CF9AE}" pid="10" name="UID">
    <vt:lpwstr>eu.europa.europarl-DIN1-2026-0000041769_01.00-nl-01.00_text-xml</vt:lpwstr>
  </property>
</Properties>
</file>