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Výbor pro rozpočtovou kontrolu</w:t>
      </w:r>
      <w:r>
        <w:rPr>
          <w:rStyle w:val="HideTWBExt"/>
        </w:rPr>
        <w:t>&lt;/Commission&gt;</w:t>
      </w:r>
    </w:p>
    <w:p>
      <w:pPr>
        <w:pStyle w:val="LineBottom"/>
      </w:pPr>
      <w:r>
        <w:t xml:space="preserve"> </w:t>
      </w:r>
    </w:p>
    <w:p>
      <w:pPr>
        <w:pStyle w:val="CoverReference"/>
      </w:pPr>
      <w:r>
        <w:rPr>
          <w:rStyle w:val="HideTWBExt"/>
        </w:rPr>
        <w:t>&lt;RefProc&gt;</w:t>
      </w:r>
      <w:r>
        <w:t>2025/2121</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{26/06/2026}</w:t>
      </w:r>
      <w:r>
        <w:t>26. 6. 2026</w:t>
      </w:r>
      <w:r>
        <w:rPr>
          <w:rStyle w:val="HideTWBExt"/>
        </w:rPr>
        <w:t>&lt;/Date&gt;</w:t>
      </w:r>
    </w:p>
    <w:p>
      <w:pPr>
        <w:pStyle w:val="CoverDocType"/>
      </w:pPr>
      <w:r>
        <w:rPr>
          <w:rStyle w:val="HideTWBExt"/>
        </w:rPr>
        <w:t>&lt;TypeAM&gt;</w:t>
      </w:r>
      <w:r>
        <w:t>POZMĚŇOVACÍ NÁVRHY</w:t>
      </w:r>
      <w:r>
        <w:rPr>
          <w:rStyle w:val="HideTWBExt"/>
        </w:rPr>
        <w:t>&lt;/TypeAM&gt;</w:t>
      </w:r>
    </w:p>
    <w:p>
      <w:pPr>
        <w:pStyle w:val="CoverDocType24a"/>
      </w:pPr>
      <w:r>
        <w:rPr>
          <w:rStyle w:val="HideTWBExt"/>
        </w:rPr>
        <w:t>&lt;RangeAM&gt;</w:t>
      </w:r>
      <w:r>
        <w:t>1</w:t>
      </w:r>
      <w:r>
        <w:t xml:space="preserve"> - </w:t>
      </w:r>
      <w:r>
        <w:t>84</w:t>
      </w:r>
      <w:r>
        <w:rPr>
          <w:rStyle w:val="HideTWBExt"/>
        </w:rPr>
        <w:t>&lt;/RangeAM&gt;</w:t>
      </w:r>
    </w:p>
    <w:p>
      <w:pPr>
        <w:pStyle w:val="CoverBold"/>
      </w:pPr>
      <w:r>
        <w:rPr>
          <w:rStyle w:val="HideTWBExt"/>
        </w:rPr>
        <w:t>&lt;TitreType&gt;</w:t>
      </w:r>
      <w:r>
        <w:t>Návrh zprávy</w:t>
      </w:r>
      <w:r>
        <w:rPr>
          <w:rStyle w:val="HideTWBExt"/>
        </w:rPr>
        <w:t>&lt;/TitreType&gt;</w:t>
      </w:r>
    </w:p>
    <w:p>
      <w:pPr>
        <w:pStyle w:val="CoverBold"/>
      </w:pPr>
      <w:r>
        <w:rPr>
          <w:rStyle w:val="HideTWBExt"/>
        </w:rPr>
        <w:t>&lt;Rapporteur&gt;</w:t>
      </w:r>
      <w:r>
        <w:t>Ondřej Knotek</w:t>
      </w:r>
      <w:r>
        <w:rPr>
          <w:rStyle w:val="HideTWBExt"/>
        </w:rPr>
        <w:t>&lt;/Rapporteur&gt;</w:t>
      </w:r>
    </w:p>
    <w:p>
      <w:pPr>
        <w:pStyle w:val="CoverNormal24a"/>
      </w:pPr>
      <w:r>
        <w:rPr>
          <w:rStyle w:val="HideTWBExt"/>
        </w:rPr>
        <w:t>&lt;DocRefPE&gt;</w:t>
      </w:r>
      <w:r>
        <w:t>(PE789.092v01-00)</w:t>
      </w:r>
      <w:r>
        <w:rPr>
          <w:rStyle w:val="HideTWBExt"/>
        </w:rPr>
        <w:t>&lt;/DocRefPE&gt;</w:t>
      </w:r>
    </w:p>
    <w:p>
      <w:pPr>
        <w:pStyle w:val="CoverNormal"/>
      </w:pPr>
      <w:r>
        <w:rPr>
          <w:rStyle w:val="HideTWBExt"/>
        </w:rPr>
        <w:t>&lt;Titre&gt;</w:t>
      </w:r>
      <w:r>
        <w:t>Boj proti podvodům v oblasti DPH – účinnost přeshraniční spolupráce v oblasti podvodů v oblasti DPH a její dopad na rozpočet EU</w:t>
      </w:r>
      <w:r>
        <w:rPr>
          <w:rStyle w:val="HideTWBExt"/>
        </w:rPr>
        <w:t>&lt;/Titre&gt;</w:t>
      </w:r>
    </w:p>
    <w:p>
      <w:pPr>
        <w:pStyle w:val="CoverNormal24a"/>
      </w:pPr>
      <w:r>
        <w:rPr>
          <w:rStyle w:val="HideTWBExt"/>
        </w:rPr>
        <w:t>&lt;DocRef&gt;</w:t>
      </w:r>
      <w:r>
        <w:t>(2025/2121(INI))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Pozměňovací návrh</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7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Komise ze dne 25. července 2025 nazvanou „36. výroční zpráva o ochraně finančních zájmů Evropské unie a boji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7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Komise ze dne 8. července 2025 nazvanou „Zpráva o právním státu 2025 – stav právního státu v Evropské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8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zvláštní zprávu Evropského účetního dvora (EÚD) 03/2024 ze dne 22. února 2024 nazvanou „Právní stát v EU – rámec pro ochranu finančních zájmů EU se zlepšil, ale rizika přetrvávají“,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vzhledem k tomu, že úřad EPPO působí prostřednictvím evropských pověřených žalobců začleněných do vnitrostátních systémů soudnictví, takže jeho účinnost proti přeshraničním podvodům v oblasti DPH přímo závisí na nezávislosti a kapacitě těchto vnitrostátních soudů;</w:t>
            </w:r>
            <w:r>
              <w:t xml:space="preserve"> </w:t>
            </w:r>
            <w:r>
              <w:rPr>
                <w:b/>
                <w:i/>
              </w:rPr>
              <w:t>vzhledem k tomu, že ochrana finančních zájmů Unie je proto neoddělitelná od dodržování nástrojů právního státu, včetně rozpočtové podmíněnosti, a musí být důsledně uplatňována, aby byly chráněny vlastní zdroje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vzhledem k tomu, že DPH zůstává základním fiskálním kamenem členských států EU, když představuje přibližně jednu pětinu všech vnitrostátních příjmů, i Unie, přičemž v roce 2024 přispěla do rozpočtu EU přibližně 15 procenty, tj. 23 miliardami EUR;</w:t>
            </w:r>
            <w:r>
              <w:t xml:space="preserve"> </w:t>
            </w:r>
            <w:r>
              <w:rPr>
                <w:b/>
                <w:i/>
              </w:rPr>
              <w:t>vzhledem k tomu, že ztráty příjmů v důsledku domácích nebo přeshraničních podvodů proto představují rozpočtovou výzvu jak na vnitrostátní úrovni, tak na úrovni EU, a zároveň narušují rovné podmínky pro podniky na jednotném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vzhledem k tomu, že právní stát je základní hodnotou EU a že dodržování zásad právního státu je základním předpokladem pro ochranu finančních zájmů Unie, včetně jejích příjmů;</w:t>
            </w:r>
            <w:r>
              <w:t xml:space="preserve"> </w:t>
            </w:r>
            <w:r>
              <w:rPr>
                <w:b/>
                <w:i/>
              </w:rPr>
              <w:t>vzhledem k tomu, že nedostatky v oblasti právního státu zvyšují rizika pro finanční zájmy EU, neboť jejich ochrana závisí na nezávislém soudnictví, nezávislých orgánech pro boj proti podvodům a svobodných sdělovacích prostředcích a občanské společnosti;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vzhledem k tomu, že zvláštní zpráva EÚD č. 26/2025 zjistila, že ačkoli úřady OLAF, EPPO, Europol a Eurojust mají jasně vymezené a nepřekrývající se mandáty, přetrvávající nedostatky ve výměně informací mezi jednotlivými orgány významně ovlivňují počet a včasnost vyšetřování; vzhledem k tomu, že EÚD rovněž zjistil, že Komise nemá odpovídající mechanismy dohledu, které by ověřovaly, zda byly částky skutečně získány zpět v plné výši na základě soudních příkazů; vzhledem k tomu, že v usneseních Parlamentu o ochraně finančních zájmů soustavně zaznívají požadavky na důslednější podávání zpráv o zpětném získávání prostředků a Komise se v nich naléhavě vyzývá, aby v účetních zprávách zaměřených na hmatatelné výsledky poskytovala měřitelné údaje;</w:t>
            </w:r>
          </w:p>
        </w:tc>
        <w:tc>
          <w:tcPr>
            <w:tcW w:w="4876" w:type="dxa"/>
            <w:tcBorders>
              <w:top w:val="nil"/>
              <w:left w:val="nil"/>
              <w:bottom w:val="nil"/>
              <w:right w:val="nil"/>
            </w:tcBorders>
          </w:tcPr>
          <w:p>
            <w:pPr>
              <w:pStyle w:val="Normal6a"/>
            </w:pPr>
            <w:r>
              <w:t>E.</w:t>
            </w:r>
            <w:r>
              <w:tab/>
            </w:r>
            <w:r>
              <w:t xml:space="preserve">vzhledem k tomu, že zvláštní zpráva EÚD č. 26/2025 zjistila, že ačkoli úřady OLAF, EPPO, Europol a Eurojust mají jasně vymezené a nepřekrývající se mandáty, přetrvávající nedostatky ve výměně informací mezi jednotlivými orgány významně ovlivňují počet a včasnost vyšetřování; vzhledem k tomu, že EÚD rovněž zjistil, že Komise nemá odpovídající mechanismy dohledu, které by ověřovaly, zda byly částky skutečně získány zpět v plné výši na základě soudních příkazů; vzhledem k tomu, že v usneseních Parlamentu o ochraně finančních zájmů soustavně zaznívají požadavky na důslednější podávání zpráv o zpětném získávání prostředků a Komise se v nich naléhavě vyzývá, aby v účetních zprávách zaměřených na hmatatelné výsledky poskytovala měřitelné údaje; </w:t>
            </w:r>
            <w:r>
              <w:rPr>
                <w:b/>
                <w:i/>
              </w:rPr>
              <w:t>vzhledem k tomu, že EÚD rovněž zjistil závažné nedostatky v orgánech členských států kvůli omezeným kontrolám důvěryhodnosti a chybám v systémech celních prohlášení, což vedlo k tomu, že členské státy nebyly schopny řádně vybírat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odhalování složitých přeshraničních podvodů v oblasti DPH do značné míry závisí na oznamovatelích a investigativních novinářích, což se odráží ve skutečnosti, že velká většina oznámení o trestné činnosti zpracovávaných úřadem EPPO pochází spíše od soukromých subjektů než od institucí;</w:t>
            </w:r>
            <w:r>
              <w:t xml:space="preserve"> </w:t>
            </w:r>
            <w:r>
              <w:rPr>
                <w:b/>
                <w:i/>
              </w:rPr>
              <w:t>vzhledem k tomu, že účinná a jednotná ochrana oznamujících osob podle směrnice (EU) 2019/1937 je proto nedílnou součástí struktury EU pro boj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vzhledem k tomu, že trvá na tom, že podmíněnost </w:t>
            </w:r>
            <w:r>
              <w:rPr>
                <w:b/>
                <w:i/>
              </w:rPr>
              <w:t>boje</w:t>
            </w:r>
            <w:r>
              <w:t xml:space="preserve"> proti podvodům, přístup složek struktury EU pro boj proti podvodům k relevantním informacím z důvodů vyšetřování a trestního stíhání, přísné povinnosti koordinační služby pro boj proti podvodům (AFCOS) a koordinované vnitrostátní strategie boje proti podvodům spolu se silnými mechanismy zpětného získávání prostředků musí být zakotveny jako horizontální požadavky v odvětvových nařízeních VFR, finančním nařízení</w:t>
            </w:r>
            <w:r>
              <w:rPr>
                <w:vertAlign w:val="superscript"/>
              </w:rPr>
              <w:t>2</w:t>
            </w:r>
            <w:r>
              <w:t>a zvláštních nástrojích, kterými se řídí struktura EU pro boj proti podvodům;</w:t>
            </w:r>
          </w:p>
        </w:tc>
        <w:tc>
          <w:tcPr>
            <w:tcW w:w="4876" w:type="dxa"/>
            <w:tcBorders>
              <w:top w:val="nil"/>
              <w:left w:val="nil"/>
              <w:bottom w:val="nil"/>
              <w:right w:val="nil"/>
            </w:tcBorders>
          </w:tcPr>
          <w:p>
            <w:pPr>
              <w:pStyle w:val="Normal6a"/>
            </w:pPr>
            <w:r>
              <w:t>G.</w:t>
            </w:r>
            <w:r>
              <w:tab/>
            </w:r>
            <w:r>
              <w:t xml:space="preserve">vzhledem k tomu, že trvá na tom, že podmíněnost </w:t>
            </w:r>
            <w:r>
              <w:rPr>
                <w:b/>
                <w:i/>
              </w:rPr>
              <w:t>bojem</w:t>
            </w:r>
            <w:r>
              <w:t xml:space="preserve"> proti podvodům </w:t>
            </w:r>
            <w:r>
              <w:rPr>
                <w:b/>
                <w:i/>
              </w:rPr>
              <w:t>a dodržováním zásad právního státu</w:t>
            </w:r>
            <w:r>
              <w:t>, přístup složek struktury EU pro boj proti podvodům k relevantním informacím z důvodů vyšetřování a trestního stíhání, přísné povinnosti koordinační služby pro boj proti podvodům (AFCOS) a koordinované vnitrostátní strategie boje proti podvodům spolu se silnými mechanismy zpětného získávání prostředků musí být zakotveny jako horizontální požadavky v odvětvových nařízeních VFR, finančním nařízení</w:t>
            </w:r>
            <w:r>
              <w:rPr>
                <w:vertAlign w:val="superscript"/>
              </w:rPr>
              <w:t>2</w:t>
            </w:r>
            <w:r>
              <w:t xml:space="preserve"> a zvláštních nástrojích, kterými se řídí struktura EU pro boj proti podvodům;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Nařízení Evropského parlamentu a Rady (EU, Euratom) 2024/2509 ze dne 23. září 2024, kterým se stanoví finanční pravidla pro souhrnný rozpočet Unie (Úř. věst. L, 2024/2509, 26.9.2024, ELI: http://data.europa.eu/eli/reg/2024/2509/oj).</w:t>
            </w:r>
          </w:p>
        </w:tc>
        <w:tc>
          <w:tcPr>
            <w:tcW w:w="4876" w:type="dxa"/>
            <w:tcBorders>
              <w:top w:val="nil"/>
              <w:left w:val="nil"/>
              <w:bottom w:val="nil"/>
              <w:right w:val="nil"/>
            </w:tcBorders>
          </w:tcPr>
          <w:p>
            <w:pPr>
              <w:pStyle w:val="Normal6a"/>
            </w:pPr>
            <w:r>
              <w:rPr>
                <w:vertAlign w:val="superscript"/>
              </w:rPr>
              <w:t>2</w:t>
            </w:r>
            <w:r>
              <w:t xml:space="preserve"> </w:t>
            </w:r>
            <w:r>
              <w:t>Nařízení Evropského parlamentu a Rady (EU, Euratom) 2024/2509 ze dne 23. září 2024, kterým se stanoví finanční pravidla pro souhrnný rozpočet Unie (Úř. věst. L, 2024/2509, 26.9.2024, ELI: http://data.europa.eu/eli/reg/2024/2509/oj).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vzhledem k tomu, že Eurofisc, mnohostranná síť daňových styčných úředníků členských států, se osvědčila jako decentralizovaný mechanismus včasného varování; vzhledem k tomu, že její nástroj pro analýzu transakčních sítí (TNA) generuje využitelné informace o podezřelých přeshraničních řetězcích DPH; vzhledem k tomu, že podle </w:t>
            </w:r>
            <w:r>
              <w:rPr>
                <w:b/>
                <w:i/>
              </w:rPr>
              <w:t>návrhu Komise na změnu</w:t>
            </w:r>
            <w:r>
              <w:t xml:space="preserve"> nařízení Rady (EU) č. 904/2010 by úřad EPPO a úřad OLAF získaly přímý centralizovaný přístup do systému výměny informací o DPH (VIES) </w:t>
            </w:r>
            <w:r>
              <w:rPr>
                <w:b/>
                <w:i/>
              </w:rPr>
              <w:t>a sítě Eurofisc</w:t>
            </w:r>
            <w:r>
              <w:t xml:space="preserve"> v rámci svých příslušných mandátů a s výhradou záruk ochrany údajů, jak uvedl evropský inspektor ochrany údajů;</w:t>
            </w:r>
          </w:p>
        </w:tc>
        <w:tc>
          <w:tcPr>
            <w:tcW w:w="4876" w:type="dxa"/>
            <w:tcBorders>
              <w:top w:val="nil"/>
              <w:left w:val="nil"/>
              <w:bottom w:val="nil"/>
              <w:right w:val="nil"/>
            </w:tcBorders>
          </w:tcPr>
          <w:p>
            <w:pPr>
              <w:pStyle w:val="Normal6a"/>
            </w:pPr>
            <w:r>
              <w:t>H.</w:t>
            </w:r>
            <w:r>
              <w:tab/>
            </w:r>
            <w:r>
              <w:t xml:space="preserve">vzhledem k tomu, že Eurofisc, mnohostranná síť daňových styčných úředníků členských států, se osvědčila jako decentralizovaný mechanismus včasného varování; vzhledem k tomu, že její nástroj pro analýzu transakčních sítí (TNA) generuje využitelné informace o podezřelých přeshraničních řetězcích DPH; vzhledem k tomu, že podle </w:t>
            </w:r>
            <w:r>
              <w:rPr>
                <w:b/>
                <w:i/>
              </w:rPr>
              <w:t>předběžné dohody na změně</w:t>
            </w:r>
            <w:r>
              <w:t xml:space="preserve"> nařízení Rady (EU) č. 904/2010</w:t>
            </w:r>
            <w:r>
              <w:rPr>
                <w:b/>
                <w:i/>
              </w:rPr>
              <w:t>, dosažené v květnu 2026,</w:t>
            </w:r>
            <w:r>
              <w:t xml:space="preserve"> by úřad EPPO a úřad OLAF získaly přímý centralizovaný přístup do systému výměny informací o DPH (VIES) v rámci svých příslušných mandátů a s výhradou záruk ochrany údajů, jak uvedl evropský inspektor ochrany údajů;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I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vzhledem k tomu, že je třeba řešit značné rozdíly ve výši správních sankcí uplatňovaných členskými státy v souvislosti s podvody v oblasti DPH při dovozu, které vytvářejí podmínky umožňující hospodářským subjektům využívat jurisdikci s nejnižšími sankcemi;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vzhledem k tomu, že balíček ViDA vyžaduje, aby pro transakce mezi podniky uvnitř Společenství byla </w:t>
            </w:r>
            <w:r>
              <w:rPr>
                <w:b/>
                <w:i/>
              </w:rPr>
              <w:t>do</w:t>
            </w:r>
            <w:r>
              <w:t xml:space="preserve"> roku 2030 zavedena elektronická fakturace a digitální výkaznictví v reálném čase;</w:t>
            </w:r>
          </w:p>
        </w:tc>
        <w:tc>
          <w:tcPr>
            <w:tcW w:w="4876" w:type="dxa"/>
            <w:tcBorders>
              <w:top w:val="nil"/>
              <w:left w:val="nil"/>
              <w:bottom w:val="nil"/>
              <w:right w:val="nil"/>
            </w:tcBorders>
          </w:tcPr>
          <w:p>
            <w:pPr>
              <w:pStyle w:val="Normal6a"/>
            </w:pPr>
            <w:r>
              <w:t>J.</w:t>
            </w:r>
            <w:r>
              <w:tab/>
            </w:r>
            <w:r>
              <w:t xml:space="preserve">vzhledem k tomu, že balíček ViDA vyžaduje, aby pro transakce mezi podniky uvnitř Společenství byla </w:t>
            </w:r>
            <w:r>
              <w:rPr>
                <w:b/>
                <w:i/>
              </w:rPr>
              <w:t>od července</w:t>
            </w:r>
            <w:r>
              <w:t xml:space="preserve"> roku 2030 zavedena elektronická fakturace a digitální výkaznictví v reálném čase;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opakuje své výzvy, v nichž zdůrazňuje potřebu koordinovaných opatření na úrovni EU proti přeshraničním podvodům v oblasti DPH, a vyzývá členské státy, aby posílily správní spolupráci a uvedly do praxe mnohostranný systém včasného varování před kolotočovými podvody, a vyzývá Komisi, aby znovu zvážila snížení prahové hodnoty 10 milionů EUR podle článku 2 směrnice o ochraně finančních zájmů, kdy jednotlivé škody za každý členský stát mohou klesnout pod tuto prahovou hodnotu, zatímco celkové škody v celé EU budou značné; opakuje, že pokročilá rámcová dohoda musí být pro VFR na období po roce 2027 posílena a že úřady EPPO a OLAF musí nalézt účinná řešení, aby mohly vykonávat svůj mandát ve vztahu k závažným přeshraničním trestným činům v oblasti DPH; opakuje, že případy kolotočových podvodů se zintenzivnily s širším zapojením organizovaných zločineckých sítí, což vyžaduje častější výměny a lepší koordinaci mezi složkami struktury AFA;</w:t>
            </w:r>
          </w:p>
        </w:tc>
        <w:tc>
          <w:tcPr>
            <w:tcW w:w="4876" w:type="dxa"/>
            <w:tcBorders>
              <w:top w:val="nil"/>
              <w:left w:val="nil"/>
              <w:bottom w:val="nil"/>
              <w:right w:val="nil"/>
            </w:tcBorders>
          </w:tcPr>
          <w:p>
            <w:pPr>
              <w:pStyle w:val="Normal6a"/>
            </w:pPr>
            <w:r>
              <w:t>1.</w:t>
            </w:r>
            <w:r>
              <w:tab/>
            </w:r>
            <w:r>
              <w:t xml:space="preserve">opakuje své výzvy, v nichž zdůrazňuje potřebu koordinovaných opatření na úrovni EU proti přeshraničním podvodům v oblasti DPH, a vyzývá </w:t>
            </w:r>
            <w:r>
              <w:rPr>
                <w:b/>
                <w:i/>
              </w:rPr>
              <w:t>EU a její</w:t>
            </w:r>
            <w:r>
              <w:t xml:space="preserve"> členské státy, aby posílily správní </w:t>
            </w:r>
            <w:r>
              <w:rPr>
                <w:b/>
                <w:i/>
              </w:rPr>
              <w:t>a justiční</w:t>
            </w:r>
            <w:r>
              <w:t xml:space="preserve"> spolupráci </w:t>
            </w:r>
            <w:r>
              <w:rPr>
                <w:b/>
                <w:i/>
              </w:rPr>
              <w:t>a spolupráci v oblasti prosazování práva</w:t>
            </w:r>
            <w:r>
              <w:t xml:space="preserve"> a uvedly do praxe mnohostranný systém včasného varování před kolotočovými podvody, a vyzývá Komisi, aby znovu zvážila snížení prahové hodnoty 10 milionů EUR podle článku 2 směrnice o ochraně finančních zájmů, kdy jednotlivé škody za každý členský stát mohou klesnout pod tuto prahovou hodnotu, zatímco celkové škody v celé EU budou značné; </w:t>
            </w:r>
            <w:r>
              <w:rPr>
                <w:b/>
                <w:i/>
              </w:rPr>
              <w:t>konstatuje, že přeshraniční podvody v oblasti DPH se z definice týkají několika členských států a v určitých případech tok informací z jednotlivých členských států k úřadu EPPO není pro boj proti podvodům s DPH na úrovni Unie dostačující;</w:t>
            </w:r>
            <w:r>
              <w:t xml:space="preserve"> opakuje, že pokročilá rámcová dohoda musí být pro VFR na období po roce 2027 posílena a že úřady EPPO a OLAF musí nalézt účinná řešení, aby mohly vykonávat svůj mandát ve vztahu k závažným přeshraničním trestným činům v oblasti DPH; </w:t>
            </w:r>
            <w:r>
              <w:rPr>
                <w:b/>
                <w:i/>
              </w:rPr>
              <w:t>znovu potvrzuje svůj postoj, že zapojení do úřadu Úřadu evropského veřejného žalobce musí být pro všechny členské státy, které budou čerpat finanční prostředky EU z VFR na období po roce 2027, povinné, pokud tyto členské státy nemají výjimku vyplývající ze Smlouvy;</w:t>
            </w:r>
            <w:r>
              <w:t xml:space="preserve"> opakuje, že případy kolotočových podvodů se zintenzivnily s širším zapojením organizovaných zločineckých sítí, což vyžaduje častější výměny a lepší koordinaci mezi složkami struktury AFA;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opakuje své výzvy, v nichž zdůrazňuje potřebu koordinovaných opatření na úrovni EU proti přeshraničním podvodům v oblasti DPH, a vyzývá členské státy, aby posílily správní spolupráci a uvedly do praxe mnohostranný systém včasného varování před kolotočovými podvody, a vyzývá Komisi, aby </w:t>
            </w:r>
            <w:r>
              <w:rPr>
                <w:b/>
                <w:i/>
              </w:rPr>
              <w:t>znovu zvážila snížení prahové hodnoty</w:t>
            </w:r>
            <w:r>
              <w:t xml:space="preserve"> 10 milionů EUR podle článku 2 směrnice o ochraně finančních zájmů, kdy jednotlivé škody za každý členský stát mohou klesnout pod tuto prahovou hodnotu, zatímco celkové škody v celé EU budou značné; opakuje, že pokročilá rámcová dohoda musí být pro VFR na období po roce 2027 posílena a že úřady EPPO a OLAF musí nalézt účinná řešení, aby mohly vykonávat svůj mandát ve vztahu k závažným přeshraničním trestným činům v oblasti DPH; opakuje, že případy kolotočových podvodů se zintenzivnily s širším zapojením organizovaných zločineckých sítí, což vyžaduje častější výměny a lepší koordinaci mezi složkami struktury AFA;</w:t>
            </w:r>
          </w:p>
        </w:tc>
        <w:tc>
          <w:tcPr>
            <w:tcW w:w="4876" w:type="dxa"/>
            <w:tcBorders>
              <w:top w:val="nil"/>
              <w:left w:val="nil"/>
              <w:bottom w:val="nil"/>
              <w:right w:val="nil"/>
            </w:tcBorders>
          </w:tcPr>
          <w:p>
            <w:pPr>
              <w:pStyle w:val="Normal6a"/>
            </w:pPr>
            <w:r>
              <w:t>1.</w:t>
            </w:r>
            <w:r>
              <w:tab/>
            </w:r>
            <w:r>
              <w:t xml:space="preserve">opakuje své výzvy, v nichž zdůrazňuje potřebu koordinovaných opatření na úrovni EU proti přeshraničním podvodům v oblasti DPH, a vyzývá členské státy, aby posílily správní spolupráci a uvedly do praxe mnohostranný systém včasného varování před kolotočovými podvody, a vyzývá Komisi, aby </w:t>
            </w:r>
            <w:r>
              <w:rPr>
                <w:b/>
                <w:i/>
              </w:rPr>
              <w:t>snížila prahovou hodnotu</w:t>
            </w:r>
            <w:r>
              <w:t xml:space="preserve"> 10 milionů EUR podle článku 2 směrnice o ochraně finančních zájmů, kdy jednotlivé škody za každý členský stát mohou klesnout pod tuto prahovou hodnotu, zatímco celkové škody v celé EU budou značné; opakuje, že pokročilá rámcová dohoda musí být pro VFR na období po roce 2027 posílena a že úřady EPPO a OLAF musí nalézt účinná řešení, aby mohly vykonávat svůj mandát ve vztahu k závažným přeshraničním trestným činům v oblasti DPH; opakuje, že případy kolotočových podvodů se zintenzivnily s širším zapojením organizovaných zločineckých sítí, což vyžaduje častější výměny a lepší koordinaci mezi složkami struktury AFA;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zdůrazňuje, že ochrana finančních zájmů Unie vyžaduje rozhodná opatření k řešení strukturálních ztrát příjmů, které vyplývají z velkého rozsahu neformálních ekonomik a rozšířených podvodů v oblasti daně z přidané hodnoty (DPH);</w:t>
            </w:r>
            <w:r>
              <w:t xml:space="preserve"> </w:t>
            </w:r>
            <w:r>
              <w:rPr>
                <w:b/>
                <w:i/>
              </w:rPr>
              <w:t>připomíná, že orgány EU, jako je Evropský účetní dvůr (EÚD), Evropský úřad pro boj proti podvodům (OLAF) a Úřad evropského veřejného žalobce (EPPO), opakovaně označily podvody v oblasti DPH za jeden z nejvýznamnějších zdrojů ztrát pro rozpočty EU a pro vlastní zdroje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zdůrazňuje, že přeshraniční povaha kolotočových podvodů znamená, že každý členský stát, který zůstává mimo Úřad evropského veřejného žalobce, ponechává zneužitelnou mezeru v oblasti působnosti trestního stíhání v EU;</w:t>
            </w:r>
            <w:r>
              <w:t xml:space="preserve"> </w:t>
            </w:r>
            <w:r>
              <w:rPr>
                <w:b/>
                <w:i/>
              </w:rPr>
              <w:t>konstatuje, že pravomoc úřadu EPPO se v současné době nevztahuje na Dánsko, Irsko a Maďarsko;</w:t>
            </w:r>
            <w:r>
              <w:t xml:space="preserve"> </w:t>
            </w:r>
            <w:r>
              <w:rPr>
                <w:b/>
                <w:i/>
              </w:rPr>
              <w:t>vítá nedávno oznámený záměr Maďarska připojit se k Úřadu evropského veřejného žalobce a oznámený záměr Irska předložit všechny nezbytné právní předpisy;</w:t>
            </w:r>
            <w:r>
              <w:t xml:space="preserve"> </w:t>
            </w:r>
            <w:r>
              <w:rPr>
                <w:b/>
                <w:i/>
              </w:rPr>
              <w:t>vyzývá všechny členské státy, které se dosud posílené spolupráce neúčastní, aby se k ní neprodleně připojily;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zdůrazňuje, že omezení rozsahu neformální hospodářské činnosti a posílení boje proti podvodům v oblasti DPH by přispělo ke spravedlivějšímu sdílení zátěže mezi členskými státy, zajistilo integritu vnitřního trhu a pomohlo stabilizovat příspěvky založené na HND;</w:t>
            </w:r>
            <w:r>
              <w:t xml:space="preserve"> </w:t>
            </w:r>
            <w:r>
              <w:rPr>
                <w:b/>
                <w:i/>
              </w:rPr>
              <w:t>vyzývá k tomu, aby víceletý finanční rámec na období 2028–2034 zahrnoval jasná ustanovení, odpovídající zdroje a vhodné nástroje na podporu účinných opatření proti neformální hospodářské činnosti a podvodům v oblasti DPH s cílem posílit ochranu finančních zájmů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domnívá se, že cílem legislativních nástrojů, jimiž se toto usnesení zabývá, má být vybudování základní infrastruktury pro boj proti podvodům v rámci VFR na období po roce 2027; zdůrazňuje, že příští VFR a jeho odvětvová nařízení musí zajistit důkladná a operativně účinná ustanovení proti podvodům, a to i v oblasti ochrany DPH;</w:t>
            </w:r>
          </w:p>
        </w:tc>
        <w:tc>
          <w:tcPr>
            <w:tcW w:w="4876" w:type="dxa"/>
            <w:tcBorders>
              <w:top w:val="nil"/>
              <w:left w:val="nil"/>
              <w:bottom w:val="nil"/>
              <w:right w:val="nil"/>
            </w:tcBorders>
          </w:tcPr>
          <w:p>
            <w:pPr>
              <w:pStyle w:val="Normal6a"/>
            </w:pPr>
            <w:r>
              <w:t>2.</w:t>
            </w:r>
            <w:r>
              <w:tab/>
            </w:r>
            <w:r>
              <w:t xml:space="preserve">domnívá se, že cílem legislativních nástrojů, jimiž se toto usnesení zabývá, má být vybudování základní infrastruktury pro boj proti podvodům v rámci VFR na období po roce 2027; zdůrazňuje, že příští VFR a jeho odvětvová nařízení musí zajistit důkladná a operativně účinná ustanovení proti podvodům, a to i v oblasti ochrany DPH; </w:t>
            </w:r>
            <w:r>
              <w:rPr>
                <w:b/>
                <w:i/>
              </w:rPr>
              <w:t>uznává úlohu, kterou hraje Program pro jednotný trh a cla na období 2028–2034 při ochraně hospodářských, finančních a jiných zájmů Unie a jejích členských států před podvody, korupcí a jiným protiprávním jednáním, včetně příjmů z DPH souvisejících s riziky;</w:t>
            </w:r>
            <w:r>
              <w:t xml:space="preserve"> </w:t>
            </w:r>
            <w:r>
              <w:rPr>
                <w:b/>
                <w:i/>
              </w:rPr>
              <w:t>domnívá se, že program by měl podporovat činnosti posilující strukturu EU pro boj proti podvodům, zlepšující oznamování nesrovnalostí úřadu OLAF a Úřadu evropského veřejného žalobce, posilující ochranu oznamovatelů, posilující spolupráci s unijními a vnitrostátními kontrolními, auditními a vyšetřovacími orgány a využívání interoperabilních digitálních nástrojů pro odhalování a prevenci podvodů;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uznává, že zpráva Komise o ochraně finančních zájmů za rok 2024 uvádí, že příjmy jsou rozpočtovou oblastí, která je nejvíce vystavena přeshraničním podvodům;</w:t>
            </w:r>
            <w:r>
              <w:t xml:space="preserve"> </w:t>
            </w:r>
            <w:r>
              <w:rPr>
                <w:b/>
                <w:i/>
              </w:rPr>
              <w:t>v této souvislosti se domnívá, že úsilí o zavedení nových vlastních zdrojů by mělo být doprovázeno úsilím o zlepšení výběru a zpětného získávání stávajících příjmů, včetně vlastního zdroje založeného na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je znepokojen rozsáhlým využíváním financování, které není spojeno s náklady, u podstatné části programů v rámci příštího VFR a varuje, že bez vhodných a přiměřených záruk s sebou tento přístup nese značná rizika pro ochranu finančních zájmů EU;</w:t>
            </w:r>
          </w:p>
        </w:tc>
        <w:tc>
          <w:tcPr>
            <w:tcW w:w="4876" w:type="dxa"/>
            <w:tcBorders>
              <w:top w:val="nil"/>
              <w:left w:val="nil"/>
              <w:bottom w:val="nil"/>
              <w:right w:val="nil"/>
            </w:tcBorders>
          </w:tcPr>
          <w:p>
            <w:pPr>
              <w:pStyle w:val="Normal6a"/>
            </w:pPr>
            <w:r>
              <w:t>3.</w:t>
            </w:r>
            <w:r>
              <w:tab/>
            </w:r>
            <w:r>
              <w:t xml:space="preserve">je znepokojen rozsáhlým využíváním financování, které není spojeno s náklady, u podstatné části programů v rámci příštího VFR a varuje, že bez vhodných a přiměřených záruk s sebou tento přístup nese značná rizika pro ochranu finančních zájmů EU; </w:t>
            </w:r>
            <w:r>
              <w:rPr>
                <w:b/>
                <w:i/>
              </w:rPr>
              <w:t>zdůrazňuje, že financování, které není spojeno s náklady, a zjednodušené vykazování nákladů nesmí oslabit sledovatelnost finančních prostředků Unie k jejich konečným příjemcům a skutečným vlastníkům;</w:t>
            </w:r>
            <w:r>
              <w:t xml:space="preserve"> </w:t>
            </w:r>
            <w:r>
              <w:rPr>
                <w:b/>
                <w:i/>
              </w:rPr>
              <w:t>trvá na tom, aby každý výdajový program v rámci příštího VFR bez ohledu na svůj model provádění udržoval úplnou auditní stopu, povinné údaje o příjemcích a skutečném vlastnictví v jednotném interoperabilním nástroji pro hodnocení rizik a ověřování ex post přístupném v rámci jejich mandátů úřadům EPPO, OLAF, EÚD a orgánu příslušnému k udělení absolutoria;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je znepokojen rozsáhlým využíváním</w:t>
            </w:r>
            <w:r>
              <w:t xml:space="preserve"> financování, které není spojeno s náklady, u podstatné části programů v rámci příštího VFR a varuje, že bez vhodných a přiměřených záruk s sebou tento přístup nese značná rizika pro ochranu finančních zájmů EU;</w:t>
            </w:r>
          </w:p>
        </w:tc>
        <w:tc>
          <w:tcPr>
            <w:tcW w:w="4876" w:type="dxa"/>
            <w:tcBorders>
              <w:top w:val="nil"/>
              <w:left w:val="nil"/>
              <w:bottom w:val="nil"/>
              <w:right w:val="nil"/>
            </w:tcBorders>
          </w:tcPr>
          <w:p>
            <w:pPr>
              <w:pStyle w:val="Normal6a"/>
            </w:pPr>
            <w:r>
              <w:t>3.</w:t>
            </w:r>
            <w:r>
              <w:tab/>
            </w:r>
            <w:r>
              <w:rPr>
                <w:b/>
                <w:i/>
              </w:rPr>
              <w:t>poukazuje na využívání</w:t>
            </w:r>
            <w:r>
              <w:t xml:space="preserve"> financování, které není spojeno s náklady, u podstatné části programů v rámci příštího VFR a varuje, že bez vhodných a přiměřených záruk s sebou tento přístup nese značná rizika pro ochranu finančních zájmů EU; </w:t>
            </w:r>
            <w:r>
              <w:rPr>
                <w:b/>
                <w:i/>
              </w:rPr>
              <w:t>zdůrazňuje, že je třeba finanční zájmy Unie chránit a dosáhnout minimální harmonizace nebo soudržnosti správních sankcí za nejzávažnější porušení předpisů v oblasti DPH a souvisejících celních předpisů;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je </w:t>
            </w:r>
            <w:r>
              <w:rPr>
                <w:b/>
                <w:i/>
              </w:rPr>
              <w:t>znepokojen rozsáhlým využíváním</w:t>
            </w:r>
            <w:r>
              <w:t xml:space="preserve"> financování, které není spojeno s náklady, u podstatné části programů v rámci příštího VFR </w:t>
            </w:r>
            <w:r>
              <w:rPr>
                <w:b/>
                <w:i/>
              </w:rPr>
              <w:t>a varuje, že bez vhodných a přiměřených záruk s sebou tento přístup nese značná rizika pro ochranu</w:t>
            </w:r>
            <w:r>
              <w:t xml:space="preserve"> finančních zájmů EU;</w:t>
            </w:r>
          </w:p>
        </w:tc>
        <w:tc>
          <w:tcPr>
            <w:tcW w:w="4876" w:type="dxa"/>
            <w:tcBorders>
              <w:top w:val="nil"/>
              <w:left w:val="nil"/>
              <w:bottom w:val="nil"/>
              <w:right w:val="nil"/>
            </w:tcBorders>
          </w:tcPr>
          <w:p>
            <w:pPr>
              <w:pStyle w:val="Normal6a"/>
            </w:pPr>
            <w:r>
              <w:t>3.</w:t>
            </w:r>
            <w:r>
              <w:tab/>
            </w:r>
            <w:r>
              <w:t xml:space="preserve">je </w:t>
            </w:r>
            <w:r>
              <w:rPr>
                <w:b/>
                <w:i/>
              </w:rPr>
              <w:t>převědčen, že využívání</w:t>
            </w:r>
            <w:r>
              <w:t xml:space="preserve"> financování, které není spojeno s náklady, u podstatné části programů v rámci příštího VFR </w:t>
            </w:r>
            <w:r>
              <w:rPr>
                <w:b/>
                <w:i/>
              </w:rPr>
              <w:t>vyžaduje vhodné a přiměřené záruky, aby byla zajištěna ochrana</w:t>
            </w:r>
            <w:r>
              <w:t xml:space="preserve"> finančních zájmů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je znepokojen rozsáhlým využíváním</w:t>
            </w:r>
            <w:r>
              <w:t xml:space="preserve"> financování, které není spojeno s náklady, u podstatné části programů v rámci příštího VFR a varuje, že bez vhodných a přiměřených záruk </w:t>
            </w:r>
            <w:r>
              <w:rPr>
                <w:b/>
                <w:i/>
              </w:rPr>
              <w:t>s sebou</w:t>
            </w:r>
            <w:r>
              <w:t xml:space="preserve"> tento přístup </w:t>
            </w:r>
            <w:r>
              <w:rPr>
                <w:b/>
                <w:i/>
              </w:rPr>
              <w:t>nese</w:t>
            </w:r>
            <w:r>
              <w:t xml:space="preserve"> značná rizika pro ochranu finančních zájmů EU;</w:t>
            </w:r>
          </w:p>
        </w:tc>
        <w:tc>
          <w:tcPr>
            <w:tcW w:w="4876" w:type="dxa"/>
            <w:tcBorders>
              <w:top w:val="nil"/>
              <w:left w:val="nil"/>
              <w:bottom w:val="nil"/>
              <w:right w:val="nil"/>
            </w:tcBorders>
          </w:tcPr>
          <w:p>
            <w:pPr>
              <w:pStyle w:val="Normal6a"/>
            </w:pPr>
            <w:r>
              <w:t>3.</w:t>
            </w:r>
            <w:r>
              <w:tab/>
            </w:r>
            <w:r>
              <w:rPr>
                <w:b/>
                <w:i/>
              </w:rPr>
              <w:t>bere na vědomí rozsáhlé využívání</w:t>
            </w:r>
            <w:r>
              <w:t xml:space="preserve"> financování, které není spojeno s náklady, u podstatné části programů v rámci příštího VFR a varuje, že bez vhodných a přiměřených záruk </w:t>
            </w:r>
            <w:r>
              <w:rPr>
                <w:b/>
                <w:i/>
              </w:rPr>
              <w:t>by</w:t>
            </w:r>
            <w:r>
              <w:t xml:space="preserve"> tento přístup </w:t>
            </w:r>
            <w:r>
              <w:rPr>
                <w:b/>
                <w:i/>
              </w:rPr>
              <w:t>mohl znamenat</w:t>
            </w:r>
            <w:r>
              <w:t xml:space="preserve"> značná rizika pro ochranu finančních zájmů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zdůrazňuje proto význam unijní architektury AFA v souvislosti s VFR na období po roce 2027 a vybízí orgány, instituce a jiné subjekty EU, aby zintenzivnily svou spolupráci, zejména pokud jde o výměnu informací o trestné nebo podvodné činnosti v souvislosti s finančními prostředky EU a o vzájemné poskytování přístupu ke svým údajům; připomíná význam koordinace a lepší spolupráce se soudními a policejními orgány členských států v boji proti podvodům v oblasti DPH;</w:t>
            </w:r>
          </w:p>
        </w:tc>
        <w:tc>
          <w:tcPr>
            <w:tcW w:w="4876" w:type="dxa"/>
            <w:tcBorders>
              <w:top w:val="nil"/>
              <w:left w:val="nil"/>
              <w:bottom w:val="nil"/>
              <w:right w:val="nil"/>
            </w:tcBorders>
          </w:tcPr>
          <w:p>
            <w:pPr>
              <w:pStyle w:val="Normal6a"/>
            </w:pPr>
            <w:r>
              <w:t>4.</w:t>
            </w:r>
            <w:r>
              <w:tab/>
            </w:r>
            <w:r>
              <w:t xml:space="preserve">zdůrazňuje proto význam unijní architektury AFA v souvislosti s VFR na období po roce 2027 a vybízí orgány, instituce a jiné subjekty EU, aby zintenzivnily svou spolupráci, zejména pokud jde o výměnu informací o trestné nebo podvodné činnosti v souvislosti s finančními prostředky EU a o vzájemné poskytování přístupu ke svým údajům; připomíná význam koordinace a lepší spolupráce se soudními a policejními orgány členských států v boji proti podvodům v oblasti DPH; </w:t>
            </w:r>
            <w:r>
              <w:rPr>
                <w:b/>
                <w:i/>
              </w:rPr>
              <w:t>zdůrazňuje, že členské státy by měly zajistit, aby jejich příslušné celní orgány a orgány odpovědné za DPH zavedly pravidelné koordinační mechanismy, a to i prostřednictvím rámce Eurofisc, s cílem usnadnit zjišťování nesrovnalostí naznačujících podvody v oblasti DPH a včasné předávání příslušných celních údajů Eurofiscu, Úřadu evropského veřejného žalobce a úřadu OLAF.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zdůrazňuje </w:t>
            </w:r>
            <w:r>
              <w:rPr>
                <w:b/>
                <w:i/>
              </w:rPr>
              <w:t>proto</w:t>
            </w:r>
            <w:r>
              <w:t xml:space="preserve"> význam unijní architektury AFA v souvislosti s VFR na období po roce 2027 a vybízí orgány, instituce a jiné subjekty EU, aby zintenzivnily svou spolupráci, zejména pokud jde o výměnu informací o trestné nebo podvodné činnosti v souvislosti s finančními prostředky EU a o vzájemné poskytování přístupu ke svým údajům; připomíná význam koordinace a lepší spolupráce se soudními a policejními orgány členských států v boji proti podvodům v oblasti DPH;</w:t>
            </w:r>
          </w:p>
        </w:tc>
        <w:tc>
          <w:tcPr>
            <w:tcW w:w="4876" w:type="dxa"/>
            <w:tcBorders>
              <w:top w:val="nil"/>
              <w:left w:val="nil"/>
              <w:bottom w:val="nil"/>
              <w:right w:val="nil"/>
            </w:tcBorders>
          </w:tcPr>
          <w:p>
            <w:pPr>
              <w:pStyle w:val="Normal6a"/>
            </w:pPr>
            <w:r>
              <w:t>4.</w:t>
            </w:r>
            <w:r>
              <w:tab/>
            </w:r>
            <w:r>
              <w:t xml:space="preserve">zdůrazňuje význam unijní architektury AFA v souvislosti s VFR na období po roce 2027 a vybízí orgány, instituce a jiné subjekty EU, aby zintenzivnily svou spolupráci, zejména pokud jde o výměnu informací o trestné nebo podvodné činnosti v souvislosti s finančními prostředky EU a o vzájemné poskytování přístupu ke svým údajům; připomíná význam koordinace a lepší spolupráce se soudními a policejními orgány členských států v boji proti podvodům v oblasti DPH; </w:t>
            </w:r>
            <w:r>
              <w:rPr>
                <w:b/>
                <w:i/>
              </w:rPr>
              <w:t>dále v souladu s veřejným zájmem a finančními zájmy Unie zdůrazňuje, že oznamovatelé by měli požívat účinné právní ochrany, aby se usnadnilo odhalování a prevence všech forem podvodů;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zdůrazňuje proto význam unijní architektury AFA v souvislosti s VFR na období po roce 2027 a vybízí orgány, instituce a jiné subjekty EU, aby zintenzivnily svou spolupráci, zejména pokud jde o výměnu informací o trestné nebo podvodné činnosti v souvislosti s finančními prostředky EU a o vzájemné poskytování přístupu ke svým údajům; připomíná význam koordinace a lepší spolupráce se soudními a policejními orgány členských států v boji proti podvodům v oblasti DPH;</w:t>
            </w:r>
          </w:p>
        </w:tc>
        <w:tc>
          <w:tcPr>
            <w:tcW w:w="4876" w:type="dxa"/>
            <w:tcBorders>
              <w:top w:val="nil"/>
              <w:left w:val="nil"/>
              <w:bottom w:val="nil"/>
              <w:right w:val="nil"/>
            </w:tcBorders>
          </w:tcPr>
          <w:p>
            <w:pPr>
              <w:pStyle w:val="Normal6a"/>
            </w:pPr>
            <w:r>
              <w:t>4.</w:t>
            </w:r>
            <w:r>
              <w:tab/>
            </w:r>
            <w:r>
              <w:t xml:space="preserve">zdůrazňuje proto význam unijní architektury AFA v souvislosti s VFR na období po roce 2027 a vybízí orgány, instituce a jiné subjekty EU, aby zintenzivnily svou spolupráci, zejména pokud jde o výměnu informací o trestné nebo podvodné činnosti v souvislosti s finančními prostředky EU a o vzájemné poskytování přístupu ke svým údajům; připomíná význam koordinace a lepší spolupráce se soudními a policejními orgány členských států v boji proti podvodům v oblasti DPH; </w:t>
            </w:r>
            <w:r>
              <w:rPr>
                <w:b/>
                <w:i/>
              </w:rPr>
              <w:t>vyzývá k dostatečnému financování těchto orgánů;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vyzývá v této souvislosti Komisi, aby: </w:t>
            </w:r>
            <w:r>
              <w:rPr>
                <w:b/>
                <w:i/>
              </w:rPr>
              <w:t>i)</w:t>
            </w:r>
            <w:r>
              <w:t xml:space="preserve"> vytvořila společný správní rámec pro koordinaci všech aktérů v oblasti boje proti podvodům, ii) zavedla jednotný systém podávání zpráv s cílem konsolidovat dostupné informace, </w:t>
            </w:r>
            <w:r>
              <w:rPr>
                <w:b/>
                <w:i/>
              </w:rPr>
              <w:t>a</w:t>
            </w:r>
            <w:r>
              <w:t xml:space="preserve"> iii) propagovala větší využívání digitálních nástrojů ke zefektivnění shromažďování, výměny a analýzy údajů;</w:t>
            </w:r>
          </w:p>
        </w:tc>
        <w:tc>
          <w:tcPr>
            <w:tcW w:w="4876" w:type="dxa"/>
            <w:tcBorders>
              <w:top w:val="nil"/>
              <w:left w:val="nil"/>
              <w:bottom w:val="nil"/>
              <w:right w:val="nil"/>
            </w:tcBorders>
          </w:tcPr>
          <w:p>
            <w:pPr>
              <w:pStyle w:val="Normal6a"/>
            </w:pPr>
            <w:r>
              <w:t>5.</w:t>
            </w:r>
            <w:r>
              <w:tab/>
            </w:r>
            <w:r>
              <w:rPr>
                <w:b/>
                <w:i/>
              </w:rPr>
              <w:t>vyzývá k prozkoumání synergií a k možné konsolidaci unijní struktury pro boj proti podvodům;</w:t>
            </w:r>
            <w:r>
              <w:t xml:space="preserve"> </w:t>
            </w:r>
            <w:r>
              <w:rPr>
                <w:b/>
                <w:i/>
              </w:rPr>
              <w:t>zdůrazňuje, že současná struktura boje proti podvodům čelí výzvám, jako je roztříštěnost a neexistence integrovaného rámce řízení, překrývající se pravomoci, nedostatečné zdroje a nespolehlivá data, což může vést k podhodnocování podvodů v oblasti DPH týkajících se financí EU;</w:t>
            </w:r>
            <w:r>
              <w:t xml:space="preserve"> vyzývá v této souvislosti Komisi, aby: vytvořila společný správní rámec pro koordinaci všech aktérů v oblasti boje proti podvodům, ii) zavedla jednotný systém podávání zpráv s cílem konsolidovat dostupné informace, iii) propagovala větší využívání digitálních nástrojů ke zefektivnění shromažďování, výměny a analýzy údajů; </w:t>
            </w:r>
            <w:r>
              <w:rPr>
                <w:b/>
                <w:i/>
              </w:rPr>
              <w:t>a iv) posílila finanční a lidské zdroje s cílem zajistit účinnost institucí pro boj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vyzývá v této souvislosti Komisi, aby: </w:t>
            </w:r>
            <w:r>
              <w:rPr>
                <w:b/>
                <w:i/>
              </w:rPr>
              <w:t>i)</w:t>
            </w:r>
            <w:r>
              <w:t xml:space="preserve"> vytvořila společný správní rámec pro koordinaci všech aktérů v oblasti boje proti podvodům, ii) zavedla jednotný systém podávání zpráv s cílem konsolidovat dostupné informace, </w:t>
            </w:r>
            <w:r>
              <w:rPr>
                <w:b/>
                <w:i/>
              </w:rPr>
              <w:t>a</w:t>
            </w:r>
            <w:r>
              <w:t xml:space="preserve"> iii) propagovala větší využívání digitálních nástrojů ke zefektivnění shromažďování, výměny a analýzy údajů;</w:t>
            </w:r>
          </w:p>
        </w:tc>
        <w:tc>
          <w:tcPr>
            <w:tcW w:w="4876" w:type="dxa"/>
            <w:tcBorders>
              <w:top w:val="nil"/>
              <w:left w:val="nil"/>
              <w:bottom w:val="nil"/>
              <w:right w:val="nil"/>
            </w:tcBorders>
          </w:tcPr>
          <w:p>
            <w:pPr>
              <w:pStyle w:val="Normal6a"/>
            </w:pPr>
            <w:r>
              <w:t>5.</w:t>
            </w:r>
            <w:r>
              <w:tab/>
            </w:r>
            <w:r>
              <w:t xml:space="preserve">vyzývá v této souvislosti Komisi, aby: vytvořila společný správní rámec pro koordinaci všech aktérů v oblasti boje proti podvodům, ii) zavedla jednotný systém podávání zpráv s cílem konsolidovat dostupné informace, iii) propagovala větší využívání digitálních nástrojů ke zefektivnění shromažďování, výměny a analýzy údajů; </w:t>
            </w:r>
            <w:r>
              <w:rPr>
                <w:b/>
                <w:i/>
              </w:rPr>
              <w:t>a iv) zajistila dostatečné finanční a lidské zdroje, aby byla zaručena účinnost aktérů v oblasti boje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vyzývá v této souvislosti Komisi, aby: i) vytvořila společný správní rámec pro koordinaci všech aktérů v oblasti boje proti podvodům, ii) zavedla jednotný systém podávání zpráv s cílem konsolidovat dostupné informace</w:t>
            </w:r>
            <w:r>
              <w:rPr>
                <w:b/>
                <w:i/>
              </w:rPr>
              <w:t>,</w:t>
            </w:r>
            <w:r>
              <w:t xml:space="preserve"> a iii) propagovala větší využívání digitálních nástrojů ke zefektivnění shromažďování, výměny a analýzy údajů;</w:t>
            </w:r>
          </w:p>
        </w:tc>
        <w:tc>
          <w:tcPr>
            <w:tcW w:w="4876" w:type="dxa"/>
            <w:tcBorders>
              <w:top w:val="nil"/>
              <w:left w:val="nil"/>
              <w:bottom w:val="nil"/>
              <w:right w:val="nil"/>
            </w:tcBorders>
          </w:tcPr>
          <w:p>
            <w:pPr>
              <w:pStyle w:val="Normal6a"/>
            </w:pPr>
            <w:r>
              <w:t>5.</w:t>
            </w:r>
            <w:r>
              <w:tab/>
            </w:r>
            <w:r>
              <w:t>vyzývá v této souvislosti Komisi, aby: i) vytvořila společný správní rámec pro koordinaci všech aktérů v oblasti boje proti podvodům, ii) zavedla jednotný systém podávání zpráv s cílem konsolidovat dostupné informace</w:t>
            </w:r>
            <w:r>
              <w:rPr>
                <w:b/>
                <w:i/>
              </w:rPr>
              <w:t>;</w:t>
            </w:r>
            <w:r>
              <w:t xml:space="preserve"> a iii) propagovala větší využívání digitálních nástrojů ke zefektivnění shromažďování, výměny a analýzy údajů </w:t>
            </w:r>
            <w:r>
              <w:rPr>
                <w:b/>
                <w:i/>
              </w:rPr>
              <w:t>a zároveň snižovala administrativní zátěž, zejména pro malé a střední podniky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vyzývá v této souvislosti Komisi, aby: i) vytvořila </w:t>
            </w:r>
            <w:r>
              <w:rPr>
                <w:b/>
                <w:i/>
              </w:rPr>
              <w:t>společný</w:t>
            </w:r>
            <w:r>
              <w:t xml:space="preserve"> správní </w:t>
            </w:r>
            <w:r>
              <w:rPr>
                <w:b/>
                <w:i/>
              </w:rPr>
              <w:t>rámec pro</w:t>
            </w:r>
            <w:r>
              <w:t xml:space="preserve"> koordinaci všech aktérů v oblasti boje proti podvodům, ii) zavedla </w:t>
            </w:r>
            <w:r>
              <w:rPr>
                <w:b/>
                <w:i/>
              </w:rPr>
              <w:t>jednotný</w:t>
            </w:r>
            <w:r>
              <w:t xml:space="preserve"> systém podávání zpráv s cílem konsolidovat dostupné informace</w:t>
            </w:r>
            <w:r>
              <w:rPr>
                <w:b/>
                <w:i/>
              </w:rPr>
              <w:t>,</w:t>
            </w:r>
            <w:r>
              <w:t xml:space="preserve"> a iii) propagovala větší využívání digitálních nástrojů ke zefektivnění shromažďování, výměny a analýzy údajů;</w:t>
            </w:r>
          </w:p>
        </w:tc>
        <w:tc>
          <w:tcPr>
            <w:tcW w:w="4876" w:type="dxa"/>
            <w:tcBorders>
              <w:top w:val="nil"/>
              <w:left w:val="nil"/>
              <w:bottom w:val="nil"/>
              <w:right w:val="nil"/>
            </w:tcBorders>
          </w:tcPr>
          <w:p>
            <w:pPr>
              <w:pStyle w:val="Normal6a"/>
            </w:pPr>
            <w:r>
              <w:t>5.</w:t>
            </w:r>
            <w:r>
              <w:tab/>
            </w:r>
            <w:r>
              <w:t xml:space="preserve">vyzývá v této souvislosti Komisi, aby: i) vytvořila správní </w:t>
            </w:r>
            <w:r>
              <w:rPr>
                <w:b/>
                <w:i/>
              </w:rPr>
              <w:t>pokyny pro podporu a</w:t>
            </w:r>
            <w:r>
              <w:t xml:space="preserve"> koordinaci všech aktérů v oblasti boje proti podvodům, ii) zavedla systém podávání zpráv s cílem konsolidovat dostupné informace</w:t>
            </w:r>
            <w:r>
              <w:rPr>
                <w:b/>
                <w:i/>
              </w:rPr>
              <w:t>;</w:t>
            </w:r>
            <w:r>
              <w:t xml:space="preserve"> a iii) propagovala </w:t>
            </w:r>
            <w:r>
              <w:rPr>
                <w:b/>
                <w:i/>
              </w:rPr>
              <w:t>a podporovala</w:t>
            </w:r>
            <w:r>
              <w:t xml:space="preserve"> větší využívání digitálních nástrojů ke zefektivnění shromažďování, výměny a analýzy údajů;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zdůrazňuje, že rozšíření mandátu orgánů EU pro boj proti podvodům musí být doprovázeno odpovídajícími lidskými a finančními zdroji;</w:t>
            </w:r>
            <w:r>
              <w:t xml:space="preserve"> </w:t>
            </w:r>
            <w:r>
              <w:rPr>
                <w:b/>
                <w:i/>
              </w:rPr>
              <w:t>připomíná opakované varování úřadu EPPO, že ani úřad EPPO, ani Europol, ani vnitrostátní vyšetřovací kapacity, které je podporují, nejsou v současné době dostatečně vybaveny zdroji;</w:t>
            </w:r>
            <w:r>
              <w:t xml:space="preserve"> </w:t>
            </w:r>
            <w:r>
              <w:rPr>
                <w:b/>
                <w:i/>
              </w:rPr>
              <w:t>trvá na tom, aby nový VFR náležitě vybavil úřad EPPO, úřad OLAF, Eurojust a Eurofisc, a vyzývá členské státy, aby vyslaly dostatečný počet specializovaných vyšetřovatelů ze svých příslušných útvarů;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naléhavě vyzývá k posílení operační kapacity Europolu prostřednictvím navýšení personálních a technických zdrojů s cílem řešit velký počet případů podvodů v oblasti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konstatuje, že úřad EPPO potřebuje odpovídající odborné právní zdroje pro řešení případů týkajících se DPH, a naléhavě úřad EPPO vyzývá, aby najal více odborníků v oblasti hospodářského práva, práva v oblasti DPH a obchodního práva a aby byla pro tento konkrétní účel poskytnuta finanční podpora;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zdůrazňuje, že pro zajištění účinného boje proti přeshraničním kolotočovým podvodům je nezbytné poskytnout úřadům EPPO a OLAF přímý, automatizovaný a centralizovaný přístup do systému VIES</w:t>
            </w:r>
            <w:r>
              <w:rPr>
                <w:b/>
                <w:i/>
              </w:rPr>
              <w:t>, sítě Eurofisc</w:t>
            </w:r>
            <w:r>
              <w:t xml:space="preserve"> a centrálního elektronického systému platebních informací; vyzývá Komisi, aby vydala jasné procesní pokyny pro příslušné orgány s cílem zajistit právní jistotu a zabránit jakýmkoli překážkám bránícím účinnému a případně souběžnému využívání nástrojů správního a trestního vyšetřování; </w:t>
            </w:r>
            <w:r>
              <w:rPr>
                <w:b/>
                <w:i/>
              </w:rPr>
              <w:t>trvá na tom, že pozměněné</w:t>
            </w:r>
            <w:r>
              <w:t xml:space="preserve"> nařízení (EU) č. 904/2010</w:t>
            </w:r>
            <w:r>
              <w:rPr>
                <w:b/>
                <w:i/>
              </w:rPr>
              <w:t>, bude-li přijato,</w:t>
            </w:r>
            <w:r>
              <w:t xml:space="preserve"> musí být prováděno při plném respektování odlišných právních rámců vztahujících se na správní mandát úřadu OLAF a mandát úřadu EPPO k prosazování trestního práva v souladu se stanoviskem evropského inspektora ochrany údajů 1/2026 ze dne 7. ledna 2026;</w:t>
            </w:r>
          </w:p>
        </w:tc>
        <w:tc>
          <w:tcPr>
            <w:tcW w:w="4876" w:type="dxa"/>
            <w:tcBorders>
              <w:top w:val="nil"/>
              <w:left w:val="nil"/>
              <w:bottom w:val="nil"/>
              <w:right w:val="nil"/>
            </w:tcBorders>
          </w:tcPr>
          <w:p>
            <w:pPr>
              <w:pStyle w:val="Normal6a"/>
            </w:pPr>
            <w:r>
              <w:t>6.</w:t>
            </w:r>
            <w:r>
              <w:tab/>
            </w:r>
            <w:r>
              <w:t xml:space="preserve">zdůrazňuje, že pro zajištění účinného boje proti přeshraničním kolotočovým podvodům je nezbytné poskytnout úřadům EPPO a OLAF přímý, automatizovaný a centralizovaný přístup do systému VIES a centrálního elektronického systému platebních informací; vyzývá Komisi, aby vydala jasné procesní pokyny pro příslušné orgány s cílem zajistit právní jistotu a zabránit jakýmkoli překážkám bránícím účinnému a případně souběžnému využívání nástrojů správního a trestního vyšetřování; </w:t>
            </w:r>
            <w:r>
              <w:rPr>
                <w:b/>
                <w:i/>
              </w:rPr>
              <w:t>vítá předběžnou dohodu dosaženou v květnu 2026 o pozměněném</w:t>
            </w:r>
            <w:r>
              <w:t xml:space="preserve"> nařízení (EU) č. 904/2010 </w:t>
            </w:r>
            <w:r>
              <w:rPr>
                <w:b/>
                <w:i/>
              </w:rPr>
              <w:t>a trvá na tom, že</w:t>
            </w:r>
            <w:r>
              <w:t xml:space="preserve"> musí být prováděno při plném respektování odlišných právních rámců vztahujících se na správní mandát úřadu OLAF a mandát úřadu EPPO k prosazování trestního práva v souladu se stanoviskem evropského inspektora ochrany údajů 1/2026 ze dne 7. ledna 2026; </w:t>
            </w:r>
            <w:r>
              <w:rPr>
                <w:b/>
                <w:i/>
              </w:rPr>
              <w:t>zdůrazňuje, že v zájmu zajištění účinného provádění nařízení musí být úřadům EPPO a OLAF poskytnuty odpovídající finanční, technické a lidské zdroje, aby byla zajištěna bezpečná, odolná a spolehlivá infrastruktura pro sdílení informací o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zdůrazňuje, že </w:t>
            </w:r>
            <w:r>
              <w:rPr>
                <w:b/>
                <w:i/>
              </w:rPr>
              <w:t>pro zajištění účinného boje</w:t>
            </w:r>
            <w:r>
              <w:t xml:space="preserve"> proti přeshraničním kolotočovým podvodům </w:t>
            </w:r>
            <w:r>
              <w:rPr>
                <w:b/>
                <w:i/>
              </w:rPr>
              <w:t>je nezbytné poskytnout úřadům EPPO a OLAF přímý, automatizovaný a centralizovaný přístup do systému VIES, sítě Eurofisc a centrálního elektronického systému platebních informací</w:t>
            </w:r>
            <w:r>
              <w:t>; vyzývá Komisi, aby vydala jasné procesní pokyny pro příslušné orgány s cílem zajistit právní jistotu a zabránit jakýmkoli překážkám bránícím účinnému a případně souběžnému využívání nástrojů správního a trestního vyšetřování; trvá na tom, že pozměněné nařízení (EU) č. 904/2010, bude-li přijato, musí být prováděno při plném respektování odlišných právních rámců vztahujících se na správní mandát úřadu OLAF a mandát úřadu EPPO k prosazování trestního práva v souladu se stanoviskem evropského inspektora ochrany údajů 1/2026 ze dne 7. ledna 2026;</w:t>
            </w:r>
          </w:p>
        </w:tc>
        <w:tc>
          <w:tcPr>
            <w:tcW w:w="4876" w:type="dxa"/>
            <w:tcBorders>
              <w:top w:val="nil"/>
              <w:left w:val="nil"/>
              <w:bottom w:val="nil"/>
              <w:right w:val="nil"/>
            </w:tcBorders>
          </w:tcPr>
          <w:p>
            <w:pPr>
              <w:pStyle w:val="Normal6a"/>
            </w:pPr>
            <w:r>
              <w:t>6.</w:t>
            </w:r>
            <w:r>
              <w:tab/>
            </w:r>
            <w:r>
              <w:t xml:space="preserve">zdůrazňuje, že </w:t>
            </w:r>
            <w:r>
              <w:rPr>
                <w:b/>
                <w:i/>
              </w:rPr>
              <w:t>poskytnutí bezpečného, přiměřeného a právně vymezeného přístupu k systému VIES, síti Eurofisc a centrálnímu elektronickému systému platebních informací úřadům EPPO a OLAF by mohlo zajistit účinný boj</w:t>
            </w:r>
            <w:r>
              <w:t xml:space="preserve"> proti přeshraničním kolotočovým podvodům; vyzývá Komisi, aby vydala jasné procesní pokyny pro příslušné orgány s cílem zajistit právní jistotu a zabránit jakýmkoli překážkám bránícím účinnému a případně souběžnému využívání nástrojů správního a trestního vyšetřování; trvá na tom, že pozměněné nařízení (EU) č. 904/2010, bude-li přijato, musí být prováděno při plném respektování odlišných právních rámců vztahujících se na správní mandát úřadu OLAF a mandát úřadu EPPO k prosazování trestního práva v souladu se stanoviskem evropského inspektora ochrany údajů 1/2026 ze dne 7. ledna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zdůrazňuje, že přeshraniční spolupráce v oblasti podvodů s DPH vyžaduje </w:t>
            </w:r>
            <w:r>
              <w:rPr>
                <w:b/>
                <w:i/>
              </w:rPr>
              <w:t>nejen výměnu údajů na</w:t>
            </w:r>
            <w:r>
              <w:t xml:space="preserve"> úrovni EU</w:t>
            </w:r>
            <w:r>
              <w:rPr>
                <w:b/>
                <w:i/>
              </w:rPr>
              <w:t>, ale také spolehlivé dvoustranné a mnohostranné mechanismy spolupráce mezi daňovými správami členských států</w:t>
            </w:r>
            <w:r>
              <w:t>;</w:t>
            </w:r>
          </w:p>
        </w:tc>
        <w:tc>
          <w:tcPr>
            <w:tcW w:w="4876" w:type="dxa"/>
            <w:tcBorders>
              <w:top w:val="nil"/>
              <w:left w:val="nil"/>
              <w:bottom w:val="nil"/>
              <w:right w:val="nil"/>
            </w:tcBorders>
          </w:tcPr>
          <w:p>
            <w:pPr>
              <w:pStyle w:val="Normal6a"/>
            </w:pPr>
            <w:r>
              <w:t>7.</w:t>
            </w:r>
            <w:r>
              <w:tab/>
            </w:r>
            <w:r>
              <w:t>zdůrazňuje, že přeshraniční spolupráce v oblasti podvodů s DPH vyžaduje</w:t>
            </w:r>
            <w:r>
              <w:rPr>
                <w:b/>
                <w:i/>
              </w:rPr>
              <w:t>, aby všichni aktéři boje proti podvodům měli přístup k údajům, které jsou důležité pro výkon jejich příslušných mandátů;</w:t>
            </w:r>
            <w:r>
              <w:t xml:space="preserve"> </w:t>
            </w:r>
            <w:r>
              <w:rPr>
                <w:b/>
                <w:i/>
              </w:rPr>
              <w:t>žádá Komisi a členské státy, aby odstraňovaly legislativních překážky, které brání výměně informací mezi správními, soudními a donucovacími orgány na vnitrostátní úrovni a</w:t>
            </w:r>
            <w:r>
              <w:t xml:space="preserve"> úrovni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zdůrazňuje, že přeshraniční spolupráce v oblasti podvodů s DPH vyžaduje nejen výměnu údajů na úrovni EU, ale také spolehlivé dvoustranné a mnohostranné mechanismy spolupráce mezi daňovými správami členských států;</w:t>
            </w:r>
          </w:p>
        </w:tc>
        <w:tc>
          <w:tcPr>
            <w:tcW w:w="4876" w:type="dxa"/>
            <w:tcBorders>
              <w:top w:val="nil"/>
              <w:left w:val="nil"/>
              <w:bottom w:val="nil"/>
              <w:right w:val="nil"/>
            </w:tcBorders>
          </w:tcPr>
          <w:p>
            <w:pPr>
              <w:pStyle w:val="Normal6a"/>
            </w:pPr>
            <w:r>
              <w:t>7.</w:t>
            </w:r>
            <w:r>
              <w:tab/>
            </w:r>
            <w:r>
              <w:t>zdůrazňuje, že přeshraniční spolupráce v oblasti podvodů s DPH vyžaduje nejen výměnu údajů na úrovni EU, ale také spolehlivé dvoustranné a mnohostranné mechanismy spolupráce mezi daňovými správami členských států</w:t>
            </w:r>
            <w:r>
              <w:rPr>
                <w:b/>
                <w:i/>
              </w:rPr>
              <w:t>,a to i prostřednictvím přímé výměny informací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uznává, že využívání ekonomiky založené na reálném čase a na datech v má pro ochranu finančních zájmů Unie významný přínos a zároveň snižuje administrativní zátěž veřejných orgánů i podniků působících a obchodujících přeshraničně v rámci EU;</w:t>
            </w:r>
            <w:r>
              <w:t xml:space="preserve"> </w:t>
            </w:r>
            <w:r>
              <w:rPr>
                <w:b/>
                <w:i/>
              </w:rPr>
              <w:t>vyzývá EU a členské státy, aby zlepšily účinnost sdílení údajů vytvořením digitálního ekosystému, který umožní plynulý a bezpečný pohyb standardizovaných, strukturovaných a strojově čitelných dat v reálném čase mezi podniky a veřejnými orgány, zejména vnitrostátními daňovými správami, s cílem omezit možnosti páchání podvodů a daňových úniků;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zdůrazňuje, že přístup k údajům o DPH poskytnutý úřadům EPPO a OLAF zlepšuje kapacitu odhalování a stíhání;</w:t>
            </w:r>
            <w:r>
              <w:t xml:space="preserve"> </w:t>
            </w:r>
            <w:r>
              <w:rPr>
                <w:b/>
                <w:i/>
              </w:rPr>
              <w:t>nepředstavuje však dostatečný odrazující prostředek ke zmírnění výše uvedených rozdílů v rámci Unie, které podporují nakupování na hranicích.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vyzývá Komisi, aby podporovala opatření zaměřená na posílení provozní účinnosti sítě Eurofisc; trvá na tom, že nástroj sítě Eurofisc pro analýzu transakčních sítí by měl být dále rozvíjen pomocí schopností rozpoznávání vzorců s pomocí umělé inteligence, což by umožnilo přeshraniční odhalování podezřelých transakčních řetězců v oblasti DPH v reálném čase; vyzývá členské státy, aby posílily vzájemnou spolupráci v rámci této sítě a zajistily včasné a úplné poskytování údajů o transakcích;</w:t>
            </w:r>
          </w:p>
        </w:tc>
        <w:tc>
          <w:tcPr>
            <w:tcW w:w="4876" w:type="dxa"/>
            <w:tcBorders>
              <w:top w:val="nil"/>
              <w:left w:val="nil"/>
              <w:bottom w:val="nil"/>
              <w:right w:val="nil"/>
            </w:tcBorders>
          </w:tcPr>
          <w:p>
            <w:pPr>
              <w:pStyle w:val="Normal6a"/>
            </w:pPr>
            <w:r>
              <w:t>8.</w:t>
            </w:r>
            <w:r>
              <w:tab/>
            </w:r>
            <w:r>
              <w:rPr>
                <w:b/>
                <w:i/>
              </w:rPr>
              <w:t>zdůrazňuje, že je důležité investovat do pokročilých nástrojů IT, včetně nástroje Eurofiscu pro analýzu transakčních sítí (TNA) a centrálního elektronického systému platebních informací (CESOP), a do technologií umělé inteligence, jakož i do jejich neustálého zlepšování, s cílem podpořit EU a členské státy při odhalování podvodů a předcházení podvodům v co nejranější fázi;</w:t>
            </w:r>
            <w:r>
              <w:t xml:space="preserve"> vyzývá Komisi, aby podporovala opatření zaměřená na posílení provozní účinnosti sítě Eurofisc; trvá na tom, že nástroj sítě Eurofisc pro analýzu transakčních sítí by měl být dále rozvíjen pomocí schopností rozpoznávání vzorců s pomocí umělé inteligence, což by umožnilo přeshraniční odhalování podezřelých transakčních řetězců v oblasti DPH v reálném čase; vyzývá členské státy, aby posílily vzájemnou spolupráci v rámci této sítě a zajistily včasné a úplné poskytování údajů o transakcích;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vyzývá Komisi, aby podporovala opatření zaměřená na posílení provozní účinnosti sítě Eurofisc; trvá na tom, že nástroj sítě Eurofisc pro analýzu transakčních sítí by měl být dále rozvíjen pomocí schopností rozpoznávání vzorců s pomocí umělé inteligence, což by umožnilo přeshraniční odhalování podezřelých transakčních řetězců v oblasti DPH v reálném čase; vyzývá členské státy, aby posílily vzájemnou spolupráci v rámci této sítě a zajistily včasné a úplné poskytování údajů o transakcích;</w:t>
            </w:r>
          </w:p>
        </w:tc>
        <w:tc>
          <w:tcPr>
            <w:tcW w:w="4876" w:type="dxa"/>
            <w:tcBorders>
              <w:top w:val="nil"/>
              <w:left w:val="nil"/>
              <w:bottom w:val="nil"/>
              <w:right w:val="nil"/>
            </w:tcBorders>
          </w:tcPr>
          <w:p>
            <w:pPr>
              <w:pStyle w:val="Normal6a"/>
            </w:pPr>
            <w:r>
              <w:t>8.</w:t>
            </w:r>
            <w:r>
              <w:tab/>
            </w:r>
            <w:r>
              <w:t xml:space="preserve">vyzývá Komisi, aby podporovala opatření zaměřená na posílení provozní účinnosti sítě Eurofisc; trvá na tom, že nástroj sítě Eurofisc pro analýzu transakčních sítí by měl být dále rozvíjen pomocí schopností rozpoznávání vzorců s pomocí umělé inteligence, což by umožnilo přeshraniční odhalování podezřelých transakčních řetězců v oblasti DPH v reálném čase; vyzývá členské státy, aby posílily vzájemnou spolupráci v rámci této sítě a zajistily včasné a úplné poskytování údajů o transakcích; </w:t>
            </w:r>
            <w:r>
              <w:rPr>
                <w:b/>
                <w:i/>
              </w:rPr>
              <w:t>dále vyzývá k tomu, aby síť Eurofisc mohla pozastavovat používání identifikačních čísel pro DPH v systému výměny informací o DPH, pokud existují významné indicie podvodů v oblasti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konstatuje, že navzdory tomu, že síť Eurofisc v roce 2024 odhalila podvodné nebo podezřelé transakce v oblasti DPH ve výši více než 12 miliard EUR, v jejich odhalování přetrvávají značné nedostatky;</w:t>
            </w:r>
            <w:r>
              <w:t xml:space="preserve"> </w:t>
            </w:r>
            <w:r>
              <w:rPr>
                <w:b/>
                <w:i/>
              </w:rPr>
              <w:t>domnívá se, že vnitrostátní finanční zpravodajské jednotky mají díky podávání zpráv o podezřelých transakcích týkajících se souvisejících peněžních toků dobré předpoklady k tomu, aby doplňovaly zpravodajské informace Eurofiscu o transakcích v oblasti DPH;</w:t>
            </w:r>
            <w:r>
              <w:t xml:space="preserve"> </w:t>
            </w:r>
            <w:r>
              <w:rPr>
                <w:b/>
                <w:i/>
              </w:rPr>
              <w:t>vyzývá Komisi, aby posoudila nejlepší způsob, jak navázat přiměřenou a bezproblémovou spolupráci mezi Eurofiscem a vnitrostátními finančními zpravodajskými jednotkami, s výhradou platných požadavků na ochranu údajů;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vyjadřuje politování nad tím, že navzdory tomu, že úřady EPPO a OLAF mají právo na přístup k registrům skutečných majitelů podle šesté směrnice o boji proti praní peněz, zahájila Komise v roce 2025 řízení o nesplnění povinnosti proti jedenácti členským státům, které neprovedly příslušná ustanovení ve lhůtě do července 2025;</w:t>
            </w:r>
            <w:r>
              <w:t xml:space="preserve"> </w:t>
            </w:r>
            <w:r>
              <w:rPr>
                <w:b/>
                <w:i/>
              </w:rPr>
              <w:t>konstatuje, že vyšetřování úřadu EPPO soustavně ukazuje, že profesionální zprostředkovatelé – účetní, právníci a zprostředkovatelé – budují a udržují řetězce krycích společností, které umožňují škálovatelnost kolotočových podvodů;</w:t>
            </w:r>
            <w:r>
              <w:t xml:space="preserve"> </w:t>
            </w:r>
            <w:r>
              <w:rPr>
                <w:b/>
                <w:i/>
              </w:rPr>
              <w:t>vyzývá Komisi, aby prosazovala plné provedení ustanovení šesté směrnice o boji proti praní peněz týkajících se skutečného vlastnictví a aby navrhla závazná opatření k posílení odpovědnosti profesionálních zprostředkovatelů, kteří vědomě usnadňují podvody v oblasti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bere na vědomí, že mechanismus přenesení daňové povinnosti, jak je stanoven v článcích 199a a 199b směrnice o DPH</w:t>
            </w:r>
            <w:r>
              <w:rPr>
                <w:vertAlign w:val="superscript"/>
              </w:rPr>
              <w:t>4</w:t>
            </w:r>
            <w:r>
              <w:t>, prokázal jednoznačnou účinnost jako cílený nástroj boje proti podvodům tím, že odstranil strukturální příležitost chybějících obchodníků vybrat DPH a zmizet před jejím vrácením; zdůrazňuje, že tento mechanismus by měl být zachován a případně rozšířen; vyzývá Komisi, aby včas předložila návrh na jeho prodloužení, a pokud to podklady odůvodňují, na rozšíření oblasti působnosti článků 199a a 199b na období po roce 2026;</w:t>
            </w:r>
          </w:p>
        </w:tc>
        <w:tc>
          <w:tcPr>
            <w:tcW w:w="4876" w:type="dxa"/>
            <w:tcBorders>
              <w:top w:val="nil"/>
              <w:left w:val="nil"/>
              <w:bottom w:val="nil"/>
              <w:right w:val="nil"/>
            </w:tcBorders>
          </w:tcPr>
          <w:p>
            <w:pPr>
              <w:pStyle w:val="Normal6a"/>
            </w:pPr>
            <w:r>
              <w:t>10.</w:t>
            </w:r>
            <w:r>
              <w:tab/>
            </w:r>
            <w:r>
              <w:t>bere na vědomí, že mechanismus přenesení daňové povinnosti, jak je stanoven v článcích 199a a 199b směrnice o DPH</w:t>
            </w:r>
            <w:r>
              <w:rPr>
                <w:vertAlign w:val="superscript"/>
              </w:rPr>
              <w:t>4</w:t>
            </w:r>
            <w:r>
              <w:t>, prokázal jednoznačnou účinnost jako cílený nástroj boje proti podvodům tím, že</w:t>
            </w:r>
            <w:r>
              <w:rPr>
                <w:b/>
                <w:i/>
              </w:rPr>
              <w:t> v konkrétních hospodářských odvětvích</w:t>
            </w:r>
            <w:r>
              <w:t xml:space="preserve"> odstranil strukturální příležitost chybějících obchodníků vybrat DPH a zmizet před jejím vrácením; zdůrazňuje, že tento mechanismus by měl být zachován a případně rozšířen; vyzývá Komisi, aby včas předložila návrh na jeho prodloužení, a pokud to podklady odůvodňují, na rozšíření oblasti působnosti článků 199a a 199b na období po roce 2026</w:t>
            </w:r>
            <w:r>
              <w:rPr>
                <w:b/>
                <w:i/>
              </w:rPr>
              <w:t>, a to s přihlédnutím k tomu, že podvody mohou být přesměrovány do jiných odvětví nebo do členských států, které tento mechanismus neuplatňují, a že tento mechanismus rovněž ztěžuje identifikaci případných podvodných partnerů</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Směrnice Rady 2006/112/ES ze dne 28. listopadu 2006 o společném systému daně z přidané hodnoty (Úř. věst. L 347, 11.12.2006, s. 1, ELI: http://data.europa.eu/eli/dir/2006/112/oj).</w:t>
            </w:r>
          </w:p>
        </w:tc>
        <w:tc>
          <w:tcPr>
            <w:tcW w:w="4876" w:type="dxa"/>
            <w:tcBorders>
              <w:top w:val="nil"/>
              <w:left w:val="nil"/>
              <w:bottom w:val="nil"/>
              <w:right w:val="nil"/>
            </w:tcBorders>
          </w:tcPr>
          <w:p>
            <w:pPr>
              <w:pStyle w:val="Normal6a"/>
            </w:pPr>
            <w:r>
              <w:rPr>
                <w:vertAlign w:val="superscript"/>
              </w:rPr>
              <w:t>4</w:t>
            </w:r>
            <w:r>
              <w:t xml:space="preserve"> </w:t>
            </w:r>
            <w:r>
              <w:t>Směrnice Rady 2006/112/ES ze dne 28. listopadu 2006 o společném systému daně z přidané hodnoty (Úř. věst. L 347, 11.12.2006, s.</w:t>
            </w:r>
            <w:r>
              <w:rPr>
                <w:b/>
                <w:i/>
              </w:rPr>
              <w:t> </w:t>
            </w:r>
            <w:r>
              <w:t xml:space="preserve"> 1, ELI: http://data.europa.eu/eli/dir/2006/112/oj).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bere na vědomí, že mechanismus přenesení daňové povinnosti, jak je stanoven v článcích 199a a 199b směrnice o DPH</w:t>
            </w:r>
            <w:r>
              <w:rPr>
                <w:vertAlign w:val="superscript"/>
              </w:rPr>
              <w:t>4</w:t>
            </w:r>
            <w:r>
              <w:t>, prokázal jednoznačnou účinnost jako cílený nástroj boje proti podvodům tím, že odstranil strukturální příležitost chybějících obchodníků vybrat DPH a zmizet před jejím vrácením; zdůrazňuje, že tento mechanismus by měl být zachován a případně rozšířen; vyzývá Komisi, aby včas předložila návrh na jeho prodloužení, a pokud to podklady odůvodňují, na rozšíření oblasti působnosti článků 199a a 199b na období po roce 2026;</w:t>
            </w:r>
          </w:p>
        </w:tc>
        <w:tc>
          <w:tcPr>
            <w:tcW w:w="4876" w:type="dxa"/>
            <w:tcBorders>
              <w:top w:val="nil"/>
              <w:left w:val="nil"/>
              <w:bottom w:val="nil"/>
              <w:right w:val="nil"/>
            </w:tcBorders>
          </w:tcPr>
          <w:p>
            <w:pPr>
              <w:pStyle w:val="Normal6a"/>
            </w:pPr>
            <w:r>
              <w:t>10.</w:t>
            </w:r>
            <w:r>
              <w:tab/>
            </w:r>
            <w:r>
              <w:t>bere na vědomí, že mechanismus přenesení daňové povinnosti, jak je stanoven v článcích 199a a 199b směrnice o DPH</w:t>
            </w:r>
            <w:r>
              <w:rPr>
                <w:vertAlign w:val="superscript"/>
              </w:rPr>
              <w:t>4</w:t>
            </w:r>
            <w:r>
              <w:t xml:space="preserve">, prokázal jednoznačnou účinnost jako cílený </w:t>
            </w:r>
            <w:r>
              <w:rPr>
                <w:b/>
                <w:i/>
              </w:rPr>
              <w:t>odvětvový</w:t>
            </w:r>
            <w:r>
              <w:t xml:space="preserve"> nástroj boje proti podvodům tím, že odstranil strukturální příležitost chybějících obchodníků vybrat DPH a zmizet před jejím vrácením; zdůrazňuje, že tento mechanismus by měl být zachován a případně </w:t>
            </w:r>
            <w:r>
              <w:rPr>
                <w:b/>
                <w:i/>
              </w:rPr>
              <w:t>cíleně a s časovým omezením</w:t>
            </w:r>
            <w:r>
              <w:t xml:space="preserve"> rozšířen; vyzývá Komisi, aby včas předložila návrh na jeho prodloužení, a pokud to podklady odůvodňují, na rozšíření oblasti působnosti článků 199a a 199b na období po roce 2026;</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Směrnice Rady 2006/112/ES ze dne 28. listopadu 2006 o společném systému daně z přidané hodnoty (Úř. věst. L 347, 11.12.2006, s. 1, ELI: http://data.europa.eu/eli/dir/2006/112/oj).</w:t>
            </w:r>
          </w:p>
        </w:tc>
        <w:tc>
          <w:tcPr>
            <w:tcW w:w="4876" w:type="dxa"/>
            <w:tcBorders>
              <w:top w:val="nil"/>
              <w:left w:val="nil"/>
              <w:bottom w:val="nil"/>
              <w:right w:val="nil"/>
            </w:tcBorders>
          </w:tcPr>
          <w:p>
            <w:pPr>
              <w:pStyle w:val="Normal6a"/>
            </w:pPr>
            <w:r>
              <w:rPr>
                <w:vertAlign w:val="superscript"/>
              </w:rPr>
              <w:t>4</w:t>
            </w:r>
            <w:r>
              <w:t xml:space="preserve"> </w:t>
            </w:r>
            <w:r>
              <w:t>Směrnice Rady 2006/112/ES ze dne 28. listopadu 2006 o společném systému daně z přidané hodnoty (Úř. věst. L 347, 11.12.2006, s.</w:t>
            </w:r>
            <w:r>
              <w:rPr>
                <w:b/>
                <w:i/>
              </w:rPr>
              <w:t> </w:t>
            </w:r>
            <w:r>
              <w:t xml:space="preserve"> 1, ELI: http://data.europa.eu/eli/dir/2006/112/oj).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zdůrazňuje, že vyšetřování úřadu EPPO odhalují hybridní systémy, v nichž jsou podvody v oblasti DPH systematicky kombinovány s praním peněz a korupcí;</w:t>
            </w:r>
            <w:r>
              <w:t xml:space="preserve"> </w:t>
            </w:r>
            <w:r>
              <w:rPr>
                <w:b/>
                <w:i/>
              </w:rPr>
              <w:t>varuje, že podvody v oblasti DPH nejen připravují členské státy o životně důležité veřejné příjmy, ale také umožňují korupci a narušují demokratické instituce a důvěru veřejnosti v právní stát;</w:t>
            </w:r>
            <w:r>
              <w:t xml:space="preserve"> </w:t>
            </w:r>
            <w:r>
              <w:rPr>
                <w:b/>
                <w:i/>
              </w:rPr>
              <w:t>vyzývá Komisi, aby prostřednictvím legislativního balíčku architektury boje proti podvodům zajistila strukturovanou operativní spolupráci mezi orgány pro boj proti podvodům a orgánem AMLA;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vyzývá Komisi, aby provedla preventivní posouzení zranitelnosti, pokud jde o riziko karuselových podvodů v oblasti DPH a finanční trestné činnosti s dopadem na transakce s uhlíkovými kredity a povolenkami v rámci druhé fáze systému EU pro obchodování s emisemi (ETS2), a aby v případě vysokého rizika těchto trestných činů odložila zahájení provozu systému ETS2;</w:t>
            </w:r>
            <w:r>
              <w:t xml:space="preserve"> </w:t>
            </w:r>
            <w:r>
              <w:rPr>
                <w:b/>
                <w:i/>
              </w:rPr>
              <w:t>připomíná, že původní systém EU ETS byl nástrojem jednoho z největších systémů karuselových podvodů v historii EU, což vedlo v letech 2008 až 2009 k odhadovaným ztrátám ve výši přibližně 5 miliard EUR, a že tyto systémy byly zrušeny až poté, co ke škodám již došlo;</w:t>
            </w:r>
            <w:r>
              <w:t xml:space="preserve"> </w:t>
            </w:r>
            <w:r>
              <w:rPr>
                <w:b/>
                <w:i/>
              </w:rPr>
              <w:t>trvá na tom, že Komise musí před zprovozněním systému ETS2 identifikovat a řešit strukturální slabiny v jeho transakční architektuře;</w:t>
            </w:r>
            <w:r>
              <w:t xml:space="preserve"> </w:t>
            </w:r>
            <w:r>
              <w:rPr>
                <w:b/>
                <w:i/>
              </w:rPr>
              <w:t>vyzývá Komisi, aby o zjištěních tohoto posouzení informovala Parlament a Radu a aby do provozních pravidel ETS2 zahrnula veškeré záruky, které budou považovány za nezbytné;</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vyzývá Komisi, aby provedla preventivní posouzení zranitelnosti, pokud jde o riziko karuselových podvodů v oblasti DPH a finanční trestné činnosti s dopadem na transakce s uhlíkovými kredity a povolenkami v rámci druhé fáze systému EU pro obchodování s emisemi (ETS2), a aby v případě vysokého rizika těchto trestných činů odložila zahájení provozu systému ETS2;</w:t>
            </w:r>
            <w:r>
              <w:t xml:space="preserve"> </w:t>
            </w:r>
            <w:r>
              <w:rPr>
                <w:b/>
                <w:i/>
              </w:rPr>
              <w:t>připomíná, že původní systém EU ETS byl nástrojem jednoho z největších systémů karuselových podvodů v historii EU, což vedlo v letech 2008 až 2009 k odhadovaným ztrátám ve výši přibližně 5 miliard EUR, a že tyto systémy byly zrušeny až poté, co ke škodám již došlo;</w:t>
            </w:r>
            <w:r>
              <w:t xml:space="preserve"> </w:t>
            </w:r>
            <w:r>
              <w:rPr>
                <w:b/>
                <w:i/>
              </w:rPr>
              <w:t>trvá na tom, že Komise musí před zprovozněním systému ETS2 identifikovat a řešit strukturální slabiny v jeho transakční architektuře;</w:t>
            </w:r>
            <w:r>
              <w:t xml:space="preserve"> </w:t>
            </w:r>
            <w:r>
              <w:rPr>
                <w:b/>
                <w:i/>
              </w:rPr>
              <w:t>vyzývá Komisi, aby o zjištěních tohoto posouzení informovala Parlament a Radu a aby do provozních pravidel ETS2 zahrnula veškeré záruky, které budou považovány za nezbytné;</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vyzývá Komisi, aby provedla preventivní posouzení zranitelnosti, pokud jde o riziko karuselových podvodů v oblasti DPH a finanční trestné činnosti s dopadem na transakce s uhlíkovými kredity a povolenkami v rámci druhé fáze systému EU pro obchodování s emisemi (ETS2), a aby </w:t>
            </w:r>
            <w:r>
              <w:rPr>
                <w:b/>
                <w:i/>
              </w:rPr>
              <w:t>v případě vysokého rizika těchto trestných činů odložila zahájení</w:t>
            </w:r>
            <w:r>
              <w:t xml:space="preserve"> provozu </w:t>
            </w:r>
            <w:r>
              <w:rPr>
                <w:b/>
                <w:i/>
              </w:rPr>
              <w:t>systému ETS2</w:t>
            </w:r>
            <w:r>
              <w:t>; připomíná, že původní systém EU ETS byl nástrojem jednoho z největších systémů karuselových podvodů v historii EU, což vedlo v letech 2008 až 2009 k odhadovaným ztrátám ve výši přibližně 5 miliard EUR, a že tyto systémy byly zrušeny až poté, co ke škodám již došlo; trvá na tom, že Komise musí před zprovozněním systému ETS2 identifikovat a řešit strukturální slabiny v jeho transakční architektuře; vyzývá Komisi, aby o zjištěních tohoto posouzení informovala Parlament a Radu a aby do provozních pravidel ETS2 zahrnula veškeré záruky, které budou považovány za nezbytné;</w:t>
            </w:r>
          </w:p>
        </w:tc>
        <w:tc>
          <w:tcPr>
            <w:tcW w:w="4876" w:type="dxa"/>
            <w:tcBorders>
              <w:top w:val="nil"/>
              <w:left w:val="nil"/>
              <w:bottom w:val="nil"/>
              <w:right w:val="nil"/>
            </w:tcBorders>
          </w:tcPr>
          <w:p>
            <w:pPr>
              <w:pStyle w:val="Normal6a"/>
            </w:pPr>
            <w:r>
              <w:t>12.</w:t>
            </w:r>
            <w:r>
              <w:tab/>
            </w:r>
            <w:r>
              <w:t xml:space="preserve">vyzývá Komisi, aby provedla preventivní posouzení zranitelnosti, pokud jde o riziko karuselových podvodů v oblasti DPH a finanční trestné činnosti s dopadem na transakce s uhlíkovými kredity a povolenkami v rámci druhé fáze systému EU pro obchodování s emisemi (ETS2), a aby </w:t>
            </w:r>
            <w:r>
              <w:rPr>
                <w:b/>
                <w:i/>
              </w:rPr>
              <w:t>do rámce ETS2 začlenila záruky proti podvodům, které byly označeny za nezbytné jako předpoklad pro jeho uvedení do</w:t>
            </w:r>
            <w:r>
              <w:t xml:space="preserve"> provozu</w:t>
            </w:r>
            <w:r>
              <w:rPr>
                <w:b/>
                <w:i/>
              </w:rPr>
              <w:t>, aniž by došlo ke zpoždění cílů v oblasti klimatu, které má systém ETS2 plnit</w:t>
            </w:r>
            <w:r>
              <w:t>; připomíná, že původní systém EU ETS byl nástrojem jednoho z největších systémů karuselových podvodů v historii EU, což vedlo v letech 2008 až 2009 k odhadovaným ztrátám ve výši přibližně 5 miliard EUR, a že tyto systémy byly zrušeny až poté, co ke škodám již došlo; trvá na tom, že Komise musí před zprovozněním systému ETS2 identifikovat a řešit strukturální slabiny v jeho transakční architektuře; vyzývá Komisi, aby o zjištěních tohoto posouzení informovala Parlament a Radu a aby do provozních pravidel ETS2 zahrnula veškeré záruky, které budou považovány za nezbytné;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vyzývá Komisi, aby v rámci technického provádění balíčku ViDA zajistila, aby údaje z digitálního podávání zpráv v reálném čase generované v rámci povinností elektronické fakturace a digitálního podávání zpráv byly technicky interoperabilní s nástrojem TNA sítě Eurofisc a přístupné v rámci jejich příslušných mandátů a s výhradou platných pravidel ochrany údajů úřadu OLAF a Úřadu evropského veřejného žalobce pro účely přeshraničního odhalování podvodů v oblasti DPH; vyzývá Komisi, aby do 31. prosince 2031 předložila Parlamentu a Radě zprávu o provozních výsledcích využívání údajů ViDA při odhalování přeshraničních podvodů v oblasti DPH, včetně počtu otevřených případů, odhadovaných zjištěných škod a zpětně získaných částek;</w:t>
            </w:r>
          </w:p>
        </w:tc>
        <w:tc>
          <w:tcPr>
            <w:tcW w:w="4876" w:type="dxa"/>
            <w:tcBorders>
              <w:top w:val="nil"/>
              <w:left w:val="nil"/>
              <w:bottom w:val="nil"/>
              <w:right w:val="nil"/>
            </w:tcBorders>
          </w:tcPr>
          <w:p>
            <w:pPr>
              <w:pStyle w:val="Normal6a"/>
            </w:pPr>
            <w:r>
              <w:t>13.</w:t>
            </w:r>
            <w:r>
              <w:tab/>
            </w:r>
            <w:r>
              <w:t xml:space="preserve">vyzývá Komisi, aby v rámci technického provádění balíčku ViDA zajistila, aby údaje z digitálního podávání zpráv v reálném čase generované v rámci povinností elektronické fakturace a digitálního podávání zpráv byly technicky interoperabilní s nástrojem TNA sítě Eurofisc a přístupné v rámci jejich příslušných mandátů a s výhradou platných pravidel ochrany údajů úřadu OLAF a Úřadu evropského veřejného žalobce pro účely přeshraničního odhalování podvodů v oblasti DPH; vyzývá Komisi, aby do 31. prosince 2031 předložila Parlamentu a Radě zprávu o provozních výsledcích využívání údajů </w:t>
            </w:r>
            <w:r>
              <w:rPr>
                <w:b/>
                <w:i/>
              </w:rPr>
              <w:t>databáze</w:t>
            </w:r>
            <w:r>
              <w:t xml:space="preserve"> ViDA při odhalování přeshraničních podvodů v oblasti DPH, včetně počtu otevřených případů, odhadovaných zjištěných škod</w:t>
            </w:r>
            <w:r>
              <w:rPr>
                <w:b/>
                <w:i/>
              </w:rPr>
              <w:t>, druhu podvodů v oblasti DPH (karuselový, podvody v oblasti DPH při dovozu, podvody MTIC atd.)</w:t>
            </w:r>
            <w:r>
              <w:t xml:space="preserve"> a zpětně získaných částek;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Monika Hohlmeier,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vyzývá Komisi, aby vybízela členské státy k užší každodenní spolupráci při bezproblémové výměně zpravodajských informací o případech podvodů v oblasti DPH, jakmile budou tyto informace známy, a při sdílení znalostí a osvědčených postupů v oblasti odhalování podvodů v oblasti DPH;</w:t>
            </w:r>
            <w:r>
              <w:t xml:space="preserve"> </w:t>
            </w:r>
            <w:r>
              <w:rPr>
                <w:b/>
                <w:i/>
              </w:rPr>
              <w:t>zdůrazňuje, že by měla být k tomuto účelu využívána umělá inteligence, kdykoli to bude možné;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vítá přezkum struktury pro boj proti podvodům provedený Komisí jako včasnou a komplexní iniciativu s cílem zmapovat stávající strukturu, identifikovat mezery a podpořit soudržnost v celém cyklu boje proti podvodům; zdůrazňuje, že tento přezkum je příležitostí k včasnému vytvoření skutečně integrovaného rámce EU pro boj proti podvodům pro VFR na období po roce 2027;</w:t>
            </w:r>
          </w:p>
        </w:tc>
        <w:tc>
          <w:tcPr>
            <w:tcW w:w="4876" w:type="dxa"/>
            <w:tcBorders>
              <w:top w:val="nil"/>
              <w:left w:val="nil"/>
              <w:bottom w:val="nil"/>
              <w:right w:val="nil"/>
            </w:tcBorders>
          </w:tcPr>
          <w:p>
            <w:pPr>
              <w:pStyle w:val="Normal6a"/>
            </w:pPr>
            <w:r>
              <w:t>14.</w:t>
            </w:r>
            <w:r>
              <w:tab/>
            </w:r>
            <w:r>
              <w:t xml:space="preserve">vítá přezkum struktury pro boj proti podvodům provedený Komisí jako včasnou a komplexní iniciativu s cílem zmapovat stávající strukturu, identifikovat mezery a podpořit soudržnost v celém cyklu boje proti podvodům; zdůrazňuje, že tento přezkum je příležitostí k včasnému vytvoření skutečně integrovaného rámce EU pro boj proti podvodům pro VFR na období po roce 2027; </w:t>
            </w:r>
            <w:r>
              <w:rPr>
                <w:b/>
                <w:i/>
              </w:rPr>
              <w:t>domnívá se, že vzhledem ke značnému finančnímu dopadu přeshraničních podvodů na příjmy, zejména DPH a cla, by ochrana příjmů Unie měla být v rámci přezkumu strategickou prioritou;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uznává, že je obzvláště obtížné získat zpět příjmy z DPH ztracené v důsledku podvodné činnosti, neboť jakmile je odhalena podvodná síť, podvodníci již často zorganizovali úpadek nebo přesunuli peníze mimo EU;</w:t>
            </w:r>
            <w:r>
              <w:t xml:space="preserve"> </w:t>
            </w:r>
            <w:r>
              <w:rPr>
                <w:b/>
                <w:i/>
              </w:rPr>
              <w:t>zdůrazňuje proto význam preventivních a preventivních opatření a naléhavě vyzývá Komisi, aby v souvislosti s přezkumem architektury boje proti podvodům prozkoumala inovativní přístupy, jako je výběr vzorků a statistická extrapolace výsledků omezeného počtu kontrol na celkový soubor dotčených transakcí a preventivní blokování čísel DPH, u nichž existuje podezření, že jsou používána k podvodným účelům;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vyzývá Komisi, aby zajistila, že sdělení z roku 2026 vyplývající z přezkumu struktury boje proti podvodům bude doprovázeno konkrétním legislativním balíčkem zahrnujícím odůvodněně očekávané revize nařízení o úřadu OLAF a nařízení o Úřadu evropského veřejného žalobce</w:t>
            </w:r>
            <w:r>
              <w:rPr>
                <w:vertAlign w:val="superscript"/>
              </w:rPr>
              <w:t>6</w:t>
            </w:r>
            <w:r>
              <w:t>a případně další konzistentní změny nařízení o Europolu</w:t>
            </w:r>
            <w:r>
              <w:rPr>
                <w:vertAlign w:val="superscript"/>
              </w:rPr>
              <w:t>7</w:t>
            </w:r>
            <w:r>
              <w:t>, nařízení o Eurojustu</w:t>
            </w:r>
            <w:r>
              <w:rPr>
                <w:vertAlign w:val="superscript"/>
              </w:rPr>
              <w:t>8</w:t>
            </w:r>
            <w:r>
              <w:t xml:space="preserve">, správního rámce Eurofiscu a směrnice PIF; </w:t>
            </w:r>
            <w:r>
              <w:rPr>
                <w:b/>
                <w:i/>
              </w:rPr>
              <w:t>zdůrazňuje, že Parlament očekává, že přezkum struktury boje proti podvodům povede k dohodnuté závazné legislativní změně, nikoli pouze k pokynům pro koordinaci;</w:t>
            </w:r>
          </w:p>
        </w:tc>
        <w:tc>
          <w:tcPr>
            <w:tcW w:w="4876" w:type="dxa"/>
            <w:tcBorders>
              <w:top w:val="nil"/>
              <w:left w:val="nil"/>
              <w:bottom w:val="nil"/>
              <w:right w:val="nil"/>
            </w:tcBorders>
          </w:tcPr>
          <w:p>
            <w:pPr>
              <w:pStyle w:val="Normal6a"/>
            </w:pPr>
            <w:r>
              <w:t>15.</w:t>
            </w:r>
            <w:r>
              <w:tab/>
            </w:r>
            <w:r>
              <w:t>vyzývá Komisi, aby zajistila, že sdělení z roku 2026 vyplývající z přezkumu struktury boje proti podvodům bude doprovázeno konkrétním legislativním balíčkem zahrnujícím odůvodněně očekávané revize nařízení o úřadu OLAF a nařízení o Úřadu evropského veřejného žalobce</w:t>
            </w:r>
            <w:r>
              <w:rPr>
                <w:vertAlign w:val="superscript"/>
              </w:rPr>
              <w:t>6</w:t>
            </w:r>
            <w:r>
              <w:t xml:space="preserve"> a případně další konzistentní změny nařízení o Europolu</w:t>
            </w:r>
            <w:r>
              <w:rPr>
                <w:vertAlign w:val="superscript"/>
              </w:rPr>
              <w:t>7</w:t>
            </w:r>
            <w:r>
              <w:t>, nařízení o Eurojustu</w:t>
            </w:r>
            <w:r>
              <w:rPr>
                <w:vertAlign w:val="superscript"/>
              </w:rPr>
              <w:t>8</w:t>
            </w:r>
            <w:r>
              <w:t>, správního rámce Eurofiscu a směrnice PIF;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Nařízení Rady (EU) 2017/1939 ze dne 12. října 2017, kterým se provádí posílená spolupráce za účelem zřízení Úřadu evropského veřejného žalobce (Úř. věst. L 283, 31.10.2017, s. 1, ELI: http://data.europa.eu/eli/reg/2017/1939/2021-01-10).</w:t>
            </w:r>
          </w:p>
        </w:tc>
        <w:tc>
          <w:tcPr>
            <w:tcW w:w="4876" w:type="dxa"/>
            <w:tcBorders>
              <w:top w:val="nil"/>
              <w:left w:val="nil"/>
              <w:bottom w:val="nil"/>
              <w:right w:val="nil"/>
            </w:tcBorders>
          </w:tcPr>
          <w:p>
            <w:pPr>
              <w:pStyle w:val="Normal6a"/>
            </w:pPr>
            <w:r>
              <w:rPr>
                <w:vertAlign w:val="superscript"/>
              </w:rPr>
              <w:t>6</w:t>
            </w:r>
            <w:r>
              <w:t xml:space="preserve"> </w:t>
            </w:r>
            <w:r>
              <w:t>Nařízení Rady (EU) 2017/1939 ze dne 12. října 2017, kterým se provádí posílená spolupráce za účelem zřízení Úřadu evropského veřejného žalobce (Úř. věst. L 283, 31.10.2017, s. 1, ELI: http://data.europa.eu/eli/reg/2017/1939/2021-01-10).</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Konsolidované znění: Nařízení Evropského parlamentu a Rady (EU) 2016/794 ze dne 11. května 2016 o Agentuře Evropské unie pro spolupráci v oblasti prosazování práva (Europol) a o zrušení a nahrazení rozhodnutí Rady 2009/371/SVV, 2009/934/SVV, 2009/935/SVV, 2009/936/SVV a 2009/968/SVV (Úř. věst. L 135, 24.5.2016, s. 53, ELI: http://data.europa.eu/eli/reg/2016/794/2026-01-11).</w:t>
            </w:r>
          </w:p>
        </w:tc>
        <w:tc>
          <w:tcPr>
            <w:tcW w:w="4876" w:type="dxa"/>
            <w:tcBorders>
              <w:top w:val="nil"/>
              <w:left w:val="nil"/>
              <w:bottom w:val="nil"/>
              <w:right w:val="nil"/>
            </w:tcBorders>
          </w:tcPr>
          <w:p>
            <w:pPr>
              <w:pStyle w:val="Normal6a"/>
            </w:pPr>
            <w:r>
              <w:rPr>
                <w:vertAlign w:val="superscript"/>
              </w:rPr>
              <w:t>7</w:t>
            </w:r>
            <w:r>
              <w:t xml:space="preserve"> </w:t>
            </w:r>
            <w:r>
              <w:t>Konsolidované znění: Nařízení Evropského parlamentu a Rady (EU) 2016/794 ze dne 11. května 2016 o Agentuře Evropské unie pro spolupráci v oblasti prosazování práva (Europol) a o zrušení a nahrazení rozhodnutí Rady 2009/371/SVV, 2009/934/SVV, 2009/935/SVV, 2009/936/SVV a 2009/968/SVV (Úř. věst. L 135, 24.5.2016, s. 53, ELI: http://data.europa.eu/eli/reg/2016/794/2026-01-11).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Nařízení Evropského parlamentu a Rady (EU) 2018/1727 ze dne 14. listopadu 2018 o Agentuře Evropské unie pro justiční spolupráci v trestních věcech (Eurojust) a o nahrazení a zrušení rozhodnutí Rady 2002/187/SVV (Úř. věst. L 295, 21.11.2018, s. 138, ELI: http://data.europa.eu/eli/reg/2018/1727/2025-11-04).</w:t>
            </w:r>
          </w:p>
        </w:tc>
        <w:tc>
          <w:tcPr>
            <w:tcW w:w="4876" w:type="dxa"/>
            <w:tcBorders>
              <w:top w:val="nil"/>
              <w:left w:val="nil"/>
              <w:bottom w:val="nil"/>
              <w:right w:val="nil"/>
            </w:tcBorders>
          </w:tcPr>
          <w:p>
            <w:pPr>
              <w:pStyle w:val="Normal6a"/>
            </w:pPr>
            <w:r>
              <w:rPr>
                <w:vertAlign w:val="superscript"/>
              </w:rPr>
              <w:t>8</w:t>
            </w:r>
            <w:r>
              <w:t xml:space="preserve"> </w:t>
            </w:r>
            <w:r>
              <w:t>Nařízení Evropského parlamentu a Rady (EU) 2018/1727 ze dne 14. listopadu 2018 o Agentuře Evropské unie pro justiční spolupráci v trestních věcech (Eurojust) a o nahrazení a zrušení rozhodnutí Rady 2002/187/SVV (Úř. věst. L 295, 21.11.2018, s. 138, ELI: http://data.europa.eu/eli/reg/2018/1727/2025-11-04).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vyzývá Komisi, aby zajistila, že sdělení z roku 2026 vyplývající z přezkumu struktury boje proti podvodům bude doprovázeno konkrétním legislativním balíčkem zahrnujícím odůvodněně očekávané revize nařízení o úřadu OLAF a nařízení o Úřadu evropského veřejného žalobce</w:t>
            </w:r>
            <w:r>
              <w:rPr>
                <w:vertAlign w:val="superscript"/>
              </w:rPr>
              <w:t>6</w:t>
            </w:r>
            <w:r>
              <w:t>a případně další konzistentní změny nařízení o Europolu</w:t>
            </w:r>
            <w:r>
              <w:rPr>
                <w:vertAlign w:val="superscript"/>
              </w:rPr>
              <w:t>7</w:t>
            </w:r>
            <w:r>
              <w:t>, nařízení o Eurojustu</w:t>
            </w:r>
            <w:r>
              <w:rPr>
                <w:vertAlign w:val="superscript"/>
              </w:rPr>
              <w:t>8</w:t>
            </w:r>
            <w:r>
              <w:t xml:space="preserve">, správního rámce Eurofiscu a směrnice PIF; zdůrazňuje, že Parlament očekává, že přezkum struktury boje proti podvodům povede k dohodnuté závazné legislativní změně, nikoli pouze k </w:t>
            </w:r>
            <w:r>
              <w:rPr>
                <w:b/>
                <w:i/>
              </w:rPr>
              <w:t>pokynům</w:t>
            </w:r>
            <w:r>
              <w:t xml:space="preserve"> pro koordinaci;</w:t>
            </w:r>
          </w:p>
        </w:tc>
        <w:tc>
          <w:tcPr>
            <w:tcW w:w="4876" w:type="dxa"/>
            <w:tcBorders>
              <w:top w:val="nil"/>
              <w:left w:val="nil"/>
              <w:bottom w:val="nil"/>
              <w:right w:val="nil"/>
            </w:tcBorders>
          </w:tcPr>
          <w:p>
            <w:pPr>
              <w:pStyle w:val="Normal6a"/>
            </w:pPr>
            <w:r>
              <w:t>15.</w:t>
            </w:r>
            <w:r>
              <w:tab/>
            </w:r>
            <w:r>
              <w:t>vyzývá Komisi, aby zajistila, že sdělení z roku 2026 vyplývající z přezkumu struktury boje proti podvodům bude doprovázeno konkrétním legislativním balíčkem zahrnujícím odůvodněně očekávané revize nařízení o úřadu OLAF a nařízení o Úřadu evropského veřejného žalobce</w:t>
            </w:r>
            <w:r>
              <w:rPr>
                <w:vertAlign w:val="superscript"/>
              </w:rPr>
              <w:t>6</w:t>
            </w:r>
            <w:r>
              <w:t xml:space="preserve"> a případně další konzistentní změny nařízení o Europolu</w:t>
            </w:r>
            <w:r>
              <w:rPr>
                <w:vertAlign w:val="superscript"/>
              </w:rPr>
              <w:t>7</w:t>
            </w:r>
            <w:r>
              <w:t>, nařízení o Eurojustu</w:t>
            </w:r>
            <w:r>
              <w:rPr>
                <w:vertAlign w:val="superscript"/>
              </w:rPr>
              <w:t>8</w:t>
            </w:r>
            <w:r>
              <w:t xml:space="preserve">, správního rámce Eurofiscu a směrnice PIF; zdůrazňuje, že Parlament očekává, že přezkum struktury boje proti podvodům povede k dohodnuté závazné legislativní změně, nikoli pouze k </w:t>
            </w:r>
            <w:r>
              <w:rPr>
                <w:b/>
                <w:i/>
              </w:rPr>
              <w:t>mechanismům</w:t>
            </w:r>
            <w:r>
              <w:t xml:space="preserve"> pro koordinaci;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Nařízení Rady (EU) 2017/1939 ze dne 12. října 2017, kterým se provádí posílená spolupráce za účelem zřízení Úřadu evropského veřejného žalobce (Úř. věst. L 283, 31.10.2017, s. 1, ELI: http://data.europa.eu/eli/reg/2017/1939/2021-01-10).</w:t>
            </w:r>
          </w:p>
        </w:tc>
        <w:tc>
          <w:tcPr>
            <w:tcW w:w="4876" w:type="dxa"/>
            <w:tcBorders>
              <w:top w:val="nil"/>
              <w:left w:val="nil"/>
              <w:bottom w:val="nil"/>
              <w:right w:val="nil"/>
            </w:tcBorders>
          </w:tcPr>
          <w:p>
            <w:pPr>
              <w:pStyle w:val="Normal6a"/>
            </w:pPr>
            <w:r>
              <w:rPr>
                <w:vertAlign w:val="superscript"/>
              </w:rPr>
              <w:t>6</w:t>
            </w:r>
            <w:r>
              <w:t xml:space="preserve"> </w:t>
            </w:r>
            <w:r>
              <w:t>Nařízení Rady (EU) 2017/1939 ze dne 12. října 2017, kterým se provádí posílená spolupráce za účelem zřízení Úřadu evropského veřejného žalobce (Úř. věst. L 283, 31.10.2017, s. 1, ELI: http://data.europa.eu/eli/reg/2017/1939/2021-01-10).</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Konsolidované znění: Nařízení Evropského parlamentu a Rady (EU) 2016/794 ze dne 11. května 2016 o Agentuře Evropské unie pro spolupráci v oblasti prosazování práva (Europol) a o zrušení a nahrazení rozhodnutí Rady 2009/371/SVV, 2009/934/SVV, 2009/935/SVV, 2009/936/SVV a 2009/968/SVV (Úř. věst. L 135, 24.5.2016, s. 53, ELI: http://data.europa.eu/eli/reg/2016/794/2026-01-11).</w:t>
            </w:r>
          </w:p>
        </w:tc>
        <w:tc>
          <w:tcPr>
            <w:tcW w:w="4876" w:type="dxa"/>
            <w:tcBorders>
              <w:top w:val="nil"/>
              <w:left w:val="nil"/>
              <w:bottom w:val="nil"/>
              <w:right w:val="nil"/>
            </w:tcBorders>
          </w:tcPr>
          <w:p>
            <w:pPr>
              <w:pStyle w:val="Normal6a"/>
            </w:pPr>
            <w:r>
              <w:rPr>
                <w:vertAlign w:val="superscript"/>
              </w:rPr>
              <w:t>7</w:t>
            </w:r>
            <w:r>
              <w:t xml:space="preserve"> </w:t>
            </w:r>
            <w:r>
              <w:t>Konsolidované znění: Nařízení Evropského parlamentu a Rady (EU) 2016/794 ze dne 11. května 2016 o Agentuře Evropské unie pro spolupráci v oblasti prosazování práva (Europol) a o zrušení a nahrazení rozhodnutí Rady 2009/371/SVV, 2009/934/SVV, 2009/935/SVV, 2009/936/SVV a 2009/968/SVV (Úř. věst. L 135, 24.5.2016, s. 53, ELI: http://data.europa.eu/eli/reg/2016/794/2026-01-11).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Nařízení Evropského parlamentu a Rady (EU) 2018/1727 ze dne 14. listopadu 2018 o Agentuře Evropské unie pro justiční spolupráci v trestních věcech (Eurojust) a o nahrazení a zrušení rozhodnutí Rady 2002/187/SVV (Úř. věst. L 295, 21.11.2018, s. 138, ELI: http://data.europa.eu/eli/reg/2018/1727/2025-11-04).</w:t>
            </w:r>
          </w:p>
        </w:tc>
        <w:tc>
          <w:tcPr>
            <w:tcW w:w="4876" w:type="dxa"/>
            <w:tcBorders>
              <w:top w:val="nil"/>
              <w:left w:val="nil"/>
              <w:bottom w:val="nil"/>
              <w:right w:val="nil"/>
            </w:tcBorders>
          </w:tcPr>
          <w:p>
            <w:pPr>
              <w:pStyle w:val="Normal6a"/>
            </w:pPr>
            <w:r>
              <w:rPr>
                <w:vertAlign w:val="superscript"/>
              </w:rPr>
              <w:t>8</w:t>
            </w:r>
            <w:r>
              <w:t xml:space="preserve"> </w:t>
            </w:r>
            <w:r>
              <w:t>Nařízení Evropského parlamentu a Rady (EU) 2018/1727 ze dne 14. listopadu 2018 o Agentuře Evropské unie pro justiční spolupráci v trestních věcech (Eurojust) a o nahrazení a zrušení rozhodnutí Rady 2002/187/SVV (Úř. věst. L 295, 21.11.2018, s. 138, ELI: http://data.europa.eu/eli/reg/2018/1727/2025-11-04).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vyjadřuje znepokojení nad zjištěními, která EÚD uvedl ve své zvláštní zprávě č. 26/2025, že míra podávání zpráv se mezi členskými státy značně liší, přičemž některé podávají mnohem více zpráv a jiné podávají mnohem méně obvinění z podvodů, než činí jejich podíl příjmů;</w:t>
            </w:r>
            <w:r>
              <w:t xml:space="preserve"> </w:t>
            </w:r>
            <w:r>
              <w:rPr>
                <w:b/>
                <w:i/>
              </w:rPr>
              <w:t>vyzývá Komisi, aby tyto rozdíly analyzovala, zejména zda jsou důsledkem nedostatků v odhalování, nebo naopak silných stránek prevence, a aby přijala vhodná opatření k řešení nedostatečného oznamování;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zdůrazňuje, že širší přístup k údajům o DPH a celním a finančním údajům může přinést hmatatelné výsledky v boji proti podvodům pouze tehdy, bude-li doprovázen dostatečnými lidskými, technickými a analytickými zdroji;</w:t>
            </w:r>
            <w:r>
              <w:t xml:space="preserve"> </w:t>
            </w:r>
            <w:r>
              <w:rPr>
                <w:b/>
                <w:i/>
              </w:rPr>
              <w:t>vyzývá Komisi, aby v souvislosti s víceletým finančním rámcem na období po roce 2027 zajistila odpovídající financování a personální obsazení Eurofiscu, úřadu OLAF a Úřadu evropského veřejného žalobce s cílem posílit kapacity pro analýzu údajů, operativní koordinaci, vyšetřování a vymáhání pohledávek v souvislosti s podvody v oblasti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naléhavě vyzývá Komisi, aby využila přezkum architektury boje proti podvodům k řešení nedostatku v oblasti správy a řízení zjištěného ve zvláštní zprávě EÚD č. 26/2025, nedostatečné odpovědnosti a chybějícího širšího přehledu strategií a priorit jednotlivých složek; vyzývá k zavedení strukturovaného a pravidelného podávání zpráv o následných opatřeních přijatých v reakci na doporučení úřadu OLAF a </w:t>
            </w:r>
            <w:r>
              <w:rPr>
                <w:b/>
                <w:i/>
              </w:rPr>
              <w:t>na</w:t>
            </w:r>
            <w:r>
              <w:t xml:space="preserve"> rozsudky v případech Úřadu evropského veřejného žalobce;</w:t>
            </w:r>
          </w:p>
        </w:tc>
        <w:tc>
          <w:tcPr>
            <w:tcW w:w="4876" w:type="dxa"/>
            <w:tcBorders>
              <w:top w:val="nil"/>
              <w:left w:val="nil"/>
              <w:bottom w:val="nil"/>
              <w:right w:val="nil"/>
            </w:tcBorders>
          </w:tcPr>
          <w:p>
            <w:pPr>
              <w:pStyle w:val="Normal6a"/>
            </w:pPr>
            <w:r>
              <w:t>17.</w:t>
            </w:r>
            <w:r>
              <w:tab/>
            </w:r>
            <w:r>
              <w:t>naléhavě vyzývá Komisi, aby využila přezkum architektury boje proti podvodům k řešení nedostatku v oblasti správy a řízení zjištěného ve zvláštní zprávě EÚD č. 26/2025, nedostatečné odpovědnosti a chybějícího širšího přehledu strategií a priorit jednotlivých složek; vyzývá k zavedení strukturovaného a pravidelného podávání zpráv</w:t>
            </w:r>
            <w:r>
              <w:rPr>
                <w:b/>
                <w:i/>
              </w:rPr>
              <w:t>, včetně ukazatelů výkonnosti,</w:t>
            </w:r>
            <w:r>
              <w:t xml:space="preserve"> o následných opatřeních přijatých v reakci na doporučení úřadu OLAF a rozsudky v případech Úřadu evropského veřejného žalobce; </w:t>
            </w:r>
            <w:r>
              <w:rPr>
                <w:b/>
                <w:i/>
              </w:rPr>
              <w:t>připomíná význam výměny osvědčených postupů mezi členskými státy;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vyzývá Komisi, aby vypracovala společný soubor ukazatelů výkonnosti pro politiky Unie v oblasti boje proti podvodům v oblasti DPH, který by zahrnoval odhalené podvody, zahájená vyšetřování, rozbité zločinecké sítě, zmrazený majetek, zpětně získané částky a průměrnou dobu trvání postupů přeshraniční spolupráce;</w:t>
            </w:r>
            <w:r>
              <w:t xml:space="preserve"> </w:t>
            </w:r>
            <w:r>
              <w:rPr>
                <w:b/>
                <w:i/>
              </w:rPr>
              <w:t>zdůrazňuje, že tyto ukazatele mají zásadní význam pro podporu tvorby politik založené na důkazech, zlepšení odpovědnosti a umožnění smysluplné parlamentní kontroly struktury Unie pro boj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vyzývá Komisi, aby zajistila, že přezkum architektury boje proti podvodům zavede strukturovanou operativní spolupráci mezi orgány EU pro boj proti podvodům a Orgánem pro boj proti praní peněz (AMLA), která bude odrážet úzkou vazbu mezi podvody v oblasti DPH a praním peněz;</w:t>
            </w:r>
            <w:r>
              <w:t xml:space="preserve"> </w:t>
            </w:r>
            <w:r>
              <w:rPr>
                <w:b/>
                <w:i/>
              </w:rPr>
              <w:t>připomíná, že transparentnost skutečného vlastnictví je klíčovým nástrojem pro včasnou identifikaci sítí chybějících obchodníků;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opakuje dlouhodobou výzvu Parlamentu, aby byl pro účely kontroly výdajů EU vytvořen jednotný, integrovaný a interoperabilní informační a monitorovací systém, včetně nástrojů pro vytěžování údajů a hodnocení rizik;</w:t>
            </w:r>
            <w:r>
              <w:t xml:space="preserve"> </w:t>
            </w:r>
            <w:r>
              <w:rPr>
                <w:b/>
                <w:i/>
              </w:rPr>
              <w:t>trvá na tom, že používání takového systému musí být podmínkou pro přístup k finančním prostředkům Unie v rámci příštího VFR;</w:t>
            </w:r>
            <w:r>
              <w:t xml:space="preserve"> </w:t>
            </w:r>
            <w:r>
              <w:rPr>
                <w:b/>
                <w:i/>
              </w:rPr>
              <w:t>požaduje, aby všechny databáze Komise a vnitrostátní databáze používané pro řízení a monitorování finančních prostředků EU byly přímo přístupné Evropskému účetnímu dvoru, a to bez předchozí agregace nebo úpravy, s cílem zajistit nezávislost a účinnost auditů;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naléhavě vyzývá úřad EPPO a úřad OLAF, aby se více zaměřily na závažné případy týkající se DPH, které by získaly zpět větší částky ušlých příjmů pro rozpočet EU, a vyčlenily na ně více zdrojů;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vyzývá k systematickému a posílenému využívání systému včasného odhalování rizik a vylučování hospodářských subjektů (EDES) v rámci příštího VFR;</w:t>
            </w:r>
            <w:r>
              <w:t xml:space="preserve"> </w:t>
            </w:r>
            <w:r>
              <w:rPr>
                <w:b/>
                <w:i/>
              </w:rPr>
              <w:t>zdůrazňuje, že hospodářské subjekty zapojené do podvodů, korupce, závažných nesrovnalostí, včetně nesrovnalostí souvisejících s DPH, nebo závažného porušování smluvních povinností musí být účinně vyloučeny z financování Unie ve všech programech a modelech provádění, včetně nástrojů založených na výkonnosti;</w:t>
            </w:r>
            <w:r>
              <w:t xml:space="preserve"> </w:t>
            </w:r>
            <w:r>
              <w:rPr>
                <w:b/>
                <w:i/>
              </w:rPr>
              <w:t>vyjadřuje politování nad roztříštěným využíváním mechanismů vyloučení a nedostatečnou interoperabilitou mezi systémem EDES a vnitrostátními systémy;</w:t>
            </w:r>
            <w:r>
              <w:t xml:space="preserve"> </w:t>
            </w:r>
            <w:r>
              <w:rPr>
                <w:b/>
                <w:i/>
              </w:rPr>
              <w:t>zdůrazňuje, že účinné mechanismy vyloučení mají zásadní význam pro předcházení opakovanému zneužívání finančních prostředků Unie a pro zajištění důvěryhodného rámce EU pro boj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zdůrazňuje jasnou úlohu Europolu při forenzní analýze ve spolupráci s úřadem OLAF a naléhavě vyzývá k jasnějším pravidlům, jimiž se tato spolupráce řídí, a k nalezení synergií v oblasti forenzních věd s cílem optimalizovat koordinaci;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opakuje svou dlouhodobou výzvu Komisi, aby </w:t>
            </w:r>
            <w:r>
              <w:rPr>
                <w:b/>
                <w:i/>
              </w:rPr>
              <w:t>posoudila, zda by neměla být snížena prahová hodnota</w:t>
            </w:r>
            <w:r>
              <w:t xml:space="preserve"> 10 milionů EUR podle článku 2 směrnice o ochraně finančních zájmů, protože nemusí zachytit podvodná schémata na bázi chybějícího obchodníka („missing trader“) uvnitř Společenství strukturované napříč více členskými státy, a aby případně navrhla změnu řešící tuto otázku;</w:t>
            </w:r>
          </w:p>
        </w:tc>
        <w:tc>
          <w:tcPr>
            <w:tcW w:w="4876" w:type="dxa"/>
            <w:tcBorders>
              <w:top w:val="nil"/>
              <w:left w:val="nil"/>
              <w:bottom w:val="nil"/>
              <w:right w:val="nil"/>
            </w:tcBorders>
          </w:tcPr>
          <w:p>
            <w:pPr>
              <w:pStyle w:val="Normal6a"/>
            </w:pPr>
            <w:r>
              <w:t>23.</w:t>
            </w:r>
            <w:r>
              <w:tab/>
            </w:r>
            <w:r>
              <w:t xml:space="preserve">opakuje svou dlouhodobou výzvu Komisi, aby </w:t>
            </w:r>
            <w:r>
              <w:rPr>
                <w:b/>
                <w:i/>
              </w:rPr>
              <w:t>snížila prahovou hodnotu</w:t>
            </w:r>
            <w:r>
              <w:t xml:space="preserve"> 10 milionů EUR podle článku 2 směrnice o ochraně finančních zájmů, protože </w:t>
            </w:r>
            <w:r>
              <w:rPr>
                <w:b/>
                <w:i/>
              </w:rPr>
              <w:t>ta</w:t>
            </w:r>
            <w:r>
              <w:t xml:space="preserve"> nemusí zachytit podvodná schémata na bázi chybějícího obchodníka („missing trader“) uvnitř Společenství strukturované napříč více členskými státy, a aby případně navrhla změnu řešící tuto otázku;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zdůrazňuje klíčovou úlohu úřadu EPPO při ochraně finančních zájmů Unie a jako zásadní součásti struktury Unie pro boj proti podvodům;</w:t>
            </w:r>
            <w:r>
              <w:t xml:space="preserve"> </w:t>
            </w:r>
            <w:r>
              <w:rPr>
                <w:b/>
                <w:i/>
              </w:rPr>
              <w:t>oceňuje úřad EPPO za jeho činnost při vyšetřování, stíhání a prosazování spravedlnosti ve vztahu k trestným činům poškozujícím rozpočet Unie, jako jsou podvody, korupce a přeshraniční podvody v oblasti DPH;</w:t>
            </w:r>
            <w:r>
              <w:t xml:space="preserve"> </w:t>
            </w:r>
            <w:r>
              <w:rPr>
                <w:b/>
                <w:i/>
              </w:rPr>
              <w:t>vyzývá Komisi, aby pečlivě sledovala úroveň spolupráce členských států s úřadem EPPO, a důrazně ji žádá, aby zahájila řízení o nesplnění povinnosti proti kterémukoli členskému státu, který vyšetřování vedeným tímto úřadem systematicky brání;</w:t>
            </w:r>
            <w:r>
              <w:t xml:space="preserve"> </w:t>
            </w:r>
            <w:r>
              <w:rPr>
                <w:b/>
                <w:i/>
              </w:rPr>
              <w:t>vyjadřuje politování nad tím, že ne všechny členské státy se účastní úřadu EPPO, což vytváří mezery v prosazování práva v případě trestných činů poškozujících nebo ohrožujících finanční zájmy Unie, a opakuje svou výzvu zbývajícím nezúčastněným členským státům, aby se k úřadu EPPO připojily;</w:t>
            </w:r>
            <w:r>
              <w:t xml:space="preserve"> </w:t>
            </w:r>
            <w:r>
              <w:rPr>
                <w:b/>
                <w:i/>
              </w:rPr>
              <w:t>znovu potvrzuje svůj názor, že členství v Úřadu evropského veřejného žalobce by mělo být podmínkou pro získání finančních prostředků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je si vědom důležité úlohy, kterou úřad EPPO hraje při ochraně finančních zájmů EU; domnívá se, že probíhající revize nařízení o úřadu EPPO by měla potvrdit mandát úřadu EPPO a umožnit nezbytné zaměření na trestné činy, které mají dopad na rozpočet EU, a vyzývá k přijetí opatření, která zajistí, aby úřad EPPO byl v rámci své operativní kapacity schopen řešit složitá vyšetřování karuselových podvodů v oblasti DPH, která spadají do více jurisdikcí;</w:t>
            </w:r>
          </w:p>
        </w:tc>
        <w:tc>
          <w:tcPr>
            <w:tcW w:w="4876" w:type="dxa"/>
            <w:tcBorders>
              <w:top w:val="nil"/>
              <w:left w:val="nil"/>
              <w:bottom w:val="nil"/>
              <w:right w:val="nil"/>
            </w:tcBorders>
          </w:tcPr>
          <w:p>
            <w:pPr>
              <w:pStyle w:val="Normal6a"/>
            </w:pPr>
            <w:r>
              <w:t>24.</w:t>
            </w:r>
            <w:r>
              <w:tab/>
            </w:r>
            <w:r>
              <w:t xml:space="preserve">je si vědom důležité úlohy, kterou úřad EPPO hraje při ochraně finančních zájmů EU; domnívá se, že probíhající revize nařízení o úřadu EPPO by měla potvrdit mandát úřadu EPPO a umožnit nezbytné zaměření na trestné činy, které mají dopad na rozpočet EU, a vyzývá k přijetí opatření, která zajistí, aby úřad EPPO byl v rámci své operativní kapacity schopen řešit složitá vyšetřování karuselových podvodů v oblasti DPH, která spadají do více jurisdikcí; </w:t>
            </w:r>
            <w:r>
              <w:rPr>
                <w:b/>
                <w:i/>
              </w:rPr>
              <w:t>zdůrazňuje, že je třeba poskytnout úřadu EPPO dostatečné lidské a finanční zdroje, aby mohl plnit všechny své povinnosti;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je si vědom důležité úlohy, kterou úřad EPPO hraje při ochraně finančních zájmů EU; domnívá se, že probíhající revize nařízení o úřadu EPPO by měla </w:t>
            </w:r>
            <w:r>
              <w:rPr>
                <w:b/>
                <w:i/>
              </w:rPr>
              <w:t>potvrdit mandát úřadu EPPO a</w:t>
            </w:r>
            <w:r>
              <w:t xml:space="preserve"> umožnit nezbytné zaměření na trestné činy, které mají dopad na rozpočet EU, a vyzývá k přijetí opatření, která zajistí, aby úřad EPPO byl v rámci své operativní kapacity schopen řešit složitá vyšetřování karuselových podvodů v oblasti DPH, která spadají do více jurisdikcí;</w:t>
            </w:r>
          </w:p>
        </w:tc>
        <w:tc>
          <w:tcPr>
            <w:tcW w:w="4876" w:type="dxa"/>
            <w:tcBorders>
              <w:top w:val="nil"/>
              <w:left w:val="nil"/>
              <w:bottom w:val="nil"/>
              <w:right w:val="nil"/>
            </w:tcBorders>
          </w:tcPr>
          <w:p>
            <w:pPr>
              <w:pStyle w:val="Normal6a"/>
            </w:pPr>
            <w:r>
              <w:t>24.</w:t>
            </w:r>
            <w:r>
              <w:tab/>
            </w:r>
            <w:r>
              <w:t>je si vědom důležité úlohy, kterou úřad EPPO hraje při ochraně finančních zájmů EU; domnívá se, že probíhající revize nařízení o úřadu EPPO by měla umožnit nezbytné zaměření na trestné činy, které mají dopad na rozpočet EU, a vyzývá k přijetí opatření, která zajistí, aby úřad EPPO byl v rámci své operativní kapacity schopen řešit složitá vyšetřování karuselových podvodů v oblasti DPH, která spadají do více jurisdikcí;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vyzývá Komisi, aby ve spolupráci s Úřadem evropského veřejného žalobce a členskými státy vytvořila jasný a závazný rámec, který zajistí, aby majetek a výnosy zkonfiskované na základě vyšetřování Úřadu evropského veřejného žalobce byly skutečně zcela nebo zčásti vráceny do rozpočtu Unie a řádně zaznamenány jako příjmy EU;</w:t>
            </w:r>
            <w:r>
              <w:t xml:space="preserve"> </w:t>
            </w:r>
            <w:r>
              <w:rPr>
                <w:b/>
                <w:i/>
              </w:rPr>
              <w:t>zdůrazňuje, že takový mechanismus by posílil odrazující účinek, posílil důvěryhodnost úsilí EU v boji proti podvodům, přispěl k ochraně finančních zájmů Unie a zajistil, aby zpětně získané finanční prostředky mohly být přerozděleny na financování priorit Unie;</w:t>
            </w:r>
            <w:r>
              <w:t xml:space="preserve"> </w:t>
            </w:r>
            <w:r>
              <w:rPr>
                <w:b/>
                <w:i/>
              </w:rPr>
              <w:t>zdůrazňuje, že je třeba zaručit povinnost transparentnosti a podávání zpráv o zkonfiskovaných, vrácených a přerozdělených částkách a poskytnout Parlamentu jakožto rozpočtovému orgánu a orgánu příslušnému k udělení absolutoria veškeré informace;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konstatuje, že zpětně získané částky, které jsou odváděny do rozpočtu EU poté, co je zabavil Úřad evropského veřejného žalobce a zkonfiskovaly vnitrostátní soudy, jsou omezené; zdůrazňuje, že konečné zpětné získání ztracených finančních prostředků technicky nespadá do operativního mandátu úřadu EPPO a že působnost úřadu EPPO končí, jakmile je zajištěno odsouzení a příkaz ke konfiskaci; domnívá se, že by mělo být doplněno zvláštní ustanovení</w:t>
            </w:r>
            <w:r>
              <w:rPr>
                <w:b/>
                <w:i/>
              </w:rPr>
              <w:t>, které by vyjasnilo úlohy a povinnosti a zohlednilo potřebu zapojit</w:t>
            </w:r>
            <w:r>
              <w:t xml:space="preserve"> orgány EU </w:t>
            </w:r>
            <w:r>
              <w:rPr>
                <w:b/>
                <w:i/>
              </w:rPr>
              <w:t>do</w:t>
            </w:r>
            <w:r>
              <w:t xml:space="preserve"> procesu </w:t>
            </w:r>
            <w:r>
              <w:rPr>
                <w:b/>
                <w:i/>
              </w:rPr>
              <w:t>vymáhání</w:t>
            </w:r>
            <w:r>
              <w:t xml:space="preserve">, aniž by byla dotčena legitimní práva a očekávání zúčastněných stran a </w:t>
            </w:r>
            <w:r>
              <w:rPr>
                <w:b/>
                <w:i/>
              </w:rPr>
              <w:t>poškozených</w:t>
            </w:r>
            <w:r>
              <w:t>; trvá na tom, že rozpočtový orgán a orgán příslušný k udělení absolutoria musí plně porozumět finančnímu dopadu konfiskací a jejich výkonu;</w:t>
            </w:r>
          </w:p>
        </w:tc>
        <w:tc>
          <w:tcPr>
            <w:tcW w:w="4876" w:type="dxa"/>
            <w:tcBorders>
              <w:top w:val="nil"/>
              <w:left w:val="nil"/>
              <w:bottom w:val="nil"/>
              <w:right w:val="nil"/>
            </w:tcBorders>
          </w:tcPr>
          <w:p>
            <w:pPr>
              <w:pStyle w:val="Normal6a"/>
            </w:pPr>
            <w:r>
              <w:t>27.</w:t>
            </w:r>
            <w:r>
              <w:tab/>
            </w:r>
            <w:r>
              <w:t xml:space="preserve">konstatuje, že zpětně získané částky, které jsou odváděny do rozpočtu EU poté, co je zabavil Úřad evropského veřejného žalobce a zkonfiskovaly vnitrostátní soudy, jsou omezené; zdůrazňuje, že konečné zpětné získání ztracených finančních prostředků technicky nespadá do operativního mandátu úřadu EPPO a že působnost úřadu EPPO končí, jakmile je zajištěno odsouzení a příkaz ke konfiskaci; domnívá se, že by mělo být doplněno zvláštní ustanovení </w:t>
            </w:r>
            <w:r>
              <w:rPr>
                <w:b/>
                <w:i/>
              </w:rPr>
              <w:t>s cílem posílit koordinaci mezi</w:t>
            </w:r>
            <w:r>
              <w:t xml:space="preserve"> orgány EU </w:t>
            </w:r>
            <w:r>
              <w:rPr>
                <w:b/>
                <w:i/>
              </w:rPr>
              <w:t>a vnitrostátními orgány při podpoře</w:t>
            </w:r>
            <w:r>
              <w:t xml:space="preserve"> procesu </w:t>
            </w:r>
            <w:r>
              <w:rPr>
                <w:b/>
                <w:i/>
              </w:rPr>
              <w:t>obnovy</w:t>
            </w:r>
            <w:r>
              <w:t xml:space="preserve">, </w:t>
            </w:r>
            <w:r>
              <w:rPr>
                <w:b/>
                <w:i/>
              </w:rPr>
              <w:t>a to při plném respektování pravomocí členských států a</w:t>
            </w:r>
            <w:r>
              <w:t xml:space="preserve"> aniž by byla dotčena legitimní práva a očekávání zúčastněných stran a </w:t>
            </w:r>
            <w:r>
              <w:rPr>
                <w:b/>
                <w:i/>
              </w:rPr>
              <w:t>osob, které utrpěly škodu</w:t>
            </w:r>
            <w:r>
              <w:t>; trvá na tom, že rozpočtový orgán a orgán příslušný k udělení absolutoria musí plně porozumět finančnímu dopadu konfiskací a jejich výkonu;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v souvislosti s revizí nařízení (EU) 2017/1939 o zřízení Úřadu evropského veřejného žalobce vyzývá k tomu, aby byl mandát tohoto úřadu více zaměřen na závažné a rozsáhlé trestné činy poškozující nebo ohrožující finanční zájmy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naléhavě vyzývá k tomu, aby byl Europolu při revizi nařízení o Europolu poskytnut přímý přístup k systému analýzy transakčních sítí Eurofiscu, mapám sítě řetězců podezřelých z podvodů, seznamu vysoce rizikových obchodníků a dalším údajům shromažďovaným Eurofiscem;</w:t>
            </w:r>
            <w:r>
              <w:t xml:space="preserve"> </w:t>
            </w:r>
            <w:r>
              <w:rPr>
                <w:b/>
                <w:i/>
              </w:rPr>
              <w:t>konstatuje, že Europol v současné době nemá přímý přístup k systémům Eurofiscu, nemůže ani vyhledávat v databázích Eurofiscu nezávisle a nedostává údaje Eurofiscu automaticky a místo toho dostává pouze informace o ujednáních založených na jednotlivých případech;</w:t>
            </w:r>
            <w:r>
              <w:t xml:space="preserve"> </w:t>
            </w:r>
            <w:r>
              <w:rPr>
                <w:b/>
                <w:i/>
              </w:rPr>
              <w:t>konstatuje, že to brání vyšetřování a způsobuje zpoždění;</w:t>
            </w:r>
            <w:r>
              <w:t xml:space="preserve"> </w:t>
            </w:r>
            <w:r>
              <w:rPr>
                <w:b/>
                <w:i/>
              </w:rPr>
              <w:t>naléhavě žádá, aby se to odrazilo i v revidované architektuře boje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v souvislosti s revizí nařízení (EU) 2017/1939 o zřízení Úřadu evropského veřejného žalobce vyzývá k tomu, aby byl mandát Úřadu evropského veřejného žalobce přeorientován na závažné a rozsáhlé trestné činy poškozující nebo ohrožující finanční zájmy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rPr>
                <w:b/>
                <w:i/>
              </w:rPr>
              <w:t>vyzývá Komisi, aby vytvořila strukturovaný monitorovací mechanismus</w:t>
            </w:r>
            <w:r>
              <w:t xml:space="preserve"> pro následná opatření přijatá v reakci na </w:t>
            </w:r>
            <w:r>
              <w:rPr>
                <w:b/>
                <w:i/>
              </w:rPr>
              <w:t>rozhodnutí</w:t>
            </w:r>
            <w:r>
              <w:t xml:space="preserve"> Úřadu </w:t>
            </w:r>
            <w:r>
              <w:rPr>
                <w:b/>
                <w:i/>
              </w:rPr>
              <w:t>evropského veřejného žalobce</w:t>
            </w:r>
            <w:r>
              <w:t xml:space="preserve"> a správní doporučení úřadu OLAF v případech souvisejících s DPH, </w:t>
            </w:r>
            <w:r>
              <w:rPr>
                <w:b/>
                <w:i/>
              </w:rPr>
              <w:t>který by specifikoval</w:t>
            </w:r>
            <w:r>
              <w:t xml:space="preserve"> skutečně získané částky oproti částkám doporučeným ke zpětnému získání, a žádá </w:t>
            </w:r>
            <w:r>
              <w:rPr>
                <w:b/>
                <w:i/>
              </w:rPr>
              <w:t>Komisi</w:t>
            </w:r>
            <w:r>
              <w:t xml:space="preserve">, aby o této záležitosti každoročně </w:t>
            </w:r>
            <w:r>
              <w:rPr>
                <w:b/>
                <w:i/>
              </w:rPr>
              <w:t>podávala</w:t>
            </w:r>
            <w:r>
              <w:t xml:space="preserve"> zprávu Parlamentu a Radě;</w:t>
            </w:r>
          </w:p>
        </w:tc>
        <w:tc>
          <w:tcPr>
            <w:tcW w:w="4876" w:type="dxa"/>
            <w:tcBorders>
              <w:top w:val="nil"/>
              <w:left w:val="nil"/>
              <w:bottom w:val="nil"/>
              <w:right w:val="nil"/>
            </w:tcBorders>
          </w:tcPr>
          <w:p>
            <w:pPr>
              <w:pStyle w:val="Normal6a"/>
            </w:pPr>
            <w:r>
              <w:t>33.</w:t>
            </w:r>
            <w:r>
              <w:tab/>
            </w:r>
            <w:r>
              <w:rPr>
                <w:b/>
                <w:i/>
              </w:rPr>
              <w:t>vítá oznámení Komise, které pověřuje úřad OLAF vytvořením strukturovaného monitorovacího mechanismu</w:t>
            </w:r>
            <w:r>
              <w:t xml:space="preserve"> pro následná opatření přijatá v reakci na </w:t>
            </w:r>
            <w:r>
              <w:rPr>
                <w:b/>
                <w:i/>
              </w:rPr>
              <w:t>oznámení</w:t>
            </w:r>
            <w:r>
              <w:t xml:space="preserve"> úřadu </w:t>
            </w:r>
            <w:r>
              <w:rPr>
                <w:b/>
                <w:i/>
              </w:rPr>
              <w:t>EPPO podle čl. 103 odst. 2 nařízení o úřadu EPPO</w:t>
            </w:r>
            <w:r>
              <w:t xml:space="preserve"> a správní doporučení úřadu OLAF v případech souvisejících s DPH, </w:t>
            </w:r>
            <w:r>
              <w:rPr>
                <w:b/>
                <w:i/>
              </w:rPr>
              <w:t>v němž jsou uvedeny</w:t>
            </w:r>
            <w:r>
              <w:t xml:space="preserve"> skutečně získané částky oproti částkám doporučeným ke zpětnému získání, </w:t>
            </w:r>
            <w:r>
              <w:rPr>
                <w:b/>
                <w:i/>
              </w:rPr>
              <w:t>vyzývá k tomu, aby byly úřadu OLAF na tento úkol přiděleny odpovídající zdroje,</w:t>
            </w:r>
            <w:r>
              <w:t xml:space="preserve"> a žádá, aby o této záležitosti každoročně </w:t>
            </w:r>
            <w:r>
              <w:rPr>
                <w:b/>
                <w:i/>
              </w:rPr>
              <w:t>podával</w:t>
            </w:r>
            <w:r>
              <w:t xml:space="preserve"> zprávu Parlamentu a Radě;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Monika Hohlmeier,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33a.</w:t>
            </w:r>
            <w:r>
              <w:tab/>
            </w:r>
            <w:r>
              <w:rPr>
                <w:b/>
                <w:i/>
              </w:rPr>
              <w:t>vyzývá Komisi, aby navrhla jasný legislativní akt, který zajistí, aby částky získané zpět a převedené do státních pokladen na základě vnitrostátních příkazů ke konfiskaci vydaných po vyšetřování Úřadu evropského veřejného žalobce, pokud se tyto částky týkají poškození finančních zájmů Unie, byly řádně vráceny do rozpočtu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se znepokojením bere na vědomí zjištění zvláštní zprávy EÚD č. 08/2025 o podvodech s DPH při dovozu, která odhalila systémové nedostatky při vymáhání povinností v oblasti DPH v průběhu dovozu; zdůrazňuje, že podvodné podhodnocování celní hodnoty, zneužívání osvobození od DPH při dovozu a pronikání toků elektronického obchodu ze zemí mimo EU představují rostoucí zdroj ztrát příjmů, který úzce souvisí s podvody v oblasti DPH uvnitř Společenství;</w:t>
            </w:r>
          </w:p>
        </w:tc>
        <w:tc>
          <w:tcPr>
            <w:tcW w:w="4876" w:type="dxa"/>
            <w:tcBorders>
              <w:top w:val="nil"/>
              <w:left w:val="nil"/>
              <w:bottom w:val="nil"/>
              <w:right w:val="nil"/>
            </w:tcBorders>
          </w:tcPr>
          <w:p>
            <w:pPr>
              <w:pStyle w:val="Normal6a"/>
            </w:pPr>
            <w:r>
              <w:t>34.</w:t>
            </w:r>
            <w:r>
              <w:tab/>
            </w:r>
            <w:r>
              <w:t xml:space="preserve">se znepokojením bere na vědomí zjištění zvláštní zprávy EÚD č. 08/2025 o podvodech s DPH při dovozu, která odhalila systémové nedostatky při vymáhání povinností v oblasti DPH v průběhu dovozu; zdůrazňuje, že podvodné podhodnocování celní hodnoty, zneužívání osvobození od DPH při dovozu a pronikání toků elektronického obchodu ze zemí mimo EU představují rostoucí zdroj ztrát příjmů, který úzce souvisí s podvody v oblasti DPH uvnitř Společenství; </w:t>
            </w:r>
            <w:r>
              <w:rPr>
                <w:b/>
                <w:i/>
              </w:rPr>
              <w:t>domnívá se, že orgány odpovědné za DPH by měly být ve větší míře zapojeny do ověřování toho, zda celní podvody nemají vliv na výběr DPH, a zdůrazňuje, že je třeba zlepšit přeshraniční výměnu informací mezi celními orgány a orgány odpovědnými za DPH;</w:t>
            </w:r>
            <w:r>
              <w:t xml:space="preserve"> </w:t>
            </w:r>
            <w:r>
              <w:rPr>
                <w:b/>
                <w:i/>
              </w:rPr>
              <w:t>dále vyzývá k posílení analytické spolupráce mezi úřadem OLAF a sítí Eurofisc při kombinování a analýze celních údajů a údajů o DPH za účelem odhalování případů celních podvodů a podvodů v oblasti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Monika Hohlmeier,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 xml:space="preserve">se znepokojením bere na vědomí zjištění zvláštní zprávy EÚD č. 08/2025 o podvodech s DPH při dovozu, která odhalila systémové nedostatky při vymáhání povinností v oblasti DPH v průběhu dovozu; zdůrazňuje, že podvodné podhodnocování celní hodnoty, zneužívání osvobození od DPH při dovozu a pronikání toků elektronického obchodu ze zemí mimo EU představují rostoucí </w:t>
            </w:r>
            <w:r>
              <w:rPr>
                <w:b/>
                <w:i/>
              </w:rPr>
              <w:t>zdroj ztrát</w:t>
            </w:r>
            <w:r>
              <w:t xml:space="preserve"> příjmů, který </w:t>
            </w:r>
            <w:r>
              <w:rPr>
                <w:b/>
                <w:i/>
              </w:rPr>
              <w:t>úzce souvisí</w:t>
            </w:r>
            <w:r>
              <w:t xml:space="preserve"> s podvody v oblasti DPH uvnitř Společenství;</w:t>
            </w:r>
          </w:p>
        </w:tc>
        <w:tc>
          <w:tcPr>
            <w:tcW w:w="4876" w:type="dxa"/>
            <w:tcBorders>
              <w:top w:val="nil"/>
              <w:left w:val="nil"/>
              <w:bottom w:val="nil"/>
              <w:right w:val="nil"/>
            </w:tcBorders>
          </w:tcPr>
          <w:p>
            <w:pPr>
              <w:pStyle w:val="Normal6a"/>
            </w:pPr>
            <w:r>
              <w:t>34.</w:t>
            </w:r>
            <w:r>
              <w:tab/>
            </w:r>
            <w:r>
              <w:t>se znepokojením bere na vědomí zjištění zvláštní zprávy EÚD č. 08/2025 o podvodech s DPH při dovozu, která odhalila systémové nedostatky při vymáhání povinností v oblasti DPH v průběhu dovozu; zdůrazňuje, že podvodné podhodnocování celní hodnoty, zneužívání osvobození od DPH při dovozu a pronikání toků elektronického obchodu ze zemí mimo EU</w:t>
            </w:r>
            <w:r>
              <w:rPr>
                <w:b/>
                <w:i/>
              </w:rPr>
              <w:t>, a to i prostřednictvím platforem, které systematicky podhodnocují zásilky s cílem výrazně zneužívat osvobození zásilek nízké hodnoty k zasílání ultralevných zásilek přímo spotřebitelům bez daně (například Shein a Temu),</w:t>
            </w:r>
            <w:r>
              <w:t xml:space="preserve"> představují rostoucí </w:t>
            </w:r>
            <w:r>
              <w:rPr>
                <w:b/>
                <w:i/>
              </w:rPr>
              <w:t>vektor ztráty</w:t>
            </w:r>
            <w:r>
              <w:t xml:space="preserve"> příjmů, který </w:t>
            </w:r>
            <w:r>
              <w:rPr>
                <w:b/>
                <w:i/>
              </w:rPr>
              <w:t>je úzce propojen</w:t>
            </w:r>
            <w:r>
              <w:t xml:space="preserve"> s podvody v oblasti DPH uvnitř Společenství;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vyzývá Komisi, aby </w:t>
            </w:r>
            <w:r>
              <w:rPr>
                <w:b/>
                <w:i/>
              </w:rPr>
              <w:t>se v legislativním balíčku struktury boje proti podvodům zabývala zranitelnými místy zjištěnými</w:t>
            </w:r>
            <w:r>
              <w:t xml:space="preserve"> v celních režimech 42 a </w:t>
            </w:r>
            <w:r>
              <w:rPr>
                <w:b/>
                <w:i/>
              </w:rPr>
              <w:t>v režimu jednoho správního místa</w:t>
            </w:r>
            <w:r>
              <w:t xml:space="preserve"> pro dovoz; trvá na tom, že technická architektura, kterou se řídí celní datové centrum EU, musí být od samého počátku navržena tak, aby zajistila plnou interoperabilitu v reálném čase s nástrojem sítě Eurofisc pro analýzu transakčních sítí a s vyšetřovacími systémy úřadu OLAF a Úřadu evropského veřejného žalobce v rámci jejich příslušných mandátů; vyzývá Komisi, aby zajistila automatické porovnávání údajů z celních prohlášení s údaji o registraci k DPH v systému VIES a s rizikovými ukazateli Eurofisc;</w:t>
            </w:r>
          </w:p>
        </w:tc>
        <w:tc>
          <w:tcPr>
            <w:tcW w:w="4876" w:type="dxa"/>
            <w:tcBorders>
              <w:top w:val="nil"/>
              <w:left w:val="nil"/>
              <w:bottom w:val="nil"/>
              <w:right w:val="nil"/>
            </w:tcBorders>
          </w:tcPr>
          <w:p>
            <w:pPr>
              <w:pStyle w:val="Normal6a"/>
            </w:pPr>
            <w:r>
              <w:t>35.</w:t>
            </w:r>
            <w:r>
              <w:tab/>
            </w:r>
            <w:r>
              <w:rPr>
                <w:b/>
                <w:i/>
              </w:rPr>
              <w:t>zdůrazňuje, že klíčovou prioritou by mělo zůstat rychlé přijetí a provedení všech prvků celní reformy;</w:t>
            </w:r>
            <w:r>
              <w:t xml:space="preserve"> </w:t>
            </w:r>
            <w:r>
              <w:rPr>
                <w:b/>
                <w:i/>
              </w:rPr>
              <w:t>zdůrazňuje, že zřízení Celního úřadu EU a datového centra EU by mělo přispět k posuzování rizik, odhalování podvodů a jednotnému uplatňování celních předpisů v reálném čase a nahradit roztříštěné vnitrostátní systémy pro silnější digitalizovanou celní unii;</w:t>
            </w:r>
            <w:r>
              <w:t xml:space="preserve"> vyzývá Komisi, aby </w:t>
            </w:r>
            <w:r>
              <w:rPr>
                <w:b/>
                <w:i/>
              </w:rPr>
              <w:t>řešila slabá místa zjištěná</w:t>
            </w:r>
            <w:r>
              <w:t xml:space="preserve"> v celních režimech 42 a </w:t>
            </w:r>
            <w:r>
              <w:rPr>
                <w:b/>
                <w:i/>
              </w:rPr>
              <w:t>jednom správním místě</w:t>
            </w:r>
            <w:r>
              <w:t xml:space="preserve"> pro dovoz; trvá na tom, že technická architektura, kterou se řídí celní datové centrum EU, musí být od samého počátku navržena tak, aby zajistila plnou interoperabilitu v reálném čase s nástrojem sítě Eurofisc pro analýzu transakčních sítí a s vyšetřovacími systémy úřadu OLAF a Úřadu evropského veřejného žalobce v rámci jejich příslušných mandátů; </w:t>
            </w:r>
            <w:r>
              <w:rPr>
                <w:b/>
                <w:i/>
              </w:rPr>
              <w:t>zdůrazňuje, že je důležité, aby byl úřadu OLAF umožněn plný přístup do datového centra s cílem zlepšit jeho práci v oblasti odhalování a prevence;</w:t>
            </w:r>
            <w:r>
              <w:t xml:space="preserve"> vyzývá Komisi, aby zajistila automatické porovnávání údajů z celních prohlášení s údaji o registraci k DPH v systému VIES a s rizikovými ukazateli Eurofisc;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Virginie Joron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vyzývá Komisi, aby se v legislativním balíčku struktury boje proti podvodům zabývala zranitelnými místy zjištěnými v celních režimech 42 a v režimu jednoho správního místa pro dovoz; </w:t>
            </w:r>
            <w:r>
              <w:rPr>
                <w:b/>
                <w:i/>
              </w:rPr>
              <w:t>trvá na tom</w:t>
            </w:r>
            <w:r>
              <w:t xml:space="preserve">, že technická architektura, </w:t>
            </w:r>
            <w:r>
              <w:rPr>
                <w:b/>
                <w:i/>
              </w:rPr>
              <w:t>kterou se řídí</w:t>
            </w:r>
            <w:r>
              <w:t xml:space="preserve"> celní datové centrum EU, musí být od samého počátku navržena tak, aby zajistila plnou interoperabilitu v reálném čase </w:t>
            </w:r>
            <w:r>
              <w:rPr>
                <w:b/>
                <w:i/>
              </w:rPr>
              <w:t>s nástrojem sítě Eurofisc pro analýzu transakčních sítí a s vyšetřovacími systémy úřadu OLAF a Úřadu evropského veřejného žalobce v rámci jejich příslušných mandátů</w:t>
            </w:r>
            <w:r>
              <w:t>; vyzývá Komisi, aby zajistila automatické porovnávání údajů z celních prohlášení s údaji o registraci k DPH v systému VIES a s rizikovými ukazateli Eurofisc;</w:t>
            </w:r>
          </w:p>
        </w:tc>
        <w:tc>
          <w:tcPr>
            <w:tcW w:w="4876" w:type="dxa"/>
            <w:tcBorders>
              <w:top w:val="nil"/>
              <w:left w:val="nil"/>
              <w:bottom w:val="nil"/>
              <w:right w:val="nil"/>
            </w:tcBorders>
          </w:tcPr>
          <w:p>
            <w:pPr>
              <w:pStyle w:val="Normal6a"/>
            </w:pPr>
            <w:r>
              <w:t>35.</w:t>
            </w:r>
            <w:r>
              <w:tab/>
            </w:r>
            <w:r>
              <w:t xml:space="preserve">vyzývá Komisi, aby se v legislativním balíčku struktury boje proti podvodům zabývala zranitelnými místy zjištěnými v celních režimech 42 a v režimu jednoho správního místa pro dovoz; </w:t>
            </w:r>
            <w:r>
              <w:rPr>
                <w:b/>
                <w:i/>
              </w:rPr>
              <w:t>zdůrazňuje</w:t>
            </w:r>
            <w:r>
              <w:t xml:space="preserve">, že technická architektura, </w:t>
            </w:r>
            <w:r>
              <w:rPr>
                <w:b/>
                <w:i/>
              </w:rPr>
              <w:t>na níž je</w:t>
            </w:r>
            <w:r>
              <w:t xml:space="preserve"> celní datové centrum EU </w:t>
            </w:r>
            <w:r>
              <w:rPr>
                <w:b/>
                <w:i/>
              </w:rPr>
              <w:t>založeno</w:t>
            </w:r>
            <w:r>
              <w:t xml:space="preserve">, musí být od samého počátku navržena tak, aby zajistila plnou interoperabilitu </w:t>
            </w:r>
            <w:r>
              <w:rPr>
                <w:b/>
                <w:i/>
              </w:rPr>
              <w:t>s vnitrostátními systémy</w:t>
            </w:r>
            <w:r>
              <w:t xml:space="preserve"> v reálném čase; vyzývá Komisi, aby zajistila automatické porovnávání údajů z celních prohlášení s údaji o registraci k DPH v systému VIES a s rizikovými ukazateli Eurofisc;</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35a.</w:t>
            </w:r>
            <w:r>
              <w:tab/>
            </w:r>
            <w:r>
              <w:rPr>
                <w:b/>
                <w:i/>
              </w:rPr>
              <w:t>Podvody v oblasti DPH a souvislost se zásadami právního státu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35b.</w:t>
            </w:r>
            <w:r>
              <w:tab/>
            </w:r>
            <w:r>
              <w:rPr>
                <w:b/>
                <w:i/>
              </w:rPr>
              <w:t>zdůrazňuje, že systémové nedostatky v oblasti právního státu, včetně nedostatečné nezávislosti soudnictví, neúčinných státních zastupitelství a nedostatečných protikorupčních záruk, přímo oslabují schopnost Unie předcházet podvodům v oblasti DPH, odhalovat je a vymáhat je, a představují proto strukturální riziko pro ochranu finančních zájmů EU;</w:t>
            </w:r>
            <w:r>
              <w:t xml:space="preserve"> </w:t>
            </w:r>
            <w:r>
              <w:rPr>
                <w:b/>
                <w:i/>
              </w:rPr>
              <w:t>vyzývá k tomu, aby se přezkum architektury boje proti podvodům výslovně zabýval dopadem nedostatků v oblasti právního státu na fungování struktury EU pro boj proti podvodům;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35c.</w:t>
            </w:r>
            <w:r>
              <w:tab/>
            </w:r>
            <w:r>
              <w:rPr>
                <w:b/>
                <w:i/>
              </w:rPr>
              <w:t>zdůrazňuje, že účinnost přístupu úřadů EPPO a OLAF k informacím o DPH závisí na existenci nezávislých vnitrostátních orgánů s dostatečnými zdroji, které jsou schopny jednat na základě vyšetřovacích pokynů bez politického vměšování;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35d.</w:t>
            </w:r>
            <w:r>
              <w:tab/>
            </w:r>
            <w:r>
              <w:rPr>
                <w:b/>
                <w:i/>
              </w:rPr>
              <w:t>vyzývá Komisi, aby sledovala nedostatky v oblasti právního státu, které vytvářejí zvýšená rizika ztrát na DPH, a aby se těmito strukturálními slabinami zabývala ve své výroční zprávě o právním státu a vydala cílená doporučení, pokud tyto nedostatky zvyšují rizika podvodů v oblasti DPH;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35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35e.</w:t>
            </w:r>
            <w:r>
              <w:tab/>
            </w:r>
            <w:r>
              <w:rPr>
                <w:b/>
                <w:i/>
              </w:rPr>
              <w:t>vyzývá Komisi, aby přezkoumala, zda jsou zapotřebí další právní nástroje k zajištění toho, aby přetrvávající nedostatky v oblasti právního státu neohrožovaly výběr příjmů EU;</w:t>
            </w:r>
            <w:r>
              <w:t xml:space="preserve"> </w:t>
            </w:r>
            <w:r>
              <w:rPr>
                <w:b/>
                <w:i/>
              </w:rPr>
              <w:t>domnívá se, že ačkoli je nařízení o podmíněnosti navrženo tak, aby chránilo výdaje Unie před riziky vyplývajícími z porušování zásad právního státu, je vhodné prozkoumat způsoby, jak posílit ochranu příjmů Unie před porušováním zásad právního státu;</w:t>
            </w:r>
            <w:r>
              <w:t xml:space="preserve"> </w:t>
            </w:r>
            <w:r>
              <w:rPr>
                <w:b/>
                <w:i/>
              </w:rPr>
              <w:t>vyzývá Komisi, aby posoudila možné rozšíření nebo přizpůsobení nástrojů typu podmíněnosti v případech, kdy závažné a systémové porušování zásad právního státu ovlivňuje příjmy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790.210</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52</w:t>
    </w:r>
    <w:r>
      <w:fldChar w:fldCharType="end"/>
    </w:r>
    <w:r>
      <w:t>/</w:t>
    </w:r>
    <w:r>
      <w:fldChar w:fldCharType="begin"/>
    </w:r>
    <w:r>
      <w:instrText xml:space="preserve"> NUMPAGES </w:instrText>
    </w:r>
    <w:r>
      <w:fldChar w:fldCharType="separate"/>
    </w:r>
    <w:r>
      <w:t>52</w:t>
    </w:r>
    <w:r>
      <w:fldChar w:fldCharType="end"/>
    </w:r>
    <w:r>
      <w:tab/>
    </w:r>
    <w:r>
      <w:rPr>
        <w:rStyle w:val="HideTWBExt"/>
      </w:rPr>
      <w:t>&lt;PathFdR&gt;</w:t>
    </w:r>
    <w:r>
      <w:t>AM\1346724CS.docx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AM\1346724CS.docx</w:t>
    </w:r>
    <w:r>
      <w:rPr>
        <w:rStyle w:val="HideTWBExt"/>
      </w:rPr>
      <w:t>&lt;/PathFdR&gt;</w:t>
    </w:r>
    <w:r>
      <w:tab/>
    </w:r>
    <w:r>
      <w:fldChar w:fldCharType="begin"/>
    </w:r>
    <w:r>
      <w:instrText xml:space="preserve"> PAGE </w:instrText>
    </w:r>
    <w:r>
      <w:fldChar w:fldCharType="separate"/>
    </w:r>
    <w:r>
      <w:t>51</w:t>
    </w:r>
    <w:r>
      <w:fldChar w:fldCharType="end"/>
    </w:r>
    <w:r>
      <w:t>/</w:t>
    </w:r>
    <w:r>
      <w:fldChar w:fldCharType="begin"/>
    </w:r>
    <w:r>
      <w:instrText xml:space="preserve"> NUMPAGES </w:instrText>
    </w:r>
    <w:r>
      <w:fldChar w:fldCharType="separate"/>
    </w:r>
    <w:r>
      <w:t>52</w:t>
    </w:r>
    <w:r>
      <w:fldChar w:fldCharType="end"/>
    </w:r>
    <w:r>
      <w:tab/>
    </w:r>
    <w:r>
      <w:t>PE</w:t>
    </w:r>
    <w:r>
      <w:rPr>
        <w:rStyle w:val="HideTWBExt"/>
      </w:rPr>
      <w:t>&lt;NoPE&gt;</w:t>
    </w:r>
    <w:r>
      <w:t>790.210</w:t>
    </w:r>
    <w:r>
      <w:rPr>
        <w:rStyle w:val="HideTWBExt"/>
      </w:rPr>
      <w:t>&lt;/NoPE&gt;</w:t>
    </w:r>
    <w:r>
      <w:rPr>
        <w:rStyle w:val="HideTWBExt"/>
      </w:rPr>
      <w:t>&lt;Version&gt;</w:t>
    </w:r>
    <w:r>
      <w:t>v01-00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AM\1346724CS.docx</w:t>
    </w:r>
    <w:r>
      <w:rPr>
        <w:rStyle w:val="HideTWBExt"/>
      </w:rPr>
      <w:t>&lt;/PathFdR&gt;</w:t>
    </w:r>
    <w:r>
      <w:tab/>
    </w:r>
    <w:r>
      <w:tab/>
    </w:r>
    <w:r>
      <w:t>PE</w:t>
    </w:r>
    <w:r>
      <w:rPr>
        <w:rStyle w:val="HideTWBExt"/>
      </w:rPr>
      <w:t>&lt;NoPE&gt;</w:t>
    </w:r>
    <w:r>
      <w:t>790.210</w:t>
    </w:r>
    <w:r>
      <w:rPr>
        <w:rStyle w:val="HideTWBExt"/>
      </w:rPr>
      <w:t>&lt;/NoPE&gt;</w:t>
    </w:r>
    <w:r>
      <w:rPr>
        <w:rStyle w:val="HideTWBExt"/>
      </w:rPr>
      <w:t>&lt;Version&gt;</w:t>
    </w:r>
    <w:r>
      <w:t>v01-00</w:t>
    </w:r>
    <w:r>
      <w:rPr>
        <w:rStyle w:val="HideTWBExt"/>
      </w:rPr>
      <w:t>&lt;/Version&gt;</w:t>
    </w:r>
  </w:p>
  <w:p>
    <w:pPr>
      <w:pStyle w:val="EPFooter2"/>
    </w:pPr>
    <w:r>
      <w:t>CS</w:t>
    </w:r>
    <w:r>
      <w:tab/>
    </w:r>
    <w:r>
      <w:rPr>
        <w:rStyle w:val="EPFooter2Motto"/>
      </w:rPr>
      <w:t>Jednotná v rozmanitosti</w:t>
    </w:r>
    <w:r>
      <w:tab/>
    </w:r>
    <w:r>
      <w:t>CS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52</Pages>
  <Words>12004</Words>
  <Characters>70828</Characters>
  <Application>Microsoft Office Word</Application>
  <DocSecurity>0</DocSecurity>
  <Lines>1</Lines>
  <Paragraphs>764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1346724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571430</vt:lpwstr>
  </property>
  <property fmtid="{D5CDD505-2E9C-101B-9397-08002B2CF9AE}" pid="7" name="dmxml.render.traceId">
    <vt:lpwstr>6a50d12c17501eba03aee2874270c167</vt:lpwstr>
  </property>
  <property fmtid="{D5CDD505-2E9C-101B-9397-08002B2CF9AE}" pid="8" name="FooterPath">
    <vt:lpwstr>AM\1346724CS.docx</vt:lpwstr>
  </property>
  <property fmtid="{D5CDD505-2E9C-101B-9397-08002B2CF9AE}" pid="9" name="PE Number">
    <vt:lpwstr>790.210</vt:lpwstr>
  </property>
  <property fmtid="{D5CDD505-2E9C-101B-9397-08002B2CF9AE}" pid="10" name="UID">
    <vt:lpwstr>eu.europa.europarl-DIN1-2026-0000192130_01.00-cs-01.00_text-xml</vt:lpwstr>
  </property>
</Properties>
</file>