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56594B"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5E5FA1" w:rsidRPr="00FF7A7C" w:rsidP="00C85D0F" w14:paraId="2BF2A651" w14:textId="77777777">
            <w:pPr>
              <w:pStyle w:val="EPName"/>
            </w:pPr>
            <w:r w:rsidRPr="00FF7A7C">
              <w:t>Parlamento europeo</w:t>
            </w:r>
          </w:p>
          <w:p w:rsidR="005E5FA1" w:rsidRPr="00FF7A7C" w:rsidP="00C85D0F" w14:paraId="16E34307" w14:textId="77777777">
            <w:pPr>
              <w:pStyle w:val="EPTerm"/>
            </w:pPr>
            <w:r w:rsidRPr="00FF7A7C">
              <w:t>2024-2029</w:t>
            </w:r>
          </w:p>
        </w:tc>
        <w:tc>
          <w:tcPr>
            <w:tcW w:w="2268" w:type="dxa"/>
            <w:shd w:val="clear" w:color="auto" w:fill="auto"/>
          </w:tcPr>
          <w:p w:rsidR="005E5FA1" w:rsidRPr="00FF7A7C" w:rsidP="00C85D0F" w14:paraId="278F0F9A" w14:textId="77777777">
            <w:pPr>
              <w:pStyle w:val="EPLogo"/>
            </w:pPr>
            <w:r w:rsidRPr="00FF7A7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9448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FF7A7C" w:rsidP="00CF4E9D" w14:paraId="29AC5DA0" w14:textId="77777777">
      <w:pPr>
        <w:pStyle w:val="LineTop"/>
      </w:pPr>
    </w:p>
    <w:p w:rsidR="00CF4E9D" w:rsidRPr="00FF7A7C" w:rsidP="00CF4E9D" w14:paraId="5490929F" w14:textId="77777777">
      <w:pPr>
        <w:pStyle w:val="EPBody"/>
      </w:pPr>
      <w:r w:rsidRPr="00FF7A7C">
        <w:rPr>
          <w:rStyle w:val="HideTWBExt"/>
        </w:rPr>
        <w:t>&lt;</w:t>
      </w:r>
      <w:r w:rsidRPr="00FF7A7C">
        <w:rPr>
          <w:rStyle w:val="HideTWBExt"/>
          <w:i w:val="0"/>
        </w:rPr>
        <w:t>Commission</w:t>
      </w:r>
      <w:r w:rsidRPr="00FF7A7C">
        <w:rPr>
          <w:rStyle w:val="HideTWBExt"/>
        </w:rPr>
        <w:t>&gt;</w:t>
      </w:r>
      <w:r w:rsidRPr="00FF7A7C">
        <w:rPr>
          <w:rStyle w:val="HideTWBInt"/>
          <w:color w:val="auto"/>
        </w:rPr>
        <w:t>{CONT}</w:t>
      </w:r>
      <w:r w:rsidRPr="00FF7A7C">
        <w:t>Commissione per il controllo dei bilanci</w:t>
      </w:r>
      <w:r w:rsidRPr="00FF7A7C">
        <w:rPr>
          <w:rStyle w:val="HideTWBExt"/>
        </w:rPr>
        <w:t>&lt;/</w:t>
      </w:r>
      <w:r w:rsidRPr="00FF7A7C">
        <w:rPr>
          <w:rStyle w:val="HideTWBExt"/>
          <w:i w:val="0"/>
        </w:rPr>
        <w:t>Commission</w:t>
      </w:r>
      <w:r w:rsidRPr="00FF7A7C">
        <w:rPr>
          <w:rStyle w:val="HideTWBExt"/>
        </w:rPr>
        <w:t>&gt;</w:t>
      </w:r>
    </w:p>
    <w:p w:rsidR="00CF4E9D" w:rsidRPr="00FF7A7C" w:rsidP="00CF4E9D" w14:paraId="4955D340" w14:textId="77777777">
      <w:pPr>
        <w:pStyle w:val="LineBottom"/>
      </w:pPr>
    </w:p>
    <w:p w:rsidR="00794E41" w:rsidRPr="00FF7A7C" w:rsidP="00794E41" w14:paraId="7C9610E4" w14:textId="77777777">
      <w:pPr>
        <w:pStyle w:val="CoverReference"/>
      </w:pPr>
      <w:r w:rsidRPr="00FF7A7C">
        <w:rPr>
          <w:rStyle w:val="HideTWBExt"/>
          <w:b w:val="0"/>
        </w:rPr>
        <w:t>&lt;RefProc&gt;</w:t>
      </w:r>
      <w:r w:rsidRPr="00FF7A7C">
        <w:t>2025/2071</w:t>
      </w:r>
      <w:r w:rsidRPr="00FF7A7C">
        <w:rPr>
          <w:rStyle w:val="HideTWBExt"/>
          <w:b w:val="0"/>
        </w:rPr>
        <w:t>&lt;/</w:t>
      </w:r>
      <w:r w:rsidRPr="00FF7A7C">
        <w:rPr>
          <w:rStyle w:val="HideTWBExt"/>
          <w:b w:val="0"/>
        </w:rPr>
        <w:t>RefProc</w:t>
      </w:r>
      <w:r w:rsidRPr="00FF7A7C">
        <w:rPr>
          <w:rStyle w:val="HideTWBExt"/>
          <w:b w:val="0"/>
        </w:rPr>
        <w:t>&gt;&lt;RefTypeProc&gt;</w:t>
      </w:r>
      <w:r w:rsidRPr="00FF7A7C">
        <w:t>(INI)</w:t>
      </w:r>
      <w:r w:rsidRPr="00FF7A7C">
        <w:rPr>
          <w:rStyle w:val="HideTWBExt"/>
          <w:b w:val="0"/>
        </w:rPr>
        <w:t>&lt;/</w:t>
      </w:r>
      <w:r w:rsidRPr="00FF7A7C">
        <w:rPr>
          <w:rStyle w:val="HideTWBExt"/>
          <w:b w:val="0"/>
        </w:rPr>
        <w:t>RefTypeProc</w:t>
      </w:r>
      <w:r w:rsidRPr="00FF7A7C">
        <w:rPr>
          <w:rStyle w:val="HideTWBExt"/>
          <w:b w:val="0"/>
        </w:rPr>
        <w:t>&gt;</w:t>
      </w:r>
    </w:p>
    <w:p w:rsidR="00794E41" w:rsidRPr="00FF7A7C" w:rsidP="00794E41" w14:paraId="24130872" w14:textId="77777777">
      <w:pPr>
        <w:pStyle w:val="CoverDate"/>
      </w:pPr>
      <w:r w:rsidRPr="00FF7A7C">
        <w:rPr>
          <w:rStyle w:val="HideTWBExt"/>
        </w:rPr>
        <w:t>&lt;Date&gt;</w:t>
      </w:r>
      <w:r w:rsidRPr="00FF7A7C">
        <w:rPr>
          <w:rStyle w:val="HideTWBInt"/>
          <w:color w:val="auto"/>
        </w:rPr>
        <w:t>{22/07/2026}</w:t>
      </w:r>
      <w:r w:rsidRPr="00FF7A7C">
        <w:t>22.7.2026</w:t>
      </w:r>
      <w:r w:rsidRPr="00FF7A7C">
        <w:rPr>
          <w:rStyle w:val="HideTWBExt"/>
        </w:rPr>
        <w:t>&lt;/Date&gt;</w:t>
      </w:r>
    </w:p>
    <w:p w:rsidR="00794E41" w:rsidRPr="00FF7A7C" w:rsidP="00794E41" w14:paraId="0937BC95" w14:textId="77777777">
      <w:pPr>
        <w:pStyle w:val="CoverDocType"/>
      </w:pPr>
      <w:r w:rsidRPr="00FF7A7C">
        <w:rPr>
          <w:rStyle w:val="HideTWBExt"/>
          <w:b w:val="0"/>
        </w:rPr>
        <w:t>&lt;TypeAM&gt;</w:t>
      </w:r>
      <w:r w:rsidRPr="00FF7A7C">
        <w:t>EMENDAMENTI</w:t>
      </w:r>
      <w:r w:rsidRPr="00FF7A7C">
        <w:rPr>
          <w:rStyle w:val="HideTWBExt"/>
          <w:b w:val="0"/>
        </w:rPr>
        <w:t>&lt;/</w:t>
      </w:r>
      <w:r w:rsidRPr="00FF7A7C">
        <w:rPr>
          <w:rStyle w:val="HideTWBExt"/>
          <w:b w:val="0"/>
        </w:rPr>
        <w:t>TypeAM</w:t>
      </w:r>
      <w:r w:rsidRPr="00FF7A7C">
        <w:rPr>
          <w:rStyle w:val="HideTWBExt"/>
          <w:b w:val="0"/>
        </w:rPr>
        <w:t>&gt;</w:t>
      </w:r>
    </w:p>
    <w:p w:rsidR="00794E41" w:rsidRPr="00FF7A7C" w:rsidP="00794E41" w14:paraId="3A4A5853" w14:textId="77777777">
      <w:pPr>
        <w:pStyle w:val="CoverDocType24a"/>
      </w:pPr>
      <w:r w:rsidRPr="00FF7A7C">
        <w:rPr>
          <w:rStyle w:val="HideTWBExt"/>
          <w:b w:val="0"/>
        </w:rPr>
        <w:t>&lt;RangeAM&gt;</w:t>
      </w:r>
      <w:r w:rsidRPr="00FF7A7C">
        <w:t>1 - 108</w:t>
      </w:r>
      <w:r w:rsidRPr="00FF7A7C">
        <w:rPr>
          <w:rStyle w:val="HideTWBExt"/>
          <w:b w:val="0"/>
        </w:rPr>
        <w:t>&lt;/</w:t>
      </w:r>
      <w:r w:rsidRPr="00FF7A7C">
        <w:rPr>
          <w:rStyle w:val="HideTWBExt"/>
          <w:b w:val="0"/>
        </w:rPr>
        <w:t>RangeAM</w:t>
      </w:r>
      <w:r w:rsidRPr="00FF7A7C">
        <w:rPr>
          <w:rStyle w:val="HideTWBExt"/>
          <w:b w:val="0"/>
        </w:rPr>
        <w:t>&gt;</w:t>
      </w:r>
    </w:p>
    <w:p w:rsidR="00794E41" w:rsidRPr="00FF7A7C" w:rsidP="007B1846" w14:paraId="512B4AD5" w14:textId="77777777">
      <w:pPr>
        <w:pStyle w:val="CoverBold"/>
      </w:pPr>
      <w:r w:rsidRPr="00FF7A7C">
        <w:rPr>
          <w:rStyle w:val="HideTWBExt"/>
          <w:b w:val="0"/>
        </w:rPr>
        <w:t>&lt;TitreType&gt;</w:t>
      </w:r>
      <w:r w:rsidRPr="00FF7A7C">
        <w:t>Progetto di relazione</w:t>
      </w:r>
      <w:r w:rsidRPr="00FF7A7C">
        <w:rPr>
          <w:rStyle w:val="HideTWBExt"/>
          <w:b w:val="0"/>
        </w:rPr>
        <w:t>&lt;/</w:t>
      </w:r>
      <w:r w:rsidRPr="00FF7A7C">
        <w:rPr>
          <w:rStyle w:val="HideTWBExt"/>
          <w:b w:val="0"/>
        </w:rPr>
        <w:t>TitreType</w:t>
      </w:r>
      <w:r w:rsidRPr="00FF7A7C">
        <w:rPr>
          <w:rStyle w:val="HideTWBExt"/>
          <w:b w:val="0"/>
        </w:rPr>
        <w:t>&gt;</w:t>
      </w:r>
    </w:p>
    <w:p w:rsidR="00794E41" w:rsidRPr="00FF7A7C" w:rsidP="007B1846" w14:paraId="04E2AFB0" w14:textId="77777777">
      <w:pPr>
        <w:pStyle w:val="CoverBold"/>
      </w:pPr>
      <w:r w:rsidRPr="00FF7A7C">
        <w:rPr>
          <w:rStyle w:val="HideTWBExt"/>
          <w:b w:val="0"/>
        </w:rPr>
        <w:t>&lt;Rapporteur&gt;</w:t>
      </w:r>
      <w:r w:rsidRPr="00FF7A7C">
        <w:t>Tomáš</w:t>
      </w:r>
      <w:r w:rsidRPr="00FF7A7C">
        <w:t xml:space="preserve"> </w:t>
      </w:r>
      <w:r w:rsidRPr="00FF7A7C">
        <w:t>Zdechovský</w:t>
      </w:r>
      <w:r w:rsidRPr="00FF7A7C">
        <w:rPr>
          <w:rStyle w:val="HideTWBExt"/>
          <w:b w:val="0"/>
        </w:rPr>
        <w:t>&lt;/Rapporteur&gt;</w:t>
      </w:r>
    </w:p>
    <w:p w:rsidR="00794E41" w:rsidRPr="00FF7A7C" w:rsidP="00794E41" w14:paraId="077AB268" w14:textId="77777777">
      <w:pPr>
        <w:pStyle w:val="CoverNormal24a"/>
      </w:pPr>
      <w:r w:rsidRPr="00FF7A7C">
        <w:rPr>
          <w:rStyle w:val="HideTWBExt"/>
        </w:rPr>
        <w:t>&lt;DocRefPE&gt;</w:t>
      </w:r>
      <w:r w:rsidRPr="00FF7A7C">
        <w:t>(PE789.881v01-</w:t>
      </w:r>
      <w:r w:rsidRPr="00FF7A7C">
        <w:t>00)</w:t>
      </w:r>
      <w:r w:rsidRPr="00FF7A7C">
        <w:rPr>
          <w:rStyle w:val="HideTWBExt"/>
        </w:rPr>
        <w:t>&lt;</w:t>
      </w:r>
      <w:r w:rsidRPr="00FF7A7C">
        <w:rPr>
          <w:rStyle w:val="HideTWBExt"/>
        </w:rPr>
        <w:t>/</w:t>
      </w:r>
      <w:r w:rsidRPr="00FF7A7C">
        <w:rPr>
          <w:rStyle w:val="HideTWBExt"/>
        </w:rPr>
        <w:t>DocRefPE</w:t>
      </w:r>
      <w:r w:rsidRPr="00FF7A7C">
        <w:rPr>
          <w:rStyle w:val="HideTWBExt"/>
        </w:rPr>
        <w:t>&gt;</w:t>
      </w:r>
    </w:p>
    <w:p w:rsidR="00794E41" w:rsidRPr="00FF7A7C" w:rsidP="00794E41" w14:paraId="091AED7E" w14:textId="77777777">
      <w:pPr>
        <w:pStyle w:val="CoverNormal"/>
      </w:pPr>
      <w:r w:rsidRPr="00FF7A7C">
        <w:rPr>
          <w:rStyle w:val="HideTWBExt"/>
        </w:rPr>
        <w:t>&lt;Titre&gt;</w:t>
      </w:r>
      <w:r w:rsidRPr="00FF7A7C">
        <w:t xml:space="preserve">Valutazione dei successi conseguiti e delle lezioni apprese dagli allargamenti dell'UE dal 2004 </w:t>
      </w:r>
      <w:r w:rsidRPr="00FF7A7C">
        <w:t>nell'attuazione del bilancio dell'UE</w:t>
      </w:r>
      <w:r w:rsidRPr="00FF7A7C">
        <w:rPr>
          <w:rStyle w:val="HideTWBExt"/>
        </w:rPr>
        <w:t>&lt;/</w:t>
      </w:r>
      <w:r w:rsidRPr="00FF7A7C">
        <w:rPr>
          <w:rStyle w:val="HideTWBExt"/>
        </w:rPr>
        <w:t>Titre</w:t>
      </w:r>
      <w:r w:rsidRPr="00FF7A7C">
        <w:rPr>
          <w:rStyle w:val="HideTWBExt"/>
        </w:rPr>
        <w:t>&gt;</w:t>
      </w:r>
    </w:p>
    <w:p w:rsidR="00794E41" w:rsidRPr="00FF7A7C" w:rsidP="00794E41" w14:paraId="6915A69B" w14:textId="77777777">
      <w:pPr>
        <w:pStyle w:val="CoverNormal24a"/>
      </w:pPr>
      <w:r w:rsidRPr="00FF7A7C">
        <w:rPr>
          <w:rStyle w:val="HideTWBExt"/>
        </w:rPr>
        <w:t>&lt;DocRef&gt;</w:t>
      </w:r>
      <w:r w:rsidRPr="00FF7A7C">
        <w:t>(</w:t>
      </w:r>
      <w:bookmarkStart w:id="0" w:name="DocEPLastVariable"/>
      <w:bookmarkEnd w:id="0"/>
      <w:r w:rsidRPr="00FF7A7C">
        <w:t>2025/2071(INI</w:t>
      </w:r>
      <w:r w:rsidRPr="00FF7A7C">
        <w:t>))</w:t>
      </w:r>
      <w:r w:rsidRPr="00FF7A7C">
        <w:rPr>
          <w:rStyle w:val="HideTWBExt"/>
        </w:rPr>
        <w:t>&lt;</w:t>
      </w:r>
      <w:r w:rsidRPr="00FF7A7C">
        <w:rPr>
          <w:rStyle w:val="HideTWBExt"/>
        </w:rPr>
        <w:t>/</w:t>
      </w:r>
      <w:r w:rsidRPr="00FF7A7C">
        <w:rPr>
          <w:rStyle w:val="HideTWBExt"/>
        </w:rPr>
        <w:t>DocRef</w:t>
      </w:r>
      <w:r w:rsidRPr="00FF7A7C">
        <w:rPr>
          <w:rStyle w:val="HideTWBExt"/>
        </w:rPr>
        <w:t>&gt;</w:t>
      </w:r>
    </w:p>
    <w:p w:rsidR="0072150A" w:rsidRPr="00FF7A7C" w:rsidP="008B040A" w14:paraId="7EA56C1C" w14:textId="77777777">
      <w:pPr>
        <w:widowControl/>
        <w:tabs>
          <w:tab w:val="center" w:pos="4677"/>
        </w:tabs>
      </w:pPr>
      <w:r w:rsidRPr="00FF7A7C">
        <w:br w:type="page"/>
      </w:r>
      <w:r w:rsidRPr="00FF7A7C">
        <w:t>AM_Com_NonLegReport</w:t>
      </w:r>
    </w:p>
    <w:p w:rsidR="0072150A" w:rsidRPr="00FF7A7C" w14:paraId="2B316C47" w14:textId="77777777">
      <w:pPr>
        <w:widowControl/>
      </w:pPr>
      <w:r w:rsidRPr="00FF7A7C">
        <w:br w:type="page"/>
      </w:r>
    </w:p>
    <w:p w:rsidR="0072150A" w:rsidRPr="00FF7A7C" w:rsidP="0072150A" w14:paraId="2213AE3F" w14:textId="77777777">
      <w:pPr>
        <w:pStyle w:val="AMNumberTabs0"/>
        <w:keepNext/>
      </w:pPr>
      <w:r w:rsidRPr="00FF7A7C">
        <w:rPr>
          <w:rStyle w:val="HideTWBExt"/>
          <w:b w:val="0"/>
        </w:rPr>
        <w:t>&lt;RepeatBlock-Amend&gt;&lt;Amend&gt;</w:t>
      </w:r>
      <w:r w:rsidRPr="00FF7A7C">
        <w:t>Emendamento</w:t>
      </w:r>
      <w:r w:rsidRPr="00FF7A7C">
        <w:tab/>
      </w:r>
      <w:r w:rsidRPr="00FF7A7C">
        <w:tab/>
      </w:r>
      <w:r w:rsidRPr="00FF7A7C">
        <w:rPr>
          <w:rStyle w:val="HideTWBExt"/>
          <w:b w:val="0"/>
        </w:rPr>
        <w:t>&lt;NumAm&gt;</w:t>
      </w:r>
      <w:r w:rsidRPr="00FF7A7C">
        <w:t>1</w:t>
      </w:r>
      <w:r w:rsidRPr="00FF7A7C">
        <w:rPr>
          <w:rStyle w:val="HideTWBExt"/>
          <w:b w:val="0"/>
        </w:rPr>
        <w:t>&lt;/</w:t>
      </w:r>
      <w:r w:rsidRPr="00FF7A7C">
        <w:rPr>
          <w:rStyle w:val="HideTWBExt"/>
          <w:b w:val="0"/>
        </w:rPr>
        <w:t>NumAm</w:t>
      </w:r>
      <w:r w:rsidRPr="00FF7A7C">
        <w:rPr>
          <w:rStyle w:val="HideTWBExt"/>
          <w:b w:val="0"/>
        </w:rPr>
        <w:t>&gt;</w:t>
      </w:r>
    </w:p>
    <w:p w:rsidR="0072150A" w:rsidRPr="00FF7A7C" w:rsidP="0072150A" w14:paraId="6810612E"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72150A" w:rsidRPr="00FF7A7C" w:rsidP="0072150A" w14:paraId="576D07B0" w14:textId="77777777">
      <w:r w:rsidRPr="00FF7A7C">
        <w:rPr>
          <w:rStyle w:val="HideTWBExt"/>
        </w:rPr>
        <w:t>&lt;/RepeatBlock-By&gt;</w:t>
      </w:r>
    </w:p>
    <w:p w:rsidR="0072150A" w:rsidRPr="00FF7A7C" w:rsidP="0072150A" w14:paraId="0CCCCCF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72150A" w:rsidRPr="00FF7A7C" w:rsidP="0072150A" w14:paraId="27DF29DF" w14:textId="77777777">
      <w:pPr>
        <w:pStyle w:val="NormalBold"/>
      </w:pPr>
      <w:r w:rsidRPr="00FF7A7C">
        <w:rPr>
          <w:rStyle w:val="HideTWBExt"/>
          <w:b w:val="0"/>
        </w:rPr>
        <w:t>&lt;Article&gt;</w:t>
      </w:r>
      <w:r w:rsidRPr="00FF7A7C">
        <w:t>Visto 5 bis (nuovo)</w:t>
      </w:r>
      <w:r w:rsidRPr="00FF7A7C">
        <w:rPr>
          <w:rStyle w:val="HideTWBExt"/>
          <w:b w:val="0"/>
        </w:rPr>
        <w:t>&lt;/</w:t>
      </w:r>
      <w:r w:rsidRPr="00FF7A7C">
        <w:rPr>
          <w:rStyle w:val="HideTWBExt"/>
          <w:b w:val="0"/>
        </w:rPr>
        <w:t>Article</w:t>
      </w:r>
      <w:r w:rsidRPr="00FF7A7C">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7B6BB196" w14:textId="77777777" w:rsidTr="00AC4730">
        <w:tblPrEx>
          <w:tblW w:w="9752" w:type="dxa"/>
          <w:jc w:val="center"/>
          <w:tblLayout w:type="fixed"/>
          <w:tblCellMar>
            <w:left w:w="340" w:type="dxa"/>
            <w:right w:w="340" w:type="dxa"/>
          </w:tblCellMar>
          <w:tblLook w:val="04A0"/>
        </w:tblPrEx>
        <w:trPr>
          <w:jc w:val="center"/>
        </w:trPr>
        <w:tc>
          <w:tcPr>
            <w:tcW w:w="9752" w:type="dxa"/>
            <w:gridSpan w:val="2"/>
          </w:tcPr>
          <w:p w:rsidR="00114EDE" w:rsidRPr="00FF7A7C" w14:paraId="37560E34" w14:textId="77777777">
            <w:pPr>
              <w:keepNext/>
            </w:pPr>
          </w:p>
        </w:tc>
      </w:tr>
      <w:tr w14:paraId="02ECC098" w14:textId="77777777" w:rsidTr="00AC4730">
        <w:tblPrEx>
          <w:tblW w:w="9752" w:type="dxa"/>
          <w:jc w:val="center"/>
          <w:tblLayout w:type="fixed"/>
          <w:tblCellMar>
            <w:left w:w="340" w:type="dxa"/>
            <w:right w:w="340" w:type="dxa"/>
          </w:tblCellMar>
          <w:tblLook w:val="04A0"/>
        </w:tblPrEx>
        <w:trPr>
          <w:jc w:val="center"/>
        </w:trPr>
        <w:tc>
          <w:tcPr>
            <w:tcW w:w="4876" w:type="dxa"/>
            <w:hideMark/>
          </w:tcPr>
          <w:p w:rsidR="002F29F3" w:rsidRPr="00FF7A7C" w14:paraId="6D88B961" w14:textId="77777777">
            <w:pPr>
              <w:pStyle w:val="ColumnHeading"/>
              <w:keepNext/>
            </w:pPr>
            <w:r w:rsidRPr="00FF7A7C">
              <w:t>Proposta di risoluzione</w:t>
            </w:r>
          </w:p>
        </w:tc>
        <w:tc>
          <w:tcPr>
            <w:tcW w:w="4876" w:type="dxa"/>
            <w:hideMark/>
          </w:tcPr>
          <w:p w:rsidR="002F29F3" w:rsidRPr="00FF7A7C" w14:paraId="313CC20A" w14:textId="77777777">
            <w:pPr>
              <w:pStyle w:val="ColumnHeading"/>
              <w:keepNext/>
            </w:pPr>
            <w:r w:rsidRPr="00FF7A7C">
              <w:t>Emendamento</w:t>
            </w:r>
          </w:p>
        </w:tc>
      </w:tr>
      <w:tr w14:paraId="23A008DF"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FF7A7C" w:rsidP="00AC4730" w14:paraId="4FA53B38" w14:textId="77777777"/>
        </w:tc>
        <w:tc>
          <w:tcPr>
            <w:tcW w:w="4876" w:type="dxa"/>
            <w:hideMark/>
          </w:tcPr>
          <w:p w:rsidR="00AC4730" w:rsidRPr="00FF7A7C" w:rsidP="00AC4730" w14:paraId="10DDAF70" w14:textId="77777777">
            <w:r w:rsidRPr="00FF7A7C">
              <w:rPr>
                <w:b/>
                <w:i/>
              </w:rPr>
              <w:t>–</w:t>
            </w:r>
            <w:r w:rsidRPr="00FF7A7C">
              <w:rPr>
                <w:b/>
                <w:i/>
              </w:rPr>
              <w:tab/>
              <w:t xml:space="preserve">visto il documento richiesto dalla commissione per il controllo dei bilanci intitolato "Two </w:t>
            </w:r>
            <w:r w:rsidRPr="00FF7A7C">
              <w:rPr>
                <w:b/>
                <w:i/>
              </w:rPr>
              <w:t>Decades</w:t>
            </w:r>
            <w:r w:rsidRPr="00FF7A7C">
              <w:rPr>
                <w:b/>
                <w:i/>
              </w:rPr>
              <w:t xml:space="preserve"> of Progress: </w:t>
            </w:r>
            <w:r w:rsidRPr="00FF7A7C">
              <w:rPr>
                <w:b/>
                <w:i/>
              </w:rPr>
              <w:t>Evaluating</w:t>
            </w:r>
            <w:r w:rsidRPr="00FF7A7C">
              <w:rPr>
                <w:b/>
                <w:i/>
              </w:rPr>
              <w:t xml:space="preserve"> the Successes and </w:t>
            </w:r>
            <w:r w:rsidRPr="00FF7A7C">
              <w:rPr>
                <w:b/>
                <w:i/>
              </w:rPr>
              <w:t>Lessons</w:t>
            </w:r>
            <w:r w:rsidRPr="00FF7A7C">
              <w:rPr>
                <w:b/>
                <w:i/>
              </w:rPr>
              <w:t xml:space="preserve"> in </w:t>
            </w:r>
            <w:r w:rsidRPr="00FF7A7C">
              <w:rPr>
                <w:b/>
                <w:i/>
              </w:rPr>
              <w:t>Implementing</w:t>
            </w:r>
            <w:r w:rsidRPr="00FF7A7C">
              <w:rPr>
                <w:b/>
                <w:i/>
              </w:rPr>
              <w:t xml:space="preserve"> the EU Budget from the 2004 Enlargement"</w:t>
            </w:r>
            <w:r w:rsidRPr="00FF7A7C">
              <w:rPr>
                <w:b/>
                <w:i/>
                <w:vertAlign w:val="superscript"/>
              </w:rPr>
              <w:t>1 bis</w:t>
            </w:r>
            <w:r w:rsidRPr="00FF7A7C">
              <w:rPr>
                <w:b/>
                <w:i/>
              </w:rPr>
              <w:t xml:space="preserve"> (Due decenni di progressi: valutazione dei successi e delle lezioni apprese nell'attuazione del bilancio dell'UE dall'allargamento del 2004), pubblicato dalla direzione generale degli Affari di bilancio nel giugno 2025,</w:t>
            </w:r>
          </w:p>
        </w:tc>
      </w:tr>
      <w:tr w14:paraId="76BA0663"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FF7A7C" w:rsidP="00AC4730" w14:paraId="4D811ACB" w14:textId="77777777"/>
        </w:tc>
        <w:tc>
          <w:tcPr>
            <w:tcW w:w="4876" w:type="dxa"/>
            <w:hideMark/>
          </w:tcPr>
          <w:p w:rsidR="00AC4730" w:rsidRPr="00FF7A7C" w:rsidP="00AC4730" w14:paraId="6CEDB808" w14:textId="77777777">
            <w:r w:rsidRPr="00FF7A7C">
              <w:rPr>
                <w:b/>
                <w:i/>
              </w:rPr>
              <w:t>__________________</w:t>
            </w:r>
          </w:p>
        </w:tc>
      </w:tr>
      <w:tr w14:paraId="28CC763F"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FF7A7C" w:rsidP="00AC4730" w14:paraId="5993EAFD" w14:textId="77777777"/>
        </w:tc>
        <w:tc>
          <w:tcPr>
            <w:tcW w:w="4876" w:type="dxa"/>
            <w:hideMark/>
          </w:tcPr>
          <w:p w:rsidR="00AC4730" w:rsidRPr="00FF7A7C" w:rsidP="00AC4730" w14:paraId="1AAAE2D3" w14:textId="77777777">
            <w:r w:rsidRPr="00FF7A7C">
              <w:rPr>
                <w:b/>
                <w:i/>
                <w:vertAlign w:val="superscript"/>
              </w:rPr>
              <w:t>1 bis</w:t>
            </w:r>
            <w:r w:rsidRPr="00FF7A7C">
              <w:t xml:space="preserve"> </w:t>
            </w:r>
            <w:r w:rsidRPr="00FF7A7C">
              <w:rPr>
                <w:b/>
                <w:i/>
              </w:rPr>
              <w:t>https://www.europarl.europa.eu/thinktank/en/document/BUDG_BRI(2025)775381</w:t>
            </w:r>
            <w:r w:rsidRPr="00FF7A7C">
              <w:t>.</w:t>
            </w:r>
          </w:p>
        </w:tc>
      </w:tr>
    </w:tbl>
    <w:p w:rsidR="008447B4" w:rsidRPr="00FF7A7C" w:rsidP="008447B4" w14:paraId="46E10E3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72150A" w:rsidRPr="00FF7A7C" w:rsidP="0072150A" w14:paraId="42EAA706" w14:textId="77777777">
      <w:r w:rsidRPr="00FF7A7C">
        <w:rPr>
          <w:rStyle w:val="HideTWBExt"/>
        </w:rPr>
        <w:t>&lt;/Amend&gt;</w:t>
      </w:r>
    </w:p>
    <w:p w:rsidR="0072150A" w:rsidRPr="00FF7A7C" w:rsidP="0072150A" w14:paraId="3F166B9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w:t>
      </w:r>
      <w:r w:rsidRPr="00FF7A7C">
        <w:rPr>
          <w:rStyle w:val="HideTWBExt"/>
          <w:b w:val="0"/>
        </w:rPr>
        <w:t>&lt;/</w:t>
      </w:r>
      <w:r w:rsidRPr="00FF7A7C">
        <w:rPr>
          <w:rStyle w:val="HideTWBExt"/>
          <w:b w:val="0"/>
        </w:rPr>
        <w:t>NumAm</w:t>
      </w:r>
      <w:r w:rsidRPr="00FF7A7C">
        <w:rPr>
          <w:rStyle w:val="HideTWBExt"/>
          <w:b w:val="0"/>
        </w:rPr>
        <w:t>&gt;</w:t>
      </w:r>
    </w:p>
    <w:p w:rsidR="0072150A" w:rsidRPr="00FF7A7C" w:rsidP="0072150A" w14:paraId="5A2B6F74"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72150A" w:rsidRPr="00FF7A7C" w:rsidP="0072150A" w14:paraId="4F5F93ED" w14:textId="77777777">
      <w:r w:rsidRPr="00FF7A7C">
        <w:rPr>
          <w:rStyle w:val="HideTWBExt"/>
        </w:rPr>
        <w:t>&lt;/RepeatBlock-By&gt;</w:t>
      </w:r>
    </w:p>
    <w:p w:rsidR="0072150A" w:rsidRPr="00FF7A7C" w:rsidP="0072150A" w14:paraId="20BABC5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72150A" w:rsidRPr="00FF7A7C" w:rsidP="0072150A" w14:paraId="36D76BBC" w14:textId="77777777">
      <w:pPr>
        <w:pStyle w:val="NormalBold"/>
      </w:pPr>
      <w:r w:rsidRPr="00FF7A7C">
        <w:rPr>
          <w:rStyle w:val="HideTWBExt"/>
          <w:b w:val="0"/>
        </w:rPr>
        <w:t>&lt;Article&gt;</w:t>
      </w:r>
      <w:r w:rsidRPr="00FF7A7C">
        <w:t>Visto 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A368CF7"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014CCBE4" w14:textId="77777777">
            <w:pPr>
              <w:keepNext/>
            </w:pPr>
          </w:p>
        </w:tc>
      </w:tr>
      <w:tr w14:paraId="662B9E01"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19CAE734" w14:textId="77777777">
            <w:pPr>
              <w:pStyle w:val="ColumnHeading"/>
              <w:keepNext/>
            </w:pPr>
            <w:r w:rsidRPr="00FF7A7C">
              <w:t>Proposta di risoluzione</w:t>
            </w:r>
          </w:p>
        </w:tc>
        <w:tc>
          <w:tcPr>
            <w:tcW w:w="4876" w:type="dxa"/>
            <w:hideMark/>
          </w:tcPr>
          <w:p w:rsidR="002F29F3" w:rsidRPr="00FF7A7C" w14:paraId="1814847E" w14:textId="77777777">
            <w:pPr>
              <w:pStyle w:val="ColumnHeading"/>
              <w:keepNext/>
            </w:pPr>
            <w:r w:rsidRPr="00FF7A7C">
              <w:t>Emendamento</w:t>
            </w:r>
          </w:p>
        </w:tc>
      </w:tr>
      <w:tr w14:paraId="0993B205"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32596A1A" w14:textId="77777777">
            <w:pPr>
              <w:pStyle w:val="Normal6"/>
            </w:pPr>
          </w:p>
        </w:tc>
        <w:tc>
          <w:tcPr>
            <w:tcW w:w="4876" w:type="dxa"/>
            <w:hideMark/>
          </w:tcPr>
          <w:p w:rsidR="002F29F3" w:rsidRPr="00FF7A7C" w:rsidP="006232E5" w14:paraId="2B4823D7" w14:textId="77777777">
            <w:pPr>
              <w:pStyle w:val="Normal6"/>
              <w:rPr>
                <w:b/>
                <w:bCs/>
                <w:i/>
                <w:iCs/>
                <w:szCs w:val="24"/>
              </w:rPr>
            </w:pPr>
            <w:r w:rsidRPr="00FF7A7C">
              <w:rPr>
                <w:b/>
                <w:i/>
              </w:rPr>
              <w:t>–</w:t>
            </w:r>
            <w:r w:rsidRPr="00FF7A7C">
              <w:rPr>
                <w:b/>
                <w:i/>
              </w:rPr>
              <w:tab/>
              <w:t xml:space="preserve">vista la relazione della Commissione del 27 marzo 2024 dal </w:t>
            </w:r>
            <w:r w:rsidRPr="00FF7A7C">
              <w:rPr>
                <w:b/>
                <w:i/>
              </w:rPr>
              <w:t>titolo "Nona relazione sulla coesione economica, sociale e territoriale"</w:t>
            </w:r>
            <w:r w:rsidRPr="00FF7A7C">
              <w:rPr>
                <w:b/>
                <w:i/>
                <w:vertAlign w:val="superscript"/>
              </w:rPr>
              <w:t>1 bis</w:t>
            </w:r>
            <w:r w:rsidRPr="00FF7A7C">
              <w:rPr>
                <w:b/>
                <w:i/>
              </w:rPr>
              <w:t>,</w:t>
            </w:r>
          </w:p>
        </w:tc>
      </w:tr>
      <w:tr w14:paraId="014B5A49"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FF7A7C" w14:paraId="0221252A" w14:textId="77777777">
            <w:pPr>
              <w:pStyle w:val="Normal6"/>
            </w:pPr>
          </w:p>
        </w:tc>
        <w:tc>
          <w:tcPr>
            <w:tcW w:w="4876" w:type="dxa"/>
          </w:tcPr>
          <w:p w:rsidR="006232E5" w:rsidRPr="00FF7A7C" w:rsidP="006232E5" w14:paraId="4C9B6A57" w14:textId="77777777">
            <w:pPr>
              <w:pStyle w:val="Normal6"/>
              <w:rPr>
                <w:b/>
                <w:bCs/>
                <w:i/>
                <w:iCs/>
                <w:szCs w:val="24"/>
              </w:rPr>
            </w:pPr>
            <w:r w:rsidRPr="00FF7A7C">
              <w:rPr>
                <w:b/>
                <w:i/>
              </w:rPr>
              <w:t>__________________</w:t>
            </w:r>
          </w:p>
        </w:tc>
      </w:tr>
      <w:tr w14:paraId="0BE3A084"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FF7A7C" w14:paraId="42D3625C" w14:textId="77777777">
            <w:pPr>
              <w:pStyle w:val="Normal6"/>
            </w:pPr>
          </w:p>
        </w:tc>
        <w:tc>
          <w:tcPr>
            <w:tcW w:w="4876" w:type="dxa"/>
          </w:tcPr>
          <w:p w:rsidR="006232E5" w:rsidRPr="00FF7A7C" w:rsidP="006232E5" w14:paraId="427133F9" w14:textId="77777777">
            <w:pPr>
              <w:pStyle w:val="Normal6"/>
              <w:rPr>
                <w:b/>
                <w:bCs/>
                <w:i/>
                <w:iCs/>
                <w:szCs w:val="24"/>
              </w:rPr>
            </w:pPr>
            <w:r w:rsidRPr="00FF7A7C">
              <w:rPr>
                <w:b/>
                <w:i/>
                <w:vertAlign w:val="superscript"/>
              </w:rPr>
              <w:t>1 bis</w:t>
            </w:r>
            <w:r w:rsidRPr="00FF7A7C">
              <w:rPr>
                <w:b/>
                <w:i/>
              </w:rPr>
              <w:t xml:space="preserve"> https://ec.europa.eu/regional_policy/sources/reports/cohesion9/IT_9CR_Highlights.pdf.</w:t>
            </w:r>
          </w:p>
        </w:tc>
      </w:tr>
    </w:tbl>
    <w:p w:rsidR="002F29F3" w:rsidRPr="00FF7A7C" w:rsidP="002F29F3" w14:paraId="36919F40"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72150A" w:rsidRPr="00FF7A7C" w:rsidP="0072150A" w14:paraId="0B97360A" w14:textId="77777777">
      <w:r w:rsidRPr="00FF7A7C">
        <w:rPr>
          <w:rStyle w:val="HideTWBExt"/>
        </w:rPr>
        <w:t>&lt;/Amend&gt;</w:t>
      </w:r>
    </w:p>
    <w:p w:rsidR="0072150A" w:rsidRPr="00FF7A7C" w:rsidP="0072150A" w14:paraId="4300E4A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w:t>
      </w:r>
      <w:r w:rsidRPr="00FF7A7C">
        <w:rPr>
          <w:rStyle w:val="HideTWBExt"/>
          <w:b w:val="0"/>
        </w:rPr>
        <w:t>&lt;/</w:t>
      </w:r>
      <w:r w:rsidRPr="00FF7A7C">
        <w:rPr>
          <w:rStyle w:val="HideTWBExt"/>
          <w:b w:val="0"/>
        </w:rPr>
        <w:t>NumAm</w:t>
      </w:r>
      <w:r w:rsidRPr="00FF7A7C">
        <w:rPr>
          <w:rStyle w:val="HideTWBExt"/>
          <w:b w:val="0"/>
        </w:rPr>
        <w:t>&gt;</w:t>
      </w:r>
    </w:p>
    <w:p w:rsidR="0072150A" w:rsidRPr="00FF7A7C" w:rsidP="0072150A" w14:paraId="14512F18"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72150A" w:rsidRPr="00FF7A7C" w:rsidP="0072150A" w14:paraId="09885D53" w14:textId="77777777">
      <w:r w:rsidRPr="00FF7A7C">
        <w:rPr>
          <w:rStyle w:val="HideTWBExt"/>
        </w:rPr>
        <w:t>&lt;/RepeatBlock-By&gt;</w:t>
      </w:r>
    </w:p>
    <w:p w:rsidR="0072150A" w:rsidRPr="00FF7A7C" w:rsidP="0072150A" w14:paraId="4F70F61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72150A" w:rsidRPr="00FF7A7C" w:rsidP="0072150A" w14:paraId="3B9CDDDE" w14:textId="77777777">
      <w:pPr>
        <w:pStyle w:val="NormalBold"/>
      </w:pPr>
      <w:r w:rsidRPr="00FF7A7C">
        <w:rPr>
          <w:rStyle w:val="HideTWBExt"/>
          <w:b w:val="0"/>
        </w:rPr>
        <w:t>&lt;Article&gt;</w:t>
      </w:r>
      <w:r w:rsidRPr="00FF7A7C">
        <w:t>Considerando A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0821C4B"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0BF85283" w14:textId="77777777">
            <w:pPr>
              <w:keepNext/>
            </w:pPr>
          </w:p>
        </w:tc>
      </w:tr>
      <w:tr w14:paraId="7DF8876D"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2A8445A2" w14:textId="77777777">
            <w:pPr>
              <w:pStyle w:val="ColumnHeading"/>
              <w:keepNext/>
            </w:pPr>
            <w:r w:rsidRPr="00FF7A7C">
              <w:t>Proposta di risoluzione</w:t>
            </w:r>
          </w:p>
        </w:tc>
        <w:tc>
          <w:tcPr>
            <w:tcW w:w="4876" w:type="dxa"/>
            <w:hideMark/>
          </w:tcPr>
          <w:p w:rsidR="002F29F3" w:rsidRPr="00FF7A7C" w14:paraId="2F703045" w14:textId="77777777">
            <w:pPr>
              <w:pStyle w:val="ColumnHeading"/>
              <w:keepNext/>
            </w:pPr>
            <w:r w:rsidRPr="00FF7A7C">
              <w:t>Emendamento</w:t>
            </w:r>
          </w:p>
        </w:tc>
      </w:tr>
      <w:tr w14:paraId="27A0DAEF"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427061ED" w14:textId="77777777">
            <w:pPr>
              <w:pStyle w:val="Normal6"/>
            </w:pPr>
          </w:p>
        </w:tc>
        <w:tc>
          <w:tcPr>
            <w:tcW w:w="4876" w:type="dxa"/>
            <w:hideMark/>
          </w:tcPr>
          <w:p w:rsidR="002F29F3" w:rsidRPr="00FF7A7C" w14:paraId="6C69885A" w14:textId="77777777">
            <w:pPr>
              <w:pStyle w:val="Normal6"/>
              <w:rPr>
                <w:szCs w:val="24"/>
              </w:rPr>
            </w:pPr>
            <w:r w:rsidRPr="00FF7A7C">
              <w:rPr>
                <w:b/>
                <w:i/>
              </w:rPr>
              <w:t>A.</w:t>
            </w:r>
            <w:r w:rsidRPr="00FF7A7C">
              <w:rPr>
                <w:b/>
                <w:i/>
              </w:rPr>
              <w:tab/>
              <w:t xml:space="preserve">considerando che gli Stati membri che hanno aderito all'Unione a partire dal 2004 hanno conseguito una notevole </w:t>
            </w:r>
            <w:r w:rsidRPr="00FF7A7C">
              <w:rPr>
                <w:b/>
                <w:i/>
              </w:rPr>
              <w:t>convergenza economica e sociale, fortemente sostenuta dall'adesione all'UE, dall'accesso al mercato unico e dai trasferimenti di bilancio della politica di coesione, nonché da altre forme di consistente sostegno finanziario dell'UE; che tale processo ha promosso una crescita, una produttività e un progresso sociale significativi in tali paesi, rafforzando in tal modo anche l'Unione nel suo complesso;</w:t>
            </w:r>
          </w:p>
        </w:tc>
      </w:tr>
    </w:tbl>
    <w:p w:rsidR="002F29F3" w:rsidRPr="00FF7A7C" w:rsidP="002F29F3" w14:paraId="60FBCE9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72150A" w:rsidRPr="00FF7A7C" w:rsidP="0072150A" w14:paraId="3730CFBE" w14:textId="77777777">
      <w:r w:rsidRPr="00FF7A7C">
        <w:rPr>
          <w:rStyle w:val="HideTWBExt"/>
        </w:rPr>
        <w:t>&lt;/Amend&gt;</w:t>
      </w:r>
    </w:p>
    <w:p w:rsidR="0072150A" w:rsidRPr="00FF7A7C" w:rsidP="0072150A" w14:paraId="669E8CE7"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w:t>
      </w:r>
      <w:r w:rsidRPr="00FF7A7C">
        <w:rPr>
          <w:rStyle w:val="HideTWBExt"/>
          <w:b w:val="0"/>
        </w:rPr>
        <w:t>&lt;/</w:t>
      </w:r>
      <w:r w:rsidRPr="00FF7A7C">
        <w:rPr>
          <w:rStyle w:val="HideTWBExt"/>
          <w:b w:val="0"/>
        </w:rPr>
        <w:t>NumAm</w:t>
      </w:r>
      <w:r w:rsidRPr="00FF7A7C">
        <w:rPr>
          <w:rStyle w:val="HideTWBExt"/>
          <w:b w:val="0"/>
        </w:rPr>
        <w:t>&gt;</w:t>
      </w:r>
    </w:p>
    <w:p w:rsidR="0072150A" w:rsidRPr="00FF7A7C" w:rsidP="0072150A" w14:paraId="6B9074CC"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72150A" w:rsidRPr="00FF7A7C" w:rsidP="0072150A" w14:paraId="1FDDB21E" w14:textId="77777777">
      <w:r w:rsidRPr="00FF7A7C">
        <w:rPr>
          <w:rStyle w:val="HideTWBExt"/>
        </w:rPr>
        <w:t>&lt;/RepeatBlock-By&gt;</w:t>
      </w:r>
    </w:p>
    <w:p w:rsidR="0072150A" w:rsidRPr="00FF7A7C" w:rsidP="0072150A" w14:paraId="1706F40E"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72150A" w:rsidRPr="00FF7A7C" w:rsidP="0072150A" w14:paraId="00CD77AF" w14:textId="77777777">
      <w:pPr>
        <w:pStyle w:val="NormalBold"/>
      </w:pPr>
      <w:r w:rsidRPr="00FF7A7C">
        <w:rPr>
          <w:rStyle w:val="HideTWBExt"/>
          <w:b w:val="0"/>
        </w:rPr>
        <w:t>&lt;Article&gt;</w:t>
      </w:r>
      <w:r w:rsidRPr="00FF7A7C">
        <w:t>Considerando A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ACD898D" w14:textId="77777777" w:rsidTr="0072150A">
        <w:tblPrEx>
          <w:tblW w:w="0" w:type="auto"/>
          <w:jc w:val="center"/>
          <w:tblLayout w:type="fixed"/>
          <w:tblCellMar>
            <w:left w:w="340" w:type="dxa"/>
            <w:right w:w="340" w:type="dxa"/>
          </w:tblCellMar>
          <w:tblLook w:val="04A0"/>
        </w:tblPrEx>
        <w:trPr>
          <w:jc w:val="center"/>
        </w:trPr>
        <w:tc>
          <w:tcPr>
            <w:tcW w:w="9752" w:type="dxa"/>
            <w:gridSpan w:val="2"/>
          </w:tcPr>
          <w:p w:rsidR="0072150A" w:rsidRPr="00FF7A7C" w14:paraId="657529B2" w14:textId="77777777">
            <w:pPr>
              <w:keepNext/>
            </w:pPr>
          </w:p>
        </w:tc>
      </w:tr>
      <w:tr w14:paraId="521F07B3" w14:textId="77777777" w:rsidTr="0072150A">
        <w:tblPrEx>
          <w:tblW w:w="0" w:type="auto"/>
          <w:jc w:val="center"/>
          <w:tblLayout w:type="fixed"/>
          <w:tblCellMar>
            <w:left w:w="340" w:type="dxa"/>
            <w:right w:w="340" w:type="dxa"/>
          </w:tblCellMar>
          <w:tblLook w:val="04A0"/>
        </w:tblPrEx>
        <w:trPr>
          <w:jc w:val="center"/>
        </w:trPr>
        <w:tc>
          <w:tcPr>
            <w:tcW w:w="4876" w:type="dxa"/>
            <w:hideMark/>
          </w:tcPr>
          <w:p w:rsidR="0072150A" w:rsidRPr="00FF7A7C" w14:paraId="1A22BD24" w14:textId="77777777">
            <w:pPr>
              <w:pStyle w:val="ColumnHeading"/>
              <w:keepNext/>
            </w:pPr>
            <w:r w:rsidRPr="00FF7A7C">
              <w:t>Proposta di risoluzione</w:t>
            </w:r>
          </w:p>
        </w:tc>
        <w:tc>
          <w:tcPr>
            <w:tcW w:w="4876" w:type="dxa"/>
            <w:hideMark/>
          </w:tcPr>
          <w:p w:rsidR="0072150A" w:rsidRPr="00FF7A7C" w14:paraId="41BEDC87" w14:textId="77777777">
            <w:pPr>
              <w:pStyle w:val="ColumnHeading"/>
              <w:keepNext/>
            </w:pPr>
            <w:r w:rsidRPr="00FF7A7C">
              <w:t>Emendamento</w:t>
            </w:r>
          </w:p>
        </w:tc>
      </w:tr>
      <w:tr w14:paraId="27DF5278" w14:textId="77777777" w:rsidTr="0072150A">
        <w:tblPrEx>
          <w:tblW w:w="0" w:type="auto"/>
          <w:jc w:val="center"/>
          <w:tblLayout w:type="fixed"/>
          <w:tblCellMar>
            <w:left w:w="340" w:type="dxa"/>
            <w:right w:w="340" w:type="dxa"/>
          </w:tblCellMar>
          <w:tblLook w:val="04A0"/>
        </w:tblPrEx>
        <w:trPr>
          <w:jc w:val="center"/>
        </w:trPr>
        <w:tc>
          <w:tcPr>
            <w:tcW w:w="4876" w:type="dxa"/>
          </w:tcPr>
          <w:p w:rsidR="0072150A" w:rsidRPr="00FF7A7C" w14:paraId="0B774402" w14:textId="77777777">
            <w:pPr>
              <w:pStyle w:val="Normal6"/>
            </w:pPr>
          </w:p>
        </w:tc>
        <w:tc>
          <w:tcPr>
            <w:tcW w:w="4876" w:type="dxa"/>
            <w:hideMark/>
          </w:tcPr>
          <w:p w:rsidR="0072150A" w:rsidRPr="00FF7A7C" w14:paraId="7978BC5E" w14:textId="77777777">
            <w:pPr>
              <w:pStyle w:val="Normal6"/>
              <w:rPr>
                <w:szCs w:val="24"/>
              </w:rPr>
            </w:pPr>
            <w:r w:rsidRPr="00FF7A7C">
              <w:rPr>
                <w:b/>
                <w:i/>
              </w:rPr>
              <w:t>A.</w:t>
            </w:r>
            <w:r w:rsidRPr="00FF7A7C">
              <w:rPr>
                <w:b/>
                <w:i/>
              </w:rPr>
              <w:tab/>
            </w:r>
            <w:r w:rsidRPr="00FF7A7C">
              <w:rPr>
                <w:b/>
                <w:i/>
              </w:rPr>
              <w:t>considerando che l'allargamento ha storicamente rafforzato il mercato unico sostenendo la crescita economica, le infrastrutture, lo sviluppo regionale e le riforme istituzionali negli Stati membri di nuova adesione, creando così nuove opportunità per le imprese e i cittadini in tutta l'Unione;</w:t>
            </w:r>
          </w:p>
        </w:tc>
      </w:tr>
    </w:tbl>
    <w:p w:rsidR="002F29F3" w:rsidRPr="00FF7A7C" w:rsidP="002F29F3" w14:paraId="3D6B83DC"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60AE6696" w14:textId="77777777">
      <w:r w:rsidRPr="00FF7A7C">
        <w:rPr>
          <w:rStyle w:val="HideTWBExt"/>
        </w:rPr>
        <w:t>&lt;/Amend&gt;</w:t>
      </w:r>
    </w:p>
    <w:p w:rsidR="002F29F3" w:rsidRPr="00FF7A7C" w:rsidP="002F29F3" w14:paraId="1DA2764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7C9FC626"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2F29F3" w:rsidRPr="00FF7A7C" w:rsidP="002F29F3" w14:paraId="18818988" w14:textId="77777777">
      <w:r w:rsidRPr="00FF7A7C">
        <w:rPr>
          <w:rStyle w:val="HideTWBExt"/>
        </w:rPr>
        <w:t>&lt;/RepeatBlock-By&gt;</w:t>
      </w:r>
    </w:p>
    <w:p w:rsidR="002F29F3" w:rsidRPr="00FF7A7C" w:rsidP="002F29F3" w14:paraId="3C85E546"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77B9711D" w14:textId="77777777">
      <w:pPr>
        <w:pStyle w:val="NormalBold"/>
      </w:pPr>
      <w:r w:rsidRPr="00FF7A7C">
        <w:rPr>
          <w:rStyle w:val="HideTWBExt"/>
          <w:b w:val="0"/>
        </w:rPr>
        <w:t>&lt;Article&gt;</w:t>
      </w:r>
      <w:r w:rsidRPr="00FF7A7C">
        <w:t>Considerando A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998ABE9"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203558B4" w14:textId="77777777">
            <w:pPr>
              <w:keepNext/>
            </w:pPr>
          </w:p>
        </w:tc>
      </w:tr>
      <w:tr w14:paraId="37F556FF"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3107DE2A" w14:textId="77777777">
            <w:pPr>
              <w:pStyle w:val="ColumnHeading"/>
              <w:keepNext/>
            </w:pPr>
            <w:r w:rsidRPr="00FF7A7C">
              <w:t>Proposta di risoluzione</w:t>
            </w:r>
          </w:p>
        </w:tc>
        <w:tc>
          <w:tcPr>
            <w:tcW w:w="4876" w:type="dxa"/>
            <w:hideMark/>
          </w:tcPr>
          <w:p w:rsidR="002F29F3" w:rsidRPr="00FF7A7C" w14:paraId="15E2C6E7" w14:textId="77777777">
            <w:pPr>
              <w:pStyle w:val="ColumnHeading"/>
              <w:keepNext/>
            </w:pPr>
            <w:r w:rsidRPr="00FF7A7C">
              <w:t>Emendamento</w:t>
            </w:r>
          </w:p>
        </w:tc>
      </w:tr>
      <w:tr w14:paraId="12A41073"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5A174EA0" w14:textId="77777777">
            <w:pPr>
              <w:pStyle w:val="Normal6"/>
            </w:pPr>
          </w:p>
        </w:tc>
        <w:tc>
          <w:tcPr>
            <w:tcW w:w="4876" w:type="dxa"/>
            <w:hideMark/>
          </w:tcPr>
          <w:p w:rsidR="002F29F3" w:rsidRPr="00FF7A7C" w14:paraId="4B302FBC" w14:textId="77777777">
            <w:pPr>
              <w:pStyle w:val="Normal6"/>
              <w:rPr>
                <w:szCs w:val="24"/>
              </w:rPr>
            </w:pPr>
            <w:r w:rsidRPr="00FF7A7C">
              <w:rPr>
                <w:b/>
                <w:i/>
              </w:rPr>
              <w:t>A.</w:t>
            </w:r>
            <w:r w:rsidRPr="00FF7A7C">
              <w:rPr>
                <w:b/>
                <w:i/>
              </w:rPr>
              <w:tab/>
              <w:t xml:space="preserve">considerando che l'allargamento dovrebbe avere come obiettivo primario la promozione della convergenza economica, sociale e ambientale, nonché il rafforzamento della </w:t>
            </w:r>
            <w:r w:rsidRPr="00FF7A7C">
              <w:rPr>
                <w:b/>
                <w:i/>
              </w:rPr>
              <w:t>democrazia, dello Stato di diritto e dei diritti sociali;</w:t>
            </w:r>
          </w:p>
        </w:tc>
      </w:tr>
    </w:tbl>
    <w:p w:rsidR="002F29F3" w:rsidRPr="00FF7A7C" w:rsidP="002F29F3" w14:paraId="3B17B464"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1770250A" w14:textId="77777777">
      <w:r w:rsidRPr="00FF7A7C">
        <w:rPr>
          <w:rStyle w:val="HideTWBExt"/>
        </w:rPr>
        <w:t>&lt;/Amend&gt;</w:t>
      </w:r>
    </w:p>
    <w:p w:rsidR="002F29F3" w:rsidRPr="00FF7A7C" w:rsidP="002F29F3" w14:paraId="4449B9C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5B685278"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4C309D42" w14:textId="77777777">
      <w:r w:rsidRPr="00FF7A7C">
        <w:rPr>
          <w:rStyle w:val="HideTWBExt"/>
        </w:rPr>
        <w:t>&lt;/RepeatBlock-By&gt;</w:t>
      </w:r>
    </w:p>
    <w:p w:rsidR="002F29F3" w:rsidRPr="00FF7A7C" w:rsidP="002F29F3" w14:paraId="000DDAC0"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2E8DAF33" w14:textId="77777777">
      <w:pPr>
        <w:pStyle w:val="NormalBold"/>
      </w:pPr>
      <w:r w:rsidRPr="00FF7A7C">
        <w:rPr>
          <w:rStyle w:val="HideTWBExt"/>
          <w:b w:val="0"/>
        </w:rPr>
        <w:t>&lt;Article&gt;</w:t>
      </w:r>
      <w:r w:rsidRPr="00FF7A7C">
        <w:t>Considerando B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153C942"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0C86FAE5" w14:textId="77777777">
            <w:pPr>
              <w:keepNext/>
            </w:pPr>
          </w:p>
        </w:tc>
      </w:tr>
      <w:tr w14:paraId="711AF0CB"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765CA6F0" w14:textId="77777777">
            <w:pPr>
              <w:pStyle w:val="ColumnHeading"/>
              <w:keepNext/>
            </w:pPr>
            <w:r w:rsidRPr="00FF7A7C">
              <w:t>Proposta di risoluzione</w:t>
            </w:r>
          </w:p>
        </w:tc>
        <w:tc>
          <w:tcPr>
            <w:tcW w:w="4876" w:type="dxa"/>
            <w:hideMark/>
          </w:tcPr>
          <w:p w:rsidR="002F29F3" w:rsidRPr="00FF7A7C" w14:paraId="5B7D4DB5" w14:textId="77777777">
            <w:pPr>
              <w:pStyle w:val="ColumnHeading"/>
              <w:keepNext/>
            </w:pPr>
            <w:r w:rsidRPr="00FF7A7C">
              <w:t>Emendamento</w:t>
            </w:r>
          </w:p>
        </w:tc>
      </w:tr>
      <w:tr w14:paraId="5D60F371"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319485FF" w14:textId="77777777">
            <w:pPr>
              <w:pStyle w:val="Normal6"/>
            </w:pPr>
          </w:p>
        </w:tc>
        <w:tc>
          <w:tcPr>
            <w:tcW w:w="4876" w:type="dxa"/>
            <w:hideMark/>
          </w:tcPr>
          <w:p w:rsidR="002F29F3" w:rsidRPr="00FF7A7C" w14:paraId="29E550FE" w14:textId="77777777">
            <w:pPr>
              <w:pStyle w:val="Normal6"/>
              <w:rPr>
                <w:szCs w:val="24"/>
              </w:rPr>
            </w:pPr>
            <w:r w:rsidRPr="00FF7A7C">
              <w:rPr>
                <w:b/>
                <w:i/>
              </w:rPr>
              <w:t>B.</w:t>
            </w:r>
            <w:r w:rsidRPr="00FF7A7C">
              <w:rPr>
                <w:b/>
                <w:i/>
              </w:rPr>
              <w:tab/>
              <w:t xml:space="preserve">considerando che la gestione di tali trasferimenti dell'UE si è basata in modo coerente, durante l'intero ciclo del programma, sul </w:t>
            </w:r>
            <w:r w:rsidRPr="00FF7A7C">
              <w:rPr>
                <w:b/>
                <w:i/>
              </w:rPr>
              <w:t>principio del partenariato, il che implica un processo di consultazione approfondito con un'ampia gamma di portatori di interessi, tra cui le parti sociali (le organizzazioni dei datori di lavoro e i sindacati), le organizzazioni della società civile, le istituzioni pubbliche, i rappresentanti del mondo accademico e molti altri;</w:t>
            </w:r>
          </w:p>
        </w:tc>
      </w:tr>
    </w:tbl>
    <w:p w:rsidR="002F29F3" w:rsidRPr="00FF7A7C" w:rsidP="002F29F3" w14:paraId="6B6827B7"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15C88661" w14:textId="77777777">
      <w:r w:rsidRPr="00FF7A7C">
        <w:rPr>
          <w:rStyle w:val="HideTWBExt"/>
        </w:rPr>
        <w:t>&lt;/Amend&gt;</w:t>
      </w:r>
    </w:p>
    <w:p w:rsidR="002F29F3" w:rsidRPr="00FF7A7C" w:rsidP="002F29F3" w14:paraId="48D7E41F"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1D574B89"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2F29F3" w:rsidRPr="00FF7A7C" w:rsidP="002F29F3" w14:paraId="38F98B2E" w14:textId="77777777">
      <w:r w:rsidRPr="00FF7A7C">
        <w:rPr>
          <w:rStyle w:val="HideTWBExt"/>
        </w:rPr>
        <w:t>&lt;/RepeatBlock-By&gt;</w:t>
      </w:r>
    </w:p>
    <w:p w:rsidR="002F29F3" w:rsidRPr="00FF7A7C" w:rsidP="002F29F3" w14:paraId="585D3754"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0B2086A2" w14:textId="77777777">
      <w:pPr>
        <w:pStyle w:val="NormalBold"/>
      </w:pPr>
      <w:r w:rsidRPr="00FF7A7C">
        <w:rPr>
          <w:rStyle w:val="HideTWBExt"/>
          <w:b w:val="0"/>
        </w:rPr>
        <w:t>&lt;Article&gt;</w:t>
      </w:r>
      <w:r w:rsidRPr="00FF7A7C">
        <w:t>Considerando B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D8E9687"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79D9A4A7" w14:textId="77777777">
            <w:pPr>
              <w:keepNext/>
            </w:pPr>
          </w:p>
        </w:tc>
      </w:tr>
      <w:tr w14:paraId="6BBDB815"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52317642" w14:textId="77777777">
            <w:pPr>
              <w:pStyle w:val="ColumnHeading"/>
              <w:keepNext/>
            </w:pPr>
            <w:r w:rsidRPr="00FF7A7C">
              <w:t>Proposta di risoluzione</w:t>
            </w:r>
          </w:p>
        </w:tc>
        <w:tc>
          <w:tcPr>
            <w:tcW w:w="4876" w:type="dxa"/>
            <w:hideMark/>
          </w:tcPr>
          <w:p w:rsidR="002F29F3" w:rsidRPr="00FF7A7C" w14:paraId="4E92AB2D" w14:textId="77777777">
            <w:pPr>
              <w:pStyle w:val="ColumnHeading"/>
              <w:keepNext/>
            </w:pPr>
            <w:r w:rsidRPr="00FF7A7C">
              <w:t>Emendamento</w:t>
            </w:r>
          </w:p>
        </w:tc>
      </w:tr>
      <w:tr w14:paraId="0C28D1B7"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684BFC8E" w14:textId="77777777">
            <w:pPr>
              <w:pStyle w:val="Normal6"/>
            </w:pPr>
          </w:p>
        </w:tc>
        <w:tc>
          <w:tcPr>
            <w:tcW w:w="4876" w:type="dxa"/>
            <w:hideMark/>
          </w:tcPr>
          <w:p w:rsidR="002F29F3" w:rsidRPr="00FF7A7C" w14:paraId="4624C866" w14:textId="77777777">
            <w:pPr>
              <w:pStyle w:val="Normal6"/>
              <w:rPr>
                <w:szCs w:val="24"/>
              </w:rPr>
            </w:pPr>
            <w:r w:rsidRPr="00FF7A7C">
              <w:rPr>
                <w:b/>
                <w:i/>
              </w:rPr>
              <w:t>B.</w:t>
            </w:r>
            <w:r w:rsidRPr="00FF7A7C">
              <w:rPr>
                <w:b/>
                <w:i/>
              </w:rPr>
              <w:tab/>
              <w:t xml:space="preserve">considerando che un finanziamento di preadesione e di coesione ben gestito costituisce un </w:t>
            </w:r>
            <w:r w:rsidRPr="00FF7A7C">
              <w:rPr>
                <w:b/>
                <w:i/>
              </w:rPr>
              <w:t>investimento strategico nella stabilità, nella sicurezza e nella prosperità dell'intero continente e che il rendimento di tale investimento dipende da istituzioni forti, da organismi di audit indipendenti e dallo Stato di diritto;</w:t>
            </w:r>
          </w:p>
        </w:tc>
      </w:tr>
    </w:tbl>
    <w:p w:rsidR="002F29F3" w:rsidRPr="00FF7A7C" w:rsidP="002F29F3" w14:paraId="15021919"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0C898FBA" w14:textId="77777777">
      <w:r w:rsidRPr="00FF7A7C">
        <w:rPr>
          <w:rStyle w:val="HideTWBExt"/>
        </w:rPr>
        <w:t>&lt;/Amend&gt;</w:t>
      </w:r>
    </w:p>
    <w:p w:rsidR="002F29F3" w:rsidRPr="00FF7A7C" w:rsidP="002F29F3" w14:paraId="145B9C87"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1990A53C"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2F29F3" w:rsidRPr="00FF7A7C" w:rsidP="002F29F3" w14:paraId="5D1FBF7E" w14:textId="77777777">
      <w:r w:rsidRPr="00FF7A7C">
        <w:rPr>
          <w:rStyle w:val="HideTWBExt"/>
        </w:rPr>
        <w:t>&lt;/RepeatBlock-By&gt;</w:t>
      </w:r>
    </w:p>
    <w:p w:rsidR="002F29F3" w:rsidRPr="00FF7A7C" w:rsidP="002F29F3" w14:paraId="260236AB"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3DF7F532" w14:textId="77777777">
      <w:pPr>
        <w:pStyle w:val="NormalBold"/>
      </w:pPr>
      <w:r w:rsidRPr="00FF7A7C">
        <w:rPr>
          <w:rStyle w:val="HideTWBExt"/>
          <w:b w:val="0"/>
        </w:rPr>
        <w:t>&lt;Article&gt;</w:t>
      </w:r>
      <w:r w:rsidRPr="00FF7A7C">
        <w:t>Considerando B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63A0DC0"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6C86460B" w14:textId="77777777">
            <w:pPr>
              <w:keepNext/>
            </w:pPr>
          </w:p>
        </w:tc>
      </w:tr>
      <w:tr w14:paraId="61C6D0EB"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2C2E8566" w14:textId="77777777">
            <w:pPr>
              <w:pStyle w:val="ColumnHeading"/>
              <w:keepNext/>
            </w:pPr>
            <w:r w:rsidRPr="00FF7A7C">
              <w:t>Proposta di risoluzione</w:t>
            </w:r>
          </w:p>
        </w:tc>
        <w:tc>
          <w:tcPr>
            <w:tcW w:w="4876" w:type="dxa"/>
            <w:hideMark/>
          </w:tcPr>
          <w:p w:rsidR="002F29F3" w:rsidRPr="00FF7A7C" w14:paraId="0FC05D45" w14:textId="77777777">
            <w:pPr>
              <w:pStyle w:val="ColumnHeading"/>
              <w:keepNext/>
            </w:pPr>
            <w:r w:rsidRPr="00FF7A7C">
              <w:t>Emendamento</w:t>
            </w:r>
          </w:p>
        </w:tc>
      </w:tr>
      <w:tr w14:paraId="0075FE39"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2349B1B2" w14:textId="77777777">
            <w:pPr>
              <w:pStyle w:val="Normal6"/>
            </w:pPr>
          </w:p>
        </w:tc>
        <w:tc>
          <w:tcPr>
            <w:tcW w:w="4876" w:type="dxa"/>
            <w:hideMark/>
          </w:tcPr>
          <w:p w:rsidR="002F29F3" w:rsidRPr="00FF7A7C" w14:paraId="5D32C9D6" w14:textId="77777777">
            <w:pPr>
              <w:pStyle w:val="Normal6"/>
              <w:rPr>
                <w:szCs w:val="24"/>
              </w:rPr>
            </w:pPr>
            <w:r w:rsidRPr="00FF7A7C">
              <w:rPr>
                <w:b/>
                <w:i/>
              </w:rPr>
              <w:t>B.</w:t>
            </w:r>
            <w:r w:rsidRPr="00FF7A7C">
              <w:rPr>
                <w:b/>
                <w:i/>
              </w:rPr>
              <w:tab/>
              <w:t>considerando che la tutela degli interessi finanziari dell'UE dovrebbe assicurare che i fondi dell'UE realizzino efficacemente l'obiettivo di convergenza territoriale e sociale, nonché gli obiettivi climatici, al fine di garantire una maggiore fiducia dei cittadini;</w:t>
            </w:r>
          </w:p>
        </w:tc>
      </w:tr>
    </w:tbl>
    <w:p w:rsidR="002F29F3" w:rsidRPr="00FF7A7C" w:rsidP="002F29F3" w14:paraId="49A67E4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1346BAF8" w14:textId="77777777">
      <w:r w:rsidRPr="00FF7A7C">
        <w:rPr>
          <w:rStyle w:val="HideTWBExt"/>
        </w:rPr>
        <w:t>&lt;/Amend&gt;</w:t>
      </w:r>
    </w:p>
    <w:p w:rsidR="002F29F3" w:rsidRPr="00FF7A7C" w:rsidP="002F29F3" w14:paraId="1B7F66E1"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019A94B8"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2247F531" w14:textId="77777777">
      <w:r w:rsidRPr="00FF7A7C">
        <w:rPr>
          <w:rStyle w:val="HideTWBExt"/>
        </w:rPr>
        <w:t>&lt;/RepeatBlock-By&gt;</w:t>
      </w:r>
    </w:p>
    <w:p w:rsidR="002F29F3" w:rsidRPr="00FF7A7C" w:rsidP="002F29F3" w14:paraId="3D9621E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43A09797" w14:textId="77777777">
      <w:pPr>
        <w:pStyle w:val="NormalBold"/>
      </w:pPr>
      <w:r w:rsidRPr="00FF7A7C">
        <w:rPr>
          <w:rStyle w:val="HideTWBExt"/>
          <w:b w:val="0"/>
        </w:rPr>
        <w:t>&lt;Article&gt;</w:t>
      </w:r>
      <w:r w:rsidRPr="00FF7A7C">
        <w:t xml:space="preserve">Considerando C </w:t>
      </w:r>
      <w:r w:rsidRPr="00FF7A7C">
        <w:t>(nuovo)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E9869BE"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02E46236" w14:textId="77777777">
            <w:pPr>
              <w:keepNext/>
            </w:pPr>
          </w:p>
        </w:tc>
      </w:tr>
      <w:tr w14:paraId="70D7D9EF"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081D5361" w14:textId="77777777">
            <w:pPr>
              <w:pStyle w:val="ColumnHeading"/>
              <w:keepNext/>
            </w:pPr>
            <w:r w:rsidRPr="00FF7A7C">
              <w:t>Proposta di risoluzione</w:t>
            </w:r>
          </w:p>
        </w:tc>
        <w:tc>
          <w:tcPr>
            <w:tcW w:w="4876" w:type="dxa"/>
            <w:hideMark/>
          </w:tcPr>
          <w:p w:rsidR="002F29F3" w:rsidRPr="00FF7A7C" w14:paraId="681460F1" w14:textId="77777777">
            <w:pPr>
              <w:pStyle w:val="ColumnHeading"/>
              <w:keepNext/>
            </w:pPr>
            <w:r w:rsidRPr="00FF7A7C">
              <w:t>Emendamento</w:t>
            </w:r>
          </w:p>
        </w:tc>
      </w:tr>
      <w:tr w14:paraId="52393772"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23D0A49B" w14:textId="77777777">
            <w:pPr>
              <w:pStyle w:val="Normal6"/>
            </w:pPr>
          </w:p>
        </w:tc>
        <w:tc>
          <w:tcPr>
            <w:tcW w:w="4876" w:type="dxa"/>
            <w:hideMark/>
          </w:tcPr>
          <w:p w:rsidR="002F29F3" w:rsidRPr="00FF7A7C" w14:paraId="16478EAD" w14:textId="77777777">
            <w:pPr>
              <w:pStyle w:val="Normal6"/>
              <w:rPr>
                <w:szCs w:val="24"/>
              </w:rPr>
            </w:pPr>
            <w:r w:rsidRPr="00FF7A7C">
              <w:rPr>
                <w:b/>
                <w:i/>
              </w:rPr>
              <w:t>C.</w:t>
            </w:r>
            <w:r w:rsidRPr="00FF7A7C">
              <w:rPr>
                <w:b/>
                <w:i/>
              </w:rPr>
              <w:tab/>
              <w:t xml:space="preserve">considerando che anche la progettazione e l'attuazione dei programmi hanno tratto notevole beneficio dalla pratica della governance multilivello, che consente agli enti regionali e locali di </w:t>
            </w:r>
            <w:r w:rsidRPr="00FF7A7C">
              <w:rPr>
                <w:b/>
                <w:i/>
              </w:rPr>
              <w:t>gestire autonomamente una parte significativa dei fondi di sviluppo dell'UE, anche negli Stati membri che hanno aderito all'Unione a partire dal 2004;</w:t>
            </w:r>
          </w:p>
        </w:tc>
      </w:tr>
    </w:tbl>
    <w:p w:rsidR="002F29F3" w:rsidRPr="00FF7A7C" w:rsidP="002F29F3" w14:paraId="7810FDE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3EE8AF67" w14:textId="77777777">
      <w:r w:rsidRPr="00FF7A7C">
        <w:rPr>
          <w:rStyle w:val="HideTWBExt"/>
        </w:rPr>
        <w:t>&lt;/Amend&gt;</w:t>
      </w:r>
    </w:p>
    <w:p w:rsidR="002F29F3" w:rsidRPr="00FF7A7C" w:rsidP="002F29F3" w14:paraId="7F9DD642"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6531ABFE"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2F29F3" w:rsidRPr="00FF7A7C" w:rsidP="002F29F3" w14:paraId="3DA01F97" w14:textId="77777777">
      <w:r w:rsidRPr="00FF7A7C">
        <w:rPr>
          <w:rStyle w:val="HideTWBExt"/>
        </w:rPr>
        <w:t>&lt;/RepeatBlock-By&gt;</w:t>
      </w:r>
    </w:p>
    <w:p w:rsidR="002F29F3" w:rsidRPr="00FF7A7C" w:rsidP="002F29F3" w14:paraId="42E8C86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775D34D7" w14:textId="77777777">
      <w:pPr>
        <w:pStyle w:val="NormalBold"/>
      </w:pPr>
      <w:r w:rsidRPr="00FF7A7C">
        <w:rPr>
          <w:rStyle w:val="HideTWBExt"/>
          <w:b w:val="0"/>
        </w:rPr>
        <w:t>&lt;Article&gt;</w:t>
      </w:r>
      <w:r w:rsidRPr="00FF7A7C">
        <w:t>Considerando C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242CD14"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4DC10DFF" w14:textId="77777777">
            <w:pPr>
              <w:keepNext/>
            </w:pPr>
          </w:p>
        </w:tc>
      </w:tr>
      <w:tr w14:paraId="74BF9BB7"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57C218C9" w14:textId="77777777">
            <w:pPr>
              <w:pStyle w:val="ColumnHeading"/>
              <w:keepNext/>
            </w:pPr>
            <w:r w:rsidRPr="00FF7A7C">
              <w:t>Proposta di risoluzione</w:t>
            </w:r>
          </w:p>
        </w:tc>
        <w:tc>
          <w:tcPr>
            <w:tcW w:w="4876" w:type="dxa"/>
            <w:hideMark/>
          </w:tcPr>
          <w:p w:rsidR="002F29F3" w:rsidRPr="00FF7A7C" w14:paraId="4C3DAA6B" w14:textId="77777777">
            <w:pPr>
              <w:pStyle w:val="ColumnHeading"/>
              <w:keepNext/>
            </w:pPr>
            <w:r w:rsidRPr="00FF7A7C">
              <w:t>Emendamento</w:t>
            </w:r>
          </w:p>
        </w:tc>
      </w:tr>
      <w:tr w14:paraId="14DBCAA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75C5BB4E" w14:textId="77777777">
            <w:pPr>
              <w:pStyle w:val="Normal6"/>
            </w:pPr>
          </w:p>
        </w:tc>
        <w:tc>
          <w:tcPr>
            <w:tcW w:w="4876" w:type="dxa"/>
            <w:hideMark/>
          </w:tcPr>
          <w:p w:rsidR="002F29F3" w:rsidRPr="00FF7A7C" w14:paraId="3DAF9B0B" w14:textId="77777777">
            <w:pPr>
              <w:pStyle w:val="Normal6"/>
              <w:rPr>
                <w:szCs w:val="24"/>
              </w:rPr>
            </w:pPr>
            <w:r w:rsidRPr="00FF7A7C">
              <w:rPr>
                <w:b/>
                <w:i/>
              </w:rPr>
              <w:t>C.</w:t>
            </w:r>
            <w:r w:rsidRPr="00FF7A7C">
              <w:rPr>
                <w:b/>
                <w:i/>
              </w:rPr>
              <w:tab/>
              <w:t>considerando che un'attuazione efficace dovrebbe essere valutata anche in base al suo contributo alla riduzione delle disparità regionali, sociali e territoriali e alla promozione di servizi pubblici di qualità;</w:t>
            </w:r>
          </w:p>
        </w:tc>
      </w:tr>
    </w:tbl>
    <w:p w:rsidR="002F29F3" w:rsidRPr="00FF7A7C" w:rsidP="002F29F3" w14:paraId="4EF9C0A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5E60C705" w14:textId="77777777">
      <w:r w:rsidRPr="00FF7A7C">
        <w:rPr>
          <w:rStyle w:val="HideTWBExt"/>
        </w:rPr>
        <w:t>&lt;/Amend&gt;</w:t>
      </w:r>
    </w:p>
    <w:p w:rsidR="002F29F3" w:rsidRPr="00FF7A7C" w:rsidP="002F29F3" w14:paraId="41BFEA6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11</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7A9128BE"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2F29F3" w:rsidRPr="00FF7A7C" w:rsidP="002F29F3" w14:paraId="2DD4F65D" w14:textId="77777777">
      <w:r w:rsidRPr="00FF7A7C">
        <w:rPr>
          <w:rStyle w:val="HideTWBExt"/>
        </w:rPr>
        <w:t>&lt;/RepeatBlock-By&gt;</w:t>
      </w:r>
    </w:p>
    <w:p w:rsidR="002F29F3" w:rsidRPr="00FF7A7C" w:rsidP="002F29F3" w14:paraId="5DFC12A5"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2A641B02" w14:textId="77777777">
      <w:pPr>
        <w:pStyle w:val="NormalBold"/>
      </w:pPr>
      <w:r w:rsidRPr="00FF7A7C">
        <w:rPr>
          <w:rStyle w:val="HideTWBExt"/>
          <w:b w:val="0"/>
        </w:rPr>
        <w:t>&lt;Article&gt;</w:t>
      </w:r>
      <w:r w:rsidRPr="00FF7A7C">
        <w:t>Considerando C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87748F4"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5D6CF81D" w14:textId="77777777">
            <w:pPr>
              <w:keepNext/>
            </w:pPr>
          </w:p>
        </w:tc>
      </w:tr>
      <w:tr w14:paraId="3112BBA0"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53367901" w14:textId="77777777">
            <w:pPr>
              <w:pStyle w:val="ColumnHeading"/>
              <w:keepNext/>
            </w:pPr>
            <w:r w:rsidRPr="00FF7A7C">
              <w:t>Proposta di risoluzione</w:t>
            </w:r>
          </w:p>
        </w:tc>
        <w:tc>
          <w:tcPr>
            <w:tcW w:w="4876" w:type="dxa"/>
            <w:hideMark/>
          </w:tcPr>
          <w:p w:rsidR="002F29F3" w:rsidRPr="00FF7A7C" w14:paraId="6BCCF653" w14:textId="77777777">
            <w:pPr>
              <w:pStyle w:val="ColumnHeading"/>
              <w:keepNext/>
            </w:pPr>
            <w:r w:rsidRPr="00FF7A7C">
              <w:t>Emendamento</w:t>
            </w:r>
          </w:p>
        </w:tc>
      </w:tr>
      <w:tr w14:paraId="0B83729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36B4AB23" w14:textId="77777777">
            <w:pPr>
              <w:pStyle w:val="Normal6"/>
            </w:pPr>
          </w:p>
        </w:tc>
        <w:tc>
          <w:tcPr>
            <w:tcW w:w="4876" w:type="dxa"/>
            <w:hideMark/>
          </w:tcPr>
          <w:p w:rsidR="002F29F3" w:rsidRPr="00FF7A7C" w14:paraId="4C163887" w14:textId="77777777">
            <w:pPr>
              <w:pStyle w:val="Normal6"/>
              <w:rPr>
                <w:szCs w:val="24"/>
              </w:rPr>
            </w:pPr>
            <w:r w:rsidRPr="00FF7A7C">
              <w:rPr>
                <w:b/>
                <w:i/>
              </w:rPr>
              <w:t>C.</w:t>
            </w:r>
            <w:r w:rsidRPr="00FF7A7C">
              <w:rPr>
                <w:b/>
                <w:i/>
              </w:rPr>
              <w:tab/>
            </w:r>
            <w:r w:rsidRPr="00FF7A7C">
              <w:rPr>
                <w:b/>
                <w:i/>
              </w:rPr>
              <w:t xml:space="preserve">considerando che la semplificazione e la digitalizzazione mirano a ridurre gli oneri amministrativi per i beneficiari, mantenendo </w:t>
            </w:r>
            <w:r w:rsidRPr="00FF7A7C">
              <w:rPr>
                <w:b/>
                <w:i/>
              </w:rPr>
              <w:t>nel contempo</w:t>
            </w:r>
            <w:r w:rsidRPr="00FF7A7C">
              <w:rPr>
                <w:b/>
                <w:i/>
              </w:rPr>
              <w:t xml:space="preserve"> un elevato livello di protezione del bilancio dell'Unione;</w:t>
            </w:r>
          </w:p>
        </w:tc>
      </w:tr>
    </w:tbl>
    <w:p w:rsidR="002F29F3" w:rsidRPr="00FF7A7C" w:rsidP="002F29F3" w14:paraId="4CCF61F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4AED5402" w14:textId="77777777">
      <w:r w:rsidRPr="00FF7A7C">
        <w:rPr>
          <w:rStyle w:val="HideTWBExt"/>
        </w:rPr>
        <w:t>&lt;/Amend&gt;</w:t>
      </w:r>
    </w:p>
    <w:p w:rsidR="002F29F3" w:rsidRPr="00FF7A7C" w:rsidP="002F29F3" w14:paraId="0DBCBB6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12</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1C6F1140"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6BF5971E" w14:textId="77777777">
      <w:r w:rsidRPr="00FF7A7C">
        <w:rPr>
          <w:rStyle w:val="HideTWBExt"/>
        </w:rPr>
        <w:t>&lt;/RepeatBlock-By&gt;</w:t>
      </w:r>
    </w:p>
    <w:p w:rsidR="002F29F3" w:rsidRPr="00FF7A7C" w:rsidP="002F29F3" w14:paraId="47B3560E"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45F9302D" w14:textId="77777777">
      <w:pPr>
        <w:pStyle w:val="NormalBold"/>
      </w:pPr>
      <w:r w:rsidRPr="00FF7A7C">
        <w:rPr>
          <w:rStyle w:val="HideTWBExt"/>
          <w:b w:val="0"/>
        </w:rPr>
        <w:t>&lt;Article&gt;</w:t>
      </w:r>
      <w:r w:rsidRPr="00FF7A7C">
        <w:t>Considerando D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2ADCD0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03BA0711" w14:textId="77777777">
            <w:pPr>
              <w:keepNext/>
            </w:pPr>
          </w:p>
        </w:tc>
      </w:tr>
      <w:tr w14:paraId="3F13AF5A"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30A03634" w14:textId="77777777">
            <w:pPr>
              <w:pStyle w:val="ColumnHeading"/>
              <w:keepNext/>
            </w:pPr>
            <w:r w:rsidRPr="00FF7A7C">
              <w:t>Proposta di risoluzione</w:t>
            </w:r>
          </w:p>
        </w:tc>
        <w:tc>
          <w:tcPr>
            <w:tcW w:w="4876" w:type="dxa"/>
            <w:hideMark/>
          </w:tcPr>
          <w:p w:rsidR="002F29F3" w:rsidRPr="00FF7A7C" w14:paraId="0D4C3180" w14:textId="77777777">
            <w:pPr>
              <w:pStyle w:val="ColumnHeading"/>
              <w:keepNext/>
            </w:pPr>
            <w:r w:rsidRPr="00FF7A7C">
              <w:t>Emendamento</w:t>
            </w:r>
          </w:p>
        </w:tc>
      </w:tr>
      <w:tr w14:paraId="72CE87A5"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713ADDD8" w14:textId="77777777">
            <w:pPr>
              <w:pStyle w:val="Normal6"/>
            </w:pPr>
          </w:p>
        </w:tc>
        <w:tc>
          <w:tcPr>
            <w:tcW w:w="4876" w:type="dxa"/>
            <w:hideMark/>
          </w:tcPr>
          <w:p w:rsidR="002F29F3" w:rsidRPr="00FF7A7C" w14:paraId="7A5D929D" w14:textId="77777777">
            <w:pPr>
              <w:pStyle w:val="Normal6"/>
              <w:rPr>
                <w:szCs w:val="24"/>
              </w:rPr>
            </w:pPr>
            <w:r w:rsidRPr="00FF7A7C">
              <w:rPr>
                <w:b/>
                <w:i/>
              </w:rPr>
              <w:t>D.</w:t>
            </w:r>
            <w:r w:rsidRPr="00FF7A7C">
              <w:rPr>
                <w:b/>
                <w:i/>
              </w:rPr>
              <w:tab/>
            </w:r>
            <w:r w:rsidRPr="00FF7A7C">
              <w:rPr>
                <w:b/>
                <w:i/>
              </w:rPr>
              <w:t>considerando che il partenariato e la governance multilivello hanno contribuito a innalzare la qualità sia della progettazione sia dell'attuazione dei programmi a livelli che nessun sistema centralizzato di gestione dei programmi avrebbe potuto raggiungere;</w:t>
            </w:r>
          </w:p>
        </w:tc>
      </w:tr>
    </w:tbl>
    <w:p w:rsidR="002F29F3" w:rsidRPr="00FF7A7C" w:rsidP="002F29F3" w14:paraId="7836B37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658F8CB5" w14:textId="77777777">
      <w:r w:rsidRPr="00FF7A7C">
        <w:rPr>
          <w:rStyle w:val="HideTWBExt"/>
        </w:rPr>
        <w:t>&lt;/Amend&gt;</w:t>
      </w:r>
    </w:p>
    <w:p w:rsidR="002F29F3" w:rsidRPr="00FF7A7C" w:rsidP="002F29F3" w14:paraId="4F15E9A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13</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16B2573C"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52C953EA" w14:textId="77777777">
      <w:r w:rsidRPr="00FF7A7C">
        <w:rPr>
          <w:rStyle w:val="HideTWBExt"/>
        </w:rPr>
        <w:t>&lt;/RepeatBlock-By&gt;</w:t>
      </w:r>
    </w:p>
    <w:p w:rsidR="002F29F3" w:rsidRPr="00FF7A7C" w:rsidP="002F29F3" w14:paraId="10A51DEA"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29794EAF" w14:textId="77777777">
      <w:pPr>
        <w:pStyle w:val="NormalBold"/>
      </w:pPr>
      <w:r w:rsidRPr="00FF7A7C">
        <w:rPr>
          <w:rStyle w:val="HideTWBExt"/>
          <w:b w:val="0"/>
        </w:rPr>
        <w:t>&lt;Article&gt;</w:t>
      </w:r>
      <w:r w:rsidRPr="00FF7A7C">
        <w:t>Considerando E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4318D7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2DCC5DA7" w14:textId="77777777">
            <w:pPr>
              <w:keepNext/>
            </w:pPr>
          </w:p>
        </w:tc>
      </w:tr>
      <w:tr w14:paraId="043BEF4F"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4C0DA244" w14:textId="77777777">
            <w:pPr>
              <w:pStyle w:val="ColumnHeading"/>
              <w:keepNext/>
            </w:pPr>
            <w:r w:rsidRPr="00FF7A7C">
              <w:t>Proposta di risoluzione</w:t>
            </w:r>
          </w:p>
        </w:tc>
        <w:tc>
          <w:tcPr>
            <w:tcW w:w="4876" w:type="dxa"/>
            <w:hideMark/>
          </w:tcPr>
          <w:p w:rsidR="002F29F3" w:rsidRPr="00FF7A7C" w14:paraId="4216EAD6" w14:textId="77777777">
            <w:pPr>
              <w:pStyle w:val="ColumnHeading"/>
              <w:keepNext/>
            </w:pPr>
            <w:r w:rsidRPr="00FF7A7C">
              <w:t>Emendamento</w:t>
            </w:r>
          </w:p>
        </w:tc>
      </w:tr>
      <w:tr w14:paraId="569F7C2C"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0A585BD4" w14:textId="77777777">
            <w:pPr>
              <w:pStyle w:val="Normal6"/>
            </w:pPr>
          </w:p>
        </w:tc>
        <w:tc>
          <w:tcPr>
            <w:tcW w:w="4876" w:type="dxa"/>
            <w:hideMark/>
          </w:tcPr>
          <w:p w:rsidR="002F29F3" w:rsidRPr="00FF7A7C" w14:paraId="7AC79B58" w14:textId="77777777">
            <w:pPr>
              <w:pStyle w:val="Normal6"/>
              <w:rPr>
                <w:szCs w:val="24"/>
              </w:rPr>
            </w:pPr>
            <w:r w:rsidRPr="00FF7A7C">
              <w:rPr>
                <w:b/>
                <w:i/>
              </w:rPr>
              <w:t>E.</w:t>
            </w:r>
            <w:r w:rsidRPr="00FF7A7C">
              <w:rPr>
                <w:b/>
                <w:i/>
              </w:rPr>
              <w:tab/>
              <w:t>considerando che sia il partenariato sia la governance multilivello nei programmi di sviluppo finanziati dall'UE hanno apportato un contributo considerevole e insostituibile allo sviluppo delle istituzioni democratiche negli Stati membri, rafforzando sia le autorità autonome sia la società civile nel suo complesso e incoraggiando la partecipazione dei cittadini a importanti questioni della vita pubblica, anche al di là della sfera di competenza diretta dei progetti di sviluppo economico e sociale a tutti i</w:t>
            </w:r>
            <w:r w:rsidRPr="00FF7A7C">
              <w:rPr>
                <w:b/>
                <w:i/>
              </w:rPr>
              <w:t xml:space="preserve"> livelli;</w:t>
            </w:r>
          </w:p>
        </w:tc>
      </w:tr>
    </w:tbl>
    <w:p w:rsidR="002F29F3" w:rsidRPr="00FF7A7C" w:rsidP="002F29F3" w14:paraId="3F6B91E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1CC936AB" w14:textId="77777777">
      <w:r w:rsidRPr="00FF7A7C">
        <w:rPr>
          <w:rStyle w:val="HideTWBExt"/>
        </w:rPr>
        <w:t>&lt;/Amend&gt;</w:t>
      </w:r>
    </w:p>
    <w:p w:rsidR="002F29F3" w:rsidRPr="00FF7A7C" w:rsidP="002F29F3" w14:paraId="6E42F93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14</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1A607F11"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02F763DB" w14:textId="77777777">
      <w:r w:rsidRPr="00FF7A7C">
        <w:rPr>
          <w:rStyle w:val="HideTWBExt"/>
        </w:rPr>
        <w:t>&lt;/RepeatBlock-By&gt;</w:t>
      </w:r>
    </w:p>
    <w:p w:rsidR="002F29F3" w:rsidRPr="00FF7A7C" w:rsidP="002F29F3" w14:paraId="67BE7045"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0FE5EB40" w14:textId="77777777">
      <w:pPr>
        <w:pStyle w:val="NormalBold"/>
      </w:pPr>
      <w:r w:rsidRPr="00FF7A7C">
        <w:rPr>
          <w:rStyle w:val="HideTWBExt"/>
          <w:b w:val="0"/>
        </w:rPr>
        <w:t>&lt;Article&gt;</w:t>
      </w:r>
      <w:r w:rsidRPr="00FF7A7C">
        <w:t>Considerando F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2DCF83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027EBB1D" w14:textId="77777777">
            <w:pPr>
              <w:keepNext/>
            </w:pPr>
          </w:p>
        </w:tc>
      </w:tr>
      <w:tr w14:paraId="297C5B75"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022C188E" w14:textId="77777777">
            <w:pPr>
              <w:pStyle w:val="ColumnHeading"/>
              <w:keepNext/>
            </w:pPr>
            <w:r w:rsidRPr="00FF7A7C">
              <w:t>Proposta di risoluzione</w:t>
            </w:r>
          </w:p>
        </w:tc>
        <w:tc>
          <w:tcPr>
            <w:tcW w:w="4876" w:type="dxa"/>
            <w:hideMark/>
          </w:tcPr>
          <w:p w:rsidR="002F29F3" w:rsidRPr="00FF7A7C" w14:paraId="70B6A246" w14:textId="77777777">
            <w:pPr>
              <w:pStyle w:val="ColumnHeading"/>
              <w:keepNext/>
            </w:pPr>
            <w:r w:rsidRPr="00FF7A7C">
              <w:t>Emendamento</w:t>
            </w:r>
          </w:p>
        </w:tc>
      </w:tr>
      <w:tr w14:paraId="7182E26D"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22CD6402" w14:textId="77777777">
            <w:pPr>
              <w:pStyle w:val="Normal6"/>
            </w:pPr>
          </w:p>
        </w:tc>
        <w:tc>
          <w:tcPr>
            <w:tcW w:w="4876" w:type="dxa"/>
            <w:hideMark/>
          </w:tcPr>
          <w:p w:rsidR="002F29F3" w:rsidRPr="00FF7A7C" w14:paraId="3C8265A9" w14:textId="77777777">
            <w:pPr>
              <w:pStyle w:val="Normal6"/>
              <w:rPr>
                <w:szCs w:val="24"/>
              </w:rPr>
            </w:pPr>
            <w:r w:rsidRPr="00FF7A7C">
              <w:rPr>
                <w:b/>
                <w:i/>
              </w:rPr>
              <w:t>F.</w:t>
            </w:r>
            <w:r w:rsidRPr="00FF7A7C">
              <w:rPr>
                <w:b/>
                <w:i/>
              </w:rPr>
              <w:tab/>
              <w:t xml:space="preserve">considerando che la politica di coesione è lo strumento di investimento più importante dell'UE per ridurre le disparità sociali, </w:t>
            </w:r>
            <w:r w:rsidRPr="00FF7A7C">
              <w:rPr>
                <w:b/>
                <w:i/>
              </w:rPr>
              <w:t>territoriali ed economiche e che il suo carattere a lungo termine non dovrebbe essere compromesso da misure di emergenza e modifiche volte a riorientare i fondi di coesione ad altre priorità; che la politica di coesione e i suoi fondi devono essere dedicati ai loro obiettivi fondamentali ed essere attuati in modo da garantire una sana gestione finanziaria e un'efficace tutela degli interessi finanziari dell'Unione;</w:t>
            </w:r>
          </w:p>
        </w:tc>
      </w:tr>
    </w:tbl>
    <w:p w:rsidR="002F29F3" w:rsidRPr="00FF7A7C" w:rsidP="002F29F3" w14:paraId="45356E3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2DD28003" w14:textId="77777777">
      <w:r w:rsidRPr="00FF7A7C">
        <w:rPr>
          <w:rStyle w:val="HideTWBExt"/>
        </w:rPr>
        <w:t>&lt;/Amend&gt;</w:t>
      </w:r>
    </w:p>
    <w:p w:rsidR="002F29F3" w:rsidRPr="00FF7A7C" w:rsidP="002F29F3" w14:paraId="7F85BDD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15</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48D1D221"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347705CB" w14:textId="77777777">
      <w:r w:rsidRPr="00FF7A7C">
        <w:rPr>
          <w:rStyle w:val="HideTWBExt"/>
        </w:rPr>
        <w:t>&lt;/RepeatBlock-By&gt;</w:t>
      </w:r>
    </w:p>
    <w:p w:rsidR="002F29F3" w:rsidRPr="00FF7A7C" w:rsidP="002F29F3" w14:paraId="5526135D"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30C1AFBA" w14:textId="77777777">
      <w:pPr>
        <w:pStyle w:val="NormalBold"/>
      </w:pPr>
      <w:r w:rsidRPr="00FF7A7C">
        <w:rPr>
          <w:rStyle w:val="HideTWBExt"/>
          <w:b w:val="0"/>
        </w:rPr>
        <w:t>&lt;Article&gt;</w:t>
      </w:r>
      <w:r w:rsidRPr="00FF7A7C">
        <w:t>Considerando G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96163CF"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117F3D5A" w14:textId="77777777">
            <w:pPr>
              <w:keepNext/>
            </w:pPr>
          </w:p>
        </w:tc>
      </w:tr>
      <w:tr w14:paraId="0656D642"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083EEC4C" w14:textId="77777777">
            <w:pPr>
              <w:pStyle w:val="ColumnHeading"/>
              <w:keepNext/>
            </w:pPr>
            <w:r w:rsidRPr="00FF7A7C">
              <w:t>Proposta di risoluzione</w:t>
            </w:r>
          </w:p>
        </w:tc>
        <w:tc>
          <w:tcPr>
            <w:tcW w:w="4876" w:type="dxa"/>
            <w:hideMark/>
          </w:tcPr>
          <w:p w:rsidR="002F29F3" w:rsidRPr="00FF7A7C" w14:paraId="70FBC8E4" w14:textId="77777777">
            <w:pPr>
              <w:pStyle w:val="ColumnHeading"/>
              <w:keepNext/>
            </w:pPr>
            <w:r w:rsidRPr="00FF7A7C">
              <w:t>Emendamento</w:t>
            </w:r>
          </w:p>
        </w:tc>
      </w:tr>
      <w:tr w14:paraId="04B3E743"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4C66462B" w14:textId="77777777">
            <w:pPr>
              <w:pStyle w:val="Normal6"/>
            </w:pPr>
          </w:p>
        </w:tc>
        <w:tc>
          <w:tcPr>
            <w:tcW w:w="4876" w:type="dxa"/>
            <w:hideMark/>
          </w:tcPr>
          <w:p w:rsidR="002F29F3" w:rsidRPr="00FF7A7C" w14:paraId="0A9EAF33" w14:textId="77777777">
            <w:pPr>
              <w:pStyle w:val="Normal6"/>
              <w:rPr>
                <w:szCs w:val="24"/>
              </w:rPr>
            </w:pPr>
            <w:r w:rsidRPr="00FF7A7C">
              <w:rPr>
                <w:b/>
                <w:i/>
              </w:rPr>
              <w:t>G.</w:t>
            </w:r>
            <w:r w:rsidRPr="00FF7A7C">
              <w:rPr>
                <w:b/>
                <w:i/>
              </w:rPr>
              <w:tab/>
              <w:t xml:space="preserve">considerando che la politica di coesione si basa sui </w:t>
            </w:r>
            <w:r w:rsidRPr="00FF7A7C">
              <w:rPr>
                <w:b/>
                <w:i/>
              </w:rPr>
              <w:t xml:space="preserve">valori fondamentali dell'UE; che una forte condizionalità dello Stato di diritto nella distribuzione dei fondi dell'UE, come anche rigorosi requisiti per una loro efficace protezione e il rispetto delle norme in materia di inclusione sociale, uguaglianza e diritti umani, sono indispensabili e non devono essere vittime della semplificazione; che la politica di coesione deve inoltre essere subordinata al </w:t>
            </w:r>
            <w:r w:rsidRPr="00FF7A7C">
              <w:rPr>
                <w:b/>
                <w:i/>
              </w:rPr>
              <w:t>al</w:t>
            </w:r>
            <w:r w:rsidRPr="00FF7A7C">
              <w:rPr>
                <w:b/>
                <w:i/>
              </w:rPr>
              <w:t xml:space="preserve"> dovere in capo agli Stati membri di provvedere alle necessità di tutte le persone nelle loro regioni, i</w:t>
            </w:r>
            <w:r w:rsidRPr="00FF7A7C">
              <w:rPr>
                <w:b/>
                <w:i/>
              </w:rPr>
              <w:t>ndipendentemente dal genere, dall'età, dalla nazionalità, dallo stato di salute, dalla disabilità, dalla classe sociale, dall'etnia, dall'origine razziale o etnica, dall'orientamento sessuale o dall'identità, e di proteggerle;</w:t>
            </w:r>
          </w:p>
        </w:tc>
      </w:tr>
    </w:tbl>
    <w:p w:rsidR="002F29F3" w:rsidRPr="00FF7A7C" w:rsidP="002F29F3" w14:paraId="04BB9D81"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2C961F21" w14:textId="77777777">
      <w:r w:rsidRPr="00FF7A7C">
        <w:rPr>
          <w:rStyle w:val="HideTWBExt"/>
        </w:rPr>
        <w:t>&lt;/Amend&gt;</w:t>
      </w:r>
    </w:p>
    <w:p w:rsidR="002F29F3" w:rsidRPr="00FF7A7C" w:rsidP="002F29F3" w14:paraId="1634F07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16</w:t>
      </w:r>
      <w:r w:rsidRPr="00FF7A7C">
        <w:rPr>
          <w:rStyle w:val="HideTWBExt"/>
          <w:b w:val="0"/>
        </w:rPr>
        <w:t>&lt;/</w:t>
      </w:r>
      <w:r w:rsidRPr="00FF7A7C">
        <w:rPr>
          <w:rStyle w:val="HideTWBExt"/>
          <w:b w:val="0"/>
        </w:rPr>
        <w:t>NumAm</w:t>
      </w:r>
      <w:r w:rsidRPr="00FF7A7C">
        <w:rPr>
          <w:rStyle w:val="HideTWBExt"/>
          <w:b w:val="0"/>
        </w:rPr>
        <w:t>&gt;</w:t>
      </w:r>
    </w:p>
    <w:p w:rsidR="002F29F3" w:rsidRPr="00FF7A7C" w:rsidP="002F29F3" w14:paraId="07FA8111"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2F29F3" w:rsidRPr="00FF7A7C" w:rsidP="002F29F3" w14:paraId="30362F9C" w14:textId="77777777">
      <w:r w:rsidRPr="00FF7A7C">
        <w:rPr>
          <w:rStyle w:val="HideTWBExt"/>
        </w:rPr>
        <w:t>&lt;/RepeatBlock-By&gt;</w:t>
      </w:r>
    </w:p>
    <w:p w:rsidR="002F29F3" w:rsidRPr="00FF7A7C" w:rsidP="002F29F3" w14:paraId="29CD439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2F29F3" w:rsidRPr="00FF7A7C" w:rsidP="002F29F3" w14:paraId="42A7FD55" w14:textId="77777777">
      <w:pPr>
        <w:pStyle w:val="NormalBold"/>
      </w:pPr>
      <w:r w:rsidRPr="00FF7A7C">
        <w:rPr>
          <w:rStyle w:val="HideTWBExt"/>
          <w:b w:val="0"/>
        </w:rPr>
        <w:t>&lt;Article&gt;</w:t>
      </w:r>
      <w:r w:rsidRPr="00FF7A7C">
        <w:t>Considerando H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F5DBC64"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F7A7C" w14:paraId="41AE8629" w14:textId="77777777">
            <w:pPr>
              <w:keepNext/>
            </w:pPr>
          </w:p>
        </w:tc>
      </w:tr>
      <w:tr w14:paraId="4235F5A7"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F7A7C" w14:paraId="2A113EF1" w14:textId="77777777">
            <w:pPr>
              <w:pStyle w:val="ColumnHeading"/>
              <w:keepNext/>
            </w:pPr>
            <w:r w:rsidRPr="00FF7A7C">
              <w:t>Proposta di risoluzione</w:t>
            </w:r>
          </w:p>
        </w:tc>
        <w:tc>
          <w:tcPr>
            <w:tcW w:w="4876" w:type="dxa"/>
            <w:hideMark/>
          </w:tcPr>
          <w:p w:rsidR="002F29F3" w:rsidRPr="00FF7A7C" w14:paraId="72A86BA1" w14:textId="77777777">
            <w:pPr>
              <w:pStyle w:val="ColumnHeading"/>
              <w:keepNext/>
            </w:pPr>
            <w:r w:rsidRPr="00FF7A7C">
              <w:t>Emendamento</w:t>
            </w:r>
          </w:p>
        </w:tc>
      </w:tr>
      <w:tr w14:paraId="1034F0C8"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F7A7C" w14:paraId="2B1DCC61" w14:textId="77777777">
            <w:pPr>
              <w:pStyle w:val="Normal6"/>
            </w:pPr>
          </w:p>
        </w:tc>
        <w:tc>
          <w:tcPr>
            <w:tcW w:w="4876" w:type="dxa"/>
            <w:hideMark/>
          </w:tcPr>
          <w:p w:rsidR="002F29F3" w:rsidRPr="00FF7A7C" w14:paraId="31366E5F" w14:textId="77777777">
            <w:pPr>
              <w:pStyle w:val="Normal6"/>
              <w:rPr>
                <w:szCs w:val="24"/>
              </w:rPr>
            </w:pPr>
            <w:r w:rsidRPr="00FF7A7C">
              <w:rPr>
                <w:b/>
                <w:i/>
              </w:rPr>
              <w:t>H.</w:t>
            </w:r>
            <w:r w:rsidRPr="00FF7A7C">
              <w:rPr>
                <w:b/>
                <w:i/>
              </w:rPr>
              <w:tab/>
              <w:t>considerando che la politica di coesione deve dimostrare resilienza alle frodi, alla corruzione e a qualsiasi tentativo di deviare i suoi finanziamenti dalla sua missione originaria e dalle priorità concordate del programma verso investimenti che servano interessi particolari, politici di partito o privati; che, a tal fine, occorre rafforzare le condizionalità e gli strumenti integrati per prevenire, individuare e correggere le irregolarità, comprese le frodi, nonché assicurare la corretta applicazione del</w:t>
            </w:r>
            <w:r w:rsidRPr="00FF7A7C">
              <w:rPr>
                <w:b/>
                <w:i/>
              </w:rPr>
              <w:t xml:space="preserve"> principio di partenariato, degli obblighi di trasparenza e delle politiche antifrode;</w:t>
            </w:r>
          </w:p>
        </w:tc>
      </w:tr>
    </w:tbl>
    <w:p w:rsidR="002F29F3" w:rsidRPr="00FF7A7C" w:rsidP="002F29F3" w14:paraId="5A05D9F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D8779C6" w14:textId="77777777">
      <w:r w:rsidRPr="00FF7A7C">
        <w:rPr>
          <w:rStyle w:val="HideTWBExt"/>
        </w:rPr>
        <w:t>&lt;/Amend&gt;</w:t>
      </w:r>
    </w:p>
    <w:p w:rsidR="00AC4730" w:rsidRPr="00FF7A7C" w:rsidP="00AC4730" w14:paraId="41577EB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4A60262"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7FB64EC0" w14:textId="77777777">
      <w:r w:rsidRPr="00FF7A7C">
        <w:rPr>
          <w:rStyle w:val="HideTWBExt"/>
        </w:rPr>
        <w:t>&lt;/RepeatBlock-By&gt;</w:t>
      </w:r>
    </w:p>
    <w:p w:rsidR="00AC4730" w:rsidRPr="00FF7A7C" w:rsidP="00AC4730" w14:paraId="0FF8243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D916329" w14:textId="77777777">
      <w:pPr>
        <w:pStyle w:val="NormalBold"/>
      </w:pPr>
      <w:r w:rsidRPr="00FF7A7C">
        <w:rPr>
          <w:rStyle w:val="HideTWBExt"/>
          <w:b w:val="0"/>
        </w:rPr>
        <w:t>&lt;Article&gt;</w:t>
      </w:r>
      <w:r w:rsidRPr="00FF7A7C">
        <w:t>Paragrafo -1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F09478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D96034D" w14:textId="77777777">
            <w:pPr>
              <w:keepNext/>
            </w:pPr>
          </w:p>
        </w:tc>
      </w:tr>
      <w:tr w14:paraId="72D8D6F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20B27B2" w14:textId="77777777">
            <w:pPr>
              <w:pStyle w:val="ColumnHeading"/>
              <w:keepNext/>
            </w:pPr>
            <w:r w:rsidRPr="00FF7A7C">
              <w:t>Proposta di risoluzione</w:t>
            </w:r>
          </w:p>
        </w:tc>
        <w:tc>
          <w:tcPr>
            <w:tcW w:w="4876" w:type="dxa"/>
            <w:hideMark/>
          </w:tcPr>
          <w:p w:rsidR="00AC4730" w:rsidRPr="00FF7A7C" w14:paraId="70FE9CF8" w14:textId="77777777">
            <w:pPr>
              <w:pStyle w:val="ColumnHeading"/>
              <w:keepNext/>
            </w:pPr>
            <w:r w:rsidRPr="00FF7A7C">
              <w:t>Emendamento</w:t>
            </w:r>
          </w:p>
        </w:tc>
      </w:tr>
      <w:tr w14:paraId="4A2A7CC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03BBD21F" w14:textId="77777777">
            <w:pPr>
              <w:pStyle w:val="Normal6"/>
            </w:pPr>
          </w:p>
        </w:tc>
        <w:tc>
          <w:tcPr>
            <w:tcW w:w="4876" w:type="dxa"/>
            <w:hideMark/>
          </w:tcPr>
          <w:p w:rsidR="00AC4730" w:rsidRPr="00FF7A7C" w14:paraId="5778A3A3" w14:textId="77777777">
            <w:pPr>
              <w:pStyle w:val="Normal6"/>
              <w:rPr>
                <w:szCs w:val="24"/>
              </w:rPr>
            </w:pPr>
            <w:r w:rsidRPr="00FF7A7C">
              <w:rPr>
                <w:b/>
                <w:i/>
              </w:rPr>
              <w:t>–</w:t>
            </w:r>
            <w:r w:rsidRPr="00FF7A7C">
              <w:rPr>
                <w:b/>
                <w:i/>
              </w:rPr>
              <w:tab/>
              <w:t xml:space="preserve">sottolinea che, a partire dall'allargamento del 2004, le regioni che hanno aderito all'UE in quel </w:t>
            </w:r>
            <w:r w:rsidRPr="00FF7A7C">
              <w:rPr>
                <w:b/>
                <w:i/>
              </w:rPr>
              <w:t>momento hanno raggiunto una notevole convergenza economica</w:t>
            </w:r>
            <w:r w:rsidRPr="00FF7A7C">
              <w:rPr>
                <w:b/>
                <w:i/>
                <w:vertAlign w:val="superscript"/>
              </w:rPr>
              <w:t>1 bis</w:t>
            </w:r>
            <w:r w:rsidRPr="00FF7A7C">
              <w:rPr>
                <w:b/>
                <w:i/>
              </w:rPr>
              <w:t>, con un PIL pro capite nell'Europa orientale che è passato dal 50 % della media dell'UE nel 2004 a quasi l'80 % nel 2023 e con tassi di disoccupazione che sono scesi da una media del 13 % al 4 % in tale periodo; osserva che le disparità in termini di PIL pro capite tra le regioni dell'UE sono diminuite drasticamente nel periodo 2000-2021, sostenute in gran parte dalla forte convergenza verso l'alto delle regioni orientali, anche se permangono n</w:t>
            </w:r>
            <w:r w:rsidRPr="00FF7A7C">
              <w:rPr>
                <w:b/>
                <w:i/>
              </w:rPr>
              <w:t>otevoli margini di ulteriore convergenza;</w:t>
            </w:r>
          </w:p>
        </w:tc>
      </w:tr>
      <w:tr w14:paraId="50F54E6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B01D2F4" w14:textId="77777777">
            <w:pPr>
              <w:pStyle w:val="Normal6"/>
            </w:pPr>
          </w:p>
        </w:tc>
        <w:tc>
          <w:tcPr>
            <w:tcW w:w="4876" w:type="dxa"/>
            <w:hideMark/>
          </w:tcPr>
          <w:p w:rsidR="00AC4730" w:rsidRPr="00FF7A7C" w14:paraId="7006D3B9" w14:textId="77777777">
            <w:pPr>
              <w:pStyle w:val="Normal6"/>
              <w:rPr>
                <w:szCs w:val="24"/>
              </w:rPr>
            </w:pPr>
            <w:r w:rsidRPr="00FF7A7C">
              <w:rPr>
                <w:b/>
                <w:i/>
              </w:rPr>
              <w:t>__________________</w:t>
            </w:r>
          </w:p>
        </w:tc>
      </w:tr>
      <w:tr w14:paraId="57905F0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6DCE8CED" w14:textId="77777777">
            <w:pPr>
              <w:pStyle w:val="Normal6"/>
            </w:pPr>
          </w:p>
        </w:tc>
        <w:tc>
          <w:tcPr>
            <w:tcW w:w="4876" w:type="dxa"/>
            <w:hideMark/>
          </w:tcPr>
          <w:p w:rsidR="00AC4730" w:rsidRPr="00FF7A7C" w14:paraId="28015E6E" w14:textId="77777777">
            <w:pPr>
              <w:pStyle w:val="Normal6"/>
              <w:rPr>
                <w:szCs w:val="24"/>
              </w:rPr>
            </w:pPr>
            <w:r w:rsidRPr="00FF7A7C">
              <w:rPr>
                <w:b/>
                <w:i/>
                <w:vertAlign w:val="superscript"/>
              </w:rPr>
              <w:t>1 bis</w:t>
            </w:r>
            <w:r w:rsidRPr="00FF7A7C">
              <w:t xml:space="preserve"> </w:t>
            </w:r>
            <w:r w:rsidRPr="00FF7A7C">
              <w:rPr>
                <w:b/>
                <w:i/>
              </w:rPr>
              <w:t>https://ec.europa.eu/regional_policy/sources/reports/cohesion9/IT_9CR_Highlights.pdf</w:t>
            </w:r>
            <w:r w:rsidRPr="00FF7A7C">
              <w:t>.</w:t>
            </w:r>
          </w:p>
        </w:tc>
      </w:tr>
    </w:tbl>
    <w:p w:rsidR="00AC4730" w:rsidRPr="00FF7A7C" w:rsidP="00AC4730" w14:paraId="589A6AC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70043D1" w14:textId="77777777">
      <w:r w:rsidRPr="00FF7A7C">
        <w:rPr>
          <w:rStyle w:val="HideTWBExt"/>
        </w:rPr>
        <w:t>&lt;/Amend&gt;</w:t>
      </w:r>
    </w:p>
    <w:p w:rsidR="00AC4730" w:rsidRPr="00FF7A7C" w:rsidP="00AC4730" w14:paraId="203680B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5F5CE5D"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21FAC1B8" w14:textId="77777777">
      <w:r w:rsidRPr="00FF7A7C">
        <w:rPr>
          <w:rStyle w:val="HideTWBExt"/>
        </w:rPr>
        <w:t>&lt;/RepeatBlock-By&gt;</w:t>
      </w:r>
    </w:p>
    <w:p w:rsidR="00AC4730" w:rsidRPr="00FF7A7C" w:rsidP="00AC4730" w14:paraId="2BE673F5"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2FB35C0" w14:textId="77777777">
      <w:pPr>
        <w:pStyle w:val="NormalBold"/>
      </w:pPr>
      <w:r w:rsidRPr="00FF7A7C">
        <w:rPr>
          <w:rStyle w:val="HideTWBExt"/>
          <w:b w:val="0"/>
        </w:rPr>
        <w:t>&lt;Article&gt;</w:t>
      </w:r>
      <w:r w:rsidRPr="00FF7A7C">
        <w:t>Paragrafo -1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008C93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A49E5FC" w14:textId="77777777">
            <w:pPr>
              <w:keepNext/>
            </w:pPr>
          </w:p>
        </w:tc>
      </w:tr>
      <w:tr w14:paraId="539DFD8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C1C2690" w14:textId="77777777">
            <w:pPr>
              <w:pStyle w:val="ColumnHeading"/>
              <w:keepNext/>
            </w:pPr>
            <w:r w:rsidRPr="00FF7A7C">
              <w:t>Proposta di risoluzione</w:t>
            </w:r>
          </w:p>
        </w:tc>
        <w:tc>
          <w:tcPr>
            <w:tcW w:w="4876" w:type="dxa"/>
            <w:hideMark/>
          </w:tcPr>
          <w:p w:rsidR="00AC4730" w:rsidRPr="00FF7A7C" w14:paraId="4F002526" w14:textId="77777777">
            <w:pPr>
              <w:pStyle w:val="ColumnHeading"/>
              <w:keepNext/>
            </w:pPr>
            <w:r w:rsidRPr="00FF7A7C">
              <w:t>Emendamento</w:t>
            </w:r>
          </w:p>
        </w:tc>
      </w:tr>
      <w:tr w14:paraId="0536D55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6F14960F" w14:textId="77777777">
            <w:pPr>
              <w:pStyle w:val="Normal6"/>
            </w:pPr>
          </w:p>
        </w:tc>
        <w:tc>
          <w:tcPr>
            <w:tcW w:w="4876" w:type="dxa"/>
            <w:hideMark/>
          </w:tcPr>
          <w:p w:rsidR="00AC4730" w:rsidRPr="00FF7A7C" w14:paraId="03CDB21E" w14:textId="77777777">
            <w:pPr>
              <w:pStyle w:val="Normal6"/>
              <w:rPr>
                <w:szCs w:val="24"/>
              </w:rPr>
            </w:pPr>
            <w:r w:rsidRPr="00FF7A7C">
              <w:rPr>
                <w:b/>
                <w:i/>
              </w:rPr>
              <w:t>–</w:t>
            </w:r>
            <w:r w:rsidRPr="00FF7A7C">
              <w:rPr>
                <w:b/>
                <w:i/>
              </w:rPr>
              <w:tab/>
              <w:t xml:space="preserve">ricorda che il principio di </w:t>
            </w:r>
            <w:r w:rsidRPr="00FF7A7C">
              <w:rPr>
                <w:b/>
                <w:i/>
              </w:rPr>
              <w:t>partenariato e la governance multilivello sono stati fattori chiave alla base dell'attuazione efficace e dei risultati di alta qualità dei fondi dell'UE; sottolinea che il coinvolgimento di un'ampia gamma di portatori di interessi, tra cui gli enti regionali e locali, le parti sociali e la società civile, è superiore a qualsiasi sistema centralizzato; invita la Commissione e gli Stati membri a rafforzare strutturalmente tali principi nei futuri periodi di programmazione per garantire la trasparenza, la tito</w:t>
            </w:r>
            <w:r w:rsidRPr="00FF7A7C">
              <w:rPr>
                <w:b/>
                <w:i/>
              </w:rPr>
              <w:t>larità locale e la responsabilità democratica;</w:t>
            </w:r>
          </w:p>
        </w:tc>
      </w:tr>
    </w:tbl>
    <w:p w:rsidR="00AC4730" w:rsidRPr="00FF7A7C" w:rsidP="00AC4730" w14:paraId="23A2ECB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C5F9287" w14:textId="77777777">
      <w:r w:rsidRPr="00FF7A7C">
        <w:rPr>
          <w:rStyle w:val="HideTWBExt"/>
        </w:rPr>
        <w:t>&lt;/Amend&gt;</w:t>
      </w:r>
    </w:p>
    <w:p w:rsidR="00AC4730" w:rsidRPr="00FF7A7C" w:rsidP="00AC4730" w14:paraId="3985166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1B9C463"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0EAFE8AD" w14:textId="77777777">
      <w:r w:rsidRPr="00FF7A7C">
        <w:rPr>
          <w:rStyle w:val="HideTWBExt"/>
        </w:rPr>
        <w:t>&lt;/RepeatBlock-By&gt;</w:t>
      </w:r>
    </w:p>
    <w:p w:rsidR="00AC4730" w:rsidRPr="00FF7A7C" w:rsidP="00AC4730" w14:paraId="0D7DFF1B"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5B06283" w14:textId="77777777">
      <w:pPr>
        <w:pStyle w:val="NormalBold"/>
      </w:pPr>
      <w:r w:rsidRPr="00FF7A7C">
        <w:rPr>
          <w:rStyle w:val="HideTWBExt"/>
          <w:b w:val="0"/>
        </w:rPr>
        <w:t>&lt;Article&gt;</w:t>
      </w:r>
      <w:r w:rsidRPr="00FF7A7C">
        <w:t>Paragrafo -1 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22BDAD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ABFFBCE" w14:textId="77777777">
            <w:pPr>
              <w:keepNext/>
            </w:pPr>
          </w:p>
        </w:tc>
      </w:tr>
      <w:tr w14:paraId="49A5574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7781FA3" w14:textId="77777777">
            <w:pPr>
              <w:pStyle w:val="ColumnHeading"/>
              <w:keepNext/>
            </w:pPr>
            <w:r w:rsidRPr="00FF7A7C">
              <w:t>Proposta di risoluzione</w:t>
            </w:r>
          </w:p>
        </w:tc>
        <w:tc>
          <w:tcPr>
            <w:tcW w:w="4876" w:type="dxa"/>
            <w:hideMark/>
          </w:tcPr>
          <w:p w:rsidR="00AC4730" w:rsidRPr="00FF7A7C" w14:paraId="46627167" w14:textId="77777777">
            <w:pPr>
              <w:pStyle w:val="ColumnHeading"/>
              <w:keepNext/>
            </w:pPr>
            <w:r w:rsidRPr="00FF7A7C">
              <w:t>Emendamento</w:t>
            </w:r>
          </w:p>
        </w:tc>
      </w:tr>
      <w:tr w14:paraId="505DDDB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671331D6" w14:textId="77777777">
            <w:pPr>
              <w:pStyle w:val="Normal6"/>
            </w:pPr>
          </w:p>
        </w:tc>
        <w:tc>
          <w:tcPr>
            <w:tcW w:w="4876" w:type="dxa"/>
            <w:hideMark/>
          </w:tcPr>
          <w:p w:rsidR="00AC4730" w:rsidRPr="00FF7A7C" w14:paraId="666BCB29" w14:textId="77777777">
            <w:pPr>
              <w:pStyle w:val="Normal6"/>
              <w:rPr>
                <w:szCs w:val="24"/>
              </w:rPr>
            </w:pPr>
            <w:r w:rsidRPr="00FF7A7C">
              <w:rPr>
                <w:b/>
                <w:i/>
              </w:rPr>
              <w:t>–</w:t>
            </w:r>
            <w:r w:rsidRPr="00FF7A7C">
              <w:rPr>
                <w:b/>
                <w:i/>
              </w:rPr>
              <w:tab/>
              <w:t xml:space="preserve">avverte che qualsiasi rinazionalizzazione dei programmi di sviluppo dell'Unione, in particolare della politica di coesione, e la </w:t>
            </w:r>
            <w:r w:rsidRPr="00FF7A7C">
              <w:rPr>
                <w:b/>
                <w:i/>
              </w:rPr>
              <w:t>centralizzazione della relativa programmazione, attuazione e del relativo seguito causerebbero danni irreversibili; sottolinea che tale centralizzazione ridurrebbe fortemente la qualità e l'impatto a lungo termine dei finanziamenti dell'UE, compromettendo nel contempo la governance democratica e la capacità istituzionale delle autonomie locali e regionali e della società civile in tutti gli Stati membri;</w:t>
            </w:r>
          </w:p>
        </w:tc>
      </w:tr>
    </w:tbl>
    <w:p w:rsidR="00AC4730" w:rsidRPr="00FF7A7C" w:rsidP="00AC4730" w14:paraId="3C100FB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C4274A" w:rsidRPr="00FF7A7C" w:rsidP="00C4274A" w14:paraId="4F38F0CC" w14:textId="77777777">
      <w:r w:rsidRPr="00FF7A7C">
        <w:rPr>
          <w:rStyle w:val="HideTWBExt"/>
        </w:rPr>
        <w:t>&lt;/Amend&gt;</w:t>
      </w:r>
    </w:p>
    <w:p w:rsidR="00C4274A" w:rsidRPr="00FF7A7C" w:rsidP="00C4274A" w14:paraId="567A96D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20</w:t>
      </w:r>
      <w:r w:rsidRPr="00FF7A7C">
        <w:rPr>
          <w:rStyle w:val="HideTWBExt"/>
          <w:b w:val="0"/>
        </w:rPr>
        <w:t>&lt;/</w:t>
      </w:r>
      <w:r w:rsidRPr="00FF7A7C">
        <w:rPr>
          <w:rStyle w:val="HideTWBExt"/>
          <w:b w:val="0"/>
        </w:rPr>
        <w:t>NumAm</w:t>
      </w:r>
      <w:r w:rsidRPr="00FF7A7C">
        <w:rPr>
          <w:rStyle w:val="HideTWBExt"/>
          <w:b w:val="0"/>
        </w:rPr>
        <w:t>&gt;</w:t>
      </w:r>
    </w:p>
    <w:p w:rsidR="00C4274A" w:rsidRPr="00FF7A7C" w:rsidP="00C4274A" w14:paraId="37FA13BF"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C4274A" w:rsidRPr="00FF7A7C" w:rsidP="00C4274A" w14:paraId="0FD4451B" w14:textId="77777777">
      <w:r w:rsidRPr="00FF7A7C">
        <w:rPr>
          <w:rStyle w:val="HideTWBExt"/>
        </w:rPr>
        <w:t>&lt;/RepeatBlock-By&gt;</w:t>
      </w:r>
    </w:p>
    <w:p w:rsidR="00C4274A" w:rsidRPr="00FF7A7C" w:rsidP="00C4274A" w14:paraId="5D6BD18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C4274A" w:rsidRPr="00FF7A7C" w:rsidP="00C4274A" w14:paraId="0C532FFF" w14:textId="77777777">
      <w:pPr>
        <w:pStyle w:val="NormalBold"/>
      </w:pPr>
      <w:r w:rsidRPr="00FF7A7C">
        <w:rPr>
          <w:rStyle w:val="HideTWBExt"/>
          <w:b w:val="0"/>
        </w:rPr>
        <w:t>&lt;Article&gt;</w:t>
      </w:r>
      <w:r w:rsidRPr="00FF7A7C">
        <w:t>Paragrafo -1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43DA879" w14:textId="77777777" w:rsidTr="00F32629">
        <w:tblPrEx>
          <w:tblW w:w="0" w:type="auto"/>
          <w:jc w:val="center"/>
          <w:tblLayout w:type="fixed"/>
          <w:tblCellMar>
            <w:left w:w="340" w:type="dxa"/>
            <w:right w:w="340" w:type="dxa"/>
          </w:tblCellMar>
          <w:tblLook w:val="04A0"/>
        </w:tblPrEx>
        <w:trPr>
          <w:jc w:val="center"/>
        </w:trPr>
        <w:tc>
          <w:tcPr>
            <w:tcW w:w="9752" w:type="dxa"/>
            <w:gridSpan w:val="2"/>
          </w:tcPr>
          <w:p w:rsidR="00C4274A" w:rsidRPr="00FF7A7C" w:rsidP="00F32629" w14:paraId="6E650354" w14:textId="77777777">
            <w:pPr>
              <w:keepNext/>
            </w:pPr>
          </w:p>
        </w:tc>
      </w:tr>
      <w:tr w14:paraId="6129DBE4" w14:textId="77777777" w:rsidTr="00F32629">
        <w:tblPrEx>
          <w:tblW w:w="0" w:type="auto"/>
          <w:jc w:val="center"/>
          <w:tblLayout w:type="fixed"/>
          <w:tblCellMar>
            <w:left w:w="340" w:type="dxa"/>
            <w:right w:w="340" w:type="dxa"/>
          </w:tblCellMar>
          <w:tblLook w:val="04A0"/>
        </w:tblPrEx>
        <w:trPr>
          <w:jc w:val="center"/>
        </w:trPr>
        <w:tc>
          <w:tcPr>
            <w:tcW w:w="4876" w:type="dxa"/>
            <w:hideMark/>
          </w:tcPr>
          <w:p w:rsidR="00C4274A" w:rsidRPr="00FF7A7C" w:rsidP="00F32629" w14:paraId="3C7506A5" w14:textId="77777777">
            <w:pPr>
              <w:pStyle w:val="ColumnHeading"/>
              <w:keepNext/>
            </w:pPr>
            <w:r w:rsidRPr="00FF7A7C">
              <w:t>Proposta di risoluzione</w:t>
            </w:r>
          </w:p>
        </w:tc>
        <w:tc>
          <w:tcPr>
            <w:tcW w:w="4876" w:type="dxa"/>
            <w:hideMark/>
          </w:tcPr>
          <w:p w:rsidR="00C4274A" w:rsidRPr="00FF7A7C" w:rsidP="00F32629" w14:paraId="708CB5DD" w14:textId="77777777">
            <w:pPr>
              <w:pStyle w:val="ColumnHeading"/>
              <w:keepNext/>
            </w:pPr>
            <w:r w:rsidRPr="00FF7A7C">
              <w:t>Emendamento</w:t>
            </w:r>
          </w:p>
        </w:tc>
      </w:tr>
      <w:tr w14:paraId="5296A133" w14:textId="77777777" w:rsidTr="00F32629">
        <w:tblPrEx>
          <w:tblW w:w="0" w:type="auto"/>
          <w:jc w:val="center"/>
          <w:tblLayout w:type="fixed"/>
          <w:tblCellMar>
            <w:left w:w="340" w:type="dxa"/>
            <w:right w:w="340" w:type="dxa"/>
          </w:tblCellMar>
          <w:tblLook w:val="04A0"/>
        </w:tblPrEx>
        <w:trPr>
          <w:jc w:val="center"/>
        </w:trPr>
        <w:tc>
          <w:tcPr>
            <w:tcW w:w="4876" w:type="dxa"/>
          </w:tcPr>
          <w:p w:rsidR="00C4274A" w:rsidRPr="00FF7A7C" w:rsidP="00F32629" w14:paraId="1DE5965E" w14:textId="77777777">
            <w:pPr>
              <w:pStyle w:val="Normal6"/>
            </w:pPr>
          </w:p>
        </w:tc>
        <w:tc>
          <w:tcPr>
            <w:tcW w:w="4876" w:type="dxa"/>
            <w:hideMark/>
          </w:tcPr>
          <w:p w:rsidR="00C4274A" w:rsidRPr="00FF7A7C" w:rsidP="00F32629" w14:paraId="0BC65424" w14:textId="77777777">
            <w:pPr>
              <w:pStyle w:val="Normal6"/>
              <w:rPr>
                <w:szCs w:val="24"/>
              </w:rPr>
            </w:pPr>
            <w:r w:rsidRPr="00FF7A7C">
              <w:rPr>
                <w:b/>
                <w:i/>
              </w:rPr>
              <w:t>–</w:t>
            </w:r>
            <w:r w:rsidRPr="00FF7A7C">
              <w:rPr>
                <w:b/>
                <w:i/>
              </w:rPr>
              <w:tab/>
              <w:t xml:space="preserve">sottolinea che i fondi dell'UE hanno svolto un ruolo </w:t>
            </w:r>
            <w:r w:rsidRPr="00FF7A7C">
              <w:rPr>
                <w:b/>
                <w:i/>
              </w:rPr>
              <w:t>indispensabile nel promuovere lo sviluppo economico e sociale negli Stati membri che hanno aderito a partire dal 2004, rafforzando così in maniera significativa la coesione e la crescita dell'Unione nel suo complesso; sottolinea l'importanza strategica di mantenere tale slancio in futuro; chiede pertanto un bilancio solido per la politica di coesione e altri programmi di sviluppo dell'Unione nel prossimo quadro finanziario pluriennale (QFP) al fine di garantire una convergenza continua e uno sviluppo region</w:t>
            </w:r>
            <w:r w:rsidRPr="00FF7A7C">
              <w:rPr>
                <w:b/>
                <w:i/>
              </w:rPr>
              <w:t>ale equilibrato in tutti gli Stati membri;</w:t>
            </w:r>
          </w:p>
        </w:tc>
      </w:tr>
    </w:tbl>
    <w:p w:rsidR="00C4274A" w:rsidRPr="00FF7A7C" w:rsidP="00C4274A" w14:paraId="77B2FD3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C4274A" w:rsidRPr="00FF7A7C" w:rsidP="00C4274A" w14:paraId="28A9F397" w14:textId="77777777">
      <w:r w:rsidRPr="00FF7A7C">
        <w:rPr>
          <w:rStyle w:val="HideTWBExt"/>
        </w:rPr>
        <w:t>&lt;/Amend&gt;</w:t>
      </w:r>
    </w:p>
    <w:p w:rsidR="00AC4730" w:rsidRPr="00FF7A7C" w:rsidP="00AC4730" w14:paraId="1AF2A70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9FE4960"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5B51CA8E" w14:textId="77777777">
      <w:r w:rsidRPr="00FF7A7C">
        <w:rPr>
          <w:rStyle w:val="HideTWBExt"/>
        </w:rPr>
        <w:t>&lt;/RepeatBlock-By&gt;</w:t>
      </w:r>
    </w:p>
    <w:p w:rsidR="00AC4730" w:rsidRPr="00FF7A7C" w:rsidP="00AC4730" w14:paraId="6BD48BE4"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4078FA8" w14:textId="77777777">
      <w:pPr>
        <w:pStyle w:val="NormalBold"/>
      </w:pPr>
      <w:r w:rsidRPr="00FF7A7C">
        <w:rPr>
          <w:rStyle w:val="HideTWBExt"/>
          <w:b w:val="0"/>
        </w:rPr>
        <w:t>&lt;Article&gt;</w:t>
      </w:r>
      <w:r w:rsidRPr="00FF7A7C">
        <w:t>Paragrafo 1</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B8A3B8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11EF42D" w14:textId="77777777">
            <w:pPr>
              <w:keepNext/>
            </w:pPr>
          </w:p>
        </w:tc>
      </w:tr>
      <w:tr w14:paraId="5CC716B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119F046" w14:textId="77777777">
            <w:pPr>
              <w:pStyle w:val="ColumnHeading"/>
              <w:keepNext/>
            </w:pPr>
            <w:r w:rsidRPr="00FF7A7C">
              <w:t>Proposta di risoluzione</w:t>
            </w:r>
          </w:p>
        </w:tc>
        <w:tc>
          <w:tcPr>
            <w:tcW w:w="4876" w:type="dxa"/>
            <w:hideMark/>
          </w:tcPr>
          <w:p w:rsidR="00AC4730" w:rsidRPr="00FF7A7C" w14:paraId="3B23858C" w14:textId="77777777">
            <w:pPr>
              <w:pStyle w:val="ColumnHeading"/>
              <w:keepNext/>
            </w:pPr>
            <w:r w:rsidRPr="00FF7A7C">
              <w:t>Emendamento</w:t>
            </w:r>
          </w:p>
        </w:tc>
      </w:tr>
      <w:tr w14:paraId="1E6F278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CBF2F90" w14:textId="77777777">
            <w:pPr>
              <w:pStyle w:val="Normal6"/>
            </w:pPr>
            <w:r w:rsidRPr="00FF7A7C">
              <w:t>1.</w:t>
            </w:r>
            <w:r w:rsidRPr="00FF7A7C">
              <w:tab/>
              <w:t xml:space="preserve">sottolinea che </w:t>
            </w:r>
            <w:r w:rsidRPr="00FF7A7C">
              <w:rPr>
                <w:b/>
                <w:i/>
              </w:rPr>
              <w:t>il principale</w:t>
            </w:r>
            <w:r w:rsidRPr="00FF7A7C">
              <w:t xml:space="preserve"> insegnamento tratto dagli allargamenti dopo il 2004 è che la protezione del bilancio dell'UE dipende </w:t>
            </w:r>
            <w:r w:rsidRPr="00FF7A7C">
              <w:rPr>
                <w:b/>
                <w:i/>
              </w:rPr>
              <w:t>meno dalla scelta formale tra modelli di governance centralizzati, decentrati o multilivello che</w:t>
            </w:r>
            <w:r w:rsidRPr="00FF7A7C">
              <w:t xml:space="preserve"> dalla maturità operativa, dalla stabilità, dalla capacità digitale e dalla cultura dell'audit delle amministrazioni cui sono affidati i fondi dell'UE;</w:t>
            </w:r>
          </w:p>
        </w:tc>
        <w:tc>
          <w:tcPr>
            <w:tcW w:w="4876" w:type="dxa"/>
            <w:hideMark/>
          </w:tcPr>
          <w:p w:rsidR="00AC4730" w:rsidRPr="00FF7A7C" w14:paraId="2D909349" w14:textId="77777777">
            <w:pPr>
              <w:pStyle w:val="Normal6"/>
              <w:rPr>
                <w:szCs w:val="24"/>
              </w:rPr>
            </w:pPr>
            <w:r w:rsidRPr="00FF7A7C">
              <w:t>1.</w:t>
            </w:r>
            <w:r w:rsidRPr="00FF7A7C">
              <w:tab/>
              <w:t xml:space="preserve">sottolinea che </w:t>
            </w:r>
            <w:r w:rsidRPr="00FF7A7C">
              <w:rPr>
                <w:b/>
                <w:bCs/>
                <w:i/>
                <w:iCs/>
              </w:rPr>
              <w:t>un</w:t>
            </w:r>
            <w:r w:rsidRPr="00FF7A7C">
              <w:t xml:space="preserve"> insegnamento </w:t>
            </w:r>
            <w:r w:rsidRPr="00FF7A7C">
              <w:rPr>
                <w:b/>
                <w:i/>
              </w:rPr>
              <w:t>importante</w:t>
            </w:r>
            <w:r w:rsidRPr="00FF7A7C">
              <w:t xml:space="preserve"> tratto dagli allargamenti dopo il 2004 è che la protezione del bilancio dell'UE dipende dalla maturità operativa, dalla stabilità, dalla capacità digitale e dalla cultura dell'audit delle amministrazioni cui sono affidati i fondi dell'UE;</w:t>
            </w:r>
          </w:p>
        </w:tc>
      </w:tr>
    </w:tbl>
    <w:p w:rsidR="00AC4730" w:rsidRPr="00FF7A7C" w:rsidP="00AC4730" w14:paraId="294CD90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42F0A6F" w14:textId="77777777">
      <w:r w:rsidRPr="00FF7A7C">
        <w:rPr>
          <w:rStyle w:val="HideTWBExt"/>
        </w:rPr>
        <w:t>&lt;/Amend&gt;</w:t>
      </w:r>
    </w:p>
    <w:p w:rsidR="00AC4730" w:rsidRPr="00FF7A7C" w:rsidP="00AC4730" w14:paraId="1BB007D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B296978"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0EBFFA70" w14:textId="77777777">
      <w:r w:rsidRPr="00FF7A7C">
        <w:rPr>
          <w:rStyle w:val="HideTWBExt"/>
        </w:rPr>
        <w:t>&lt;/RepeatBlock-By&gt;</w:t>
      </w:r>
    </w:p>
    <w:p w:rsidR="00AC4730" w:rsidRPr="00FF7A7C" w:rsidP="00AC4730" w14:paraId="75F745FE"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A452107" w14:textId="77777777">
      <w:pPr>
        <w:pStyle w:val="NormalBold"/>
      </w:pPr>
      <w:r w:rsidRPr="00FF7A7C">
        <w:rPr>
          <w:rStyle w:val="HideTWBExt"/>
          <w:b w:val="0"/>
        </w:rPr>
        <w:t>&lt;Article&gt;</w:t>
      </w:r>
      <w:r w:rsidRPr="00FF7A7C">
        <w:t>Paragrafo 1</w:t>
      </w:r>
      <w:r w:rsidRPr="00FF7A7C">
        <w:rPr>
          <w:rStyle w:val="HideTWBExt"/>
          <w:b w:val="0"/>
        </w:rPr>
        <w:t>&lt;/</w:t>
      </w:r>
      <w:r w:rsidRPr="00FF7A7C">
        <w:rPr>
          <w:rStyle w:val="HideTWBExt"/>
          <w:b w:val="0"/>
        </w:rPr>
        <w:t>Article</w:t>
      </w:r>
      <w:r w:rsidRPr="00FF7A7C">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56354C30" w14:textId="77777777" w:rsidTr="00C00B24">
        <w:tblPrEx>
          <w:tblW w:w="9752" w:type="dxa"/>
          <w:jc w:val="center"/>
          <w:tblLayout w:type="fixed"/>
          <w:tblCellMar>
            <w:left w:w="340" w:type="dxa"/>
            <w:right w:w="340" w:type="dxa"/>
          </w:tblCellMar>
          <w:tblLook w:val="04A0"/>
        </w:tblPrEx>
        <w:trPr>
          <w:jc w:val="center"/>
        </w:trPr>
        <w:tc>
          <w:tcPr>
            <w:tcW w:w="9752" w:type="dxa"/>
            <w:gridSpan w:val="2"/>
          </w:tcPr>
          <w:p w:rsidR="00AC4730" w:rsidRPr="00FF7A7C" w14:paraId="3910D7D8" w14:textId="77777777">
            <w:pPr>
              <w:keepNext/>
            </w:pPr>
          </w:p>
        </w:tc>
      </w:tr>
      <w:tr w14:paraId="5318D0E1"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FF7A7C" w14:paraId="55B8BBA8" w14:textId="77777777">
            <w:pPr>
              <w:pStyle w:val="ColumnHeading"/>
              <w:keepNext/>
            </w:pPr>
            <w:r w:rsidRPr="00FF7A7C">
              <w:t>Proposta di risoluzione</w:t>
            </w:r>
          </w:p>
        </w:tc>
        <w:tc>
          <w:tcPr>
            <w:tcW w:w="4876" w:type="dxa"/>
            <w:hideMark/>
          </w:tcPr>
          <w:p w:rsidR="00AC4730" w:rsidRPr="00FF7A7C" w14:paraId="2B03FD4A" w14:textId="77777777">
            <w:pPr>
              <w:pStyle w:val="ColumnHeading"/>
              <w:keepNext/>
            </w:pPr>
            <w:r w:rsidRPr="00FF7A7C">
              <w:t>Emendamento</w:t>
            </w:r>
          </w:p>
        </w:tc>
      </w:tr>
      <w:tr w14:paraId="7A100C5C"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FF7A7C" w14:paraId="7A122F23" w14:textId="77777777">
            <w:pPr>
              <w:pStyle w:val="Normal6"/>
            </w:pPr>
            <w:r w:rsidRPr="00FF7A7C">
              <w:t>1.</w:t>
            </w:r>
            <w:r w:rsidRPr="00FF7A7C">
              <w:tab/>
            </w:r>
            <w:r w:rsidRPr="00FF7A7C">
              <w:t xml:space="preserve">sottolinea che il principale insegnamento tratto dagli allargamenti dopo il 2004 è che la protezione del bilancio dell'UE dipende meno dalla scelta formale tra modelli di governance centralizzati, decentrati o multilivello che dalla maturità operativa, dalla stabilità, dalla capacità digitale e </w:t>
            </w:r>
            <w:r w:rsidRPr="00FF7A7C">
              <w:rPr>
                <w:b/>
                <w:bCs/>
                <w:i/>
                <w:iCs/>
              </w:rPr>
              <w:t>dalla</w:t>
            </w:r>
            <w:r w:rsidRPr="00FF7A7C">
              <w:t xml:space="preserve"> cultura </w:t>
            </w:r>
            <w:r w:rsidRPr="00FF7A7C">
              <w:rPr>
                <w:b/>
                <w:bCs/>
                <w:i/>
                <w:iCs/>
              </w:rPr>
              <w:t>dell'</w:t>
            </w:r>
            <w:r w:rsidRPr="00FF7A7C">
              <w:t>audit delle amministrazioni cui sono affidati i fondi dell'UE;</w:t>
            </w:r>
          </w:p>
        </w:tc>
        <w:tc>
          <w:tcPr>
            <w:tcW w:w="4876" w:type="dxa"/>
            <w:hideMark/>
          </w:tcPr>
          <w:p w:rsidR="00C00B24" w:rsidRPr="00FF7A7C" w14:paraId="26A74508" w14:textId="77777777">
            <w:pPr>
              <w:pStyle w:val="Normal6"/>
              <w:rPr>
                <w:b/>
                <w:i/>
              </w:rPr>
            </w:pPr>
            <w:r w:rsidRPr="00FF7A7C">
              <w:t>1.</w:t>
            </w:r>
            <w:r w:rsidRPr="00FF7A7C">
              <w:tab/>
              <w:t xml:space="preserve">sottolinea che il principale insegnamento tratto dagli allargamenti dopo il 2004 è che la protezione del bilancio dell'UE dipende meno dalla scelta formale tra modelli di governance centralizzati, decentrati o multilivello che dalla maturità operativa, dalla stabilità, dalla capacità digitale e </w:t>
            </w:r>
            <w:r w:rsidRPr="00FF7A7C">
              <w:rPr>
                <w:b/>
                <w:i/>
              </w:rPr>
              <w:t>dall'efficacia della</w:t>
            </w:r>
            <w:r w:rsidRPr="00FF7A7C">
              <w:t xml:space="preserve"> cultura </w:t>
            </w:r>
            <w:r w:rsidRPr="00FF7A7C">
              <w:rPr>
                <w:b/>
                <w:i/>
              </w:rPr>
              <w:t>e dei sistemi di</w:t>
            </w:r>
            <w:r w:rsidRPr="00FF7A7C">
              <w:t xml:space="preserve"> audit delle amministrazioni cui sono affidati i fondi dell'UE;</w:t>
            </w:r>
            <w:r w:rsidRPr="00FF7A7C">
              <w:rPr>
                <w:b/>
                <w:i/>
              </w:rPr>
              <w:t xml:space="preserve"> ricorda che una solida protezione può sussistere solo all'interno di un sistema con istituzioni democratic</w:t>
            </w:r>
            <w:r w:rsidRPr="00FF7A7C">
              <w:rPr>
                <w:b/>
                <w:i/>
              </w:rPr>
              <w:t>he trasparenti, sistemi giudiziari indipendenti, un controllo e una trasparenza efficaci sulla distribuzione dei fondi e un solido quadro etico, comprese efficaci misure anticorruzione e garanzie sui conflitti di interessi;</w:t>
            </w:r>
          </w:p>
        </w:tc>
      </w:tr>
    </w:tbl>
    <w:p w:rsidR="00C00B24" w:rsidRPr="00FF7A7C" w:rsidP="00C00B24" w14:paraId="54B71810"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C00B24" w:rsidRPr="00FF7A7C" w:rsidP="00C00B24" w14:paraId="0F22F45C" w14:textId="77777777">
      <w:r w:rsidRPr="00FF7A7C">
        <w:rPr>
          <w:rStyle w:val="HideTWBExt"/>
        </w:rPr>
        <w:t>&lt;/Amend&gt;</w:t>
      </w:r>
    </w:p>
    <w:p w:rsidR="00AC4730" w:rsidRPr="00FF7A7C" w:rsidP="00AC4730" w14:paraId="4B05190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D9E16CF"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54DDC0F0" w14:textId="77777777">
      <w:r w:rsidRPr="00FF7A7C">
        <w:rPr>
          <w:rStyle w:val="HideTWBExt"/>
        </w:rPr>
        <w:t>&lt;/RepeatBlock-By&gt;</w:t>
      </w:r>
    </w:p>
    <w:p w:rsidR="00AC4730" w:rsidRPr="00FF7A7C" w:rsidP="00AC4730" w14:paraId="5A3FAACD"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7885EBA" w14:textId="77777777">
      <w:pPr>
        <w:pStyle w:val="NormalBold"/>
      </w:pPr>
      <w:r w:rsidRPr="00FF7A7C">
        <w:rPr>
          <w:rStyle w:val="HideTWBExt"/>
          <w:b w:val="0"/>
        </w:rPr>
        <w:t>&lt;Article&gt;</w:t>
      </w:r>
      <w:r w:rsidRPr="00FF7A7C">
        <w:t>Paragrafo 1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E094E7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5A6E0C3" w14:textId="77777777">
            <w:pPr>
              <w:keepNext/>
            </w:pPr>
          </w:p>
        </w:tc>
      </w:tr>
      <w:tr w14:paraId="7263170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614ED5A" w14:textId="77777777">
            <w:pPr>
              <w:pStyle w:val="ColumnHeading"/>
              <w:keepNext/>
            </w:pPr>
            <w:r w:rsidRPr="00FF7A7C">
              <w:t>Proposta di risoluzione</w:t>
            </w:r>
          </w:p>
        </w:tc>
        <w:tc>
          <w:tcPr>
            <w:tcW w:w="4876" w:type="dxa"/>
            <w:hideMark/>
          </w:tcPr>
          <w:p w:rsidR="00AC4730" w:rsidRPr="00FF7A7C" w14:paraId="3BE2444D" w14:textId="77777777">
            <w:pPr>
              <w:pStyle w:val="ColumnHeading"/>
              <w:keepNext/>
            </w:pPr>
            <w:r w:rsidRPr="00FF7A7C">
              <w:t>Emendamento</w:t>
            </w:r>
          </w:p>
        </w:tc>
      </w:tr>
      <w:tr w14:paraId="3C2C10A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E789987" w14:textId="77777777">
            <w:pPr>
              <w:pStyle w:val="Normal6"/>
            </w:pPr>
          </w:p>
        </w:tc>
        <w:tc>
          <w:tcPr>
            <w:tcW w:w="4876" w:type="dxa"/>
            <w:hideMark/>
          </w:tcPr>
          <w:p w:rsidR="00AC4730" w:rsidRPr="00FF7A7C" w14:paraId="53A6AC47" w14:textId="77777777">
            <w:pPr>
              <w:pStyle w:val="Normal6"/>
              <w:rPr>
                <w:szCs w:val="24"/>
              </w:rPr>
            </w:pPr>
            <w:r w:rsidRPr="00FF7A7C">
              <w:rPr>
                <w:b/>
                <w:i/>
              </w:rPr>
              <w:t>1 bis.</w:t>
            </w:r>
            <w:r w:rsidRPr="00FF7A7C">
              <w:rPr>
                <w:b/>
                <w:i/>
              </w:rPr>
              <w:tab/>
              <w:t xml:space="preserve">sottolinea che gli allargamenti avvenuti dal 2004 hanno contribuito alla coesione economica e politica dell'Unione, aumentando nel </w:t>
            </w:r>
            <w:r w:rsidRPr="00FF7A7C">
              <w:rPr>
                <w:b/>
                <w:i/>
              </w:rPr>
              <w:t>contempo la complessità dell'attuazione del bilancio e rendendo necessari sistemi più solidi di controllo finanziario, trasparenza e assunzione di responsabilità tutti gli Stati membri; sottolinea che gli Stati membri che hanno aderito all'Unione dopo il 2004 non solo hanno beneficiato dei finanziamenti dell'Unione in qualità di destinatari, ma hanno anche contribuito in modo considerevole al rafforzamento del mercato unico offrendo nuove opportunità per il commercio, gli investimenti e la crescita economic</w:t>
            </w:r>
            <w:r w:rsidRPr="00FF7A7C">
              <w:rPr>
                <w:b/>
                <w:i/>
              </w:rPr>
              <w:t>a, ampliando la base di consumatori dell'Unione, rafforzando la competitività delle catene del valore europee e contribuendo alla prosperità e alla resilienza complessive dell'Unione;</w:t>
            </w:r>
          </w:p>
        </w:tc>
      </w:tr>
    </w:tbl>
    <w:p w:rsidR="00AC4730" w:rsidRPr="00FF7A7C" w:rsidP="00AC4730" w14:paraId="018705D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3F72381" w14:textId="77777777">
      <w:r w:rsidRPr="00FF7A7C">
        <w:rPr>
          <w:rStyle w:val="HideTWBExt"/>
        </w:rPr>
        <w:t>&lt;/Amend&gt;</w:t>
      </w:r>
    </w:p>
    <w:p w:rsidR="00AC4730" w:rsidRPr="00FF7A7C" w:rsidP="00AC4730" w14:paraId="2B19DA0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9CD9BBE"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7FDC8067" w14:textId="77777777">
      <w:r w:rsidRPr="00FF7A7C">
        <w:rPr>
          <w:rStyle w:val="HideTWBExt"/>
        </w:rPr>
        <w:t>&lt;/RepeatBlock-By&gt;</w:t>
      </w:r>
    </w:p>
    <w:p w:rsidR="00AC4730" w:rsidRPr="00FF7A7C" w:rsidP="00AC4730" w14:paraId="4936F6B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CA31C40" w14:textId="77777777">
      <w:pPr>
        <w:pStyle w:val="NormalBold"/>
      </w:pPr>
      <w:r w:rsidRPr="00FF7A7C">
        <w:rPr>
          <w:rStyle w:val="HideTWBExt"/>
          <w:b w:val="0"/>
        </w:rPr>
        <w:t>&lt;Article&gt;</w:t>
      </w:r>
      <w:r w:rsidRPr="00FF7A7C">
        <w:t>Paragrafo 2</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24FF1D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87F9A50" w14:textId="77777777">
            <w:pPr>
              <w:keepNext/>
            </w:pPr>
          </w:p>
        </w:tc>
      </w:tr>
      <w:tr w14:paraId="281F18B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FFC910D" w14:textId="77777777">
            <w:pPr>
              <w:pStyle w:val="ColumnHeading"/>
              <w:keepNext/>
            </w:pPr>
            <w:r w:rsidRPr="00FF7A7C">
              <w:t>Proposta di risoluzione</w:t>
            </w:r>
          </w:p>
        </w:tc>
        <w:tc>
          <w:tcPr>
            <w:tcW w:w="4876" w:type="dxa"/>
            <w:hideMark/>
          </w:tcPr>
          <w:p w:rsidR="00AC4730" w:rsidRPr="00FF7A7C" w14:paraId="77558D6A" w14:textId="77777777">
            <w:pPr>
              <w:pStyle w:val="ColumnHeading"/>
              <w:keepNext/>
            </w:pPr>
            <w:r w:rsidRPr="00FF7A7C">
              <w:t>Emendamento</w:t>
            </w:r>
          </w:p>
        </w:tc>
      </w:tr>
      <w:tr w14:paraId="35CAD7F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C03EC09" w14:textId="77777777">
            <w:pPr>
              <w:pStyle w:val="Normal6"/>
            </w:pPr>
            <w:r w:rsidRPr="00FF7A7C">
              <w:t>2.</w:t>
            </w:r>
            <w:r w:rsidRPr="00FF7A7C">
              <w:tab/>
              <w:t xml:space="preserve">osserva che la struttura di governance da sola non </w:t>
            </w:r>
            <w:r w:rsidRPr="00FF7A7C">
              <w:t>determina il successo dell'attuazione e che, al contrario, la performance è dovuta principalmente ad altri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programmazione dei fondi dell'UE;</w:t>
            </w:r>
          </w:p>
        </w:tc>
        <w:tc>
          <w:tcPr>
            <w:tcW w:w="4876" w:type="dxa"/>
            <w:hideMark/>
          </w:tcPr>
          <w:p w:rsidR="00AC4730" w:rsidRPr="00FF7A7C" w14:paraId="4D830104" w14:textId="77777777">
            <w:pPr>
              <w:pStyle w:val="Normal6"/>
              <w:rPr>
                <w:szCs w:val="24"/>
              </w:rPr>
            </w:pPr>
            <w:r w:rsidRPr="00FF7A7C">
              <w:t>2.</w:t>
            </w:r>
            <w:r w:rsidRPr="00FF7A7C">
              <w:tab/>
              <w:t>osserva che la struttura di governance da sola non determina il successo dell'attuazione e che, al contrario, la performance è dovuta principalmente ad altri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w:t>
            </w:r>
            <w:r w:rsidRPr="00FF7A7C">
              <w:t xml:space="preserve">zione dei fondi dell'UE; </w:t>
            </w:r>
            <w:r w:rsidRPr="00FF7A7C">
              <w:rPr>
                <w:b/>
                <w:i/>
              </w:rPr>
              <w:t>sottolinea, a tale proposito, che le misure di sviluppo delle capacità dovrebbero rispettare l'organizzazione istituzionale degli Stati membri ed evitare di creare inutili strutture amministrative aggiuntive laddove i sistemi esistenti funzionano efficacemente;</w:t>
            </w:r>
          </w:p>
        </w:tc>
      </w:tr>
    </w:tbl>
    <w:p w:rsidR="00AC4730" w:rsidRPr="00FF7A7C" w:rsidP="00AC4730" w14:paraId="41CAD1B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CDCA79C" w14:textId="77777777">
      <w:r w:rsidRPr="00FF7A7C">
        <w:rPr>
          <w:rStyle w:val="HideTWBExt"/>
        </w:rPr>
        <w:t>&lt;/Amend&gt;</w:t>
      </w:r>
    </w:p>
    <w:p w:rsidR="00AC4730" w:rsidRPr="00FF7A7C" w:rsidP="00AC4730" w14:paraId="5816D9BF"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FAC5890"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11CE86E6" w14:textId="77777777">
      <w:r w:rsidRPr="00FF7A7C">
        <w:rPr>
          <w:rStyle w:val="HideTWBExt"/>
        </w:rPr>
        <w:t>&lt;/RepeatBlock-By&gt;</w:t>
      </w:r>
    </w:p>
    <w:p w:rsidR="00AC4730" w:rsidRPr="00FF7A7C" w:rsidP="00AC4730" w14:paraId="3B19DF5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A994EB6" w14:textId="77777777">
      <w:pPr>
        <w:pStyle w:val="NormalBold"/>
      </w:pPr>
      <w:r w:rsidRPr="00FF7A7C">
        <w:rPr>
          <w:rStyle w:val="HideTWBExt"/>
          <w:b w:val="0"/>
        </w:rPr>
        <w:t>&lt;Article&gt;</w:t>
      </w:r>
      <w:r w:rsidRPr="00FF7A7C">
        <w:t>Paragrafo 2</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5DF09C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66D9AF9" w14:textId="77777777">
            <w:pPr>
              <w:keepNext/>
            </w:pPr>
          </w:p>
        </w:tc>
      </w:tr>
      <w:tr w14:paraId="75A6C70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8876139" w14:textId="77777777">
            <w:pPr>
              <w:pStyle w:val="ColumnHeading"/>
              <w:keepNext/>
            </w:pPr>
            <w:r w:rsidRPr="00FF7A7C">
              <w:t xml:space="preserve">Proposta di </w:t>
            </w:r>
            <w:r w:rsidRPr="00FF7A7C">
              <w:t>risoluzione</w:t>
            </w:r>
          </w:p>
        </w:tc>
        <w:tc>
          <w:tcPr>
            <w:tcW w:w="4876" w:type="dxa"/>
            <w:hideMark/>
          </w:tcPr>
          <w:p w:rsidR="00AC4730" w:rsidRPr="00FF7A7C" w14:paraId="5CA9B58D" w14:textId="77777777">
            <w:pPr>
              <w:pStyle w:val="ColumnHeading"/>
              <w:keepNext/>
            </w:pPr>
            <w:r w:rsidRPr="00FF7A7C">
              <w:t>Emendamento</w:t>
            </w:r>
          </w:p>
        </w:tc>
      </w:tr>
      <w:tr w14:paraId="0811258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A2D309B" w14:textId="77777777">
            <w:pPr>
              <w:pStyle w:val="Normal6"/>
            </w:pPr>
            <w:r w:rsidRPr="00FF7A7C">
              <w:t>2.</w:t>
            </w:r>
            <w:r w:rsidRPr="00FF7A7C">
              <w:tab/>
              <w:t>osserva che la struttura di governance da sola non determina il successo dell'attuazione e che, al contrario, la performance è dovuta principalmente ad altri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w:t>
            </w:r>
            <w:r w:rsidRPr="00FF7A7C">
              <w:t>zione dei fondi dell'UE;</w:t>
            </w:r>
          </w:p>
        </w:tc>
        <w:tc>
          <w:tcPr>
            <w:tcW w:w="4876" w:type="dxa"/>
            <w:hideMark/>
          </w:tcPr>
          <w:p w:rsidR="00AC4730" w:rsidRPr="00FF7A7C" w14:paraId="52AE6979" w14:textId="77777777">
            <w:pPr>
              <w:pStyle w:val="Normal6"/>
              <w:rPr>
                <w:szCs w:val="24"/>
              </w:rPr>
            </w:pPr>
            <w:r w:rsidRPr="00FF7A7C">
              <w:t>2.</w:t>
            </w:r>
            <w:r w:rsidRPr="00FF7A7C">
              <w:tab/>
              <w:t>osserva che la struttura di governance da sola non determina il successo dell'attuazione e che, al contrario, la performance è dovuta principalmente ad altri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w:t>
            </w:r>
            <w:r w:rsidRPr="00FF7A7C">
              <w:t xml:space="preserve">zione dei fondi dell'UE; </w:t>
            </w:r>
            <w:r w:rsidRPr="00FF7A7C">
              <w:rPr>
                <w:b/>
                <w:i/>
              </w:rPr>
              <w:t>sottolinea che la Corte dei conti europea ha ripetutamente evidenziato l'importanza di una solida capacità amministrativa, di sistemi efficaci in materia di appalti pubblici e di strutture di audit indipendenti per la sana gestione dei fondi dell'Unione;</w:t>
            </w:r>
          </w:p>
        </w:tc>
      </w:tr>
    </w:tbl>
    <w:p w:rsidR="00AC4730" w:rsidRPr="00FF7A7C" w:rsidP="00AC4730" w14:paraId="14D91BA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805F828" w14:textId="77777777">
      <w:r w:rsidRPr="00FF7A7C">
        <w:rPr>
          <w:rStyle w:val="HideTWBExt"/>
        </w:rPr>
        <w:t>&lt;/Amend&gt;</w:t>
      </w:r>
    </w:p>
    <w:p w:rsidR="00AC4730" w:rsidRPr="00FF7A7C" w:rsidP="00AC4730" w14:paraId="480DFC5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B97297D"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511F98F8" w14:textId="77777777">
      <w:r w:rsidRPr="00FF7A7C">
        <w:rPr>
          <w:rStyle w:val="HideTWBExt"/>
        </w:rPr>
        <w:t>&lt;/RepeatBlock-By&gt;</w:t>
      </w:r>
    </w:p>
    <w:p w:rsidR="00AC4730" w:rsidRPr="00FF7A7C" w:rsidP="00AC4730" w14:paraId="443C45E6"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752604B" w14:textId="77777777">
      <w:pPr>
        <w:pStyle w:val="NormalBold"/>
      </w:pPr>
      <w:r w:rsidRPr="00FF7A7C">
        <w:rPr>
          <w:rStyle w:val="HideTWBExt"/>
          <w:b w:val="0"/>
        </w:rPr>
        <w:t>&lt;Article&gt;</w:t>
      </w:r>
      <w:r w:rsidRPr="00FF7A7C">
        <w:t>Paragrafo 2</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ACFCA3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E4511FD" w14:textId="77777777">
            <w:pPr>
              <w:keepNext/>
            </w:pPr>
          </w:p>
        </w:tc>
      </w:tr>
      <w:tr w14:paraId="4F59E72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08E49E5" w14:textId="77777777">
            <w:pPr>
              <w:pStyle w:val="ColumnHeading"/>
              <w:keepNext/>
            </w:pPr>
            <w:r w:rsidRPr="00FF7A7C">
              <w:t>Proposta di risoluzione</w:t>
            </w:r>
          </w:p>
        </w:tc>
        <w:tc>
          <w:tcPr>
            <w:tcW w:w="4876" w:type="dxa"/>
            <w:hideMark/>
          </w:tcPr>
          <w:p w:rsidR="00AC4730" w:rsidRPr="00FF7A7C" w14:paraId="4DB5B7D3" w14:textId="77777777">
            <w:pPr>
              <w:pStyle w:val="ColumnHeading"/>
              <w:keepNext/>
            </w:pPr>
            <w:r w:rsidRPr="00FF7A7C">
              <w:t>Emendamento</w:t>
            </w:r>
          </w:p>
        </w:tc>
      </w:tr>
      <w:tr w14:paraId="21D3BB9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704AFC9" w14:textId="77777777">
            <w:pPr>
              <w:pStyle w:val="Normal6"/>
            </w:pPr>
            <w:r w:rsidRPr="00FF7A7C">
              <w:t>2.</w:t>
            </w:r>
            <w:r w:rsidRPr="00FF7A7C">
              <w:tab/>
            </w:r>
            <w:r w:rsidRPr="00FF7A7C">
              <w:t xml:space="preserve">osserva che la struttura di governance da sola non determina il successo dell'attuazione e che, al contrario, la performance è dovuta principalmente ad altri fattori quali la capacità amministrativa, la trasformazione digitale, la stabilità </w:t>
            </w:r>
            <w:r w:rsidRPr="00FF7A7C">
              <w:rPr>
                <w:b/>
                <w:bCs/>
                <w:i/>
                <w:iCs/>
              </w:rPr>
              <w:t>istituzionale</w:t>
            </w:r>
            <w:r w:rsidRPr="00FF7A7C">
              <w:t>, la qualità delle risorse umane, i sistemi di gestione dei rischi, la maturità dell'attuazione, la capacità di assorbimento, gli appalti pubblici, le strutture di controllo e la cultura dell'audit, tutti fattori fondamentali per il successo della programmaz</w:t>
            </w:r>
            <w:r w:rsidRPr="00FF7A7C">
              <w:t>ione dei fondi dell'UE;</w:t>
            </w:r>
          </w:p>
        </w:tc>
        <w:tc>
          <w:tcPr>
            <w:tcW w:w="4876" w:type="dxa"/>
            <w:hideMark/>
          </w:tcPr>
          <w:p w:rsidR="00AC4730" w:rsidRPr="00FF7A7C" w14:paraId="19D880D9" w14:textId="77777777">
            <w:pPr>
              <w:pStyle w:val="Normal6"/>
              <w:rPr>
                <w:szCs w:val="24"/>
              </w:rPr>
            </w:pPr>
            <w:r w:rsidRPr="00FF7A7C">
              <w:t>2.</w:t>
            </w:r>
            <w:r w:rsidRPr="00FF7A7C">
              <w:tab/>
              <w:t xml:space="preserve">osserva che la struttura di governance da sola non determina il successo dell'attuazione e che, al contrario, la performance è dovuta principalmente ad altri fattori quali la capacità amministrativa, la trasformazione digitale, la stabilità </w:t>
            </w:r>
            <w:r w:rsidRPr="00FF7A7C">
              <w:rPr>
                <w:b/>
                <w:i/>
              </w:rPr>
              <w:t>e la trasparenza istituzionali</w:t>
            </w:r>
            <w:r w:rsidRPr="00FF7A7C">
              <w:t>, la qualità delle risorse umane, i sistemi di gestione dei rischi, la maturità dell'attuazione, la capacità di assorbimento, gli appalti pubblici, le strutture di controllo e la cultura dell'audit, tutti fattori fondamentali per il success</w:t>
            </w:r>
            <w:r w:rsidRPr="00FF7A7C">
              <w:t>o della programmazione dei fondi dell'UE;</w:t>
            </w:r>
            <w:r w:rsidRPr="00FF7A7C">
              <w:rPr>
                <w:b/>
                <w:i/>
              </w:rPr>
              <w:t xml:space="preserve"> sottolinea che un'attuazione efficace dovrebbe essere valutata anche in base al suo contributo alla riduzione delle disuguaglianze regionali, sociali e territoriali e alla promozione di servizi pubblici di qualità;</w:t>
            </w:r>
          </w:p>
        </w:tc>
      </w:tr>
    </w:tbl>
    <w:p w:rsidR="00AC4730" w:rsidRPr="00FF7A7C" w:rsidP="00AC4730" w14:paraId="52D0FAA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62DC917" w14:textId="77777777">
      <w:r w:rsidRPr="00FF7A7C">
        <w:rPr>
          <w:rStyle w:val="HideTWBExt"/>
        </w:rPr>
        <w:t>&lt;/Amend&gt;</w:t>
      </w:r>
    </w:p>
    <w:p w:rsidR="00AC4730" w:rsidRPr="00FF7A7C" w:rsidP="00AC4730" w14:paraId="15885611"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A5A946E"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6FFD1A06" w14:textId="77777777">
      <w:r w:rsidRPr="00FF7A7C">
        <w:rPr>
          <w:rStyle w:val="HideTWBExt"/>
        </w:rPr>
        <w:t>&lt;/RepeatBlock-By&gt;</w:t>
      </w:r>
    </w:p>
    <w:p w:rsidR="00AC4730" w:rsidRPr="00FF7A7C" w:rsidP="00AC4730" w14:paraId="5BDC3EC1"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B606594" w14:textId="77777777">
      <w:pPr>
        <w:pStyle w:val="NormalBold"/>
      </w:pPr>
      <w:r w:rsidRPr="00FF7A7C">
        <w:rPr>
          <w:rStyle w:val="HideTWBExt"/>
          <w:b w:val="0"/>
        </w:rPr>
        <w:t>&lt;Article&gt;</w:t>
      </w:r>
      <w:r w:rsidRPr="00FF7A7C">
        <w:t>Paragrafo 2</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DA0CA0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C25B516" w14:textId="77777777">
            <w:pPr>
              <w:keepNext/>
            </w:pPr>
          </w:p>
        </w:tc>
      </w:tr>
      <w:tr w14:paraId="09BED7E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C747CB6" w14:textId="77777777">
            <w:pPr>
              <w:pStyle w:val="ColumnHeading"/>
              <w:keepNext/>
            </w:pPr>
            <w:r w:rsidRPr="00FF7A7C">
              <w:t>Proposta di risoluzione</w:t>
            </w:r>
          </w:p>
        </w:tc>
        <w:tc>
          <w:tcPr>
            <w:tcW w:w="4876" w:type="dxa"/>
            <w:hideMark/>
          </w:tcPr>
          <w:p w:rsidR="00AC4730" w:rsidRPr="00FF7A7C" w14:paraId="7BE13518" w14:textId="77777777">
            <w:pPr>
              <w:pStyle w:val="ColumnHeading"/>
              <w:keepNext/>
            </w:pPr>
            <w:r w:rsidRPr="00FF7A7C">
              <w:t>Emendamento</w:t>
            </w:r>
          </w:p>
        </w:tc>
      </w:tr>
      <w:tr w14:paraId="759F67E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96D67E5" w14:textId="77777777">
            <w:pPr>
              <w:pStyle w:val="Normal6"/>
            </w:pPr>
            <w:r w:rsidRPr="00FF7A7C">
              <w:t>2.</w:t>
            </w:r>
            <w:r w:rsidRPr="00FF7A7C">
              <w:tab/>
              <w:t xml:space="preserve">osserva che la struttura di governance da sola non determina il successo dell'attuazione e che, al contrario, la performance è dovuta </w:t>
            </w:r>
            <w:r w:rsidRPr="00FF7A7C">
              <w:t>principalmente ad altri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programmazione dei fondi dell'UE;</w:t>
            </w:r>
          </w:p>
        </w:tc>
        <w:tc>
          <w:tcPr>
            <w:tcW w:w="4876" w:type="dxa"/>
            <w:hideMark/>
          </w:tcPr>
          <w:p w:rsidR="00AC4730" w:rsidRPr="00FF7A7C" w14:paraId="7537B81F" w14:textId="77777777">
            <w:pPr>
              <w:pStyle w:val="Normal6"/>
              <w:rPr>
                <w:szCs w:val="24"/>
              </w:rPr>
            </w:pPr>
            <w:r w:rsidRPr="00FF7A7C">
              <w:t>2.</w:t>
            </w:r>
            <w:r w:rsidRPr="00FF7A7C">
              <w:tab/>
              <w:t xml:space="preserve">osserva che la struttura di governance da sola non determina il successo dell'attuazione e che, al contrario, la performance è dovuta principalmente ad altri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w:t>
            </w:r>
            <w:r w:rsidRPr="00FF7A7C">
              <w:rPr>
                <w:b/>
                <w:i/>
              </w:rPr>
              <w:t>la qualità della regolamentazione e la certezza del diritt</w:t>
            </w:r>
            <w:r w:rsidRPr="00FF7A7C">
              <w:rPr>
                <w:b/>
                <w:i/>
              </w:rPr>
              <w:t>o,</w:t>
            </w:r>
            <w:r w:rsidRPr="00FF7A7C">
              <w:t xml:space="preserve"> tutti fattori fondamentali per il successo della programmazione dei fondi dell'UE;</w:t>
            </w:r>
          </w:p>
        </w:tc>
      </w:tr>
    </w:tbl>
    <w:p w:rsidR="00AC4730" w:rsidRPr="00FF7A7C" w:rsidP="00AC4730" w14:paraId="7F61353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F43A9BE" w14:textId="77777777">
      <w:r w:rsidRPr="00FF7A7C">
        <w:rPr>
          <w:rStyle w:val="HideTWBExt"/>
        </w:rPr>
        <w:t>&lt;/Amend&gt;</w:t>
      </w:r>
    </w:p>
    <w:p w:rsidR="00AC4730" w:rsidRPr="00FF7A7C" w:rsidP="00AC4730" w14:paraId="71D3B65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207ED8B"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6530CCBA" w14:textId="77777777">
      <w:r w:rsidRPr="00FF7A7C">
        <w:rPr>
          <w:rStyle w:val="HideTWBExt"/>
        </w:rPr>
        <w:t>&lt;/RepeatBlock-By&gt;</w:t>
      </w:r>
    </w:p>
    <w:p w:rsidR="00AC4730" w:rsidRPr="00FF7A7C" w:rsidP="00AC4730" w14:paraId="1C2AF69B"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7435587" w14:textId="77777777">
      <w:pPr>
        <w:pStyle w:val="NormalBold"/>
      </w:pPr>
      <w:r w:rsidRPr="00FF7A7C">
        <w:rPr>
          <w:rStyle w:val="HideTWBExt"/>
          <w:b w:val="0"/>
        </w:rPr>
        <w:t>&lt;Article&gt;</w:t>
      </w:r>
      <w:r w:rsidRPr="00FF7A7C">
        <w:t>Paragrafo 2</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057387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D34DEE1" w14:textId="77777777">
            <w:pPr>
              <w:keepNext/>
            </w:pPr>
          </w:p>
        </w:tc>
      </w:tr>
      <w:tr w14:paraId="41DCB3E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D1E78E4" w14:textId="77777777">
            <w:pPr>
              <w:pStyle w:val="ColumnHeading"/>
              <w:keepNext/>
            </w:pPr>
            <w:r w:rsidRPr="00FF7A7C">
              <w:t xml:space="preserve">Proposta di </w:t>
            </w:r>
            <w:r w:rsidRPr="00FF7A7C">
              <w:t>risoluzione</w:t>
            </w:r>
          </w:p>
        </w:tc>
        <w:tc>
          <w:tcPr>
            <w:tcW w:w="4876" w:type="dxa"/>
            <w:hideMark/>
          </w:tcPr>
          <w:p w:rsidR="00AC4730" w:rsidRPr="00FF7A7C" w14:paraId="65106AC3" w14:textId="77777777">
            <w:pPr>
              <w:pStyle w:val="ColumnHeading"/>
              <w:keepNext/>
            </w:pPr>
            <w:r w:rsidRPr="00FF7A7C">
              <w:t>Emendamento</w:t>
            </w:r>
          </w:p>
        </w:tc>
      </w:tr>
      <w:tr w14:paraId="065CB78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AEF52F4" w14:textId="77777777">
            <w:pPr>
              <w:pStyle w:val="Normal6"/>
            </w:pPr>
            <w:r w:rsidRPr="00FF7A7C">
              <w:t>2.</w:t>
            </w:r>
            <w:r w:rsidRPr="00FF7A7C">
              <w:tab/>
              <w:t xml:space="preserve">osserva che la </w:t>
            </w:r>
            <w:r w:rsidRPr="00FF7A7C">
              <w:rPr>
                <w:b/>
                <w:i/>
              </w:rPr>
              <w:t>struttura di</w:t>
            </w:r>
            <w:r w:rsidRPr="00FF7A7C">
              <w:t xml:space="preserve"> governance </w:t>
            </w:r>
            <w:r w:rsidRPr="00FF7A7C">
              <w:rPr>
                <w:b/>
                <w:i/>
              </w:rPr>
              <w:t>da sola non determina il successo dell'attuazione e che, al contrario, la performance è dovuta principalmente ad altri</w:t>
            </w:r>
            <w:r w:rsidRPr="00FF7A7C">
              <w:t xml:space="preserve"> fattori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w:t>
            </w:r>
            <w:r w:rsidRPr="00FF7A7C">
              <w:t>zione dei fondi dell'UE;</w:t>
            </w:r>
          </w:p>
        </w:tc>
        <w:tc>
          <w:tcPr>
            <w:tcW w:w="4876" w:type="dxa"/>
            <w:hideMark/>
          </w:tcPr>
          <w:p w:rsidR="00AC4730" w:rsidRPr="00FF7A7C" w14:paraId="5A4E3BE5" w14:textId="77777777">
            <w:pPr>
              <w:pStyle w:val="Normal6"/>
              <w:rPr>
                <w:szCs w:val="24"/>
              </w:rPr>
            </w:pPr>
            <w:r w:rsidRPr="00FF7A7C">
              <w:t>2.</w:t>
            </w:r>
            <w:r w:rsidRPr="00FF7A7C">
              <w:tab/>
              <w:t xml:space="preserve">osserva che la </w:t>
            </w:r>
            <w:r w:rsidRPr="00FF7A7C">
              <w:rPr>
                <w:b/>
                <w:i/>
              </w:rPr>
              <w:t>qualità della</w:t>
            </w:r>
            <w:r w:rsidRPr="00FF7A7C">
              <w:t xml:space="preserve"> governance </w:t>
            </w:r>
            <w:r w:rsidRPr="00FF7A7C">
              <w:rPr>
                <w:b/>
                <w:i/>
              </w:rPr>
              <w:t>dei fondi UE dipende altresì da una serie di</w:t>
            </w:r>
            <w:r w:rsidRPr="00FF7A7C">
              <w:t xml:space="preserve"> fattori </w:t>
            </w:r>
            <w:r w:rsidRPr="00FF7A7C">
              <w:rPr>
                <w:b/>
                <w:i/>
              </w:rPr>
              <w:t>importanti,</w:t>
            </w:r>
            <w:r w:rsidRPr="00FF7A7C">
              <w:t xml:space="preserve"> quali la capacità amministrativa, la trasformazione digitale, la stabilità istituzionale, la qualità delle risorse umane, i sistemi di gestione dei rischi, la maturità dell'attuazione, la capacità di assorbimento, gli appalti pubblici, le strutture di controllo e la cultura dell'audit, tutti fattori fondamentali per il successo della programmazione dei fondi dell'UE;</w:t>
            </w:r>
          </w:p>
        </w:tc>
      </w:tr>
    </w:tbl>
    <w:p w:rsidR="00AC4730" w:rsidRPr="00FF7A7C" w:rsidP="00AC4730" w14:paraId="2DFA83A0"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E985E13" w14:textId="77777777">
      <w:r w:rsidRPr="00FF7A7C">
        <w:rPr>
          <w:rStyle w:val="HideTWBExt"/>
        </w:rPr>
        <w:t>&lt;/Amend&gt;</w:t>
      </w:r>
    </w:p>
    <w:p w:rsidR="00AC4730" w:rsidRPr="00FF7A7C" w:rsidP="00AC4730" w14:paraId="365DEDA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29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C72BEC3"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690D274A" w14:textId="77777777">
      <w:r w:rsidRPr="00FF7A7C">
        <w:rPr>
          <w:rStyle w:val="HideTWBExt"/>
        </w:rPr>
        <w:t>&lt;/RepeatBlock-By&gt;</w:t>
      </w:r>
    </w:p>
    <w:p w:rsidR="00AC4730" w:rsidRPr="00FF7A7C" w:rsidP="00AC4730" w14:paraId="38A923AA"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BCA0C2C" w14:textId="77777777">
      <w:pPr>
        <w:pStyle w:val="NormalBold"/>
      </w:pPr>
      <w:r w:rsidRPr="00FF7A7C">
        <w:rPr>
          <w:rStyle w:val="HideTWBExt"/>
          <w:b w:val="0"/>
        </w:rPr>
        <w:t>&lt;Article&gt;</w:t>
      </w:r>
      <w:r w:rsidRPr="00FF7A7C">
        <w:t>Paragrafo 2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23783B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141BE8A" w14:textId="77777777">
            <w:pPr>
              <w:keepNext/>
            </w:pPr>
          </w:p>
        </w:tc>
      </w:tr>
      <w:tr w14:paraId="64947D8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6C48CD8" w14:textId="77777777">
            <w:pPr>
              <w:pStyle w:val="ColumnHeading"/>
              <w:keepNext/>
            </w:pPr>
            <w:r w:rsidRPr="00FF7A7C">
              <w:t>Proposta di risoluzione</w:t>
            </w:r>
          </w:p>
        </w:tc>
        <w:tc>
          <w:tcPr>
            <w:tcW w:w="4876" w:type="dxa"/>
            <w:hideMark/>
          </w:tcPr>
          <w:p w:rsidR="00AC4730" w:rsidRPr="00FF7A7C" w14:paraId="4D5C2F6E" w14:textId="77777777">
            <w:pPr>
              <w:pStyle w:val="ColumnHeading"/>
              <w:keepNext/>
            </w:pPr>
            <w:r w:rsidRPr="00FF7A7C">
              <w:t>Emendamento</w:t>
            </w:r>
          </w:p>
        </w:tc>
      </w:tr>
      <w:tr w14:paraId="4D7D37C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2FA18E53" w14:textId="77777777">
            <w:pPr>
              <w:pStyle w:val="Normal6"/>
            </w:pPr>
          </w:p>
        </w:tc>
        <w:tc>
          <w:tcPr>
            <w:tcW w:w="4876" w:type="dxa"/>
            <w:hideMark/>
          </w:tcPr>
          <w:p w:rsidR="00AC4730" w:rsidRPr="00FF7A7C" w14:paraId="63DDC28B" w14:textId="77777777">
            <w:pPr>
              <w:pStyle w:val="Normal6"/>
              <w:rPr>
                <w:szCs w:val="24"/>
              </w:rPr>
            </w:pPr>
            <w:r w:rsidRPr="00FF7A7C">
              <w:rPr>
                <w:b/>
                <w:i/>
              </w:rPr>
              <w:t>2</w:t>
            </w:r>
            <w:r w:rsidRPr="00FF7A7C">
              <w:rPr>
                <w:b/>
                <w:i/>
              </w:rPr>
              <w:t xml:space="preserve"> bis.</w:t>
            </w:r>
            <w:r w:rsidRPr="00FF7A7C">
              <w:rPr>
                <w:b/>
                <w:i/>
              </w:rPr>
              <w:tab/>
              <w:t xml:space="preserve">osserva con preoccupazione che, sebbene i fondi dell'Unione siano destinati a promuovere la coesione economica, sociale e territoriale e a sostenere lo sviluppo delle regioni meno prospere, i </w:t>
            </w:r>
            <w:r w:rsidRPr="00FF7A7C">
              <w:rPr>
                <w:b/>
                <w:i/>
              </w:rPr>
              <w:t>loro vantaggi economici non sono sempre mantenuti all'interno degli Stati membri o delle regioni che ne beneficiano; evidenzia che una quota significativa degli effetti economici indiretti degli investimenti finanziati dall'UE va a vantaggio degli Stati membri economicamente più forti attraverso catene di approvvigionamento transfrontaliere, contratti di appalto, flussi commerciali e integrazione del mercato, con effetti di ricaduta stimati a 345,5 miliardi di EUR solo per il dispositivo per la ripresa e la</w:t>
            </w:r>
            <w:r w:rsidRPr="00FF7A7C">
              <w:rPr>
                <w:b/>
                <w:i/>
              </w:rPr>
              <w:t xml:space="preserve"> resilienza</w:t>
            </w:r>
            <w:r w:rsidRPr="00FF7A7C">
              <w:rPr>
                <w:b/>
                <w:i/>
                <w:vertAlign w:val="superscript"/>
              </w:rPr>
              <w:t>1 bis</w:t>
            </w:r>
            <w:r w:rsidRPr="00FF7A7C">
              <w:rPr>
                <w:b/>
                <w:i/>
              </w:rPr>
              <w:t>; invita la Commissione a valutare tali effetti distributivi in modo più sistematico e a garantire che i futuri programmi di coesione e di investimento massimizzino la creazione sostenibile di valore locale, rafforzino le capacità economiche regionali e contribuiscano in modo più efficace alla convergenza verso l'alto in tutta l'Unione;</w:t>
            </w:r>
          </w:p>
        </w:tc>
      </w:tr>
      <w:tr w14:paraId="0F6CBF0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7D16246" w14:textId="77777777">
            <w:pPr>
              <w:pStyle w:val="Normal6"/>
            </w:pPr>
          </w:p>
        </w:tc>
        <w:tc>
          <w:tcPr>
            <w:tcW w:w="4876" w:type="dxa"/>
            <w:hideMark/>
          </w:tcPr>
          <w:p w:rsidR="00AC4730" w:rsidRPr="00FF7A7C" w14:paraId="16B3EBE0" w14:textId="77777777">
            <w:pPr>
              <w:pStyle w:val="Normal6"/>
              <w:rPr>
                <w:szCs w:val="24"/>
              </w:rPr>
            </w:pPr>
            <w:r w:rsidRPr="00FF7A7C">
              <w:rPr>
                <w:b/>
                <w:i/>
              </w:rPr>
              <w:t>__________________</w:t>
            </w:r>
          </w:p>
        </w:tc>
      </w:tr>
      <w:tr w14:paraId="7532787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9EA24EC" w14:textId="77777777">
            <w:pPr>
              <w:pStyle w:val="Normal6"/>
            </w:pPr>
          </w:p>
        </w:tc>
        <w:tc>
          <w:tcPr>
            <w:tcW w:w="4876" w:type="dxa"/>
            <w:hideMark/>
          </w:tcPr>
          <w:p w:rsidR="00AC4730" w:rsidRPr="00FF7A7C" w14:paraId="06974B5A" w14:textId="77777777">
            <w:pPr>
              <w:pStyle w:val="Normal6"/>
              <w:rPr>
                <w:szCs w:val="24"/>
              </w:rPr>
            </w:pPr>
            <w:r w:rsidRPr="00FF7A7C">
              <w:rPr>
                <w:b/>
                <w:i/>
                <w:vertAlign w:val="superscript"/>
              </w:rPr>
              <w:t>1 bis</w:t>
            </w:r>
            <w:r w:rsidRPr="00FF7A7C">
              <w:t xml:space="preserve"> </w:t>
            </w:r>
            <w:r w:rsidRPr="00FF7A7C">
              <w:rPr>
                <w:b/>
                <w:i/>
              </w:rPr>
              <w:t>https://economy-finance.ec.europa.eu/publications/economic-impacts-recovery-and-resilience-facility-new-insights-sectoral-level-and-case-germany_en?prefLang=it</w:t>
            </w:r>
            <w:r w:rsidRPr="00FF7A7C">
              <w:t>.</w:t>
            </w:r>
          </w:p>
        </w:tc>
      </w:tr>
    </w:tbl>
    <w:p w:rsidR="00AC4730" w:rsidRPr="00FF7A7C" w:rsidP="00AC4730" w14:paraId="2C442C9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E709D03" w14:textId="77777777">
      <w:r w:rsidRPr="00FF7A7C">
        <w:rPr>
          <w:rStyle w:val="HideTWBExt"/>
        </w:rPr>
        <w:t>&lt;/Amend&gt;</w:t>
      </w:r>
    </w:p>
    <w:p w:rsidR="00AC4730" w:rsidRPr="00FF7A7C" w:rsidP="00AC4730" w14:paraId="5144605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730EB28"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3ABA398B" w14:textId="77777777">
      <w:r w:rsidRPr="00FF7A7C">
        <w:rPr>
          <w:rStyle w:val="HideTWBExt"/>
        </w:rPr>
        <w:t>&lt;/RepeatBlock-By&gt;</w:t>
      </w:r>
    </w:p>
    <w:p w:rsidR="00AC4730" w:rsidRPr="00FF7A7C" w:rsidP="00AC4730" w14:paraId="153E6570"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5C6284C" w14:textId="77777777">
      <w:pPr>
        <w:pStyle w:val="NormalBold"/>
      </w:pPr>
      <w:r w:rsidRPr="00FF7A7C">
        <w:rPr>
          <w:rStyle w:val="HideTWBExt"/>
          <w:b w:val="0"/>
        </w:rPr>
        <w:t>&lt;Article&gt;</w:t>
      </w:r>
      <w:r w:rsidRPr="00FF7A7C">
        <w:t xml:space="preserve">Paragrafo 2 ter </w:t>
      </w:r>
      <w:r w:rsidRPr="00FF7A7C">
        <w:t>(nuovo)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23B21F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E049E55" w14:textId="77777777">
            <w:pPr>
              <w:keepNext/>
            </w:pPr>
          </w:p>
        </w:tc>
      </w:tr>
      <w:tr w14:paraId="0993A01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192903D" w14:textId="77777777">
            <w:pPr>
              <w:pStyle w:val="ColumnHeading"/>
              <w:keepNext/>
            </w:pPr>
            <w:r w:rsidRPr="00FF7A7C">
              <w:t>Proposta di risoluzione</w:t>
            </w:r>
          </w:p>
        </w:tc>
        <w:tc>
          <w:tcPr>
            <w:tcW w:w="4876" w:type="dxa"/>
            <w:hideMark/>
          </w:tcPr>
          <w:p w:rsidR="00AC4730" w:rsidRPr="00FF7A7C" w14:paraId="1EB46501" w14:textId="77777777">
            <w:pPr>
              <w:pStyle w:val="ColumnHeading"/>
              <w:keepNext/>
            </w:pPr>
            <w:r w:rsidRPr="00FF7A7C">
              <w:t>Emendamento</w:t>
            </w:r>
          </w:p>
        </w:tc>
      </w:tr>
      <w:tr w14:paraId="7664E37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7F72870C" w14:textId="77777777">
            <w:pPr>
              <w:pStyle w:val="Normal6"/>
            </w:pPr>
          </w:p>
        </w:tc>
        <w:tc>
          <w:tcPr>
            <w:tcW w:w="4876" w:type="dxa"/>
            <w:hideMark/>
          </w:tcPr>
          <w:p w:rsidR="00AC4730" w:rsidRPr="00FF7A7C" w14:paraId="67B3C3A1" w14:textId="77777777">
            <w:pPr>
              <w:pStyle w:val="Normal6"/>
              <w:rPr>
                <w:szCs w:val="24"/>
              </w:rPr>
            </w:pPr>
            <w:r w:rsidRPr="00FF7A7C">
              <w:rPr>
                <w:b/>
                <w:i/>
              </w:rPr>
              <w:t>2</w:t>
            </w:r>
            <w:r w:rsidRPr="00FF7A7C">
              <w:rPr>
                <w:b/>
                <w:i/>
              </w:rPr>
              <w:t xml:space="preserve"> ter.</w:t>
            </w:r>
            <w:r w:rsidRPr="00FF7A7C">
              <w:rPr>
                <w:b/>
                <w:i/>
              </w:rPr>
              <w:tab/>
              <w:t xml:space="preserve">sottolinea che l'efficacia dei finanziamenti dell'Unione dipende dalla sua capacità di rispondere alle specifiche esigenze economiche, sociali e territoriali delle regioni e delle </w:t>
            </w:r>
            <w:r w:rsidRPr="00FF7A7C">
              <w:rPr>
                <w:b/>
                <w:i/>
              </w:rPr>
              <w:t>comunità interessate; osserva che, in alcuni casi, le priorità politiche sostenute attraverso i fondi dell'Unione non sono state sufficientemente allineate alle esigenze di sviluppo locale e regionale, il che ha comportato investimenti con un valore aggiunto limitato o uno scarso impatto a lungo termine per i beneficiari; invita la Commissione e gli Stati membri a rafforzare l'approccio basato sul territorio ai finanziamenti dell'UE e a promuovere una programmazione più mirata, basata su dati concreti e ori</w:t>
            </w:r>
            <w:r w:rsidRPr="00FF7A7C">
              <w:rPr>
                <w:b/>
                <w:i/>
              </w:rPr>
              <w:t>entata alle esigenze, garantendo che gli investimenti siano meglio adattati alle circostanze regionali e producano benefici tangibili e sostenibili per le comunità locali, nel rispetto degli obiettivi strategici dell'Unione;</w:t>
            </w:r>
          </w:p>
        </w:tc>
      </w:tr>
    </w:tbl>
    <w:p w:rsidR="00AC4730" w:rsidRPr="00FF7A7C" w:rsidP="00AC4730" w14:paraId="1776F5E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9C4055E" w14:textId="77777777">
      <w:r w:rsidRPr="00FF7A7C">
        <w:rPr>
          <w:rStyle w:val="HideTWBExt"/>
        </w:rPr>
        <w:t>&lt;/Amend&gt;</w:t>
      </w:r>
    </w:p>
    <w:p w:rsidR="00AC4730" w:rsidRPr="00FF7A7C" w:rsidP="00AC4730" w14:paraId="000EC351"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1679792"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0E2EAF22" w14:textId="77777777">
      <w:r w:rsidRPr="00FF7A7C">
        <w:rPr>
          <w:rStyle w:val="HideTWBExt"/>
        </w:rPr>
        <w:t>&lt;/RepeatBlock-By&gt;</w:t>
      </w:r>
    </w:p>
    <w:p w:rsidR="00AC4730" w:rsidRPr="00FF7A7C" w:rsidP="00AC4730" w14:paraId="30016C7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1AAE526" w14:textId="77777777">
      <w:pPr>
        <w:pStyle w:val="NormalBold"/>
      </w:pPr>
      <w:r w:rsidRPr="00FF7A7C">
        <w:rPr>
          <w:rStyle w:val="HideTWBExt"/>
          <w:b w:val="0"/>
        </w:rPr>
        <w:t>&lt;Article&gt;</w:t>
      </w:r>
      <w:r w:rsidRPr="00FF7A7C">
        <w:t>Paragrafo 3</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946BAA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425CD6D" w14:textId="77777777">
            <w:pPr>
              <w:keepNext/>
            </w:pPr>
          </w:p>
        </w:tc>
      </w:tr>
      <w:tr w14:paraId="2DE6271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97322EF" w14:textId="77777777">
            <w:pPr>
              <w:pStyle w:val="ColumnHeading"/>
              <w:keepNext/>
            </w:pPr>
            <w:r w:rsidRPr="00FF7A7C">
              <w:t>Proposta di risoluzione</w:t>
            </w:r>
          </w:p>
        </w:tc>
        <w:tc>
          <w:tcPr>
            <w:tcW w:w="4876" w:type="dxa"/>
            <w:hideMark/>
          </w:tcPr>
          <w:p w:rsidR="00AC4730" w:rsidRPr="00FF7A7C" w14:paraId="1110003F" w14:textId="77777777">
            <w:pPr>
              <w:pStyle w:val="ColumnHeading"/>
              <w:keepNext/>
            </w:pPr>
            <w:r w:rsidRPr="00FF7A7C">
              <w:t>Emendamento</w:t>
            </w:r>
          </w:p>
        </w:tc>
      </w:tr>
      <w:tr w14:paraId="5376E0C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17550CC" w14:textId="77777777">
            <w:pPr>
              <w:pStyle w:val="Normal6"/>
            </w:pPr>
            <w:r w:rsidRPr="00FF7A7C">
              <w:t>3.</w:t>
            </w:r>
            <w:r w:rsidRPr="00FF7A7C">
              <w:tab/>
            </w:r>
            <w:r w:rsidRPr="00FF7A7C">
              <w:t>sottolinea che</w:t>
            </w:r>
            <w:r w:rsidRPr="00FF7A7C">
              <w:rPr>
                <w:b/>
                <w:i/>
              </w:rPr>
              <w:t>, sebbene</w:t>
            </w:r>
            <w:r w:rsidRPr="00FF7A7C">
              <w:t xml:space="preserve"> le condizionalità ex ante </w:t>
            </w:r>
            <w:r w:rsidRPr="00FF7A7C">
              <w:rPr>
                <w:b/>
                <w:i/>
              </w:rPr>
              <w:t>siano</w:t>
            </w:r>
            <w:r w:rsidRPr="00FF7A7C">
              <w:t xml:space="preserve"> risultate altamente efficaci nel migliorare la qualità della governance e nel garantire la coerenza nell'attuazione dei fondi</w:t>
            </w:r>
            <w:r w:rsidRPr="00FF7A7C">
              <w:rPr>
                <w:b/>
                <w:bCs/>
                <w:i/>
                <w:iCs/>
              </w:rPr>
              <w:t>, la capacità amministrativa ha costituito la principale strozzatura</w:t>
            </w:r>
            <w:r w:rsidRPr="00FF7A7C">
              <w:t xml:space="preserve">; </w:t>
            </w:r>
            <w:r w:rsidRPr="00FF7A7C">
              <w:rPr>
                <w:b/>
                <w:i/>
              </w:rPr>
              <w:t xml:space="preserve">si </w:t>
            </w:r>
            <w:r w:rsidRPr="00FF7A7C">
              <w:rPr>
                <w:b/>
                <w:i/>
              </w:rPr>
              <w:t>rammarica che la "capacità limitata" di alcune autorità di gestione abbia direttamente ostacolato l'efficacia, causando ritardi, un aumento del rischio di errore e una ridotta capacità di assorbimento, il che sottolinea che il denaro da solo non può promuovere lo sviluppo se non è sostenuto da istituzioni di qualità e da risorse umane stabili e qualificate;</w:t>
            </w:r>
          </w:p>
        </w:tc>
        <w:tc>
          <w:tcPr>
            <w:tcW w:w="4876" w:type="dxa"/>
            <w:hideMark/>
          </w:tcPr>
          <w:p w:rsidR="00AC4730" w:rsidRPr="00FF7A7C" w14:paraId="3CA9A6F5" w14:textId="77777777">
            <w:pPr>
              <w:pStyle w:val="Normal6"/>
              <w:rPr>
                <w:szCs w:val="24"/>
              </w:rPr>
            </w:pPr>
            <w:r w:rsidRPr="00FF7A7C">
              <w:t>3.</w:t>
            </w:r>
            <w:r w:rsidRPr="00FF7A7C">
              <w:tab/>
              <w:t xml:space="preserve">sottolinea che le condizionalità ex ante </w:t>
            </w:r>
            <w:r w:rsidRPr="00FF7A7C">
              <w:rPr>
                <w:b/>
                <w:bCs/>
                <w:i/>
                <w:iCs/>
              </w:rPr>
              <w:t>sono</w:t>
            </w:r>
            <w:r w:rsidRPr="00FF7A7C">
              <w:t xml:space="preserve"> risultate altamente efficaci nel migliorare la qualità della governance e nel garantire la coerenza nell'attuazione dei fondi;</w:t>
            </w:r>
          </w:p>
        </w:tc>
      </w:tr>
    </w:tbl>
    <w:p w:rsidR="00AC4730" w:rsidRPr="00FF7A7C" w:rsidP="00AC4730" w14:paraId="129A92C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EFDBDA0" w14:textId="77777777">
      <w:r w:rsidRPr="00FF7A7C">
        <w:rPr>
          <w:rStyle w:val="HideTWBExt"/>
        </w:rPr>
        <w:t>&lt;/Amend&gt;</w:t>
      </w:r>
    </w:p>
    <w:p w:rsidR="00AC4730" w:rsidRPr="00FF7A7C" w:rsidP="00AC4730" w14:paraId="77607B1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B5F04A3"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1741AE9E" w14:textId="77777777">
      <w:r w:rsidRPr="00FF7A7C">
        <w:rPr>
          <w:rStyle w:val="HideTWBExt"/>
        </w:rPr>
        <w:t>&lt;/RepeatBlock-By&gt;</w:t>
      </w:r>
    </w:p>
    <w:p w:rsidR="00AC4730" w:rsidRPr="00FF7A7C" w:rsidP="00AC4730" w14:paraId="4DD4AF3A"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3531703" w14:textId="77777777">
      <w:pPr>
        <w:pStyle w:val="NormalBold"/>
      </w:pPr>
      <w:r w:rsidRPr="00FF7A7C">
        <w:rPr>
          <w:rStyle w:val="HideTWBExt"/>
          <w:b w:val="0"/>
        </w:rPr>
        <w:t>&lt;Article&gt;</w:t>
      </w:r>
      <w:r w:rsidRPr="00FF7A7C">
        <w:t>Paragrafo 3</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BB5000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5A6D137" w14:textId="77777777">
            <w:pPr>
              <w:keepNext/>
            </w:pPr>
          </w:p>
        </w:tc>
      </w:tr>
      <w:tr w14:paraId="2A82167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9CEC63C" w14:textId="77777777">
            <w:pPr>
              <w:pStyle w:val="ColumnHeading"/>
              <w:keepNext/>
            </w:pPr>
            <w:r w:rsidRPr="00FF7A7C">
              <w:t>Proposta di risoluzione</w:t>
            </w:r>
          </w:p>
        </w:tc>
        <w:tc>
          <w:tcPr>
            <w:tcW w:w="4876" w:type="dxa"/>
            <w:hideMark/>
          </w:tcPr>
          <w:p w:rsidR="00AC4730" w:rsidRPr="00FF7A7C" w14:paraId="3C97E6E8" w14:textId="77777777">
            <w:pPr>
              <w:pStyle w:val="ColumnHeading"/>
              <w:keepNext/>
            </w:pPr>
            <w:r w:rsidRPr="00FF7A7C">
              <w:t>Emendamento</w:t>
            </w:r>
          </w:p>
        </w:tc>
      </w:tr>
      <w:tr w14:paraId="7596C59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BA4B84F" w14:textId="77777777">
            <w:pPr>
              <w:pStyle w:val="Normal6"/>
            </w:pPr>
            <w:r w:rsidRPr="00FF7A7C">
              <w:t>3.</w:t>
            </w:r>
            <w:r w:rsidRPr="00FF7A7C">
              <w:tab/>
              <w:t>sottolinea che, sebbene le condizionalità ex ante siano risultate altamente efficaci nel migliorare la qualità della governance e nel garantire la coerenza nell'attuazione dei fondi, la capacità amministrativa ha costituito la principale strozzatura; si rammarica che la "capacità limitata" di alcune autorità di gestione abbia direttamente ostacolato l'efficacia, causando ritardi, un aumento del rischio di errore e una ridotta capacità di assorbimento, il che sottolinea che il denaro da solo non può promuov</w:t>
            </w:r>
            <w:r w:rsidRPr="00FF7A7C">
              <w:t>ere lo sviluppo se non è sostenuto da istituzioni di qualità e da risorse umane stabili e qualificate;</w:t>
            </w:r>
          </w:p>
        </w:tc>
        <w:tc>
          <w:tcPr>
            <w:tcW w:w="4876" w:type="dxa"/>
            <w:hideMark/>
          </w:tcPr>
          <w:p w:rsidR="00AC4730" w:rsidRPr="00FF7A7C" w14:paraId="593F89D0" w14:textId="77777777">
            <w:pPr>
              <w:pStyle w:val="Normal6"/>
              <w:rPr>
                <w:szCs w:val="24"/>
              </w:rPr>
            </w:pPr>
            <w:r w:rsidRPr="00FF7A7C">
              <w:t>3.</w:t>
            </w:r>
            <w:r w:rsidRPr="00FF7A7C">
              <w:tab/>
              <w:t>sottolinea che, sebbene le condizionalità ex ante siano risultate altamente efficaci nel migliorare la qualità della governance e nel garantire la coerenza nell'attuazione dei fondi, la capacità amministrativa ha costituito la principale strozzatura; si rammarica che la "capacità limitata" di alcune autorità di gestione abbia direttamente ostacolato l'efficacia, causando ritardi, un aumento del rischio di errore e una ridotta capacità di assorbimento, il che sottolinea che il denaro da solo non può promuov</w:t>
            </w:r>
            <w:r w:rsidRPr="00FF7A7C">
              <w:t>ere lo sviluppo se non è sostenuto da istituzioni di qualità</w:t>
            </w:r>
            <w:r w:rsidRPr="00FF7A7C">
              <w:rPr>
                <w:b/>
                <w:i/>
              </w:rPr>
              <w:t>, trasparenti e solide</w:t>
            </w:r>
            <w:r w:rsidRPr="00FF7A7C">
              <w:t xml:space="preserve"> e da risorse umane stabili e qualificate;</w:t>
            </w:r>
          </w:p>
        </w:tc>
      </w:tr>
    </w:tbl>
    <w:p w:rsidR="00AC4730" w:rsidRPr="00FF7A7C" w:rsidP="00AC4730" w14:paraId="3427AB5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0E609E4" w14:textId="77777777">
      <w:r w:rsidRPr="00FF7A7C">
        <w:rPr>
          <w:rStyle w:val="HideTWBExt"/>
        </w:rPr>
        <w:t>&lt;/Amend&gt;</w:t>
      </w:r>
    </w:p>
    <w:p w:rsidR="00AC4730" w:rsidRPr="00FF7A7C" w:rsidP="00AC4730" w14:paraId="44165A60"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895FA1B"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1CA8A07F" w14:textId="77777777">
      <w:r w:rsidRPr="00FF7A7C">
        <w:rPr>
          <w:rStyle w:val="HideTWBExt"/>
        </w:rPr>
        <w:t>&lt;/RepeatBlock-By&gt;</w:t>
      </w:r>
    </w:p>
    <w:p w:rsidR="00AC4730" w:rsidRPr="00FF7A7C" w:rsidP="00AC4730" w14:paraId="0C21F4F1"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DBE7C00" w14:textId="77777777">
      <w:pPr>
        <w:pStyle w:val="NormalBold"/>
      </w:pPr>
      <w:r w:rsidRPr="00FF7A7C">
        <w:rPr>
          <w:rStyle w:val="HideTWBExt"/>
          <w:b w:val="0"/>
        </w:rPr>
        <w:t>&lt;Article&gt;</w:t>
      </w:r>
      <w:r w:rsidRPr="00FF7A7C">
        <w:t>Paragrafo 3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F92123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FA7B330" w14:textId="77777777">
            <w:pPr>
              <w:keepNext/>
            </w:pPr>
          </w:p>
        </w:tc>
      </w:tr>
      <w:tr w14:paraId="1387BEC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1D11F98" w14:textId="77777777">
            <w:pPr>
              <w:pStyle w:val="ColumnHeading"/>
              <w:keepNext/>
            </w:pPr>
            <w:r w:rsidRPr="00FF7A7C">
              <w:t>Proposta di risoluzione</w:t>
            </w:r>
          </w:p>
        </w:tc>
        <w:tc>
          <w:tcPr>
            <w:tcW w:w="4876" w:type="dxa"/>
            <w:hideMark/>
          </w:tcPr>
          <w:p w:rsidR="00AC4730" w:rsidRPr="00FF7A7C" w14:paraId="2EB5E7BB" w14:textId="77777777">
            <w:pPr>
              <w:pStyle w:val="ColumnHeading"/>
              <w:keepNext/>
            </w:pPr>
            <w:r w:rsidRPr="00FF7A7C">
              <w:t>Emendamento</w:t>
            </w:r>
          </w:p>
        </w:tc>
      </w:tr>
      <w:tr w14:paraId="27BEC10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9AEF44B" w14:textId="77777777">
            <w:pPr>
              <w:pStyle w:val="Normal6"/>
            </w:pPr>
          </w:p>
        </w:tc>
        <w:tc>
          <w:tcPr>
            <w:tcW w:w="4876" w:type="dxa"/>
            <w:hideMark/>
          </w:tcPr>
          <w:p w:rsidR="00AC4730" w:rsidRPr="00FF7A7C" w14:paraId="27DEC1D5" w14:textId="77777777">
            <w:pPr>
              <w:pStyle w:val="Normal6"/>
              <w:rPr>
                <w:szCs w:val="24"/>
              </w:rPr>
            </w:pPr>
            <w:r w:rsidRPr="00FF7A7C">
              <w:rPr>
                <w:b/>
                <w:i/>
              </w:rPr>
              <w:t>3</w:t>
            </w:r>
            <w:r w:rsidRPr="00FF7A7C">
              <w:rPr>
                <w:b/>
                <w:i/>
              </w:rPr>
              <w:t xml:space="preserve"> bis.</w:t>
            </w:r>
            <w:r w:rsidRPr="00FF7A7C">
              <w:rPr>
                <w:b/>
                <w:i/>
              </w:rPr>
              <w:tab/>
              <w:t xml:space="preserve">accoglie con favore il contributo significativo della politica di coesione dell'UE e dei relativi strumenti di finanziamento dell'Unione allo sviluppo delle infrastrutture di trasporto in tutta l'Unione, compresa la costruzione e la modernizzazione di migliaia di chilometri di strade, autostrade, ponti e collegamenti transfrontalieri, in particolare negli Stati membri che hanno aderito all'Unione a partire dal 2004; riconosce che tali investimenti hanno rafforzato la coesione territoriale, facilitato </w:t>
            </w:r>
            <w:r w:rsidRPr="00FF7A7C">
              <w:rPr>
                <w:b/>
                <w:i/>
              </w:rPr>
              <w:t>il funzionamento del mercato unico, potenziato la connettività tra le regioni, migliorato la mobilità dei cittadini e contribuito alla convergenza economica; invita la Commissione e gli Stati membri a continuare a dare priorità agli investimenti nelle infrastrutture di trasporto strategiche nell'ambito del prossimo quadro finanziario pluriennale, prestando particolare attenzione al completamento della rete transeuropea dei trasporti (TEN-T), ai collegamenti transfrontalieri, alla mobilità militare e all'int</w:t>
            </w:r>
            <w:r w:rsidRPr="00FF7A7C">
              <w:rPr>
                <w:b/>
                <w:i/>
              </w:rPr>
              <w:t>egrazione dei paesi candidati nei corridoi di trasporto europei nel quadro del processo di allargamento; sottolinea inoltre l'importanza strategica delle vie navigabili interne e delle infrastrutture marittime, in particolare il corridoio del Danubio e i porti marittimi europei, per rafforzare il commercio, la logistica, la sicurezza energetica, la mobilità militare e la connettività all'interno dell'Unione e con i paesi candidati, e chiede maggiori investimenti nella loro modernizzazione, capacità e interc</w:t>
            </w:r>
            <w:r w:rsidRPr="00FF7A7C">
              <w:rPr>
                <w:b/>
                <w:i/>
              </w:rPr>
              <w:t>onnessione con le reti stradali e ferroviarie;</w:t>
            </w:r>
          </w:p>
        </w:tc>
      </w:tr>
    </w:tbl>
    <w:p w:rsidR="00AC4730" w:rsidRPr="00FF7A7C" w:rsidP="00AC4730" w14:paraId="5BFFE94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3A64548" w14:textId="77777777">
      <w:r w:rsidRPr="00FF7A7C">
        <w:rPr>
          <w:rStyle w:val="HideTWBExt"/>
        </w:rPr>
        <w:t>&lt;/Amend&gt;</w:t>
      </w:r>
    </w:p>
    <w:p w:rsidR="00AC4730" w:rsidRPr="00FF7A7C" w:rsidP="00AC4730" w14:paraId="1CBC9CDF"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ADAD5F4"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084EBB4D" w14:textId="77777777">
      <w:r w:rsidRPr="00FF7A7C">
        <w:rPr>
          <w:rStyle w:val="HideTWBExt"/>
        </w:rPr>
        <w:t>&lt;/RepeatBlock-By&gt;</w:t>
      </w:r>
    </w:p>
    <w:p w:rsidR="00AC4730" w:rsidRPr="00FF7A7C" w:rsidP="00AC4730" w14:paraId="4F741B4A"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447C711" w14:textId="77777777">
      <w:pPr>
        <w:pStyle w:val="NormalBold"/>
      </w:pPr>
      <w:r w:rsidRPr="00FF7A7C">
        <w:rPr>
          <w:rStyle w:val="HideTWBExt"/>
          <w:b w:val="0"/>
        </w:rPr>
        <w:t>&lt;Article&gt;</w:t>
      </w:r>
      <w:r w:rsidRPr="00FF7A7C">
        <w:t>Paragrafo 3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9B1336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0ACA135" w14:textId="77777777">
            <w:pPr>
              <w:keepNext/>
            </w:pPr>
          </w:p>
        </w:tc>
      </w:tr>
      <w:tr w14:paraId="7477EC1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E0E3615" w14:textId="77777777">
            <w:pPr>
              <w:pStyle w:val="ColumnHeading"/>
              <w:keepNext/>
            </w:pPr>
            <w:r w:rsidRPr="00FF7A7C">
              <w:t>Proposta di risoluzione</w:t>
            </w:r>
          </w:p>
        </w:tc>
        <w:tc>
          <w:tcPr>
            <w:tcW w:w="4876" w:type="dxa"/>
            <w:hideMark/>
          </w:tcPr>
          <w:p w:rsidR="00AC4730" w:rsidRPr="00FF7A7C" w14:paraId="623DB5E5" w14:textId="77777777">
            <w:pPr>
              <w:pStyle w:val="ColumnHeading"/>
              <w:keepNext/>
            </w:pPr>
            <w:r w:rsidRPr="00FF7A7C">
              <w:t>Emendamento</w:t>
            </w:r>
          </w:p>
        </w:tc>
      </w:tr>
      <w:tr w14:paraId="3AD247D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37A9A073" w14:textId="77777777">
            <w:pPr>
              <w:pStyle w:val="Normal6"/>
            </w:pPr>
          </w:p>
        </w:tc>
        <w:tc>
          <w:tcPr>
            <w:tcW w:w="4876" w:type="dxa"/>
            <w:hideMark/>
          </w:tcPr>
          <w:p w:rsidR="00AC4730" w:rsidRPr="00FF7A7C" w14:paraId="017D3120" w14:textId="77777777">
            <w:pPr>
              <w:pStyle w:val="Normal6"/>
              <w:rPr>
                <w:szCs w:val="24"/>
              </w:rPr>
            </w:pPr>
            <w:r w:rsidRPr="00FF7A7C">
              <w:rPr>
                <w:b/>
                <w:i/>
              </w:rPr>
              <w:t>3</w:t>
            </w:r>
            <w:r w:rsidRPr="00FF7A7C">
              <w:rPr>
                <w:b/>
                <w:i/>
              </w:rPr>
              <w:t xml:space="preserve"> bis.</w:t>
            </w:r>
            <w:r w:rsidRPr="00FF7A7C">
              <w:rPr>
                <w:b/>
                <w:i/>
              </w:rPr>
              <w:tab/>
              <w:t xml:space="preserve">ricorda che la capacità amministrativa ha spesso rappresentato un'importante strozzatura; si </w:t>
            </w:r>
            <w:r w:rsidRPr="00FF7A7C">
              <w:rPr>
                <w:b/>
                <w:i/>
              </w:rPr>
              <w:t>rammarica che la "capacità limitata" di alcune autorità di gestione abbia direttamente ostacolato l'efficacia, causando ritardi, un aumento del rischio di errore e una ridotta capacità di assorbimento, il che sottolinea che il denaro da solo non può promuovere lo sviluppo se non è sostenuto da istituzioni di qualità e da risorse umane stabili e qualificate;</w:t>
            </w:r>
          </w:p>
        </w:tc>
      </w:tr>
    </w:tbl>
    <w:p w:rsidR="00AC4730" w:rsidRPr="00FF7A7C" w:rsidP="00AC4730" w14:paraId="301A7A7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2D9F6FD" w14:textId="77777777">
      <w:r w:rsidRPr="00FF7A7C">
        <w:rPr>
          <w:rStyle w:val="HideTWBExt"/>
        </w:rPr>
        <w:t>&lt;/Amend&gt;</w:t>
      </w:r>
    </w:p>
    <w:p w:rsidR="00AC4730" w:rsidRPr="00FF7A7C" w:rsidP="00AC4730" w14:paraId="7EE4F8C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1283B2B"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6F72A16E" w14:textId="77777777">
      <w:r w:rsidRPr="00FF7A7C">
        <w:rPr>
          <w:rStyle w:val="HideTWBExt"/>
        </w:rPr>
        <w:t>&lt;/RepeatBlock-By&gt;</w:t>
      </w:r>
    </w:p>
    <w:p w:rsidR="00AC4730" w:rsidRPr="00FF7A7C" w:rsidP="00AC4730" w14:paraId="1BA7FDBD"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6BDEA0B" w14:textId="77777777">
      <w:pPr>
        <w:pStyle w:val="NormalBold"/>
      </w:pPr>
      <w:r w:rsidRPr="00FF7A7C">
        <w:rPr>
          <w:rStyle w:val="HideTWBExt"/>
          <w:b w:val="0"/>
        </w:rPr>
        <w:t>&lt;Article&gt;</w:t>
      </w:r>
      <w:r w:rsidRPr="00FF7A7C">
        <w:t>Paragrafo 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9EB05C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EC86C2F" w14:textId="77777777">
            <w:pPr>
              <w:keepNext/>
            </w:pPr>
          </w:p>
        </w:tc>
      </w:tr>
      <w:tr w14:paraId="187046C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849F180" w14:textId="77777777">
            <w:pPr>
              <w:pStyle w:val="ColumnHeading"/>
              <w:keepNext/>
            </w:pPr>
            <w:r w:rsidRPr="00FF7A7C">
              <w:t>Proposta di risoluzione</w:t>
            </w:r>
          </w:p>
        </w:tc>
        <w:tc>
          <w:tcPr>
            <w:tcW w:w="4876" w:type="dxa"/>
            <w:hideMark/>
          </w:tcPr>
          <w:p w:rsidR="00AC4730" w:rsidRPr="00FF7A7C" w14:paraId="17C26A2F" w14:textId="77777777">
            <w:pPr>
              <w:pStyle w:val="ColumnHeading"/>
              <w:keepNext/>
            </w:pPr>
            <w:r w:rsidRPr="00FF7A7C">
              <w:t>Emendamento</w:t>
            </w:r>
          </w:p>
        </w:tc>
      </w:tr>
      <w:tr w14:paraId="64C1A72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657C82A" w14:textId="77777777">
            <w:pPr>
              <w:pStyle w:val="Normal6"/>
            </w:pPr>
            <w:r w:rsidRPr="00FF7A7C">
              <w:t>4.</w:t>
            </w:r>
            <w:r w:rsidRPr="00FF7A7C">
              <w:tab/>
              <w:t xml:space="preserve">osserva che i controlli sono effettuati a diversi livelli per verificare che la spesa dei beneficiari sia legittima e </w:t>
            </w:r>
            <w:r w:rsidRPr="00FF7A7C">
              <w:t xml:space="preserve">regolare; ricorda che ulteriori livelli di garanzia sono forniti dagli organismi nazionali di audit e di controllo, che </w:t>
            </w:r>
            <w:r w:rsidRPr="00FF7A7C">
              <w:rPr>
                <w:b/>
                <w:bCs/>
                <w:i/>
                <w:iCs/>
              </w:rPr>
              <w:t>garantiscono</w:t>
            </w:r>
            <w:r w:rsidRPr="00FF7A7C">
              <w:t xml:space="preserve"> che i sistemi funzionino in modo efficace e che i fondi dell'UE siano gestiti in linea con le norme applicabili; sottolinea che le funzioni </w:t>
            </w:r>
            <w:r w:rsidRPr="00FF7A7C">
              <w:rPr>
                <w:b/>
                <w:i/>
              </w:rPr>
              <w:t>di controllo e</w:t>
            </w:r>
            <w:r w:rsidRPr="00FF7A7C">
              <w:t xml:space="preserve"> di audit </w:t>
            </w:r>
            <w:r w:rsidRPr="00FF7A7C">
              <w:rPr>
                <w:b/>
                <w:i/>
              </w:rPr>
              <w:t>funzionano meglio quando viene preservata l'indipendenza</w:t>
            </w:r>
            <w:r w:rsidRPr="00FF7A7C">
              <w:t>;</w:t>
            </w:r>
          </w:p>
        </w:tc>
        <w:tc>
          <w:tcPr>
            <w:tcW w:w="4876" w:type="dxa"/>
            <w:hideMark/>
          </w:tcPr>
          <w:p w:rsidR="00AC4730" w:rsidRPr="00FF7A7C" w14:paraId="10A6A982" w14:textId="77777777">
            <w:pPr>
              <w:pStyle w:val="Normal6"/>
              <w:rPr>
                <w:szCs w:val="24"/>
              </w:rPr>
            </w:pPr>
            <w:r w:rsidRPr="00FF7A7C">
              <w:t>4.</w:t>
            </w:r>
            <w:r w:rsidRPr="00FF7A7C">
              <w:tab/>
              <w:t xml:space="preserve">osserva che i controlli sono effettuati a diversi livelli per verificare che la spesa dei beneficiari sia legittima e regolare; ricorda che ulteriori livelli di garanzia sono forniti dagli organismi nazionali di audit e di controllo, che </w:t>
            </w:r>
            <w:r w:rsidRPr="00FF7A7C">
              <w:rPr>
                <w:b/>
                <w:i/>
              </w:rPr>
              <w:t>contribuiscono a garantire</w:t>
            </w:r>
            <w:r w:rsidRPr="00FF7A7C">
              <w:t xml:space="preserve"> che i sistemi </w:t>
            </w:r>
            <w:r w:rsidRPr="00FF7A7C">
              <w:rPr>
                <w:b/>
                <w:i/>
              </w:rPr>
              <w:t>di gestione e controllo</w:t>
            </w:r>
            <w:r w:rsidRPr="00FF7A7C">
              <w:t xml:space="preserve"> funzionino in modo efficace e che i fondi dell'UE siano gestiti in linea con le norme applicabili; sottolinea che le funzioni di audit </w:t>
            </w:r>
            <w:r w:rsidRPr="00FF7A7C">
              <w:rPr>
                <w:b/>
                <w:i/>
              </w:rPr>
              <w:t>devono essere funzionalmente indipendenti dagli organi e dalle operazioni</w:t>
            </w:r>
            <w:r w:rsidRPr="00FF7A7C">
              <w:rPr>
                <w:b/>
                <w:i/>
              </w:rPr>
              <w:t xml:space="preserve"> oggetto di audit e che una chiara separazione delle responsabilità è essenziale per offrire una garanzia credibile e tutelare gli interessi finanziari dell'Unione</w:t>
            </w:r>
            <w:r w:rsidRPr="00FF7A7C">
              <w:t xml:space="preserve">; </w:t>
            </w:r>
            <w:r w:rsidRPr="00FF7A7C">
              <w:rPr>
                <w:b/>
                <w:i/>
              </w:rPr>
              <w:t xml:space="preserve">ricorda, al tempo stesso, che un'eccessiva moltiplicazione dei livelli di controllo, senza il coordinamento delle relative attività, aumenta gli oneri amministrativi e rallenta l'attuazione senza fornire un effettivo guadagno in termini di </w:t>
            </w:r>
            <w:r w:rsidRPr="00FF7A7C">
              <w:rPr>
                <w:b/>
                <w:i/>
              </w:rPr>
              <w:t>affidabilità della gestione finanziaria;</w:t>
            </w:r>
          </w:p>
        </w:tc>
      </w:tr>
    </w:tbl>
    <w:p w:rsidR="00AC4730" w:rsidRPr="00FF7A7C" w:rsidP="00AC4730" w14:paraId="7437906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2ACF4C7" w14:textId="77777777">
      <w:r w:rsidRPr="00FF7A7C">
        <w:rPr>
          <w:rStyle w:val="HideTWBExt"/>
        </w:rPr>
        <w:t>&lt;/Amend&gt;</w:t>
      </w:r>
    </w:p>
    <w:p w:rsidR="00AC4730" w:rsidRPr="00FF7A7C" w:rsidP="00AC4730" w14:paraId="103732E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0A8EC76" w14:textId="77777777">
      <w:pPr>
        <w:pStyle w:val="NormalBold"/>
      </w:pPr>
      <w:r w:rsidRPr="00FF7A7C">
        <w:rPr>
          <w:rStyle w:val="HideTWBExt"/>
          <w:b w:val="0"/>
        </w:rPr>
        <w:t>&lt;RepeatBlock-By&gt;&lt;Members&gt;</w:t>
      </w:r>
      <w:r w:rsidRPr="00FF7A7C">
        <w:t>Tomáš</w:t>
      </w:r>
      <w:r w:rsidRPr="00FF7A7C">
        <w:t xml:space="preserve"> </w:t>
      </w:r>
      <w:r w:rsidRPr="00FF7A7C">
        <w:t>Zdechovský</w:t>
      </w:r>
      <w:r w:rsidRPr="00FF7A7C">
        <w:rPr>
          <w:rStyle w:val="HideTWBExt"/>
          <w:b w:val="0"/>
        </w:rPr>
        <w:t>&lt;/Members&gt;</w:t>
      </w:r>
    </w:p>
    <w:p w:rsidR="00AC4730" w:rsidRPr="00FF7A7C" w:rsidP="00AC4730" w14:paraId="5B844036" w14:textId="77777777">
      <w:r w:rsidRPr="00FF7A7C">
        <w:rPr>
          <w:rStyle w:val="HideTWBExt"/>
        </w:rPr>
        <w:t>&lt;/RepeatBlock-By&gt;</w:t>
      </w:r>
    </w:p>
    <w:p w:rsidR="00AC4730" w:rsidRPr="00FF7A7C" w:rsidP="00AC4730" w14:paraId="7BA02D2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AF24E8C" w14:textId="77777777">
      <w:pPr>
        <w:pStyle w:val="NormalBold"/>
      </w:pPr>
      <w:r w:rsidRPr="00FF7A7C">
        <w:rPr>
          <w:rStyle w:val="HideTWBExt"/>
          <w:b w:val="0"/>
        </w:rPr>
        <w:t>&lt;Article&gt;</w:t>
      </w:r>
      <w:r w:rsidRPr="00FF7A7C">
        <w:t>Paragrafo 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A659F3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CBC2F0B" w14:textId="77777777">
            <w:pPr>
              <w:keepNext/>
            </w:pPr>
          </w:p>
        </w:tc>
      </w:tr>
      <w:tr w14:paraId="7371FB3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7993813" w14:textId="77777777">
            <w:pPr>
              <w:pStyle w:val="ColumnHeading"/>
              <w:keepNext/>
            </w:pPr>
            <w:r w:rsidRPr="00FF7A7C">
              <w:t>Proposta di risoluzione</w:t>
            </w:r>
          </w:p>
        </w:tc>
        <w:tc>
          <w:tcPr>
            <w:tcW w:w="4876" w:type="dxa"/>
            <w:hideMark/>
          </w:tcPr>
          <w:p w:rsidR="00AC4730" w:rsidRPr="00FF7A7C" w14:paraId="2C0914DC" w14:textId="77777777">
            <w:pPr>
              <w:pStyle w:val="ColumnHeading"/>
              <w:keepNext/>
            </w:pPr>
            <w:r w:rsidRPr="00FF7A7C">
              <w:t>Emendamento</w:t>
            </w:r>
          </w:p>
        </w:tc>
      </w:tr>
      <w:tr w14:paraId="3C9A18B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6C0194A" w14:textId="77777777">
            <w:pPr>
              <w:pStyle w:val="Normal6"/>
            </w:pPr>
            <w:r w:rsidRPr="00FF7A7C">
              <w:t>4.</w:t>
            </w:r>
            <w:r w:rsidRPr="00FF7A7C">
              <w:tab/>
              <w:t xml:space="preserve">osserva che i controlli sono effettuati a diversi livelli per verificare che la spesa dei beneficiari sia legittima e regolare; ricorda che ulteriori livelli di garanzia sono forniti dagli </w:t>
            </w:r>
            <w:r w:rsidRPr="00FF7A7C">
              <w:t>organismi nazionali di audit e di controllo, che garantiscono che i sistemi funzionino in modo efficace e che i fondi dell'UE siano gestiti in linea con le norme applicabili; sottolinea che le funzioni di controllo e di audit funzionano meglio quando viene preservata l'indipendenza;</w:t>
            </w:r>
          </w:p>
        </w:tc>
        <w:tc>
          <w:tcPr>
            <w:tcW w:w="4876" w:type="dxa"/>
            <w:hideMark/>
          </w:tcPr>
          <w:p w:rsidR="00AC4730" w:rsidRPr="00FF7A7C" w14:paraId="42972CAF" w14:textId="77777777">
            <w:pPr>
              <w:pStyle w:val="Normal6"/>
              <w:rPr>
                <w:szCs w:val="24"/>
              </w:rPr>
            </w:pPr>
            <w:r w:rsidRPr="00FF7A7C">
              <w:t>4.</w:t>
            </w:r>
            <w:r w:rsidRPr="00FF7A7C">
              <w:tab/>
              <w:t>osserva che i controlli sono effettuati a diversi livelli per verificare che la spesa dei beneficiari sia legittima e regolare; ricorda che ulteriori livelli di garanzia sono forniti dagli organismi nazionali di audit e di controllo, che garantiscono che i sistemi funzionino in modo efficace e che i fondi dell'UE siano gestiti in linea con le norme applicabili; sottolinea che le funzioni di controllo e di audit funzionano meglio quando viene preservata l'indipendenza;</w:t>
            </w:r>
            <w:r w:rsidRPr="00FF7A7C">
              <w:rPr>
                <w:b/>
                <w:i/>
              </w:rPr>
              <w:t xml:space="preserve"> sottolinea che una responsabilità chia</w:t>
            </w:r>
            <w:r w:rsidRPr="00FF7A7C">
              <w:rPr>
                <w:b/>
                <w:i/>
              </w:rPr>
              <w:t>ra, solidi sistemi di controllo interno e approcci di audit basati sul rischio sono essenziali per tutelare gli interessi finanziari dell'Unione e mantenere la fiducia dei cittadini nella gestione dei fondi dell'UE;</w:t>
            </w:r>
          </w:p>
        </w:tc>
      </w:tr>
    </w:tbl>
    <w:p w:rsidR="00AC4730" w:rsidRPr="00FF7A7C" w:rsidP="00AC4730" w14:paraId="7EB29724"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45D338B" w14:textId="77777777">
      <w:r w:rsidRPr="00FF7A7C">
        <w:rPr>
          <w:rStyle w:val="HideTWBExt"/>
        </w:rPr>
        <w:t>&lt;/Amend&gt;</w:t>
      </w:r>
    </w:p>
    <w:p w:rsidR="00AC4730" w:rsidRPr="00FF7A7C" w:rsidP="00AC4730" w14:paraId="268F31E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E79BBDD"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7F28E46C" w14:textId="77777777">
      <w:r w:rsidRPr="00FF7A7C">
        <w:rPr>
          <w:rStyle w:val="HideTWBExt"/>
        </w:rPr>
        <w:t>&lt;/RepeatBlock-By&gt;</w:t>
      </w:r>
    </w:p>
    <w:p w:rsidR="00AC4730" w:rsidRPr="00FF7A7C" w:rsidP="00AC4730" w14:paraId="5ED00CF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E8DC115" w14:textId="77777777">
      <w:pPr>
        <w:pStyle w:val="NormalBold"/>
      </w:pPr>
      <w:r w:rsidRPr="00FF7A7C">
        <w:rPr>
          <w:rStyle w:val="HideTWBExt"/>
          <w:b w:val="0"/>
        </w:rPr>
        <w:t>&lt;Article&gt;</w:t>
      </w:r>
      <w:r w:rsidRPr="00FF7A7C">
        <w:t>Paragrafo 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7A56A7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F3537AB" w14:textId="77777777">
            <w:pPr>
              <w:keepNext/>
            </w:pPr>
          </w:p>
        </w:tc>
      </w:tr>
      <w:tr w14:paraId="20CED80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FF26525" w14:textId="77777777">
            <w:pPr>
              <w:pStyle w:val="ColumnHeading"/>
              <w:keepNext/>
            </w:pPr>
            <w:r w:rsidRPr="00FF7A7C">
              <w:t>Proposta di risoluzione</w:t>
            </w:r>
          </w:p>
        </w:tc>
        <w:tc>
          <w:tcPr>
            <w:tcW w:w="4876" w:type="dxa"/>
            <w:hideMark/>
          </w:tcPr>
          <w:p w:rsidR="00AC4730" w:rsidRPr="00FF7A7C" w14:paraId="011F1755" w14:textId="77777777">
            <w:pPr>
              <w:pStyle w:val="ColumnHeading"/>
              <w:keepNext/>
            </w:pPr>
            <w:r w:rsidRPr="00FF7A7C">
              <w:t>Emendamento</w:t>
            </w:r>
          </w:p>
        </w:tc>
      </w:tr>
      <w:tr w14:paraId="18317AC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A41FDE0" w14:textId="77777777">
            <w:pPr>
              <w:pStyle w:val="Normal6"/>
            </w:pPr>
            <w:r w:rsidRPr="00FF7A7C">
              <w:t>4.</w:t>
            </w:r>
            <w:r w:rsidRPr="00FF7A7C">
              <w:tab/>
              <w:t xml:space="preserve">osserva che i controlli sono effettuati a diversi livelli per verificare che la spesa dei beneficiari sia legittima e regolare; ricorda che ulteriori livelli di garanzia sono forniti dagli organismi nazionali di audit e di controllo, che garantiscono che i sistemi funzionino in modo efficace e che i fondi dell'UE siano gestiti in linea con le norme applicabili; sottolinea che le funzioni di controllo e di audit funzionano meglio quando </w:t>
            </w:r>
            <w:r w:rsidRPr="00FF7A7C">
              <w:rPr>
                <w:b/>
                <w:i/>
              </w:rPr>
              <w:t>viene preservata</w:t>
            </w:r>
            <w:r w:rsidRPr="00FF7A7C">
              <w:t xml:space="preserve"> l'indipendenza;</w:t>
            </w:r>
          </w:p>
        </w:tc>
        <w:tc>
          <w:tcPr>
            <w:tcW w:w="4876" w:type="dxa"/>
            <w:hideMark/>
          </w:tcPr>
          <w:p w:rsidR="00AC4730" w:rsidRPr="00FF7A7C" w14:paraId="10B5595A" w14:textId="77777777">
            <w:pPr>
              <w:pStyle w:val="Normal6"/>
              <w:rPr>
                <w:szCs w:val="24"/>
              </w:rPr>
            </w:pPr>
            <w:r w:rsidRPr="00FF7A7C">
              <w:t>4.</w:t>
            </w:r>
            <w:r w:rsidRPr="00FF7A7C">
              <w:tab/>
              <w:t xml:space="preserve">osserva che i controlli sono effettuati a diversi livelli per verificare che la spesa dei beneficiari sia legittima e regolare; ricorda che ulteriori livelli di garanzia sono forniti dagli organismi nazionali di audit e di controllo, che garantiscono che i sistemi funzionino in modo efficace e che i fondi dell'UE siano gestiti in linea con le norme applicabili; sottolinea che le funzioni di controllo e di audit funzionano meglio quando </w:t>
            </w:r>
            <w:r w:rsidRPr="00FF7A7C">
              <w:rPr>
                <w:b/>
                <w:i/>
              </w:rPr>
              <w:t>vengono preservati</w:t>
            </w:r>
            <w:r w:rsidRPr="00FF7A7C">
              <w:t xml:space="preserve"> l'indipendenza </w:t>
            </w:r>
            <w:r w:rsidRPr="00FF7A7C">
              <w:rPr>
                <w:b/>
                <w:bCs/>
                <w:i/>
                <w:iCs/>
              </w:rPr>
              <w:t>e la certezza del diritto</w:t>
            </w:r>
            <w:r w:rsidRPr="00FF7A7C">
              <w:t xml:space="preserve">; </w:t>
            </w:r>
            <w:r w:rsidRPr="00FF7A7C">
              <w:rPr>
                <w:b/>
                <w:i/>
              </w:rPr>
              <w:t xml:space="preserve">ribadisce </w:t>
            </w:r>
            <w:r w:rsidRPr="00FF7A7C">
              <w:rPr>
                <w:b/>
                <w:i/>
              </w:rPr>
              <w:t>la necessità di promuovere ulteriormente l'applicazione del principio "una tantum" per i beneficiari che presentano la documentazione alle autorità pubbliche;</w:t>
            </w:r>
          </w:p>
        </w:tc>
      </w:tr>
    </w:tbl>
    <w:p w:rsidR="00AC4730" w:rsidRPr="00FF7A7C" w:rsidP="00AC4730" w14:paraId="3D3F2CA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BA0199E" w14:textId="77777777">
      <w:r w:rsidRPr="00FF7A7C">
        <w:rPr>
          <w:rStyle w:val="HideTWBExt"/>
        </w:rPr>
        <w:t>&lt;/Amend&gt;</w:t>
      </w:r>
    </w:p>
    <w:p w:rsidR="00AC4730" w:rsidRPr="00FF7A7C" w:rsidP="00AC4730" w14:paraId="0803A947"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F81CB55"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01623ABF" w14:textId="77777777">
      <w:r w:rsidRPr="00FF7A7C">
        <w:rPr>
          <w:rStyle w:val="HideTWBExt"/>
        </w:rPr>
        <w:t>&lt;/RepeatBlock-By&gt;</w:t>
      </w:r>
    </w:p>
    <w:p w:rsidR="00AC4730" w:rsidRPr="00FF7A7C" w:rsidP="00AC4730" w14:paraId="3074741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E95C9B4" w14:textId="77777777">
      <w:pPr>
        <w:pStyle w:val="NormalBold"/>
      </w:pPr>
      <w:r w:rsidRPr="00FF7A7C">
        <w:rPr>
          <w:rStyle w:val="HideTWBExt"/>
          <w:b w:val="0"/>
        </w:rPr>
        <w:t>&lt;Article&gt;</w:t>
      </w:r>
      <w:r w:rsidRPr="00FF7A7C">
        <w:t>Paragrafo 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4A3B14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367EAB3" w14:textId="77777777">
            <w:pPr>
              <w:keepNext/>
            </w:pPr>
          </w:p>
        </w:tc>
      </w:tr>
      <w:tr w14:paraId="50811C6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6D4482F" w14:textId="77777777">
            <w:pPr>
              <w:pStyle w:val="ColumnHeading"/>
              <w:keepNext/>
            </w:pPr>
            <w:r w:rsidRPr="00FF7A7C">
              <w:t>Proposta di risoluzione</w:t>
            </w:r>
          </w:p>
        </w:tc>
        <w:tc>
          <w:tcPr>
            <w:tcW w:w="4876" w:type="dxa"/>
            <w:hideMark/>
          </w:tcPr>
          <w:p w:rsidR="00AC4730" w:rsidRPr="00FF7A7C" w14:paraId="38E1FBAE" w14:textId="77777777">
            <w:pPr>
              <w:pStyle w:val="ColumnHeading"/>
              <w:keepNext/>
            </w:pPr>
            <w:r w:rsidRPr="00FF7A7C">
              <w:t>Emendamento</w:t>
            </w:r>
          </w:p>
        </w:tc>
      </w:tr>
      <w:tr w14:paraId="11D180D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42C4FC0" w14:textId="77777777">
            <w:pPr>
              <w:pStyle w:val="Normal6"/>
            </w:pPr>
            <w:r w:rsidRPr="00FF7A7C">
              <w:t>4.</w:t>
            </w:r>
            <w:r w:rsidRPr="00FF7A7C">
              <w:tab/>
              <w:t xml:space="preserve">osserva che i controlli sono effettuati a diversi livelli per </w:t>
            </w:r>
            <w:r w:rsidRPr="00FF7A7C">
              <w:t xml:space="preserve">verificare che la spesa dei beneficiari sia legittima e regolare; ricorda che ulteriori livelli di garanzia </w:t>
            </w:r>
            <w:r w:rsidRPr="00FF7A7C">
              <w:rPr>
                <w:b/>
                <w:bCs/>
                <w:i/>
                <w:iCs/>
              </w:rPr>
              <w:t>sono</w:t>
            </w:r>
            <w:r w:rsidRPr="00FF7A7C">
              <w:t xml:space="preserve"> forniti dagli organismi nazionali di audit e di controllo, che </w:t>
            </w:r>
            <w:r w:rsidRPr="00FF7A7C">
              <w:rPr>
                <w:b/>
                <w:bCs/>
                <w:i/>
                <w:iCs/>
              </w:rPr>
              <w:t>garantiscono</w:t>
            </w:r>
            <w:r w:rsidRPr="00FF7A7C">
              <w:t xml:space="preserve"> che i sistemi funzionino in modo efficace e che i fondi dell'UE siano gestiti in linea con le norme applicabili; sottolinea che le funzioni di controllo e di audit funzionano meglio quando viene preservata l'indipendenza;</w:t>
            </w:r>
          </w:p>
        </w:tc>
        <w:tc>
          <w:tcPr>
            <w:tcW w:w="4876" w:type="dxa"/>
            <w:hideMark/>
          </w:tcPr>
          <w:p w:rsidR="00AC4730" w:rsidRPr="00FF7A7C" w14:paraId="32FC3D89" w14:textId="77777777">
            <w:pPr>
              <w:pStyle w:val="Normal6"/>
              <w:rPr>
                <w:szCs w:val="24"/>
              </w:rPr>
            </w:pPr>
            <w:r w:rsidRPr="00FF7A7C">
              <w:t>4.</w:t>
            </w:r>
            <w:r w:rsidRPr="00FF7A7C">
              <w:tab/>
              <w:t xml:space="preserve">osserva che i controlli sono effettuati a diversi livelli per verificare che la spesa dei beneficiari sia legittima e regolare; ricorda che ulteriori livelli di garanzia </w:t>
            </w:r>
            <w:r w:rsidRPr="00FF7A7C">
              <w:rPr>
                <w:b/>
                <w:i/>
              </w:rPr>
              <w:t>devono essere</w:t>
            </w:r>
            <w:r w:rsidRPr="00FF7A7C">
              <w:t xml:space="preserve"> forniti dagli organismi nazionali di audit e di controllo, che </w:t>
            </w:r>
            <w:r w:rsidRPr="00FF7A7C">
              <w:rPr>
                <w:b/>
                <w:i/>
              </w:rPr>
              <w:t>dovrebbero garantire</w:t>
            </w:r>
            <w:r w:rsidRPr="00FF7A7C">
              <w:t xml:space="preserve"> che i sistemi funzionino in modo efficace e che i fondi dell'UE siano gestiti in linea con le norme applicabili; sottolinea che le funzioni di controllo e di audit funzionano meglio quando viene preservata l'indipendenza;</w:t>
            </w:r>
          </w:p>
        </w:tc>
      </w:tr>
    </w:tbl>
    <w:p w:rsidR="00AC4730" w:rsidRPr="00FF7A7C" w:rsidP="00AC4730" w14:paraId="2D49A52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D51C792" w14:textId="77777777">
      <w:r w:rsidRPr="00FF7A7C">
        <w:rPr>
          <w:rStyle w:val="HideTWBExt"/>
        </w:rPr>
        <w:t>&lt;/Amend&gt;</w:t>
      </w:r>
    </w:p>
    <w:p w:rsidR="00AC4730" w:rsidRPr="00FF7A7C" w:rsidP="00AC4730" w14:paraId="4562164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39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EFDDE3C" w14:textId="77777777">
      <w:pPr>
        <w:pStyle w:val="NormalBold"/>
      </w:pPr>
      <w:r w:rsidRPr="00FF7A7C">
        <w:rPr>
          <w:rStyle w:val="HideTWBExt"/>
          <w:b w:val="0"/>
        </w:rPr>
        <w:t>&lt;RepeatBlock-By&gt;&lt;Members&gt;</w:t>
      </w:r>
      <w:r w:rsidRPr="00FF7A7C">
        <w:t>Tomáš</w:t>
      </w:r>
      <w:r w:rsidRPr="00FF7A7C">
        <w:t xml:space="preserve"> </w:t>
      </w:r>
      <w:r w:rsidRPr="00FF7A7C">
        <w:t>Zdechovský</w:t>
      </w:r>
      <w:r w:rsidRPr="00FF7A7C">
        <w:rPr>
          <w:rStyle w:val="HideTWBExt"/>
          <w:b w:val="0"/>
        </w:rPr>
        <w:t>&lt;/Members&gt;</w:t>
      </w:r>
    </w:p>
    <w:p w:rsidR="00AC4730" w:rsidRPr="00FF7A7C" w:rsidP="00AC4730" w14:paraId="4C439D55" w14:textId="77777777">
      <w:r w:rsidRPr="00FF7A7C">
        <w:rPr>
          <w:rStyle w:val="HideTWBExt"/>
        </w:rPr>
        <w:t>&lt;/RepeatBlock-By&gt;</w:t>
      </w:r>
    </w:p>
    <w:p w:rsidR="00AC4730" w:rsidRPr="00FF7A7C" w:rsidP="00AC4730" w14:paraId="58F7912E"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C89809B" w14:textId="77777777">
      <w:pPr>
        <w:pStyle w:val="NormalBold"/>
      </w:pPr>
      <w:r w:rsidRPr="00FF7A7C">
        <w:rPr>
          <w:rStyle w:val="HideTWBExt"/>
          <w:b w:val="0"/>
        </w:rPr>
        <w:t>&lt;Article&gt;</w:t>
      </w:r>
      <w:r w:rsidRPr="00FF7A7C">
        <w:t>Paragrafo 4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C9E52D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2178D8E" w14:textId="77777777">
            <w:pPr>
              <w:keepNext/>
            </w:pPr>
          </w:p>
        </w:tc>
      </w:tr>
      <w:tr w14:paraId="62A5833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0DD8654" w14:textId="77777777">
            <w:pPr>
              <w:pStyle w:val="ColumnHeading"/>
              <w:keepNext/>
            </w:pPr>
            <w:r w:rsidRPr="00FF7A7C">
              <w:t>Proposta di risoluzione</w:t>
            </w:r>
          </w:p>
        </w:tc>
        <w:tc>
          <w:tcPr>
            <w:tcW w:w="4876" w:type="dxa"/>
            <w:hideMark/>
          </w:tcPr>
          <w:p w:rsidR="00AC4730" w:rsidRPr="00FF7A7C" w14:paraId="7D773E7F" w14:textId="77777777">
            <w:pPr>
              <w:pStyle w:val="ColumnHeading"/>
              <w:keepNext/>
            </w:pPr>
            <w:r w:rsidRPr="00FF7A7C">
              <w:t>Emendamento</w:t>
            </w:r>
          </w:p>
        </w:tc>
      </w:tr>
      <w:tr w14:paraId="067A073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02A9047F" w14:textId="77777777">
            <w:pPr>
              <w:pStyle w:val="Normal6"/>
            </w:pPr>
          </w:p>
        </w:tc>
        <w:tc>
          <w:tcPr>
            <w:tcW w:w="4876" w:type="dxa"/>
            <w:hideMark/>
          </w:tcPr>
          <w:p w:rsidR="00AC4730" w:rsidRPr="00FF7A7C" w14:paraId="291E323D" w14:textId="77777777">
            <w:pPr>
              <w:pStyle w:val="Normal6"/>
              <w:rPr>
                <w:szCs w:val="24"/>
              </w:rPr>
            </w:pPr>
            <w:r w:rsidRPr="00FF7A7C">
              <w:rPr>
                <w:b/>
                <w:i/>
              </w:rPr>
              <w:t>4</w:t>
            </w:r>
            <w:r w:rsidRPr="00FF7A7C">
              <w:rPr>
                <w:b/>
                <w:i/>
              </w:rPr>
              <w:t xml:space="preserve"> bis.</w:t>
            </w:r>
            <w:r w:rsidRPr="00FF7A7C">
              <w:rPr>
                <w:b/>
                <w:i/>
              </w:rPr>
              <w:tab/>
              <w:t xml:space="preserve">osserva che le performance delle strutture di </w:t>
            </w:r>
            <w:r w:rsidRPr="00FF7A7C">
              <w:rPr>
                <w:b/>
                <w:i/>
              </w:rPr>
              <w:t>governance dipendono principalmente dalla capacità amministrativa delle autorità nazionali, dalla complessità dell'attuazione dei programmi e dalla maturità dei sistemi di gestione; osserva che una solida capacità amministrativa può attenuare gli svantaggi strutturali, mentre sistemi amministrativi deboli spesso compromettono la performance indipendentemente dal modello di governance scelto;</w:t>
            </w:r>
          </w:p>
        </w:tc>
      </w:tr>
    </w:tbl>
    <w:p w:rsidR="00AC4730" w:rsidRPr="00FF7A7C" w:rsidP="00AC4730" w14:paraId="1272695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A3F410F" w14:textId="77777777">
      <w:r w:rsidRPr="00FF7A7C">
        <w:rPr>
          <w:rStyle w:val="HideTWBExt"/>
        </w:rPr>
        <w:t>&lt;/Amend&gt;</w:t>
      </w:r>
    </w:p>
    <w:p w:rsidR="00AC4730" w:rsidRPr="00FF7A7C" w:rsidP="00AC4730" w14:paraId="77AFC73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D7AA954" w14:textId="77777777">
      <w:pPr>
        <w:pStyle w:val="NormalBold"/>
      </w:pPr>
      <w:r w:rsidRPr="00FF7A7C">
        <w:rPr>
          <w:rStyle w:val="HideTWBExt"/>
          <w:b w:val="0"/>
        </w:rPr>
        <w:t>&lt;RepeatBlock-By&gt;&lt;Members&gt;</w:t>
      </w:r>
      <w:r w:rsidRPr="00FF7A7C">
        <w:t>Tomáš</w:t>
      </w:r>
      <w:r w:rsidRPr="00FF7A7C">
        <w:t xml:space="preserve"> </w:t>
      </w:r>
      <w:r w:rsidRPr="00FF7A7C">
        <w:t>Zdechovský</w:t>
      </w:r>
      <w:r w:rsidRPr="00FF7A7C">
        <w:rPr>
          <w:rStyle w:val="HideTWBExt"/>
          <w:b w:val="0"/>
        </w:rPr>
        <w:t>&lt;/Members&gt;</w:t>
      </w:r>
    </w:p>
    <w:p w:rsidR="00AC4730" w:rsidRPr="00FF7A7C" w:rsidP="00AC4730" w14:paraId="55BECA44" w14:textId="77777777">
      <w:r w:rsidRPr="00FF7A7C">
        <w:rPr>
          <w:rStyle w:val="HideTWBExt"/>
        </w:rPr>
        <w:t>&lt;/RepeatBlock-By&gt;</w:t>
      </w:r>
    </w:p>
    <w:p w:rsidR="00AC4730" w:rsidRPr="00FF7A7C" w:rsidP="00AC4730" w14:paraId="136268E0"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15E0881" w14:textId="77777777">
      <w:pPr>
        <w:pStyle w:val="NormalBold"/>
      </w:pPr>
      <w:r w:rsidRPr="00FF7A7C">
        <w:rPr>
          <w:rStyle w:val="HideTWBExt"/>
          <w:b w:val="0"/>
        </w:rPr>
        <w:t>&lt;Article&gt;</w:t>
      </w:r>
      <w:r w:rsidRPr="00FF7A7C">
        <w:t>Paragrafo 4 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DB986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F79205E" w14:textId="77777777">
            <w:pPr>
              <w:keepNext/>
            </w:pPr>
          </w:p>
        </w:tc>
      </w:tr>
      <w:tr w14:paraId="21E489F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771A019" w14:textId="77777777">
            <w:pPr>
              <w:pStyle w:val="ColumnHeading"/>
              <w:keepNext/>
            </w:pPr>
            <w:r w:rsidRPr="00FF7A7C">
              <w:t>Proposta di risoluzione</w:t>
            </w:r>
          </w:p>
        </w:tc>
        <w:tc>
          <w:tcPr>
            <w:tcW w:w="4876" w:type="dxa"/>
            <w:hideMark/>
          </w:tcPr>
          <w:p w:rsidR="00AC4730" w:rsidRPr="00FF7A7C" w14:paraId="4D17B76C" w14:textId="77777777">
            <w:pPr>
              <w:pStyle w:val="ColumnHeading"/>
              <w:keepNext/>
            </w:pPr>
            <w:r w:rsidRPr="00FF7A7C">
              <w:t>Emendamento</w:t>
            </w:r>
          </w:p>
        </w:tc>
      </w:tr>
      <w:tr w14:paraId="4B0867F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78EB45B" w14:textId="77777777">
            <w:pPr>
              <w:pStyle w:val="Normal6"/>
            </w:pPr>
          </w:p>
        </w:tc>
        <w:tc>
          <w:tcPr>
            <w:tcW w:w="4876" w:type="dxa"/>
            <w:hideMark/>
          </w:tcPr>
          <w:p w:rsidR="00AC4730" w:rsidRPr="00FF7A7C" w14:paraId="18A9F428" w14:textId="77777777">
            <w:pPr>
              <w:pStyle w:val="Normal6"/>
              <w:rPr>
                <w:szCs w:val="24"/>
              </w:rPr>
            </w:pPr>
            <w:r w:rsidRPr="00FF7A7C">
              <w:rPr>
                <w:b/>
                <w:i/>
              </w:rPr>
              <w:t>4</w:t>
            </w:r>
            <w:r w:rsidRPr="00FF7A7C">
              <w:rPr>
                <w:b/>
                <w:i/>
              </w:rPr>
              <w:t xml:space="preserve"> ter.</w:t>
            </w:r>
            <w:r w:rsidRPr="00FF7A7C">
              <w:rPr>
                <w:b/>
                <w:i/>
              </w:rPr>
              <w:tab/>
              <w:t xml:space="preserve">sottolinea che la stabilità </w:t>
            </w:r>
            <w:r w:rsidRPr="00FF7A7C">
              <w:rPr>
                <w:b/>
                <w:i/>
              </w:rPr>
              <w:t>istituzionale e la tutela dell'esperienza amministrativa sono essenziali per l'attuazione efficace dei fondi dell'Unione; osserva che la frequente ristrutturazione dei sistemi di gestione e di controllo può indebolire la memoria istituzionale, aumentare i rischi di attuazione e ridurre l'efficacia amministrativa;</w:t>
            </w:r>
          </w:p>
        </w:tc>
      </w:tr>
    </w:tbl>
    <w:p w:rsidR="00AC4730" w:rsidRPr="00FF7A7C" w:rsidP="00AC4730" w14:paraId="1C8A3D5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E60D433" w14:textId="77777777">
      <w:r w:rsidRPr="00FF7A7C">
        <w:rPr>
          <w:rStyle w:val="HideTWBExt"/>
        </w:rPr>
        <w:t>&lt;/Amend&gt;</w:t>
      </w:r>
    </w:p>
    <w:p w:rsidR="00AC4730" w:rsidRPr="00FF7A7C" w:rsidP="00AC4730" w14:paraId="63B9AA4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4C73CE3"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4A77C667" w14:textId="77777777">
      <w:r w:rsidRPr="00FF7A7C">
        <w:rPr>
          <w:rStyle w:val="HideTWBExt"/>
        </w:rPr>
        <w:t>&lt;/RepeatBlock-By&gt;</w:t>
      </w:r>
    </w:p>
    <w:p w:rsidR="00AC4730" w:rsidRPr="00FF7A7C" w:rsidP="00AC4730" w14:paraId="7003338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5DBF71D" w14:textId="77777777">
      <w:pPr>
        <w:pStyle w:val="NormalBold"/>
      </w:pPr>
      <w:r w:rsidRPr="00FF7A7C">
        <w:rPr>
          <w:rStyle w:val="HideTWBExt"/>
          <w:b w:val="0"/>
        </w:rPr>
        <w:t>&lt;Article&gt;</w:t>
      </w:r>
      <w:r w:rsidRPr="00FF7A7C">
        <w:t>Paragrafo 5</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E735C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2A3FB2A" w14:textId="77777777">
            <w:pPr>
              <w:keepNext/>
            </w:pPr>
          </w:p>
        </w:tc>
      </w:tr>
      <w:tr w14:paraId="7C4585F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C05E921" w14:textId="77777777">
            <w:pPr>
              <w:pStyle w:val="ColumnHeading"/>
              <w:keepNext/>
            </w:pPr>
            <w:r w:rsidRPr="00FF7A7C">
              <w:t>Proposta di risoluzione</w:t>
            </w:r>
          </w:p>
        </w:tc>
        <w:tc>
          <w:tcPr>
            <w:tcW w:w="4876" w:type="dxa"/>
            <w:hideMark/>
          </w:tcPr>
          <w:p w:rsidR="00AC4730" w:rsidRPr="00FF7A7C" w14:paraId="19CD83C9" w14:textId="77777777">
            <w:pPr>
              <w:pStyle w:val="ColumnHeading"/>
              <w:keepNext/>
            </w:pPr>
            <w:r w:rsidRPr="00FF7A7C">
              <w:t>Emendamento</w:t>
            </w:r>
          </w:p>
        </w:tc>
      </w:tr>
      <w:tr w14:paraId="4AED4FD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2314DAB" w14:textId="77777777">
            <w:pPr>
              <w:pStyle w:val="Normal6"/>
            </w:pPr>
            <w:r w:rsidRPr="00FF7A7C">
              <w:t>5.</w:t>
            </w:r>
            <w:r w:rsidRPr="00FF7A7C">
              <w:tab/>
              <w:t xml:space="preserve">prende atto degli sviluppi positivi nell'elaborazione dei pertinenti quadri legislativi dell'UE e nella loro attuazione, negli ultimi </w:t>
            </w:r>
            <w:r w:rsidRPr="00FF7A7C">
              <w:t>vent'anni, da parte degli Stati membri che hanno aderito all'UE a partire dal 2004, sottolineando al contempo le restanti carenze nell'attuazione della legislazione dell'UE e la necessità di investire ulteriormente nella capacità amministrativa;</w:t>
            </w:r>
          </w:p>
        </w:tc>
        <w:tc>
          <w:tcPr>
            <w:tcW w:w="4876" w:type="dxa"/>
            <w:hideMark/>
          </w:tcPr>
          <w:p w:rsidR="00AC4730" w:rsidRPr="00FF7A7C" w14:paraId="087D5332" w14:textId="77777777">
            <w:pPr>
              <w:pStyle w:val="Normal6"/>
              <w:rPr>
                <w:szCs w:val="24"/>
              </w:rPr>
            </w:pPr>
            <w:r w:rsidRPr="00FF7A7C">
              <w:t>5.</w:t>
            </w:r>
            <w:r w:rsidRPr="00FF7A7C">
              <w:tab/>
              <w:t>prende atto degli sviluppi positivi nell'elaborazione dei pertinenti quadri legislativi dell'UE e nella loro attuazione, negli ultimi vent'anni, da parte degli Stati membri che hanno aderito all'UE a partire dal 2004, sottolineando al contempo le restanti carenze nell'attuazione della legislazione dell'UE e la necessità di investire ulteriormente nella capacità amministrativa</w:t>
            </w:r>
            <w:r w:rsidRPr="00FF7A7C">
              <w:rPr>
                <w:b/>
                <w:i/>
              </w:rPr>
              <w:t>, al fine di rafforzare l'efficacia dei meccanismi di finanziamento dell'Unione e, in ultima analisi, il mercato unico attraverso una</w:t>
            </w:r>
            <w:r w:rsidRPr="00FF7A7C">
              <w:rPr>
                <w:b/>
                <w:i/>
              </w:rPr>
              <w:t xml:space="preserve"> maggiore convergenza economica</w:t>
            </w:r>
            <w:r w:rsidRPr="00FF7A7C">
              <w:t>;</w:t>
            </w:r>
          </w:p>
        </w:tc>
      </w:tr>
    </w:tbl>
    <w:p w:rsidR="00AC4730" w:rsidRPr="00FF7A7C" w:rsidP="00AC4730" w14:paraId="0D1E0C6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4CDD46E" w14:textId="77777777">
      <w:r w:rsidRPr="00FF7A7C">
        <w:rPr>
          <w:rStyle w:val="HideTWBExt"/>
        </w:rPr>
        <w:t>&lt;/Amend&gt;</w:t>
      </w:r>
    </w:p>
    <w:p w:rsidR="00AC4730" w:rsidRPr="00FF7A7C" w:rsidP="00AC4730" w14:paraId="775B6F1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9C13A6B"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54EAE0EE" w14:textId="77777777">
      <w:r w:rsidRPr="00FF7A7C">
        <w:rPr>
          <w:rStyle w:val="HideTWBExt"/>
        </w:rPr>
        <w:t>&lt;/RepeatBlock-By&gt;</w:t>
      </w:r>
    </w:p>
    <w:p w:rsidR="00AC4730" w:rsidRPr="00FF7A7C" w:rsidP="00AC4730" w14:paraId="51C3DDEE"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225DAA3" w14:textId="77777777">
      <w:pPr>
        <w:pStyle w:val="NormalBold"/>
      </w:pPr>
      <w:r w:rsidRPr="00FF7A7C">
        <w:rPr>
          <w:rStyle w:val="HideTWBExt"/>
          <w:b w:val="0"/>
        </w:rPr>
        <w:t>&lt;Article&gt;</w:t>
      </w:r>
      <w:r w:rsidRPr="00FF7A7C">
        <w:t>Paragrafo 5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87D37D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1417D9F" w14:textId="77777777">
            <w:pPr>
              <w:keepNext/>
            </w:pPr>
          </w:p>
        </w:tc>
      </w:tr>
      <w:tr w14:paraId="6B9016A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6D52A32" w14:textId="77777777">
            <w:pPr>
              <w:pStyle w:val="ColumnHeading"/>
              <w:keepNext/>
            </w:pPr>
            <w:r w:rsidRPr="00FF7A7C">
              <w:t>Proposta di risoluzione</w:t>
            </w:r>
          </w:p>
        </w:tc>
        <w:tc>
          <w:tcPr>
            <w:tcW w:w="4876" w:type="dxa"/>
            <w:hideMark/>
          </w:tcPr>
          <w:p w:rsidR="00AC4730" w:rsidRPr="00FF7A7C" w14:paraId="1AC0A53F" w14:textId="77777777">
            <w:pPr>
              <w:pStyle w:val="ColumnHeading"/>
              <w:keepNext/>
            </w:pPr>
            <w:r w:rsidRPr="00FF7A7C">
              <w:t>Emendamento</w:t>
            </w:r>
          </w:p>
        </w:tc>
      </w:tr>
      <w:tr w14:paraId="306981B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11C14043" w14:textId="77777777">
            <w:pPr>
              <w:pStyle w:val="Normal6"/>
            </w:pPr>
          </w:p>
        </w:tc>
        <w:tc>
          <w:tcPr>
            <w:tcW w:w="4876" w:type="dxa"/>
            <w:hideMark/>
          </w:tcPr>
          <w:p w:rsidR="00AC4730" w:rsidRPr="00FF7A7C" w14:paraId="3DCB041C" w14:textId="77777777">
            <w:pPr>
              <w:pStyle w:val="Normal6"/>
              <w:rPr>
                <w:szCs w:val="24"/>
              </w:rPr>
            </w:pPr>
            <w:r w:rsidRPr="00FF7A7C">
              <w:rPr>
                <w:b/>
                <w:i/>
              </w:rPr>
              <w:t>5</w:t>
            </w:r>
            <w:r w:rsidRPr="00FF7A7C">
              <w:rPr>
                <w:b/>
                <w:i/>
              </w:rPr>
              <w:t xml:space="preserve"> bis.</w:t>
            </w:r>
            <w:r w:rsidRPr="00FF7A7C">
              <w:rPr>
                <w:b/>
                <w:i/>
              </w:rPr>
              <w:tab/>
              <w:t>accoglie con favore la considerevole convergenza economica e sociale raggiunta dagli Stati membri che hanno aderito all'Unione a partire dal 2004; sottolinea che l'adesione all'UE, l'accesso al mercato unico e i trasferimenti fiscali dell'UE, in particolare attraverso la politica di coesione, hanno svolto un ruolo fondamentale nel sostenere la crescita, la produttività del lavoro, la convergenza dei redditi e il progresso sociale in tali paesi; osserva che il PIL pro capite nell'Europa centrale e orie</w:t>
            </w:r>
            <w:r w:rsidRPr="00FF7A7C">
              <w:rPr>
                <w:b/>
                <w:i/>
              </w:rPr>
              <w:t>ntale è aumentato dal 52 % della media dell'UE nel 2004 a quasi l'80 % nel 2021; sottolinea che lo sviluppo degli Stati membri di nuova adesione ha altresì rafforzato l'Unione nel suo complesso;</w:t>
            </w:r>
          </w:p>
        </w:tc>
      </w:tr>
    </w:tbl>
    <w:p w:rsidR="00AC4730" w:rsidRPr="00FF7A7C" w:rsidP="00AC4730" w14:paraId="5AA2E1C9"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5BCC9B7" w14:textId="77777777">
      <w:r w:rsidRPr="00FF7A7C">
        <w:rPr>
          <w:rStyle w:val="HideTWBExt"/>
        </w:rPr>
        <w:t>&lt;/Amend&gt;</w:t>
      </w:r>
    </w:p>
    <w:p w:rsidR="00AC4730" w:rsidRPr="00FF7A7C" w:rsidP="00AC4730" w14:paraId="2693485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B4A5FA1"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6F43AEA1" w14:textId="77777777">
      <w:r w:rsidRPr="00FF7A7C">
        <w:rPr>
          <w:rStyle w:val="HideTWBExt"/>
        </w:rPr>
        <w:t>&lt;/RepeatBlock-By&gt;</w:t>
      </w:r>
    </w:p>
    <w:p w:rsidR="00AC4730" w:rsidRPr="00FF7A7C" w:rsidP="00AC4730" w14:paraId="128F3C2B"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C0403D5" w14:textId="77777777">
      <w:pPr>
        <w:pStyle w:val="NormalBold"/>
      </w:pPr>
      <w:r w:rsidRPr="00FF7A7C">
        <w:rPr>
          <w:rStyle w:val="HideTWBExt"/>
          <w:b w:val="0"/>
        </w:rPr>
        <w:t>&lt;Article&gt;</w:t>
      </w:r>
      <w:r w:rsidRPr="00FF7A7C">
        <w:t>Paragrafo 5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D56B72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113BD6C" w14:textId="77777777">
            <w:pPr>
              <w:keepNext/>
            </w:pPr>
          </w:p>
        </w:tc>
      </w:tr>
      <w:tr w14:paraId="1DEBDBC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2BDCBC8" w14:textId="77777777">
            <w:pPr>
              <w:pStyle w:val="ColumnHeading"/>
              <w:keepNext/>
            </w:pPr>
            <w:r w:rsidRPr="00FF7A7C">
              <w:t>Proposta di risoluzione</w:t>
            </w:r>
          </w:p>
        </w:tc>
        <w:tc>
          <w:tcPr>
            <w:tcW w:w="4876" w:type="dxa"/>
            <w:hideMark/>
          </w:tcPr>
          <w:p w:rsidR="00AC4730" w:rsidRPr="00FF7A7C" w14:paraId="163F855C" w14:textId="77777777">
            <w:pPr>
              <w:pStyle w:val="ColumnHeading"/>
              <w:keepNext/>
            </w:pPr>
            <w:r w:rsidRPr="00FF7A7C">
              <w:t>Emendamento</w:t>
            </w:r>
          </w:p>
        </w:tc>
      </w:tr>
      <w:tr w14:paraId="035BE6C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7C5A8A4C" w14:textId="77777777">
            <w:pPr>
              <w:pStyle w:val="Normal6"/>
            </w:pPr>
          </w:p>
        </w:tc>
        <w:tc>
          <w:tcPr>
            <w:tcW w:w="4876" w:type="dxa"/>
            <w:hideMark/>
          </w:tcPr>
          <w:p w:rsidR="00AC4730" w:rsidRPr="00FF7A7C" w14:paraId="38788A3C" w14:textId="77777777">
            <w:pPr>
              <w:pStyle w:val="Normal6"/>
              <w:rPr>
                <w:szCs w:val="24"/>
              </w:rPr>
            </w:pPr>
            <w:r w:rsidRPr="00FF7A7C">
              <w:rPr>
                <w:b/>
                <w:i/>
              </w:rPr>
              <w:t>5</w:t>
            </w:r>
            <w:r w:rsidRPr="00FF7A7C">
              <w:rPr>
                <w:b/>
                <w:i/>
              </w:rPr>
              <w:t xml:space="preserve"> bis.</w:t>
            </w:r>
            <w:r w:rsidRPr="00FF7A7C">
              <w:rPr>
                <w:b/>
                <w:i/>
              </w:rPr>
              <w:tab/>
              <w:t xml:space="preserve">sottolinea che la gestione finanziaria beneficia di una maggiore trasparenza e responsabilità nell'elaborazione e nell'attuazione della legislazione dell'UE, anche attraverso il </w:t>
            </w:r>
            <w:r w:rsidRPr="00FF7A7C">
              <w:rPr>
                <w:b/>
                <w:i/>
              </w:rPr>
              <w:t>coinvolgimento dei portatori di interessi pertinenti, siano essi enti regionali e locali, organizzazioni della società civile e sindacati;</w:t>
            </w:r>
          </w:p>
        </w:tc>
      </w:tr>
    </w:tbl>
    <w:p w:rsidR="00AC4730" w:rsidRPr="00FF7A7C" w:rsidP="00AC4730" w14:paraId="77B05479"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2A5A868" w14:textId="77777777">
      <w:r w:rsidRPr="00FF7A7C">
        <w:rPr>
          <w:rStyle w:val="HideTWBExt"/>
        </w:rPr>
        <w:t>&lt;/Amend&gt;</w:t>
      </w:r>
    </w:p>
    <w:p w:rsidR="00AC4730" w:rsidRPr="00FF7A7C" w:rsidP="00AC4730" w14:paraId="683A80C2"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76A90A8"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3E3C5260" w14:textId="77777777">
      <w:r w:rsidRPr="00FF7A7C">
        <w:rPr>
          <w:rStyle w:val="HideTWBExt"/>
        </w:rPr>
        <w:t>&lt;/RepeatBlock-By&gt;</w:t>
      </w:r>
    </w:p>
    <w:p w:rsidR="00AC4730" w:rsidRPr="00FF7A7C" w:rsidP="00AC4730" w14:paraId="2B31027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2379387" w14:textId="77777777">
      <w:pPr>
        <w:pStyle w:val="NormalBold"/>
      </w:pPr>
      <w:r w:rsidRPr="00FF7A7C">
        <w:rPr>
          <w:rStyle w:val="HideTWBExt"/>
          <w:b w:val="0"/>
        </w:rPr>
        <w:t>&lt;Article&gt;</w:t>
      </w:r>
      <w:r w:rsidRPr="00FF7A7C">
        <w:t>Paragrafo 5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C38799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92359C9" w14:textId="77777777">
            <w:pPr>
              <w:keepNext/>
            </w:pPr>
          </w:p>
        </w:tc>
      </w:tr>
      <w:tr w14:paraId="10CC015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D9E7724" w14:textId="77777777">
            <w:pPr>
              <w:pStyle w:val="ColumnHeading"/>
              <w:keepNext/>
            </w:pPr>
            <w:r w:rsidRPr="00FF7A7C">
              <w:t>Proposta di risoluzione</w:t>
            </w:r>
          </w:p>
        </w:tc>
        <w:tc>
          <w:tcPr>
            <w:tcW w:w="4876" w:type="dxa"/>
            <w:hideMark/>
          </w:tcPr>
          <w:p w:rsidR="00AC4730" w:rsidRPr="00FF7A7C" w14:paraId="434D8AA0" w14:textId="77777777">
            <w:pPr>
              <w:pStyle w:val="ColumnHeading"/>
              <w:keepNext/>
            </w:pPr>
            <w:r w:rsidRPr="00FF7A7C">
              <w:t>Emendamento</w:t>
            </w:r>
          </w:p>
        </w:tc>
      </w:tr>
      <w:tr w14:paraId="4636A05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7D5CC2BE" w14:textId="77777777">
            <w:pPr>
              <w:pStyle w:val="Normal6"/>
            </w:pPr>
          </w:p>
        </w:tc>
        <w:tc>
          <w:tcPr>
            <w:tcW w:w="4876" w:type="dxa"/>
            <w:hideMark/>
          </w:tcPr>
          <w:p w:rsidR="00AC4730" w:rsidRPr="00FF7A7C" w14:paraId="6AA7E630" w14:textId="77777777">
            <w:pPr>
              <w:pStyle w:val="Normal6"/>
              <w:rPr>
                <w:szCs w:val="24"/>
              </w:rPr>
            </w:pPr>
            <w:r w:rsidRPr="00FF7A7C">
              <w:rPr>
                <w:b/>
                <w:i/>
              </w:rPr>
              <w:t>5</w:t>
            </w:r>
            <w:r w:rsidRPr="00FF7A7C">
              <w:rPr>
                <w:b/>
                <w:i/>
              </w:rPr>
              <w:t xml:space="preserve"> bis.</w:t>
            </w:r>
            <w:r w:rsidRPr="00FF7A7C">
              <w:rPr>
                <w:b/>
                <w:i/>
              </w:rPr>
              <w:tab/>
              <w:t xml:space="preserve">sottolinea che le riforme intraprese dai </w:t>
            </w:r>
            <w:r w:rsidRPr="00FF7A7C">
              <w:rPr>
                <w:b/>
                <w:i/>
              </w:rPr>
              <w:t>paesi in via di adesione per beneficiare dei fondi dell'UE, in particolare in materia di appalti pubblici, controllo finanziario e modernizzazione amministrativa, hanno generato benefici ben al di là dei fondi stessi, migliorando il contesto imprenditoriale generale;</w:t>
            </w:r>
          </w:p>
        </w:tc>
      </w:tr>
    </w:tbl>
    <w:p w:rsidR="00AC4730" w:rsidRPr="00FF7A7C" w:rsidP="00AC4730" w14:paraId="38B13E4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2B03259" w14:textId="77777777">
      <w:r w:rsidRPr="00FF7A7C">
        <w:rPr>
          <w:rStyle w:val="HideTWBExt"/>
        </w:rPr>
        <w:t>&lt;/Amend&gt;</w:t>
      </w:r>
    </w:p>
    <w:p w:rsidR="00AC4730" w:rsidRPr="00FF7A7C" w:rsidP="00AC4730" w14:paraId="3C88250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E02175A"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4146A7F2" w14:textId="77777777">
      <w:r w:rsidRPr="00FF7A7C">
        <w:rPr>
          <w:rStyle w:val="HideTWBExt"/>
        </w:rPr>
        <w:t>&lt;/RepeatBlock-By&gt;</w:t>
      </w:r>
    </w:p>
    <w:p w:rsidR="00AC4730" w:rsidRPr="00FF7A7C" w:rsidP="00AC4730" w14:paraId="4EA5B6F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66A246F" w14:textId="77777777">
      <w:pPr>
        <w:pStyle w:val="NormalBold"/>
      </w:pPr>
      <w:r w:rsidRPr="00FF7A7C">
        <w:rPr>
          <w:rStyle w:val="HideTWBExt"/>
          <w:b w:val="0"/>
        </w:rPr>
        <w:t>&lt;Article&gt;</w:t>
      </w:r>
      <w:r w:rsidRPr="00FF7A7C">
        <w:t xml:space="preserve">Paragrafo 5 ter </w:t>
      </w:r>
      <w:r w:rsidRPr="00FF7A7C">
        <w:t>(nuovo)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9ADAF5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104A152" w14:textId="77777777">
            <w:pPr>
              <w:keepNext/>
            </w:pPr>
          </w:p>
        </w:tc>
      </w:tr>
      <w:tr w14:paraId="2175F88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72B78E2" w14:textId="77777777">
            <w:pPr>
              <w:pStyle w:val="ColumnHeading"/>
              <w:keepNext/>
            </w:pPr>
            <w:r w:rsidRPr="00FF7A7C">
              <w:t>Proposta di risoluzione</w:t>
            </w:r>
          </w:p>
        </w:tc>
        <w:tc>
          <w:tcPr>
            <w:tcW w:w="4876" w:type="dxa"/>
            <w:hideMark/>
          </w:tcPr>
          <w:p w:rsidR="00AC4730" w:rsidRPr="00FF7A7C" w14:paraId="59C97AB9" w14:textId="77777777">
            <w:pPr>
              <w:pStyle w:val="ColumnHeading"/>
              <w:keepNext/>
            </w:pPr>
            <w:r w:rsidRPr="00FF7A7C">
              <w:t>Emendamento</w:t>
            </w:r>
          </w:p>
        </w:tc>
      </w:tr>
      <w:tr w14:paraId="4AD1898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5CC2D68" w14:textId="77777777">
            <w:pPr>
              <w:pStyle w:val="Normal6"/>
            </w:pPr>
          </w:p>
        </w:tc>
        <w:tc>
          <w:tcPr>
            <w:tcW w:w="4876" w:type="dxa"/>
            <w:hideMark/>
          </w:tcPr>
          <w:p w:rsidR="00AC4730" w:rsidRPr="00FF7A7C" w14:paraId="44F6CADE" w14:textId="77777777">
            <w:pPr>
              <w:pStyle w:val="Normal6"/>
              <w:rPr>
                <w:szCs w:val="24"/>
              </w:rPr>
            </w:pPr>
            <w:r w:rsidRPr="00FF7A7C">
              <w:rPr>
                <w:b/>
                <w:i/>
              </w:rPr>
              <w:t>5</w:t>
            </w:r>
            <w:r w:rsidRPr="00FF7A7C">
              <w:rPr>
                <w:b/>
                <w:i/>
              </w:rPr>
              <w:t xml:space="preserve"> ter.</w:t>
            </w:r>
            <w:r w:rsidRPr="00FF7A7C">
              <w:rPr>
                <w:b/>
                <w:i/>
              </w:rPr>
              <w:tab/>
              <w:t xml:space="preserve">sottolinea chela convergenza a seguito degli allargamenti successivi al 2004 ha altresì contribuito al progresso sociale, tra cui migliori risultati sanitari, una minore disoccupazione e tassi di povertà ridotti in quasi tutte le regioni; prende atto dell'impatto positivo dell'adesione all'UE sui livelli di istruzione, sullo sviluppo delle competenze e sull'occupazione, con un tasso di occupazione complessivo dell'UE che ha raggiunto il 74,6 % nel 2022 e con diversi Stati membri di nuova adesione che </w:t>
            </w:r>
            <w:r w:rsidRPr="00FF7A7C">
              <w:rPr>
                <w:b/>
                <w:i/>
              </w:rPr>
              <w:t>hanno superato l'80 %; sottolinea, tuttavia, che le persistenti disparità regionali nell'istruzione terziaria, nell'istruzione e formazione professionale, nella disponibilità di competenze, nel declino della popolazione in età lavorativa, nella povertà e nella povertà energetica dimostrano la continua necessità di una forte politica di coesione, di investimenti sociali e di un sostegno mirato alle regioni rurali e svantaggiate, in linea con il principio secondo cui nessuno e nessuna regione dovrebbero esser</w:t>
            </w:r>
            <w:r w:rsidRPr="00FF7A7C">
              <w:rPr>
                <w:b/>
                <w:i/>
              </w:rPr>
              <w:t>e lasciati indietro;</w:t>
            </w:r>
          </w:p>
        </w:tc>
      </w:tr>
    </w:tbl>
    <w:p w:rsidR="00AC4730" w:rsidRPr="00FF7A7C" w:rsidP="00AC4730" w14:paraId="6396DD6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DB9C4CA" w14:textId="77777777">
      <w:r w:rsidRPr="00FF7A7C">
        <w:rPr>
          <w:rStyle w:val="HideTWBExt"/>
        </w:rPr>
        <w:t>&lt;/Amend&gt;</w:t>
      </w:r>
    </w:p>
    <w:p w:rsidR="00AC4730" w:rsidRPr="00FF7A7C" w:rsidP="00AC4730" w14:paraId="4ABF4E9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8364B66"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45F75468" w14:textId="77777777">
      <w:r w:rsidRPr="00FF7A7C">
        <w:rPr>
          <w:rStyle w:val="HideTWBExt"/>
        </w:rPr>
        <w:t>&lt;/RepeatBlock-By&gt;</w:t>
      </w:r>
    </w:p>
    <w:p w:rsidR="00AC4730" w:rsidRPr="00FF7A7C" w:rsidP="00AC4730" w14:paraId="3C6DF724"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1AF065A" w14:textId="77777777">
      <w:pPr>
        <w:pStyle w:val="NormalBold"/>
      </w:pPr>
      <w:r w:rsidRPr="00FF7A7C">
        <w:rPr>
          <w:rStyle w:val="HideTWBExt"/>
          <w:b w:val="0"/>
        </w:rPr>
        <w:t>&lt;Article&gt;</w:t>
      </w:r>
      <w:r w:rsidRPr="00FF7A7C">
        <w:t>Paragrafo 5 quater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5B6EF3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293A894" w14:textId="77777777">
            <w:pPr>
              <w:keepNext/>
            </w:pPr>
          </w:p>
        </w:tc>
      </w:tr>
      <w:tr w14:paraId="46EB4A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604B6DA" w14:textId="77777777">
            <w:pPr>
              <w:pStyle w:val="ColumnHeading"/>
              <w:keepNext/>
            </w:pPr>
            <w:r w:rsidRPr="00FF7A7C">
              <w:t>Proposta di risoluzione</w:t>
            </w:r>
          </w:p>
        </w:tc>
        <w:tc>
          <w:tcPr>
            <w:tcW w:w="4876" w:type="dxa"/>
            <w:hideMark/>
          </w:tcPr>
          <w:p w:rsidR="00AC4730" w:rsidRPr="00FF7A7C" w14:paraId="4DE78BCE" w14:textId="77777777">
            <w:pPr>
              <w:pStyle w:val="ColumnHeading"/>
              <w:keepNext/>
            </w:pPr>
            <w:r w:rsidRPr="00FF7A7C">
              <w:t>Emendamento</w:t>
            </w:r>
          </w:p>
        </w:tc>
      </w:tr>
      <w:tr w14:paraId="23E43BA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B83F9D6" w14:textId="77777777">
            <w:pPr>
              <w:pStyle w:val="Normal6"/>
            </w:pPr>
          </w:p>
        </w:tc>
        <w:tc>
          <w:tcPr>
            <w:tcW w:w="4876" w:type="dxa"/>
            <w:hideMark/>
          </w:tcPr>
          <w:p w:rsidR="00AC4730" w:rsidRPr="00FF7A7C" w14:paraId="211453EC" w14:textId="77777777">
            <w:pPr>
              <w:pStyle w:val="Normal6"/>
              <w:rPr>
                <w:szCs w:val="24"/>
              </w:rPr>
            </w:pPr>
            <w:r w:rsidRPr="00FF7A7C">
              <w:rPr>
                <w:b/>
                <w:i/>
              </w:rPr>
              <w:t>5</w:t>
            </w:r>
            <w:r w:rsidRPr="00FF7A7C">
              <w:rPr>
                <w:b/>
                <w:i/>
              </w:rPr>
              <w:t xml:space="preserve"> quater.</w:t>
            </w:r>
            <w:r w:rsidRPr="00FF7A7C">
              <w:rPr>
                <w:b/>
                <w:i/>
              </w:rPr>
              <w:tab/>
            </w:r>
            <w:r w:rsidRPr="00FF7A7C">
              <w:rPr>
                <w:b/>
                <w:i/>
              </w:rPr>
              <w:t xml:space="preserve">evidenzia che gli allargamenti successivi al 2004 </w:t>
            </w:r>
            <w:r w:rsidRPr="00FF7A7C">
              <w:rPr>
                <w:b/>
                <w:i/>
                <w:vertAlign w:val="superscript"/>
              </w:rPr>
              <w:t>1 bis</w:t>
            </w:r>
            <w:r w:rsidRPr="00FF7A7C">
              <w:rPr>
                <w:b/>
                <w:i/>
              </w:rPr>
              <w:t xml:space="preserve"> hanno dato maggiore profondità al mercato unico, ridotto i costi commerciali e rafforzato gli scambi intra-UE e le catene del valore transfrontaliere; osserva che i paesi dell'UE-10 hanno aumentato la loro competitività delle esportazioni, in particolare in settori quali le macchine elettriche, gli apparecchi meccanici e le parti di veicoli, e che il loro contributo alle catene di approvvigionamento dell'UE-14 è più che raddoppiato tra il 1995 e il 202</w:t>
            </w:r>
            <w:r w:rsidRPr="00FF7A7C">
              <w:rPr>
                <w:b/>
                <w:i/>
              </w:rPr>
              <w:t>0, triplicando nel contempo nelle catene di approvvigionamento manifatturiere;</w:t>
            </w:r>
          </w:p>
        </w:tc>
      </w:tr>
      <w:tr w14:paraId="49C4EDF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05D17B58" w14:textId="77777777">
            <w:pPr>
              <w:pStyle w:val="Normal6"/>
            </w:pPr>
          </w:p>
        </w:tc>
        <w:tc>
          <w:tcPr>
            <w:tcW w:w="4876" w:type="dxa"/>
            <w:hideMark/>
          </w:tcPr>
          <w:p w:rsidR="00AC4730" w:rsidRPr="00FF7A7C" w14:paraId="5075943E" w14:textId="77777777">
            <w:pPr>
              <w:pStyle w:val="Normal6"/>
              <w:rPr>
                <w:szCs w:val="24"/>
              </w:rPr>
            </w:pPr>
            <w:r w:rsidRPr="00FF7A7C">
              <w:rPr>
                <w:b/>
                <w:i/>
              </w:rPr>
              <w:t>__________________</w:t>
            </w:r>
          </w:p>
        </w:tc>
      </w:tr>
      <w:tr w14:paraId="7490EC9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22EA9FC2" w14:textId="77777777">
            <w:pPr>
              <w:pStyle w:val="Normal6"/>
            </w:pPr>
          </w:p>
        </w:tc>
        <w:tc>
          <w:tcPr>
            <w:tcW w:w="4876" w:type="dxa"/>
            <w:hideMark/>
          </w:tcPr>
          <w:p w:rsidR="00AC4730" w:rsidRPr="00FF7A7C" w14:paraId="1DFFACB2" w14:textId="77777777">
            <w:pPr>
              <w:pStyle w:val="Normal6"/>
              <w:rPr>
                <w:szCs w:val="24"/>
              </w:rPr>
            </w:pPr>
            <w:r w:rsidRPr="00FF7A7C">
              <w:rPr>
                <w:b/>
                <w:i/>
                <w:vertAlign w:val="superscript"/>
              </w:rPr>
              <w:t>1 bis</w:t>
            </w:r>
            <w:r w:rsidRPr="00FF7A7C">
              <w:t xml:space="preserve"> </w:t>
            </w:r>
            <w:r w:rsidRPr="00FF7A7C">
              <w:rPr>
                <w:b/>
                <w:i/>
              </w:rPr>
              <w:t>https://www.europarl.europa.eu/thinktank/en/document/BUDG_BRI(2025)775381</w:t>
            </w:r>
            <w:r w:rsidRPr="00FF7A7C">
              <w:t>.</w:t>
            </w:r>
          </w:p>
        </w:tc>
      </w:tr>
    </w:tbl>
    <w:p w:rsidR="00AC4730" w:rsidRPr="00FF7A7C" w:rsidP="00AC4730" w14:paraId="76D2864C"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576F93D" w14:textId="77777777">
      <w:r w:rsidRPr="00FF7A7C">
        <w:rPr>
          <w:rStyle w:val="HideTWBExt"/>
        </w:rPr>
        <w:t>&lt;/Amend&gt;</w:t>
      </w:r>
    </w:p>
    <w:p w:rsidR="00AC4730" w:rsidRPr="00FF7A7C" w:rsidP="00AC4730" w14:paraId="404454B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8734CEC"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1A5ABC0C" w14:textId="77777777">
      <w:r w:rsidRPr="00FF7A7C">
        <w:rPr>
          <w:rStyle w:val="HideTWBExt"/>
        </w:rPr>
        <w:t>&lt;/RepeatBlock-By&gt;</w:t>
      </w:r>
    </w:p>
    <w:p w:rsidR="00AC4730" w:rsidRPr="00FF7A7C" w:rsidP="00AC4730" w14:paraId="25ECE8A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CA750A1" w14:textId="77777777">
      <w:pPr>
        <w:pStyle w:val="NormalBold"/>
      </w:pPr>
      <w:r w:rsidRPr="00FF7A7C">
        <w:rPr>
          <w:rStyle w:val="HideTWBExt"/>
          <w:b w:val="0"/>
        </w:rPr>
        <w:t>&lt;Article&gt;</w:t>
      </w:r>
      <w:r w:rsidRPr="00FF7A7C">
        <w:t>Paragrafo 6</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23304D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9CCD5CE" w14:textId="77777777">
            <w:pPr>
              <w:keepNext/>
            </w:pPr>
          </w:p>
        </w:tc>
      </w:tr>
      <w:tr w14:paraId="4DF3CB9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A4DB779" w14:textId="77777777">
            <w:pPr>
              <w:pStyle w:val="ColumnHeading"/>
              <w:keepNext/>
            </w:pPr>
            <w:r w:rsidRPr="00FF7A7C">
              <w:t>Proposta di risoluzione</w:t>
            </w:r>
          </w:p>
        </w:tc>
        <w:tc>
          <w:tcPr>
            <w:tcW w:w="4876" w:type="dxa"/>
            <w:hideMark/>
          </w:tcPr>
          <w:p w:rsidR="00AC4730" w:rsidRPr="00FF7A7C" w14:paraId="2284711B" w14:textId="77777777">
            <w:pPr>
              <w:pStyle w:val="ColumnHeading"/>
              <w:keepNext/>
            </w:pPr>
            <w:r w:rsidRPr="00FF7A7C">
              <w:t>Emendamento</w:t>
            </w:r>
          </w:p>
        </w:tc>
      </w:tr>
      <w:tr w14:paraId="02056F3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CD6FF5C" w14:textId="77777777">
            <w:pPr>
              <w:pStyle w:val="Normal6"/>
            </w:pPr>
            <w:r w:rsidRPr="00FF7A7C">
              <w:t>6.</w:t>
            </w:r>
            <w:r w:rsidRPr="00FF7A7C">
              <w:tab/>
              <w:t xml:space="preserve">prende atto che </w:t>
            </w:r>
            <w:r w:rsidRPr="00FF7A7C">
              <w:rPr>
                <w:b/>
                <w:i/>
              </w:rPr>
              <w:t xml:space="preserve">la struttura di </w:t>
            </w:r>
            <w:r w:rsidRPr="00FF7A7C">
              <w:rPr>
                <w:b/>
                <w:i/>
              </w:rPr>
              <w:t>governance, nei sistemi centralizzati o decentrati, non determina sistematicamente i risultati dell'assorbimento e che</w:t>
            </w:r>
            <w:r w:rsidRPr="00FF7A7C">
              <w:t xml:space="preserve"> la performance è </w:t>
            </w:r>
            <w:r w:rsidRPr="00FF7A7C">
              <w:rPr>
                <w:b/>
                <w:i/>
              </w:rPr>
              <w:t>invece</w:t>
            </w:r>
            <w:r w:rsidRPr="00FF7A7C">
              <w:t xml:space="preserve"> dovuta a una combinazione di fattori, tra cui </w:t>
            </w:r>
            <w:r w:rsidRPr="00FF7A7C">
              <w:rPr>
                <w:b/>
                <w:i/>
              </w:rPr>
              <w:t>il modello di governance in vigore,</w:t>
            </w:r>
            <w:r w:rsidRPr="00FF7A7C">
              <w:t xml:space="preserve"> la capacità amministrativa delle autorità nazionali e regionali, la stabilità istituzionale, gli appalti pubblici, i rischi strategici legati alla cultura amministrativa e di controllo e la complessità dei programmi; si rammarica che </w:t>
            </w:r>
            <w:r w:rsidRPr="00FF7A7C">
              <w:rPr>
                <w:b/>
                <w:i/>
              </w:rPr>
              <w:t>diversi</w:t>
            </w:r>
            <w:r w:rsidRPr="00FF7A7C">
              <w:t xml:space="preserve"> Stati membri abbiano incontrato notevoli diff</w:t>
            </w:r>
            <w:r w:rsidRPr="00FF7A7C">
              <w:t>icoltà nell'assorbimento tempestivo dei fondi alla fine dei periodi di programmazione, il che può compromettere la qualità dei progetti e il rapporto costi-benefici;</w:t>
            </w:r>
          </w:p>
        </w:tc>
        <w:tc>
          <w:tcPr>
            <w:tcW w:w="4876" w:type="dxa"/>
            <w:hideMark/>
          </w:tcPr>
          <w:p w:rsidR="00AC4730" w:rsidRPr="00FF7A7C" w14:paraId="7F0F1E2C" w14:textId="77777777">
            <w:pPr>
              <w:pStyle w:val="Normal6"/>
              <w:rPr>
                <w:szCs w:val="24"/>
              </w:rPr>
            </w:pPr>
            <w:r w:rsidRPr="00FF7A7C">
              <w:t>6.</w:t>
            </w:r>
            <w:r w:rsidRPr="00FF7A7C">
              <w:tab/>
              <w:t xml:space="preserve">prende atto che la performance è dovuta a una combinazione di fattori, tra cui la capacità amministrativa delle autorità nazionali e regionali, la stabilità istituzionale, gli appalti pubblici, i rischi strategici legati alla cultura amministrativa e di controllo e la complessità dei programmi; si rammarica che </w:t>
            </w:r>
            <w:r w:rsidRPr="00FF7A7C">
              <w:rPr>
                <w:b/>
                <w:i/>
              </w:rPr>
              <w:t>alcuni</w:t>
            </w:r>
            <w:r w:rsidRPr="00FF7A7C">
              <w:t xml:space="preserve"> Stati membri abbiano incontrato notevoli difficoltà nell'assorbimento tempestivo dei fondi alla fine dei periodi di programmazione, il che può compromettere la qualità dei progetti e il rappo</w:t>
            </w:r>
            <w:r w:rsidRPr="00FF7A7C">
              <w:t xml:space="preserve">rto costi-benefici; </w:t>
            </w:r>
            <w:r w:rsidRPr="00FF7A7C">
              <w:rPr>
                <w:b/>
                <w:i/>
              </w:rPr>
              <w:t>esorta pertanto i programmi a continuare a destinare ingenti fondi allo sviluppo della capacità amministrativa a tutti i livelli di governo interessati dai fondi dell'UE (centrali, regionali e locali), nonché ai partner e ai portatori di interessi coinvolti nell'elaborazione, nell'attuazione e nel seguito dei programmi e dei progetti;</w:t>
            </w:r>
          </w:p>
        </w:tc>
      </w:tr>
    </w:tbl>
    <w:p w:rsidR="00AC4730" w:rsidRPr="00FF7A7C" w:rsidP="00AC4730" w14:paraId="2587E30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91E364D" w14:textId="77777777">
      <w:r w:rsidRPr="00FF7A7C">
        <w:rPr>
          <w:rStyle w:val="HideTWBExt"/>
        </w:rPr>
        <w:t>&lt;/Amend&gt;</w:t>
      </w:r>
    </w:p>
    <w:p w:rsidR="00AC4730" w:rsidRPr="00FF7A7C" w:rsidP="00AC4730" w14:paraId="47160AE1"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3AC2A96"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6EEA95F4" w14:textId="77777777">
      <w:r w:rsidRPr="00FF7A7C">
        <w:rPr>
          <w:rStyle w:val="HideTWBExt"/>
        </w:rPr>
        <w:t>&lt;/RepeatBlock-By&gt;</w:t>
      </w:r>
    </w:p>
    <w:p w:rsidR="00AC4730" w:rsidRPr="00FF7A7C" w:rsidP="00AC4730" w14:paraId="3887AD3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80C453C" w14:textId="77777777">
      <w:pPr>
        <w:pStyle w:val="NormalBold"/>
      </w:pPr>
      <w:r w:rsidRPr="00FF7A7C">
        <w:rPr>
          <w:rStyle w:val="HideTWBExt"/>
          <w:b w:val="0"/>
        </w:rPr>
        <w:t>&lt;Article&gt;</w:t>
      </w:r>
      <w:r w:rsidRPr="00FF7A7C">
        <w:t>Paragrafo 6</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A97722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9C8E21F" w14:textId="77777777">
            <w:pPr>
              <w:keepNext/>
            </w:pPr>
          </w:p>
        </w:tc>
      </w:tr>
      <w:tr w14:paraId="702A9FA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F028F5E" w14:textId="77777777">
            <w:pPr>
              <w:pStyle w:val="ColumnHeading"/>
              <w:keepNext/>
            </w:pPr>
            <w:r w:rsidRPr="00FF7A7C">
              <w:t xml:space="preserve">Proposta di </w:t>
            </w:r>
            <w:r w:rsidRPr="00FF7A7C">
              <w:t>risoluzione</w:t>
            </w:r>
          </w:p>
        </w:tc>
        <w:tc>
          <w:tcPr>
            <w:tcW w:w="4876" w:type="dxa"/>
            <w:hideMark/>
          </w:tcPr>
          <w:p w:rsidR="00AC4730" w:rsidRPr="00FF7A7C" w14:paraId="1042DD25" w14:textId="77777777">
            <w:pPr>
              <w:pStyle w:val="ColumnHeading"/>
              <w:keepNext/>
            </w:pPr>
            <w:r w:rsidRPr="00FF7A7C">
              <w:t>Emendamento</w:t>
            </w:r>
          </w:p>
        </w:tc>
      </w:tr>
      <w:tr w14:paraId="6164AB5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E3C4B0C" w14:textId="77777777">
            <w:pPr>
              <w:pStyle w:val="Normal6"/>
            </w:pPr>
            <w:r w:rsidRPr="00FF7A7C">
              <w:t>6.</w:t>
            </w:r>
            <w:r w:rsidRPr="00FF7A7C">
              <w:tab/>
            </w:r>
            <w:r w:rsidRPr="00FF7A7C">
              <w:t xml:space="preserve">prende atto che la struttura di governance, nei sistemi centralizzati o decentrati, non determina sistematicamente i risultati dell'assorbimento e che la performance è invece dovuta a una combinazione di fattori, tra cui il modello di governance in vigore, la capacità amministrativa delle autorità nazionali e regionali, la stabilità </w:t>
            </w:r>
            <w:r w:rsidRPr="00FF7A7C">
              <w:rPr>
                <w:b/>
                <w:bCs/>
                <w:i/>
                <w:iCs/>
              </w:rPr>
              <w:t>istituzionale</w:t>
            </w:r>
            <w:r w:rsidRPr="00FF7A7C">
              <w:t xml:space="preserve">, gli appalti pubblici, i rischi strategici legati alla cultura amministrativa e di controllo e la complessità dei programmi; si rammarica che diversi Stati membri </w:t>
            </w:r>
            <w:r w:rsidRPr="00FF7A7C">
              <w:t xml:space="preserve">abbiano incontrato notevoli difficoltà nell'assorbimento tempestivo dei fondi alla fine dei periodi di programmazione, il che può compromettere la qualità dei progetti e </w:t>
            </w:r>
            <w:r w:rsidRPr="00FF7A7C">
              <w:rPr>
                <w:b/>
                <w:i/>
              </w:rPr>
              <w:t>il rapporto costi-benefici</w:t>
            </w:r>
            <w:r w:rsidRPr="00FF7A7C">
              <w:t>;</w:t>
            </w:r>
          </w:p>
        </w:tc>
        <w:tc>
          <w:tcPr>
            <w:tcW w:w="4876" w:type="dxa"/>
            <w:hideMark/>
          </w:tcPr>
          <w:p w:rsidR="00AC4730" w:rsidRPr="00FF7A7C" w14:paraId="5A17E2CD" w14:textId="77777777">
            <w:pPr>
              <w:pStyle w:val="Normal6"/>
              <w:rPr>
                <w:szCs w:val="24"/>
              </w:rPr>
            </w:pPr>
            <w:r w:rsidRPr="00FF7A7C">
              <w:t>6.</w:t>
            </w:r>
            <w:r w:rsidRPr="00FF7A7C">
              <w:tab/>
              <w:t xml:space="preserve">prende atto che la struttura di governance, nei sistemi centralizzati o decentrati, non determina sistematicamente i risultati dell'assorbimento e che la performance è invece dovuta a una combinazione di fattori, tra cui il modello di governance in vigore, la capacità amministrativa delle autorità nazionali e regionali, la stabilità </w:t>
            </w:r>
            <w:r w:rsidRPr="00FF7A7C">
              <w:rPr>
                <w:b/>
                <w:i/>
              </w:rPr>
              <w:t>e la trasparenza istituzionali</w:t>
            </w:r>
            <w:r w:rsidRPr="00FF7A7C">
              <w:t>, gli appalti pubblici, i rischi strategici legati alla cultura amministrativa e di controllo e la complessità dei programmi; si rammarica che div</w:t>
            </w:r>
            <w:r w:rsidRPr="00FF7A7C">
              <w:t xml:space="preserve">ersi Stati membri abbiano incontrato notevoli difficoltà nell'assorbimento tempestivo dei fondi alla fine dei periodi di programmazione, il che può compromettere la qualità dei progetti e </w:t>
            </w:r>
            <w:r w:rsidRPr="00FF7A7C">
              <w:rPr>
                <w:b/>
                <w:i/>
              </w:rPr>
              <w:t>l'impatto per i cittadini</w:t>
            </w:r>
            <w:r w:rsidRPr="00FF7A7C">
              <w:t xml:space="preserve">; </w:t>
            </w:r>
            <w:r w:rsidRPr="00FF7A7C">
              <w:rPr>
                <w:b/>
                <w:i/>
              </w:rPr>
              <w:t>sottolinea che l'assorbimento tempestivo non dovrebbe essere un obiettivo di per sé, ma dovrebbe essere conseguito nel rispetto della sostenibilità sociale e ambientale;</w:t>
            </w:r>
          </w:p>
        </w:tc>
      </w:tr>
    </w:tbl>
    <w:p w:rsidR="00AC4730" w:rsidRPr="00FF7A7C" w:rsidP="00AC4730" w14:paraId="6E0DEC6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733871C" w14:textId="77777777">
      <w:r w:rsidRPr="00FF7A7C">
        <w:rPr>
          <w:rStyle w:val="HideTWBExt"/>
        </w:rPr>
        <w:t>&lt;/Amend&gt;</w:t>
      </w:r>
    </w:p>
    <w:p w:rsidR="00AC4730" w:rsidRPr="00FF7A7C" w:rsidP="00AC4730" w14:paraId="7ED3068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49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0AE3C38" w14:textId="77777777">
      <w:pPr>
        <w:pStyle w:val="NormalBold"/>
      </w:pPr>
      <w:r w:rsidRPr="00FF7A7C">
        <w:rPr>
          <w:rStyle w:val="HideTWBExt"/>
          <w:b w:val="0"/>
        </w:rPr>
        <w:t>&lt;RepeatBlock-By&gt;&lt;Members&gt;</w:t>
      </w:r>
      <w:r w:rsidRPr="00FF7A7C">
        <w:t>Tomáš</w:t>
      </w:r>
      <w:r w:rsidRPr="00FF7A7C">
        <w:t xml:space="preserve"> </w:t>
      </w:r>
      <w:r w:rsidRPr="00FF7A7C">
        <w:t>Zdechovský</w:t>
      </w:r>
      <w:r w:rsidRPr="00FF7A7C">
        <w:rPr>
          <w:rStyle w:val="HideTWBExt"/>
          <w:b w:val="0"/>
        </w:rPr>
        <w:t>&lt;/Members&gt;</w:t>
      </w:r>
    </w:p>
    <w:p w:rsidR="00AC4730" w:rsidRPr="00FF7A7C" w:rsidP="00AC4730" w14:paraId="3748D56F" w14:textId="77777777">
      <w:r w:rsidRPr="00FF7A7C">
        <w:rPr>
          <w:rStyle w:val="HideTWBExt"/>
        </w:rPr>
        <w:t>&lt;/RepeatBlock-By&gt;</w:t>
      </w:r>
    </w:p>
    <w:p w:rsidR="00AC4730" w:rsidRPr="00FF7A7C" w:rsidP="00AC4730" w14:paraId="0030D9CC"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D201736" w14:textId="77777777">
      <w:pPr>
        <w:pStyle w:val="NormalBold"/>
      </w:pPr>
      <w:r w:rsidRPr="00FF7A7C">
        <w:rPr>
          <w:rStyle w:val="HideTWBExt"/>
          <w:b w:val="0"/>
        </w:rPr>
        <w:t>&lt;Article&gt;</w:t>
      </w:r>
      <w:r w:rsidRPr="00FF7A7C">
        <w:t>Paragrafo 6</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9339C0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32763FD" w14:textId="77777777">
            <w:pPr>
              <w:keepNext/>
            </w:pPr>
          </w:p>
        </w:tc>
      </w:tr>
      <w:tr w14:paraId="658FE6A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BF59E72" w14:textId="77777777">
            <w:pPr>
              <w:pStyle w:val="ColumnHeading"/>
              <w:keepNext/>
            </w:pPr>
            <w:r w:rsidRPr="00FF7A7C">
              <w:t>Proposta di risoluzione</w:t>
            </w:r>
          </w:p>
        </w:tc>
        <w:tc>
          <w:tcPr>
            <w:tcW w:w="4876" w:type="dxa"/>
            <w:hideMark/>
          </w:tcPr>
          <w:p w:rsidR="00AC4730" w:rsidRPr="00FF7A7C" w14:paraId="48CC6D74" w14:textId="77777777">
            <w:pPr>
              <w:pStyle w:val="ColumnHeading"/>
              <w:keepNext/>
            </w:pPr>
            <w:r w:rsidRPr="00FF7A7C">
              <w:t>Emendamento</w:t>
            </w:r>
          </w:p>
        </w:tc>
      </w:tr>
      <w:tr w14:paraId="099B6C5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C90D455" w14:textId="77777777">
            <w:pPr>
              <w:pStyle w:val="Normal6"/>
            </w:pPr>
            <w:r w:rsidRPr="00FF7A7C">
              <w:t>6.</w:t>
            </w:r>
            <w:r w:rsidRPr="00FF7A7C">
              <w:tab/>
              <w:t xml:space="preserve">prende atto che la struttura di governance, nei sistemi centralizzati o decentrati, non determina sistematicamente i risultati </w:t>
            </w:r>
            <w:r w:rsidRPr="00FF7A7C">
              <w:t>dell'assorbimento e che la performance è invece dovuta a una combinazione di fattori, tra cui il modello di governance in vigore, la capacità amministrativa delle autorità nazionali e regionali, la stabilità istituzionale, gli appalti pubblici, i rischi strategici legati alla cultura amministrativa e di controllo e la complessità dei programmi; si rammarica che diversi Stati membri abbiano incontrato notevoli difficoltà nell'assorbimento tempestivo dei fondi alla fine dei periodi di programmazione, il che p</w:t>
            </w:r>
            <w:r w:rsidRPr="00FF7A7C">
              <w:t>uò compromettere la qualità dei progetti e il rapporto costi-benefici;</w:t>
            </w:r>
          </w:p>
        </w:tc>
        <w:tc>
          <w:tcPr>
            <w:tcW w:w="4876" w:type="dxa"/>
            <w:hideMark/>
          </w:tcPr>
          <w:p w:rsidR="00AC4730" w:rsidRPr="00FF7A7C" w14:paraId="3B2EB325" w14:textId="77777777">
            <w:pPr>
              <w:pStyle w:val="Normal6"/>
              <w:rPr>
                <w:szCs w:val="24"/>
              </w:rPr>
            </w:pPr>
            <w:r w:rsidRPr="00FF7A7C">
              <w:t>6.</w:t>
            </w:r>
            <w:r w:rsidRPr="00FF7A7C">
              <w:tab/>
              <w:t xml:space="preserve">prende atto che la struttura di governance, nei sistemi centralizzati o decentrati, non determina sistematicamente i risultati dell'assorbimento e che la performance è invece dovuta a una combinazione di fattori, tra cui il modello di governance in vigore, la capacità amministrativa delle autorità nazionali e regionali, la stabilità istituzionale, gli appalti pubblici, i rischi strategici legati alla cultura amministrativa e di controllo e la complessità dei programmi; </w:t>
            </w:r>
            <w:r w:rsidRPr="00FF7A7C">
              <w:rPr>
                <w:b/>
                <w:i/>
              </w:rPr>
              <w:t>osserva che la stabilità istituzional</w:t>
            </w:r>
            <w:r w:rsidRPr="00FF7A7C">
              <w:rPr>
                <w:b/>
                <w:i/>
              </w:rPr>
              <w:t>e e la maturità di attuazione costituiscono anch'esse elementi determinanti importanti della performance;</w:t>
            </w:r>
            <w:r w:rsidRPr="00FF7A7C">
              <w:t xml:space="preserve"> si rammarica che diversi Stati membri abbiano incontrato notevoli difficoltà nell'assorbimento tempestivo dei fondi alla fine dei periodi di programmazione, il che può compromettere la qualità dei progetti e il rapporto costi-benefici;</w:t>
            </w:r>
          </w:p>
        </w:tc>
      </w:tr>
    </w:tbl>
    <w:p w:rsidR="00AC4730" w:rsidRPr="00FF7A7C" w:rsidP="00AC4730" w14:paraId="2A98B7B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FCC234C" w14:textId="77777777">
      <w:r w:rsidRPr="00FF7A7C">
        <w:rPr>
          <w:rStyle w:val="HideTWBExt"/>
        </w:rPr>
        <w:t>&lt;/Amend&gt;</w:t>
      </w:r>
    </w:p>
    <w:p w:rsidR="00AC4730" w:rsidRPr="00FF7A7C" w:rsidP="00AC4730" w14:paraId="1572E93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46984D8"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0F1A5692" w14:textId="77777777">
      <w:r w:rsidRPr="00FF7A7C">
        <w:rPr>
          <w:rStyle w:val="HideTWBExt"/>
        </w:rPr>
        <w:t>&lt;/RepeatBlock-By&gt;</w:t>
      </w:r>
    </w:p>
    <w:p w:rsidR="00AC4730" w:rsidRPr="00FF7A7C" w:rsidP="00AC4730" w14:paraId="0077DB8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12CD41C" w14:textId="77777777">
      <w:pPr>
        <w:pStyle w:val="NormalBold"/>
      </w:pPr>
      <w:r w:rsidRPr="00FF7A7C">
        <w:rPr>
          <w:rStyle w:val="HideTWBExt"/>
          <w:b w:val="0"/>
        </w:rPr>
        <w:t>&lt;Article&gt;</w:t>
      </w:r>
      <w:r w:rsidRPr="00FF7A7C">
        <w:t>Paragrafo 6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38D1C0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FD1ED64" w14:textId="77777777">
            <w:pPr>
              <w:keepNext/>
            </w:pPr>
          </w:p>
        </w:tc>
      </w:tr>
      <w:tr w14:paraId="444535B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77878EE" w14:textId="77777777">
            <w:pPr>
              <w:pStyle w:val="ColumnHeading"/>
              <w:keepNext/>
            </w:pPr>
            <w:r w:rsidRPr="00FF7A7C">
              <w:t>Proposta di risoluzione</w:t>
            </w:r>
          </w:p>
        </w:tc>
        <w:tc>
          <w:tcPr>
            <w:tcW w:w="4876" w:type="dxa"/>
            <w:hideMark/>
          </w:tcPr>
          <w:p w:rsidR="00AC4730" w:rsidRPr="00FF7A7C" w14:paraId="73C41421" w14:textId="77777777">
            <w:pPr>
              <w:pStyle w:val="ColumnHeading"/>
              <w:keepNext/>
            </w:pPr>
            <w:r w:rsidRPr="00FF7A7C">
              <w:t>Emendamento</w:t>
            </w:r>
          </w:p>
        </w:tc>
      </w:tr>
      <w:tr w14:paraId="0EBD1B3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2E2B8853" w14:textId="77777777">
            <w:pPr>
              <w:pStyle w:val="Normal6"/>
            </w:pPr>
          </w:p>
        </w:tc>
        <w:tc>
          <w:tcPr>
            <w:tcW w:w="4876" w:type="dxa"/>
            <w:hideMark/>
          </w:tcPr>
          <w:p w:rsidR="00AC4730" w:rsidRPr="00FF7A7C" w14:paraId="5719AADF" w14:textId="77777777">
            <w:pPr>
              <w:pStyle w:val="Normal6"/>
              <w:rPr>
                <w:szCs w:val="24"/>
              </w:rPr>
            </w:pPr>
            <w:r w:rsidRPr="00FF7A7C">
              <w:rPr>
                <w:b/>
                <w:i/>
              </w:rPr>
              <w:t>6</w:t>
            </w:r>
            <w:r w:rsidRPr="00FF7A7C">
              <w:rPr>
                <w:b/>
                <w:i/>
              </w:rPr>
              <w:t xml:space="preserve"> bis.</w:t>
            </w:r>
            <w:r w:rsidRPr="00FF7A7C">
              <w:rPr>
                <w:b/>
                <w:i/>
              </w:rPr>
              <w:tab/>
              <w:t xml:space="preserve">sottolinea che i tassi di </w:t>
            </w:r>
            <w:r w:rsidRPr="00FF7A7C">
              <w:rPr>
                <w:b/>
                <w:i/>
              </w:rPr>
              <w:t>assorbimento da soli non possono essere considerati un indicatore sufficiente del successo dell'attuazione del bilancio dell'UE; sottolinea che l'efficacia dei fondi dell'UE deve essere valutata in base al loro impatto reale sulla vita delle persone, sulla coesione sociale e territoriale, sulla convergenza verso l'alto e sulla riduzione delle disuguaglianze; sottolinea l'importanza della gestione concorrente e del pieno rispetto del principio di partenariato, garantendo il pieno coinvolgimento degli enti re</w:t>
            </w:r>
            <w:r w:rsidRPr="00FF7A7C">
              <w:rPr>
                <w:b/>
                <w:i/>
              </w:rPr>
              <w:t>gionali e locali, nonché delle parti sociali, a tutti i livelli; sottolinea altresì che la trasparenza, la responsabilità e la tutela degli interessi finanziari dell'UE sono presupposti essenziali per la credibilità e l'efficacia della politica di coesione; chiede una politica di coesione modernizzata, decentrata e rafforzata nel nuovo ciclo QFP, che ponga al centro le persone e che sia fondata su una governance multilivello rafforzata e un approccio basato sul territorio; chiede che i futuri strumenti di c</w:t>
            </w:r>
            <w:r w:rsidRPr="00FF7A7C">
              <w:rPr>
                <w:b/>
                <w:i/>
              </w:rPr>
              <w:t>oesione e di preadesione siano valutati non solo sulla velocità della spesa, ma anche sul loro contributo al rafforzamento dei servizi pubblici, alla creazione di posti di lavoro di qualità, al sostegno delle regioni e delle comunità svantaggiate, alla promozione degli obiettivi climatici e ambientali e alla tutela degli interessi finanziari dell'Unione;</w:t>
            </w:r>
          </w:p>
        </w:tc>
      </w:tr>
    </w:tbl>
    <w:p w:rsidR="00AC4730" w:rsidRPr="00FF7A7C" w:rsidP="00AC4730" w14:paraId="07CA87B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FC4624B" w14:textId="77777777">
      <w:r w:rsidRPr="00FF7A7C">
        <w:rPr>
          <w:rStyle w:val="HideTWBExt"/>
        </w:rPr>
        <w:t>&lt;/Amend&gt;</w:t>
      </w:r>
    </w:p>
    <w:p w:rsidR="00AC4730" w:rsidRPr="00FF7A7C" w:rsidP="00AC4730" w14:paraId="2BFBE50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98D710A"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42367B61" w14:textId="77777777">
      <w:r w:rsidRPr="00FF7A7C">
        <w:rPr>
          <w:rStyle w:val="HideTWBExt"/>
        </w:rPr>
        <w:t>&lt;/RepeatBlock-By&gt;</w:t>
      </w:r>
    </w:p>
    <w:p w:rsidR="00AC4730" w:rsidRPr="00FF7A7C" w:rsidP="00AC4730" w14:paraId="3F27FDB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C3C7E1C" w14:textId="77777777">
      <w:pPr>
        <w:pStyle w:val="NormalBold"/>
      </w:pPr>
      <w:r w:rsidRPr="00FF7A7C">
        <w:rPr>
          <w:rStyle w:val="HideTWBExt"/>
          <w:b w:val="0"/>
        </w:rPr>
        <w:t>&lt;Article&gt;</w:t>
      </w:r>
      <w:r w:rsidRPr="00FF7A7C">
        <w:t>Paragrafo 6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57BFEE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7BF0051" w14:textId="77777777">
            <w:pPr>
              <w:keepNext/>
            </w:pPr>
          </w:p>
        </w:tc>
      </w:tr>
      <w:tr w14:paraId="7711327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0EF2887" w14:textId="77777777">
            <w:pPr>
              <w:pStyle w:val="ColumnHeading"/>
              <w:keepNext/>
            </w:pPr>
            <w:r w:rsidRPr="00FF7A7C">
              <w:t>Proposta di risoluzione</w:t>
            </w:r>
          </w:p>
        </w:tc>
        <w:tc>
          <w:tcPr>
            <w:tcW w:w="4876" w:type="dxa"/>
            <w:hideMark/>
          </w:tcPr>
          <w:p w:rsidR="00AC4730" w:rsidRPr="00FF7A7C" w14:paraId="21F2B4DC" w14:textId="77777777">
            <w:pPr>
              <w:pStyle w:val="ColumnHeading"/>
              <w:keepNext/>
            </w:pPr>
            <w:r w:rsidRPr="00FF7A7C">
              <w:t>Emendamento</w:t>
            </w:r>
          </w:p>
        </w:tc>
      </w:tr>
      <w:tr w14:paraId="7E24973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69C9D133" w14:textId="77777777">
            <w:pPr>
              <w:pStyle w:val="Normal6"/>
            </w:pPr>
          </w:p>
        </w:tc>
        <w:tc>
          <w:tcPr>
            <w:tcW w:w="4876" w:type="dxa"/>
            <w:hideMark/>
          </w:tcPr>
          <w:p w:rsidR="00AC4730" w:rsidRPr="00FF7A7C" w14:paraId="7E6B86F0" w14:textId="77777777">
            <w:pPr>
              <w:pStyle w:val="Normal6"/>
              <w:rPr>
                <w:szCs w:val="24"/>
              </w:rPr>
            </w:pPr>
            <w:r w:rsidRPr="00FF7A7C">
              <w:rPr>
                <w:b/>
                <w:i/>
              </w:rPr>
              <w:t>6</w:t>
            </w:r>
            <w:r w:rsidRPr="00FF7A7C">
              <w:rPr>
                <w:b/>
                <w:i/>
              </w:rPr>
              <w:t xml:space="preserve"> bis.</w:t>
            </w:r>
            <w:r w:rsidRPr="00FF7A7C">
              <w:rPr>
                <w:b/>
                <w:i/>
              </w:rPr>
              <w:tab/>
              <w:t xml:space="preserve">accoglie con favore i progressi compiuti dagli Stati membri che hanno aderito all'Unione a partire dal 2004 nel </w:t>
            </w:r>
            <w:r w:rsidRPr="00FF7A7C">
              <w:rPr>
                <w:b/>
                <w:i/>
              </w:rPr>
              <w:t>rafforzare i loro sistemi di gestione delle finanze pubbliche; sottolinea, tuttavia, che le disparità nelle capacità amministrative e di controllo continuano a incidere sull'attuazione efficiente e legittima dei fondi dell'Unione e dovrebbero essere affrontate attraverso misure di sviluppo delle capacità; osserva con preoccupazione che alcuni Stati membri hanno introdotto ulteriori requisiti amministrativi e di controllo nazionali oltre a quelli previsti dalla legislazione dell'Unione, creando inutili oneri</w:t>
            </w:r>
            <w:r w:rsidRPr="00FF7A7C">
              <w:rPr>
                <w:b/>
                <w:i/>
              </w:rPr>
              <w:t xml:space="preserve"> burocratici per i beneficiari, rallentando l'assorbimento dei fondi, aumentando i costi di conformità e contribuendo alle disparità nell'accesso ai finanziamenti dell'Unione e nell'attuazione degli stessi in tutta l'Unione; invita la Commissione e gli Stati membri a promuovere la proporzionalità e la semplificazione dei sistemi di controllo, garantendo nel contempo un'adeguata tutela degli interessi finanziari dell'Unione;</w:t>
            </w:r>
          </w:p>
        </w:tc>
      </w:tr>
    </w:tbl>
    <w:p w:rsidR="00AC4730" w:rsidRPr="00FF7A7C" w:rsidP="00AC4730" w14:paraId="5CCA7797"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E5ACEDE" w14:textId="77777777">
      <w:r w:rsidRPr="00FF7A7C">
        <w:rPr>
          <w:rStyle w:val="HideTWBExt"/>
        </w:rPr>
        <w:t>&lt;/Amend&gt;</w:t>
      </w:r>
    </w:p>
    <w:p w:rsidR="00AC4730" w:rsidRPr="00FF7A7C" w:rsidP="00AC4730" w14:paraId="5CBF13E2"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96A9AE5"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79C51C34" w14:textId="77777777">
      <w:r w:rsidRPr="00FF7A7C">
        <w:rPr>
          <w:rStyle w:val="HideTWBExt"/>
        </w:rPr>
        <w:t>&lt;/RepeatBlock-By&gt;</w:t>
      </w:r>
    </w:p>
    <w:p w:rsidR="00AC4730" w:rsidRPr="00FF7A7C" w:rsidP="00AC4730" w14:paraId="19D7EF01"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BF8B370" w14:textId="77777777">
      <w:pPr>
        <w:pStyle w:val="NormalBold"/>
      </w:pPr>
      <w:r w:rsidRPr="00FF7A7C">
        <w:rPr>
          <w:rStyle w:val="HideTWBExt"/>
          <w:b w:val="0"/>
        </w:rPr>
        <w:t>&lt;Article&gt;</w:t>
      </w:r>
      <w:r w:rsidRPr="00FF7A7C">
        <w:t>Paragrafo 7</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34C630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F087A65" w14:textId="77777777">
            <w:pPr>
              <w:keepNext/>
            </w:pPr>
          </w:p>
        </w:tc>
      </w:tr>
      <w:tr w14:paraId="05CADBD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48125A6" w14:textId="77777777">
            <w:pPr>
              <w:pStyle w:val="ColumnHeading"/>
              <w:keepNext/>
            </w:pPr>
            <w:r w:rsidRPr="00FF7A7C">
              <w:t>Proposta di risoluzione</w:t>
            </w:r>
          </w:p>
        </w:tc>
        <w:tc>
          <w:tcPr>
            <w:tcW w:w="4876" w:type="dxa"/>
            <w:hideMark/>
          </w:tcPr>
          <w:p w:rsidR="00AC4730" w:rsidRPr="00FF7A7C" w14:paraId="698DF3B2" w14:textId="77777777">
            <w:pPr>
              <w:pStyle w:val="ColumnHeading"/>
              <w:keepNext/>
            </w:pPr>
            <w:r w:rsidRPr="00FF7A7C">
              <w:t>Emendamento</w:t>
            </w:r>
          </w:p>
        </w:tc>
      </w:tr>
      <w:tr w14:paraId="46F2DDD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25FA6D5" w14:textId="77777777">
            <w:pPr>
              <w:pStyle w:val="Normal6"/>
            </w:pPr>
            <w:r w:rsidRPr="00FF7A7C">
              <w:t>7.</w:t>
            </w:r>
            <w:r w:rsidRPr="00FF7A7C">
              <w:tab/>
              <w:t>sottolinea che le condizionalità hanno contribuito a migliorare le condizioni quadro e le riforme necessarie per migliorare i fondi di coesione, le strategie di investimento e la governance,</w:t>
            </w:r>
            <w:r w:rsidRPr="00FF7A7C">
              <w:rPr>
                <w:b/>
                <w:i/>
              </w:rPr>
              <w:t xml:space="preserve"> ma che il loro valore aggiunto in termini di miglioramento delle condizioni di investimento è stato compromesso da incoerenze nel modo in cui sono state</w:t>
            </w:r>
            <w:r w:rsidRPr="00FF7A7C">
              <w:t xml:space="preserve"> applicate </w:t>
            </w:r>
            <w:r w:rsidRPr="00FF7A7C">
              <w:rPr>
                <w:b/>
                <w:i/>
              </w:rPr>
              <w:t>e valutate</w:t>
            </w:r>
            <w:r w:rsidRPr="00FF7A7C">
              <w:t xml:space="preserve"> in tutti gli Stati membri;</w:t>
            </w:r>
          </w:p>
        </w:tc>
        <w:tc>
          <w:tcPr>
            <w:tcW w:w="4876" w:type="dxa"/>
            <w:hideMark/>
          </w:tcPr>
          <w:p w:rsidR="00AC4730" w:rsidRPr="00FF7A7C" w14:paraId="3A902547" w14:textId="77777777">
            <w:pPr>
              <w:pStyle w:val="Normal6"/>
              <w:rPr>
                <w:szCs w:val="24"/>
              </w:rPr>
            </w:pPr>
            <w:r w:rsidRPr="00FF7A7C">
              <w:t>7.</w:t>
            </w:r>
            <w:r w:rsidRPr="00FF7A7C">
              <w:tab/>
              <w:t>sottolinea che le condizionalità hanno contribuito a migliorare le condizioni quadro e le riforme necessarie per migliorare i fondi di coesione, le strategie di investimento e la governance</w:t>
            </w:r>
            <w:r w:rsidRPr="00FF7A7C">
              <w:rPr>
                <w:b/>
                <w:i/>
              </w:rPr>
              <w:t>; evidenzia che le condizionalità devono essere</w:t>
            </w:r>
            <w:r w:rsidRPr="00FF7A7C">
              <w:t xml:space="preserve"> applicate </w:t>
            </w:r>
            <w:r w:rsidRPr="00FF7A7C">
              <w:rPr>
                <w:b/>
                <w:i/>
              </w:rPr>
              <w:t>in modo trasparente e coerente</w:t>
            </w:r>
            <w:r w:rsidRPr="00FF7A7C">
              <w:t xml:space="preserve"> in tutti gli Stati membri </w:t>
            </w:r>
            <w:r w:rsidRPr="00FF7A7C">
              <w:rPr>
                <w:b/>
                <w:i/>
              </w:rPr>
              <w:t xml:space="preserve">e nei paesi candidati e devono basarsi su obiettivi di riforma chiari, misurabili e ambiziosi, in </w:t>
            </w:r>
            <w:r w:rsidRPr="00FF7A7C">
              <w:rPr>
                <w:b/>
                <w:i/>
              </w:rPr>
              <w:t>particolare nei settori dello Stato di diritto, della lotta alla corruzione, degli appalti pubblici e della tutela degli interessi finanziari dell'UE</w:t>
            </w:r>
            <w:r w:rsidRPr="00FF7A7C">
              <w:t>;</w:t>
            </w:r>
          </w:p>
        </w:tc>
      </w:tr>
    </w:tbl>
    <w:p w:rsidR="00AC4730" w:rsidRPr="00FF7A7C" w:rsidP="00AC4730" w14:paraId="6E35AB7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C00DC90" w14:textId="77777777">
      <w:r w:rsidRPr="00FF7A7C">
        <w:rPr>
          <w:rStyle w:val="HideTWBExt"/>
        </w:rPr>
        <w:t>&lt;/Amend&gt;</w:t>
      </w:r>
    </w:p>
    <w:p w:rsidR="00AC4730" w:rsidRPr="00FF7A7C" w:rsidP="00AC4730" w14:paraId="681A476B"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332BC2C"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5C69B7D4" w14:textId="77777777">
      <w:r w:rsidRPr="00FF7A7C">
        <w:rPr>
          <w:rStyle w:val="HideTWBExt"/>
        </w:rPr>
        <w:t>&lt;/RepeatBlock-By&gt;</w:t>
      </w:r>
    </w:p>
    <w:p w:rsidR="00AC4730" w:rsidRPr="00FF7A7C" w:rsidP="00AC4730" w14:paraId="5EBE23AB"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F6B474A" w14:textId="77777777">
      <w:pPr>
        <w:pStyle w:val="NormalBold"/>
      </w:pPr>
      <w:r w:rsidRPr="00FF7A7C">
        <w:rPr>
          <w:rStyle w:val="HideTWBExt"/>
          <w:b w:val="0"/>
        </w:rPr>
        <w:t>&lt;Article&gt;</w:t>
      </w:r>
      <w:r w:rsidRPr="00FF7A7C">
        <w:t>Paragrafo 7</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7A4DF7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19AB881" w14:textId="77777777">
            <w:pPr>
              <w:keepNext/>
            </w:pPr>
          </w:p>
        </w:tc>
      </w:tr>
      <w:tr w14:paraId="4FD0929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B1CBCD5" w14:textId="77777777">
            <w:pPr>
              <w:pStyle w:val="ColumnHeading"/>
              <w:keepNext/>
            </w:pPr>
            <w:r w:rsidRPr="00FF7A7C">
              <w:t>Proposta di risoluzione</w:t>
            </w:r>
          </w:p>
        </w:tc>
        <w:tc>
          <w:tcPr>
            <w:tcW w:w="4876" w:type="dxa"/>
            <w:hideMark/>
          </w:tcPr>
          <w:p w:rsidR="00AC4730" w:rsidRPr="00FF7A7C" w14:paraId="6884F5A4" w14:textId="77777777">
            <w:pPr>
              <w:pStyle w:val="ColumnHeading"/>
              <w:keepNext/>
            </w:pPr>
            <w:r w:rsidRPr="00FF7A7C">
              <w:t>Emendamento</w:t>
            </w:r>
          </w:p>
        </w:tc>
      </w:tr>
      <w:tr w14:paraId="7AAF4D9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F953215" w14:textId="77777777">
            <w:pPr>
              <w:pStyle w:val="Normal6"/>
            </w:pPr>
            <w:r w:rsidRPr="00FF7A7C">
              <w:t>7.</w:t>
            </w:r>
            <w:r w:rsidRPr="00FF7A7C">
              <w:tab/>
              <w:t xml:space="preserve">sottolinea che le condizionalità hanno contribuito a </w:t>
            </w:r>
            <w:r w:rsidRPr="00FF7A7C">
              <w:t>migliorare le condizioni quadro e le riforme necessarie per migliorare i fondi di coesione, le strategie di investimento e la governance, ma che il loro valore aggiunto in termini di miglioramento delle condizioni di investimento è stato compromesso da incoerenze nel modo in cui sono state applicate e valutate in tutti gli Stati membri;</w:t>
            </w:r>
          </w:p>
        </w:tc>
        <w:tc>
          <w:tcPr>
            <w:tcW w:w="4876" w:type="dxa"/>
            <w:hideMark/>
          </w:tcPr>
          <w:p w:rsidR="00AC4730" w:rsidRPr="00FF7A7C" w14:paraId="69AF0713" w14:textId="77777777">
            <w:pPr>
              <w:pStyle w:val="Normal6"/>
              <w:rPr>
                <w:szCs w:val="24"/>
              </w:rPr>
            </w:pPr>
            <w:r w:rsidRPr="00FF7A7C">
              <w:t>7.</w:t>
            </w:r>
            <w:r w:rsidRPr="00FF7A7C">
              <w:tab/>
              <w:t>sottolinea che le condizionalità hanno contribuito a migliorare le condizioni quadro e le riforme necessarie per migliorare i fondi di coesione, le strategie di investimento e la governance, ma che il loro valore aggiunto in termini di miglioramento delle condizioni di investimento è stato compromesso da incoerenze nel modo in cui sono state applicate e valutate in tutti gli Stati membri;</w:t>
            </w:r>
            <w:r w:rsidRPr="00FF7A7C">
              <w:rPr>
                <w:b/>
                <w:i/>
              </w:rPr>
              <w:t xml:space="preserve"> evidenzia che un quadro normativo stabile e prevedibile durante i periodi di programmazione è essenziale per la certezz</w:t>
            </w:r>
            <w:r w:rsidRPr="00FF7A7C">
              <w:rPr>
                <w:b/>
                <w:i/>
              </w:rPr>
              <w:t>a del diritto, la sana gestione finanziaria e l'attuazione efficiente dei fondi dell'Unione;</w:t>
            </w:r>
          </w:p>
        </w:tc>
      </w:tr>
    </w:tbl>
    <w:p w:rsidR="00AC4730" w:rsidRPr="00FF7A7C" w:rsidP="00AC4730" w14:paraId="3241D84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312FE07" w14:textId="77777777">
      <w:r w:rsidRPr="00FF7A7C">
        <w:rPr>
          <w:rStyle w:val="HideTWBExt"/>
        </w:rPr>
        <w:t>&lt;/Amend&gt;</w:t>
      </w:r>
    </w:p>
    <w:p w:rsidR="00AC4730" w:rsidRPr="00FF7A7C" w:rsidP="00AC4730" w14:paraId="2AA80B0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BBC56D4"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535BAE79" w14:textId="77777777">
      <w:r w:rsidRPr="00FF7A7C">
        <w:rPr>
          <w:rStyle w:val="HideTWBExt"/>
        </w:rPr>
        <w:t>&lt;/RepeatBlock-By&gt;</w:t>
      </w:r>
    </w:p>
    <w:p w:rsidR="00AC4730" w:rsidRPr="00FF7A7C" w:rsidP="00AC4730" w14:paraId="7F413F4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5259982" w14:textId="77777777">
      <w:pPr>
        <w:pStyle w:val="NormalBold"/>
      </w:pPr>
      <w:r w:rsidRPr="00FF7A7C">
        <w:rPr>
          <w:rStyle w:val="HideTWBExt"/>
          <w:b w:val="0"/>
        </w:rPr>
        <w:t>&lt;Article&gt;</w:t>
      </w:r>
      <w:r w:rsidRPr="00FF7A7C">
        <w:t>Paragrafo 8</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E2CB8D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E7EB685" w14:textId="77777777">
            <w:pPr>
              <w:keepNext/>
            </w:pPr>
          </w:p>
        </w:tc>
      </w:tr>
      <w:tr w14:paraId="187B6FB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4BB4C73" w14:textId="77777777">
            <w:pPr>
              <w:pStyle w:val="ColumnHeading"/>
              <w:keepNext/>
            </w:pPr>
            <w:r w:rsidRPr="00FF7A7C">
              <w:t>Proposta di risoluzione</w:t>
            </w:r>
          </w:p>
        </w:tc>
        <w:tc>
          <w:tcPr>
            <w:tcW w:w="4876" w:type="dxa"/>
            <w:hideMark/>
          </w:tcPr>
          <w:p w:rsidR="00AC4730" w:rsidRPr="00FF7A7C" w14:paraId="20708A6E" w14:textId="77777777">
            <w:pPr>
              <w:pStyle w:val="ColumnHeading"/>
              <w:keepNext/>
            </w:pPr>
            <w:r w:rsidRPr="00FF7A7C">
              <w:t>Emendamento</w:t>
            </w:r>
          </w:p>
        </w:tc>
      </w:tr>
      <w:tr w14:paraId="3BF3E4B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279531C" w14:textId="77777777">
            <w:pPr>
              <w:pStyle w:val="Normal6"/>
            </w:pPr>
            <w:r w:rsidRPr="00FF7A7C">
              <w:t>8.</w:t>
            </w:r>
            <w:r w:rsidRPr="00FF7A7C">
              <w:tab/>
              <w:t xml:space="preserve">osserva che i dati relativi al periodo di </w:t>
            </w:r>
            <w:r w:rsidRPr="00FF7A7C">
              <w:t>programmazione 2014-2020 indicano che le regioni in cui è stata data priorità all'impiego di risorse umane altamente qualificate avevano maggiori probabilità di avere programmi che hanno ottenuto buoni risultati o addirittura risultati superiori alle aspettative, il che riflette la migliore progettazione dei programmi e la maggiore capacità amministrativa di gestire procedure complesse dell'UE;</w:t>
            </w:r>
          </w:p>
        </w:tc>
        <w:tc>
          <w:tcPr>
            <w:tcW w:w="4876" w:type="dxa"/>
            <w:hideMark/>
          </w:tcPr>
          <w:p w:rsidR="00AC4730" w:rsidRPr="00FF7A7C" w14:paraId="137649A4" w14:textId="77777777">
            <w:pPr>
              <w:pStyle w:val="Normal6"/>
              <w:rPr>
                <w:szCs w:val="24"/>
              </w:rPr>
            </w:pPr>
            <w:r w:rsidRPr="00FF7A7C">
              <w:t>8.</w:t>
            </w:r>
            <w:r w:rsidRPr="00FF7A7C">
              <w:tab/>
              <w:t xml:space="preserve">osserva che i dati relativi al periodo di programmazione 2014-2020 indicano che le regioni in cui è stata data priorità all'impiego di risorse umane altamente qualificate avevano maggiori probabilità di avere programmi che hanno ottenuto buoni risultati o addirittura risultati superiori alle aspettative, il che riflette la migliore progettazione dei programmi e la maggiore capacità amministrativa di gestire procedure complesse dell'UE; </w:t>
            </w:r>
            <w:r w:rsidRPr="00FF7A7C">
              <w:rPr>
                <w:b/>
                <w:i/>
              </w:rPr>
              <w:t>sottolinea che la capacità amministrativa non può essere costruita su p</w:t>
            </w:r>
            <w:r w:rsidRPr="00FF7A7C">
              <w:rPr>
                <w:b/>
                <w:i/>
              </w:rPr>
              <w:t>ubbliche amministrazioni dotate di personale insufficiente, sottopagate o politicamente vulnerabili; invita la Commissione e gli Stati membri a utilizzare l'assistenza tecnica e gli strumenti di sviluppo delle capacità per sostenere assunzioni stabili, la formazione continua, condizioni di lavoro dignitose e la ritenzione del personale nelle autorità di gestione, nelle autorità di audit, nelle amministrazioni locali e regionali e tra i beneficiari, al fine di rafforzare le competenze, migliorare la continui</w:t>
            </w:r>
            <w:r w:rsidRPr="00FF7A7C">
              <w:rPr>
                <w:b/>
                <w:i/>
              </w:rPr>
              <w:t>tà e ridurre i rischi di errore;</w:t>
            </w:r>
          </w:p>
        </w:tc>
      </w:tr>
    </w:tbl>
    <w:p w:rsidR="00AC4730" w:rsidRPr="00FF7A7C" w:rsidP="00AC4730" w14:paraId="1699BC36"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2D62FE5" w14:textId="77777777">
      <w:r w:rsidRPr="00FF7A7C">
        <w:rPr>
          <w:rStyle w:val="HideTWBExt"/>
        </w:rPr>
        <w:t>&lt;/Amend&gt;</w:t>
      </w:r>
    </w:p>
    <w:p w:rsidR="00AC4730" w:rsidRPr="00FF7A7C" w:rsidP="00AC4730" w14:paraId="0DF83A9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6EC5088"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32DA2230" w14:textId="77777777">
      <w:r w:rsidRPr="00FF7A7C">
        <w:rPr>
          <w:rStyle w:val="HideTWBExt"/>
        </w:rPr>
        <w:t>&lt;/RepeatBlock-By&gt;</w:t>
      </w:r>
    </w:p>
    <w:p w:rsidR="00AC4730" w:rsidRPr="00FF7A7C" w:rsidP="00AC4730" w14:paraId="755E486D"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D0D7841" w14:textId="77777777">
      <w:pPr>
        <w:pStyle w:val="NormalBold"/>
      </w:pPr>
      <w:r w:rsidRPr="00FF7A7C">
        <w:rPr>
          <w:rStyle w:val="HideTWBExt"/>
          <w:b w:val="0"/>
        </w:rPr>
        <w:t>&lt;Article&gt;</w:t>
      </w:r>
      <w:r w:rsidRPr="00FF7A7C">
        <w:t>Paragrafo 8</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7E7EFC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8CB3CCA" w14:textId="77777777">
            <w:pPr>
              <w:keepNext/>
            </w:pPr>
          </w:p>
        </w:tc>
      </w:tr>
      <w:tr w14:paraId="72A3781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7E7137D" w14:textId="77777777">
            <w:pPr>
              <w:pStyle w:val="ColumnHeading"/>
              <w:keepNext/>
            </w:pPr>
            <w:r w:rsidRPr="00FF7A7C">
              <w:t>Proposta di risoluzione</w:t>
            </w:r>
          </w:p>
        </w:tc>
        <w:tc>
          <w:tcPr>
            <w:tcW w:w="4876" w:type="dxa"/>
            <w:hideMark/>
          </w:tcPr>
          <w:p w:rsidR="00AC4730" w:rsidRPr="00FF7A7C" w14:paraId="56E38CF5" w14:textId="77777777">
            <w:pPr>
              <w:pStyle w:val="ColumnHeading"/>
              <w:keepNext/>
            </w:pPr>
            <w:r w:rsidRPr="00FF7A7C">
              <w:t>Emendamento</w:t>
            </w:r>
          </w:p>
        </w:tc>
      </w:tr>
      <w:tr w14:paraId="05261A3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44298BF" w14:textId="77777777">
            <w:pPr>
              <w:pStyle w:val="Normal6"/>
            </w:pPr>
            <w:r w:rsidRPr="00FF7A7C">
              <w:t>8.</w:t>
            </w:r>
            <w:r w:rsidRPr="00FF7A7C">
              <w:tab/>
              <w:t xml:space="preserve">osserva che i dati relativi al periodo di </w:t>
            </w:r>
            <w:r w:rsidRPr="00FF7A7C">
              <w:t>programmazione 2014-2020 indicano che le regioni in cui è stata data priorità all'impiego di risorse umane altamente qualificate avevano maggiori probabilità di avere programmi che hanno ottenuto buoni risultati o addirittura risultati superiori alle aspettative, il che riflette la migliore progettazione dei programmi e la maggiore capacità amministrativa di gestire procedure complesse dell'UE;</w:t>
            </w:r>
          </w:p>
        </w:tc>
        <w:tc>
          <w:tcPr>
            <w:tcW w:w="4876" w:type="dxa"/>
            <w:hideMark/>
          </w:tcPr>
          <w:p w:rsidR="00AC4730" w:rsidRPr="00FF7A7C" w14:paraId="09EA8612" w14:textId="77777777">
            <w:pPr>
              <w:pStyle w:val="Normal6"/>
              <w:rPr>
                <w:szCs w:val="24"/>
              </w:rPr>
            </w:pPr>
            <w:r w:rsidRPr="00FF7A7C">
              <w:t>8.</w:t>
            </w:r>
            <w:r w:rsidRPr="00FF7A7C">
              <w:tab/>
              <w:t xml:space="preserve">osserva che i dati relativi al periodo di programmazione 2014-2020 indicano che le regioni in cui è stata data priorità all'impiego di risorse umane altamente qualificate avevano maggiori probabilità di avere programmi che hanno ottenuto buoni risultati o addirittura risultati superiori alle aspettative, il che riflette la migliore progettazione dei programmi e la maggiore capacità amministrativa di gestire procedure complesse dell'UE; </w:t>
            </w:r>
            <w:r w:rsidRPr="00FF7A7C">
              <w:rPr>
                <w:b/>
                <w:i/>
              </w:rPr>
              <w:t>sottolinea pertanto che dovrebbero essere destinati fondi sufficienti a</w:t>
            </w:r>
            <w:r w:rsidRPr="00FF7A7C">
              <w:rPr>
                <w:b/>
                <w:i/>
              </w:rPr>
              <w:t>gli investimenti in un settore pubblico qualificato caratterizzato da condizioni di lavoro stabili e formazione continua;</w:t>
            </w:r>
          </w:p>
        </w:tc>
      </w:tr>
    </w:tbl>
    <w:p w:rsidR="00AC4730" w:rsidRPr="00FF7A7C" w:rsidP="00AC4730" w14:paraId="21C9446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1518CF1" w14:textId="77777777">
      <w:r w:rsidRPr="00FF7A7C">
        <w:rPr>
          <w:rStyle w:val="HideTWBExt"/>
        </w:rPr>
        <w:t>&lt;/Amend&gt;</w:t>
      </w:r>
    </w:p>
    <w:p w:rsidR="00AC4730" w:rsidRPr="00FF7A7C" w:rsidP="00AC4730" w14:paraId="7098C081"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F1E1597"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302F1E18" w14:textId="77777777">
      <w:r w:rsidRPr="00FF7A7C">
        <w:rPr>
          <w:rStyle w:val="HideTWBExt"/>
        </w:rPr>
        <w:t>&lt;/RepeatBlock-By&gt;</w:t>
      </w:r>
    </w:p>
    <w:p w:rsidR="00AC4730" w:rsidRPr="00FF7A7C" w:rsidP="00AC4730" w14:paraId="1AA2493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EDEF222" w14:textId="77777777">
      <w:pPr>
        <w:pStyle w:val="NormalBold"/>
      </w:pPr>
      <w:r w:rsidRPr="00FF7A7C">
        <w:rPr>
          <w:rStyle w:val="HideTWBExt"/>
          <w:b w:val="0"/>
        </w:rPr>
        <w:t>&lt;Article&gt;</w:t>
      </w:r>
      <w:r w:rsidRPr="00FF7A7C">
        <w:t>Paragrafo 8</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E4974D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9FBDC91" w14:textId="77777777">
            <w:pPr>
              <w:keepNext/>
            </w:pPr>
          </w:p>
        </w:tc>
      </w:tr>
      <w:tr w14:paraId="144EFE8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313ADCD" w14:textId="77777777">
            <w:pPr>
              <w:pStyle w:val="ColumnHeading"/>
              <w:keepNext/>
            </w:pPr>
            <w:r w:rsidRPr="00FF7A7C">
              <w:t>Proposta di risoluzione</w:t>
            </w:r>
          </w:p>
        </w:tc>
        <w:tc>
          <w:tcPr>
            <w:tcW w:w="4876" w:type="dxa"/>
            <w:hideMark/>
          </w:tcPr>
          <w:p w:rsidR="00AC4730" w:rsidRPr="00FF7A7C" w14:paraId="44FF6192" w14:textId="77777777">
            <w:pPr>
              <w:pStyle w:val="ColumnHeading"/>
              <w:keepNext/>
            </w:pPr>
            <w:r w:rsidRPr="00FF7A7C">
              <w:t>Emendamento</w:t>
            </w:r>
          </w:p>
        </w:tc>
      </w:tr>
      <w:tr w14:paraId="6D5ABD0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58818E7" w14:textId="77777777">
            <w:pPr>
              <w:pStyle w:val="Normal6"/>
            </w:pPr>
            <w:r w:rsidRPr="00FF7A7C">
              <w:t>8.</w:t>
            </w:r>
            <w:r w:rsidRPr="00FF7A7C">
              <w:tab/>
              <w:t xml:space="preserve">osserva che i dati relativi al periodo di programmazione 2014-2020 indicano che le regioni in cui è stata data priorità all'impiego di risorse umane altamente qualificate </w:t>
            </w:r>
            <w:r w:rsidRPr="00FF7A7C">
              <w:t>avevano maggiori probabilità di avere programmi che hanno ottenuto buoni risultati o addirittura risultati superiori alle aspettative, il che riflette la migliore progettazione dei programmi e la maggiore capacità amministrativa di gestire procedure complesse dell'UE;</w:t>
            </w:r>
          </w:p>
        </w:tc>
        <w:tc>
          <w:tcPr>
            <w:tcW w:w="4876" w:type="dxa"/>
            <w:hideMark/>
          </w:tcPr>
          <w:p w:rsidR="00AC4730" w:rsidRPr="00FF7A7C" w14:paraId="413019CE" w14:textId="77777777">
            <w:pPr>
              <w:pStyle w:val="Normal6"/>
              <w:rPr>
                <w:szCs w:val="24"/>
              </w:rPr>
            </w:pPr>
            <w:r w:rsidRPr="00FF7A7C">
              <w:t>8.</w:t>
            </w:r>
            <w:r w:rsidRPr="00FF7A7C">
              <w:tab/>
              <w:t>osserva che i dati relativi al periodo di programmazione 2014-2020 indicano che le regioni in cui è stata data priorità all'impiego di risorse umane altamente qualificate</w:t>
            </w:r>
            <w:r w:rsidRPr="00FF7A7C">
              <w:rPr>
                <w:b/>
                <w:i/>
              </w:rPr>
              <w:t>, con solide competenze digitali,</w:t>
            </w:r>
            <w:r w:rsidRPr="00FF7A7C">
              <w:t xml:space="preserve"> avevano maggiori probabilità di avere programmi che hanno ottenuto buoni risultati o addirittura risultati superiori alle aspettative, il che riflette la migliore progettazione dei programmi e la maggiore capacità amministrativa di gestire procedure complesse dell'UE;</w:t>
            </w:r>
          </w:p>
        </w:tc>
      </w:tr>
    </w:tbl>
    <w:p w:rsidR="00AC4730" w:rsidRPr="00FF7A7C" w:rsidP="00AC4730" w14:paraId="4D13143B"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FFBEEFA" w14:textId="77777777">
      <w:r w:rsidRPr="00FF7A7C">
        <w:rPr>
          <w:rStyle w:val="HideTWBExt"/>
        </w:rPr>
        <w:t>&lt;/Amend&gt;</w:t>
      </w:r>
    </w:p>
    <w:p w:rsidR="00AC4730" w:rsidRPr="00FF7A7C" w:rsidP="00AC4730" w14:paraId="2F0BDAF7"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4DC102B"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396524AD" w14:textId="77777777">
      <w:r w:rsidRPr="00FF7A7C">
        <w:rPr>
          <w:rStyle w:val="HideTWBExt"/>
        </w:rPr>
        <w:t>&lt;/RepeatBlock-By&gt;</w:t>
      </w:r>
    </w:p>
    <w:p w:rsidR="00AC4730" w:rsidRPr="00FF7A7C" w:rsidP="00AC4730" w14:paraId="783CDFC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261DAD0" w14:textId="77777777">
      <w:pPr>
        <w:pStyle w:val="NormalBold"/>
      </w:pPr>
      <w:r w:rsidRPr="00FF7A7C">
        <w:rPr>
          <w:rStyle w:val="HideTWBExt"/>
          <w:b w:val="0"/>
        </w:rPr>
        <w:t>&lt;Article&gt;</w:t>
      </w:r>
      <w:r w:rsidRPr="00FF7A7C">
        <w:t>Paragrafo 9</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9920E9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F1451C8" w14:textId="77777777">
            <w:pPr>
              <w:keepNext/>
            </w:pPr>
          </w:p>
        </w:tc>
      </w:tr>
      <w:tr w14:paraId="77A81CA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345B143" w14:textId="77777777">
            <w:pPr>
              <w:pStyle w:val="ColumnHeading"/>
              <w:keepNext/>
            </w:pPr>
            <w:r w:rsidRPr="00FF7A7C">
              <w:t>Proposta di risoluzione</w:t>
            </w:r>
          </w:p>
        </w:tc>
        <w:tc>
          <w:tcPr>
            <w:tcW w:w="4876" w:type="dxa"/>
            <w:hideMark/>
          </w:tcPr>
          <w:p w:rsidR="00AC4730" w:rsidRPr="00FF7A7C" w14:paraId="73AE0FFC" w14:textId="77777777">
            <w:pPr>
              <w:pStyle w:val="ColumnHeading"/>
              <w:keepNext/>
            </w:pPr>
            <w:r w:rsidRPr="00FF7A7C">
              <w:t>Emendamento</w:t>
            </w:r>
          </w:p>
        </w:tc>
      </w:tr>
      <w:tr w14:paraId="2A08908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760E282" w14:textId="77777777">
            <w:pPr>
              <w:pStyle w:val="Normal6"/>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sottolinea che le autorità di gestione corrono il rischio di commettere errori nonostante i loro sforzi per conformarsi ai regolame</w:t>
            </w:r>
            <w:r w:rsidRPr="00FF7A7C">
              <w:t>nti dell'UE;</w:t>
            </w:r>
          </w:p>
        </w:tc>
        <w:tc>
          <w:tcPr>
            <w:tcW w:w="4876" w:type="dxa"/>
            <w:hideMark/>
          </w:tcPr>
          <w:p w:rsidR="00AC4730" w:rsidRPr="00FF7A7C" w14:paraId="2ADE379F" w14:textId="77777777">
            <w:pPr>
              <w:pStyle w:val="Normal6"/>
              <w:rPr>
                <w:szCs w:val="24"/>
              </w:rPr>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w:t>
            </w:r>
            <w:r w:rsidRPr="00FF7A7C">
              <w:rPr>
                <w:b/>
                <w:i/>
              </w:rPr>
              <w:t>osserva che requisiti nazionali sproporzionati e ridondanti scoraggiano in particolare i beneficiari di minori dimensioni, gli enti</w:t>
            </w:r>
            <w:r w:rsidRPr="00FF7A7C">
              <w:rPr>
                <w:b/>
                <w:i/>
              </w:rPr>
              <w:t xml:space="preserve"> regionali e locali e le organizzazioni con capacità amministrativa limitata dall'accedere ai finanziamenti dell'Unione; sottolinea che le autorità nazionali dovrebbero individuare, giustificare e rivedere sistematicamente i requisiti che vanno oltre il diritto dell'Unione ed eliminare quelli che sono ridondanti, sproporzionati o non supportati da una valutazione del rischio documentata; ritiene che la semplificazione dovrebbe basarsi sulla proporzionalità, sul principio "una tantum" e su sistemi digitali i</w:t>
            </w:r>
            <w:r w:rsidRPr="00FF7A7C">
              <w:rPr>
                <w:b/>
                <w:i/>
              </w:rPr>
              <w:t>nteroperabili, preservando nel contempo pienamente l'efficacia dei controlli, la verificabilità e la tutela degli interessi finanziari dell'Unione;</w:t>
            </w:r>
            <w:r w:rsidRPr="00FF7A7C">
              <w:t xml:space="preserve"> sottolinea che le autorità di gestione corrono il rischio di commettere errori nonostante i loro sforzi per conformarsi ai regolamenti dell'UE;</w:t>
            </w:r>
          </w:p>
        </w:tc>
      </w:tr>
    </w:tbl>
    <w:p w:rsidR="00AC4730" w:rsidRPr="00FF7A7C" w:rsidP="00AC4730" w14:paraId="259E372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1B5D8E3" w14:textId="77777777">
      <w:r w:rsidRPr="00FF7A7C">
        <w:rPr>
          <w:rStyle w:val="HideTWBExt"/>
        </w:rPr>
        <w:t>&lt;/Amend&gt;</w:t>
      </w:r>
    </w:p>
    <w:p w:rsidR="00AC4730" w:rsidRPr="00FF7A7C" w:rsidP="00AC4730" w14:paraId="784E458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DCDDCF9" w14:textId="77777777">
      <w:pPr>
        <w:pStyle w:val="NormalBold"/>
      </w:pPr>
      <w:r w:rsidRPr="00FF7A7C">
        <w:rPr>
          <w:rStyle w:val="HideTWBExt"/>
          <w:b w:val="0"/>
        </w:rPr>
        <w:t>&lt;RepeatBlock-By&gt;&lt;Members&gt;</w:t>
      </w:r>
      <w:r w:rsidRPr="00FF7A7C">
        <w:t>Tomáš</w:t>
      </w:r>
      <w:r w:rsidRPr="00FF7A7C">
        <w:t xml:space="preserve"> </w:t>
      </w:r>
      <w:r w:rsidRPr="00FF7A7C">
        <w:t>Zdechovský</w:t>
      </w:r>
      <w:r w:rsidRPr="00FF7A7C">
        <w:rPr>
          <w:rStyle w:val="HideTWBExt"/>
          <w:b w:val="0"/>
        </w:rPr>
        <w:t>&lt;/Members&gt;</w:t>
      </w:r>
    </w:p>
    <w:p w:rsidR="00AC4730" w:rsidRPr="00FF7A7C" w:rsidP="00AC4730" w14:paraId="0DA33EC3" w14:textId="77777777">
      <w:r w:rsidRPr="00FF7A7C">
        <w:rPr>
          <w:rStyle w:val="HideTWBExt"/>
        </w:rPr>
        <w:t>&lt;/RepeatBlock-By&gt;</w:t>
      </w:r>
    </w:p>
    <w:p w:rsidR="00AC4730" w:rsidRPr="00FF7A7C" w:rsidP="00AC4730" w14:paraId="4AAB6D85"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D956760" w14:textId="77777777">
      <w:pPr>
        <w:pStyle w:val="NormalBold"/>
      </w:pPr>
      <w:r w:rsidRPr="00FF7A7C">
        <w:rPr>
          <w:rStyle w:val="HideTWBExt"/>
          <w:b w:val="0"/>
        </w:rPr>
        <w:t>&lt;Article&gt;</w:t>
      </w:r>
      <w:r w:rsidRPr="00FF7A7C">
        <w:t>Paragrafo 9</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E84B23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7ABA278" w14:textId="77777777">
            <w:pPr>
              <w:keepNext/>
            </w:pPr>
          </w:p>
        </w:tc>
      </w:tr>
      <w:tr w14:paraId="6E5AD83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3B56235" w14:textId="77777777">
            <w:pPr>
              <w:pStyle w:val="ColumnHeading"/>
              <w:keepNext/>
            </w:pPr>
            <w:r w:rsidRPr="00FF7A7C">
              <w:t>Proposta di risoluzione</w:t>
            </w:r>
          </w:p>
        </w:tc>
        <w:tc>
          <w:tcPr>
            <w:tcW w:w="4876" w:type="dxa"/>
            <w:hideMark/>
          </w:tcPr>
          <w:p w:rsidR="00AC4730" w:rsidRPr="00FF7A7C" w14:paraId="10858C0F" w14:textId="77777777">
            <w:pPr>
              <w:pStyle w:val="ColumnHeading"/>
              <w:keepNext/>
            </w:pPr>
            <w:r w:rsidRPr="00FF7A7C">
              <w:t>Emendamento</w:t>
            </w:r>
          </w:p>
        </w:tc>
      </w:tr>
      <w:tr w14:paraId="31F0071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E259BBC" w14:textId="77777777">
            <w:pPr>
              <w:pStyle w:val="Normal6"/>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sottolinea che le autorità di gestione corrono il rischio di commettere errori nonostante i loro sforzi per conformarsi ai regolame</w:t>
            </w:r>
            <w:r w:rsidRPr="00FF7A7C">
              <w:t>nti dell'UE;</w:t>
            </w:r>
          </w:p>
        </w:tc>
        <w:tc>
          <w:tcPr>
            <w:tcW w:w="4876" w:type="dxa"/>
            <w:hideMark/>
          </w:tcPr>
          <w:p w:rsidR="00AC4730" w:rsidRPr="00FF7A7C" w14:paraId="73D4488C" w14:textId="77777777">
            <w:pPr>
              <w:pStyle w:val="Normal6"/>
              <w:rPr>
                <w:szCs w:val="24"/>
              </w:rPr>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sottolinea che le autorità di gestione corrono il rischio di commettere errori nonostante i loro sforzi per conformarsi ai regolame</w:t>
            </w:r>
            <w:r w:rsidRPr="00FF7A7C">
              <w:t>nti dell'UE;</w:t>
            </w:r>
            <w:r w:rsidRPr="00FF7A7C">
              <w:rPr>
                <w:b/>
                <w:i/>
              </w:rPr>
              <w:t xml:space="preserve"> osserva che un'eccessiva complessità amministrativa può distogliere risorse dalla realizzazione dei progetti, compromettere l'efficienza e indebolire il conseguimento degli obiettivi delle politiche; sottolinea che le misure di semplificazione dovrebbero contribuire alla sana gestione finanziaria, alla certezza del diritto e a un migliore rapporto costi-benefici senza compromettere la tutela degli interessi finanziari dell'Unione;</w:t>
            </w:r>
          </w:p>
        </w:tc>
      </w:tr>
    </w:tbl>
    <w:p w:rsidR="00AC4730" w:rsidRPr="00FF7A7C" w:rsidP="00AC4730" w14:paraId="604DBED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1A05AF6" w14:textId="77777777">
      <w:r w:rsidRPr="00FF7A7C">
        <w:rPr>
          <w:rStyle w:val="HideTWBExt"/>
        </w:rPr>
        <w:t>&lt;/Amend&gt;</w:t>
      </w:r>
    </w:p>
    <w:p w:rsidR="00AC4730" w:rsidRPr="00FF7A7C" w:rsidP="00AC4730" w14:paraId="1FCE6310"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59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BBB3288"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678E5D73" w14:textId="77777777">
      <w:r w:rsidRPr="00FF7A7C">
        <w:rPr>
          <w:rStyle w:val="HideTWBExt"/>
        </w:rPr>
        <w:t>&lt;/RepeatBlock-By&gt;</w:t>
      </w:r>
    </w:p>
    <w:p w:rsidR="00AC4730" w:rsidRPr="00FF7A7C" w:rsidP="00AC4730" w14:paraId="5BA4010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DC789B6" w14:textId="77777777">
      <w:pPr>
        <w:pStyle w:val="NormalBold"/>
      </w:pPr>
      <w:r w:rsidRPr="00FF7A7C">
        <w:rPr>
          <w:rStyle w:val="HideTWBExt"/>
          <w:b w:val="0"/>
        </w:rPr>
        <w:t>&lt;Article&gt;</w:t>
      </w:r>
      <w:r w:rsidRPr="00FF7A7C">
        <w:t>Paragrafo 9</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59D1C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AFAD8BF" w14:textId="77777777">
            <w:pPr>
              <w:keepNext/>
            </w:pPr>
          </w:p>
        </w:tc>
      </w:tr>
      <w:tr w14:paraId="02046C5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4D0C60F" w14:textId="77777777">
            <w:pPr>
              <w:pStyle w:val="ColumnHeading"/>
              <w:keepNext/>
            </w:pPr>
            <w:r w:rsidRPr="00FF7A7C">
              <w:t>Proposta di risoluzione</w:t>
            </w:r>
          </w:p>
        </w:tc>
        <w:tc>
          <w:tcPr>
            <w:tcW w:w="4876" w:type="dxa"/>
            <w:hideMark/>
          </w:tcPr>
          <w:p w:rsidR="00AC4730" w:rsidRPr="00FF7A7C" w14:paraId="484B0B7C" w14:textId="77777777">
            <w:pPr>
              <w:pStyle w:val="ColumnHeading"/>
              <w:keepNext/>
            </w:pPr>
            <w:r w:rsidRPr="00FF7A7C">
              <w:t>Emendamento</w:t>
            </w:r>
          </w:p>
        </w:tc>
      </w:tr>
      <w:tr w14:paraId="46F33BD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EBC11D9" w14:textId="77777777">
            <w:pPr>
              <w:pStyle w:val="Normal6"/>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sottolinea che le autorità di gestione corrono il rischio di commettere errori nonostante i loro sforzi per conformarsi ai regolamenti dell'UE;</w:t>
            </w:r>
          </w:p>
        </w:tc>
        <w:tc>
          <w:tcPr>
            <w:tcW w:w="4876" w:type="dxa"/>
            <w:hideMark/>
          </w:tcPr>
          <w:p w:rsidR="00AC4730" w:rsidRPr="00FF7A7C" w14:paraId="1005BB68" w14:textId="77777777">
            <w:pPr>
              <w:pStyle w:val="Normal6"/>
              <w:rPr>
                <w:szCs w:val="24"/>
              </w:rPr>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w:t>
            </w:r>
            <w:r w:rsidRPr="00FF7A7C">
              <w:rPr>
                <w:b/>
                <w:i/>
              </w:rPr>
              <w:t>, in particolare di quelli di minori dimensioni,</w:t>
            </w:r>
            <w:r w:rsidRPr="00FF7A7C">
              <w:t xml:space="preserve"> senza necessariamente ridurre i tassi di errore; sottolinea che le autorità di gestione corrono il rischio di commettere errori nono</w:t>
            </w:r>
            <w:r w:rsidRPr="00FF7A7C">
              <w:t>stante i loro sforzi per conformarsi ai regolamenti dell'UE;</w:t>
            </w:r>
          </w:p>
        </w:tc>
      </w:tr>
    </w:tbl>
    <w:p w:rsidR="00AC4730" w:rsidRPr="00FF7A7C" w:rsidP="00AC4730" w14:paraId="7C4C0770"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BC64D73" w14:textId="77777777">
      <w:r w:rsidRPr="00FF7A7C">
        <w:rPr>
          <w:rStyle w:val="HideTWBExt"/>
        </w:rPr>
        <w:t>&lt;/Amend&gt;</w:t>
      </w:r>
    </w:p>
    <w:p w:rsidR="00AC4730" w:rsidRPr="00FF7A7C" w:rsidP="00AC4730" w14:paraId="5195EEB2"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FF30C29"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2A267782" w14:textId="77777777">
      <w:r w:rsidRPr="00FF7A7C">
        <w:rPr>
          <w:rStyle w:val="HideTWBExt"/>
        </w:rPr>
        <w:t>&lt;/RepeatBlock-By&gt;</w:t>
      </w:r>
    </w:p>
    <w:p w:rsidR="00AC4730" w:rsidRPr="00FF7A7C" w:rsidP="00AC4730" w14:paraId="20C37E6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6D44C5F" w14:textId="77777777">
      <w:pPr>
        <w:pStyle w:val="NormalBold"/>
      </w:pPr>
      <w:r w:rsidRPr="00FF7A7C">
        <w:rPr>
          <w:rStyle w:val="HideTWBExt"/>
          <w:b w:val="0"/>
        </w:rPr>
        <w:t>&lt;Article&gt;</w:t>
      </w:r>
      <w:r w:rsidRPr="00FF7A7C">
        <w:t>Paragrafo 9</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235641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9829907" w14:textId="77777777">
            <w:pPr>
              <w:keepNext/>
            </w:pPr>
          </w:p>
        </w:tc>
      </w:tr>
      <w:tr w14:paraId="31ADC57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54D387F" w14:textId="77777777">
            <w:pPr>
              <w:pStyle w:val="ColumnHeading"/>
              <w:keepNext/>
            </w:pPr>
            <w:r w:rsidRPr="00FF7A7C">
              <w:t>Proposta di risoluzione</w:t>
            </w:r>
          </w:p>
        </w:tc>
        <w:tc>
          <w:tcPr>
            <w:tcW w:w="4876" w:type="dxa"/>
            <w:hideMark/>
          </w:tcPr>
          <w:p w:rsidR="00AC4730" w:rsidRPr="00FF7A7C" w14:paraId="4E7D22D3" w14:textId="77777777">
            <w:pPr>
              <w:pStyle w:val="ColumnHeading"/>
              <w:keepNext/>
            </w:pPr>
            <w:r w:rsidRPr="00FF7A7C">
              <w:t>Emendamento</w:t>
            </w:r>
          </w:p>
        </w:tc>
      </w:tr>
      <w:tr w14:paraId="430044D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27CD3F2" w14:textId="77777777">
            <w:pPr>
              <w:pStyle w:val="Normal6"/>
            </w:pPr>
            <w:r w:rsidRPr="00FF7A7C">
              <w:t>9.</w:t>
            </w:r>
            <w:r w:rsidRPr="00FF7A7C">
              <w:tab/>
              <w:t xml:space="preserve">si rammarica che i costi </w:t>
            </w:r>
            <w:r w:rsidRPr="00FF7A7C">
              <w:t xml:space="preserve">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sottolinea che le autorità di gestione corrono il rischio di commettere errori nonostante i loro sforzi per conformarsi ai regolamenti dell'UE;</w:t>
            </w:r>
          </w:p>
        </w:tc>
        <w:tc>
          <w:tcPr>
            <w:tcW w:w="4876" w:type="dxa"/>
            <w:hideMark/>
          </w:tcPr>
          <w:p w:rsidR="00AC4730" w:rsidRPr="00FF7A7C" w14:paraId="39DBDED4" w14:textId="77777777">
            <w:pPr>
              <w:pStyle w:val="Normal6"/>
              <w:rPr>
                <w:szCs w:val="24"/>
              </w:rPr>
            </w:pPr>
            <w:r w:rsidRPr="00FF7A7C">
              <w:t>9.</w:t>
            </w:r>
            <w:r w:rsidRPr="00FF7A7C">
              <w:tab/>
              <w:t xml:space="preserve">si rammarica che i costi amministrativi associati alla gestione dei programmi del Fondo europeo di sviluppo regionale (FESR) siano rimasti elevati; sottolinea che la </w:t>
            </w:r>
            <w:r w:rsidRPr="00FF7A7C">
              <w:t>sovraregolamentazione</w:t>
            </w:r>
            <w:r w:rsidRPr="00FF7A7C">
              <w:t xml:space="preserve"> (aggiunta di norme a livello nazionale alle norme dell'UE) ha spesso aumentato gli oneri amministrativi e di gestione a carico dei beneficiari senza necessariamente ridurre i tassi di errore </w:t>
            </w:r>
            <w:r w:rsidRPr="00FF7A7C">
              <w:rPr>
                <w:b/>
                <w:i/>
              </w:rPr>
              <w:t>o l'incertezza giuridica</w:t>
            </w:r>
            <w:r w:rsidRPr="00FF7A7C">
              <w:t>; sottolinea che le autorità di gestione corrono il rischio di commettere errori nonostante i loro sforzi pe</w:t>
            </w:r>
            <w:r w:rsidRPr="00FF7A7C">
              <w:t>r conformarsi ai regolamenti dell'UE;</w:t>
            </w:r>
          </w:p>
        </w:tc>
      </w:tr>
    </w:tbl>
    <w:p w:rsidR="00AC4730" w:rsidRPr="00FF7A7C" w:rsidP="00AC4730" w14:paraId="7C5E573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A454BD3" w14:textId="77777777">
      <w:r w:rsidRPr="00FF7A7C">
        <w:rPr>
          <w:rStyle w:val="HideTWBExt"/>
        </w:rPr>
        <w:t>&lt;/Amend&gt;</w:t>
      </w:r>
    </w:p>
    <w:p w:rsidR="00AC4730" w:rsidRPr="00FF7A7C" w:rsidP="00AC4730" w14:paraId="5F7AABF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023825E"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6D4CF1A4" w14:textId="77777777">
      <w:r w:rsidRPr="00FF7A7C">
        <w:rPr>
          <w:rStyle w:val="HideTWBExt"/>
        </w:rPr>
        <w:t>&lt;/RepeatBlock-By&gt;</w:t>
      </w:r>
    </w:p>
    <w:p w:rsidR="00AC4730" w:rsidRPr="00FF7A7C" w:rsidP="00AC4730" w14:paraId="3BDF01D6"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5564E1F" w14:textId="77777777">
      <w:pPr>
        <w:pStyle w:val="NormalBold"/>
      </w:pPr>
      <w:r w:rsidRPr="00FF7A7C">
        <w:rPr>
          <w:rStyle w:val="HideTWBExt"/>
          <w:b w:val="0"/>
        </w:rPr>
        <w:t>&lt;Article&gt;</w:t>
      </w:r>
      <w:r w:rsidRPr="00FF7A7C">
        <w:t>Paragrafo 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AAF26C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B00043C" w14:textId="77777777">
            <w:pPr>
              <w:keepNext/>
            </w:pPr>
          </w:p>
        </w:tc>
      </w:tr>
      <w:tr w14:paraId="735FEA0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C6F3D84" w14:textId="77777777">
            <w:pPr>
              <w:pStyle w:val="ColumnHeading"/>
              <w:keepNext/>
            </w:pPr>
            <w:r w:rsidRPr="00FF7A7C">
              <w:t>Proposta di risoluzione</w:t>
            </w:r>
          </w:p>
        </w:tc>
        <w:tc>
          <w:tcPr>
            <w:tcW w:w="4876" w:type="dxa"/>
            <w:hideMark/>
          </w:tcPr>
          <w:p w:rsidR="00AC4730" w:rsidRPr="00FF7A7C" w14:paraId="6297C4A5" w14:textId="77777777">
            <w:pPr>
              <w:pStyle w:val="ColumnHeading"/>
              <w:keepNext/>
            </w:pPr>
            <w:r w:rsidRPr="00FF7A7C">
              <w:t>Emendamento</w:t>
            </w:r>
          </w:p>
        </w:tc>
      </w:tr>
      <w:tr w14:paraId="58366F0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1A1BA3A" w14:textId="77777777">
            <w:pPr>
              <w:pStyle w:val="Normal6"/>
            </w:pPr>
          </w:p>
        </w:tc>
        <w:tc>
          <w:tcPr>
            <w:tcW w:w="4876" w:type="dxa"/>
            <w:hideMark/>
          </w:tcPr>
          <w:p w:rsidR="00AC4730" w:rsidRPr="00FF7A7C" w14:paraId="74721903" w14:textId="77777777">
            <w:pPr>
              <w:pStyle w:val="Normal6"/>
              <w:rPr>
                <w:szCs w:val="24"/>
              </w:rPr>
            </w:pPr>
            <w:r w:rsidRPr="00FF7A7C">
              <w:rPr>
                <w:b/>
                <w:i/>
              </w:rPr>
              <w:t>9</w:t>
            </w:r>
            <w:r w:rsidRPr="00FF7A7C">
              <w:rPr>
                <w:b/>
                <w:i/>
              </w:rPr>
              <w:t xml:space="preserve"> bis.</w:t>
            </w:r>
            <w:r w:rsidRPr="00FF7A7C">
              <w:rPr>
                <w:b/>
                <w:i/>
              </w:rPr>
              <w:tab/>
              <w:t xml:space="preserve">invita la Commissione a effettuare un'analisi più approfondita delle cause profonde della </w:t>
            </w:r>
            <w:r w:rsidRPr="00FF7A7C">
              <w:rPr>
                <w:b/>
                <w:i/>
              </w:rPr>
              <w:t>sovraregolamentazione</w:t>
            </w:r>
            <w:r w:rsidRPr="00FF7A7C">
              <w:rPr>
                <w:b/>
                <w:i/>
              </w:rPr>
              <w:t xml:space="preserve">, in particolare quelle derivanti dai requisiti di audit generati dai </w:t>
            </w:r>
            <w:r w:rsidRPr="00FF7A7C">
              <w:rPr>
                <w:b/>
                <w:i/>
              </w:rPr>
              <w:t xml:space="preserve">numerosi e spesso sovrapposti requisiti della legislazione settoriale; ritiene che tale analisi sia necessaria per distinguere tra la </w:t>
            </w:r>
            <w:r w:rsidRPr="00FF7A7C">
              <w:rPr>
                <w:b/>
                <w:i/>
              </w:rPr>
              <w:t>sovraregolamentazione</w:t>
            </w:r>
            <w:r w:rsidRPr="00FF7A7C">
              <w:rPr>
                <w:b/>
                <w:i/>
              </w:rPr>
              <w:t xml:space="preserve"> derivante da aggiunte nazionali ingiustificate e gli oneri di audit che sono una conseguenza involontaria di norme settoriali dell'UE complesse o frammentate, in modo da consentire una semplificazione mirata senza compromettere la tutela degli interessi finanziari dell'Unione;</w:t>
            </w:r>
          </w:p>
        </w:tc>
      </w:tr>
    </w:tbl>
    <w:p w:rsidR="00AC4730" w:rsidRPr="00FF7A7C" w:rsidP="00AC4730" w14:paraId="3B4EC2A7"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78E4959" w14:textId="77777777">
      <w:r w:rsidRPr="00FF7A7C">
        <w:rPr>
          <w:rStyle w:val="HideTWBExt"/>
        </w:rPr>
        <w:t>&lt;/Amend&gt;</w:t>
      </w:r>
    </w:p>
    <w:p w:rsidR="00AC4730" w:rsidRPr="00FF7A7C" w:rsidP="00AC4730" w14:paraId="08A0BC85"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96CDDFC"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008CD1B6" w14:textId="77777777">
      <w:r w:rsidRPr="00FF7A7C">
        <w:rPr>
          <w:rStyle w:val="HideTWBExt"/>
        </w:rPr>
        <w:t>&lt;/RepeatBlock-By&gt;</w:t>
      </w:r>
    </w:p>
    <w:p w:rsidR="00AC4730" w:rsidRPr="00FF7A7C" w:rsidP="00AC4730" w14:paraId="3555D955"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97F5DC8" w14:textId="77777777">
      <w:pPr>
        <w:pStyle w:val="NormalBold"/>
      </w:pPr>
      <w:r w:rsidRPr="00FF7A7C">
        <w:rPr>
          <w:rStyle w:val="HideTWBExt"/>
          <w:b w:val="0"/>
        </w:rPr>
        <w:t>&lt;Article&gt;</w:t>
      </w:r>
      <w:r w:rsidRPr="00FF7A7C">
        <w:t>Paragrafo 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63F44C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63DA712" w14:textId="77777777">
            <w:pPr>
              <w:keepNext/>
            </w:pPr>
          </w:p>
        </w:tc>
      </w:tr>
      <w:tr w14:paraId="37FC2CC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43EDEC3" w14:textId="77777777">
            <w:pPr>
              <w:pStyle w:val="ColumnHeading"/>
              <w:keepNext/>
            </w:pPr>
            <w:r w:rsidRPr="00FF7A7C">
              <w:t>Proposta di risoluzione</w:t>
            </w:r>
          </w:p>
        </w:tc>
        <w:tc>
          <w:tcPr>
            <w:tcW w:w="4876" w:type="dxa"/>
            <w:hideMark/>
          </w:tcPr>
          <w:p w:rsidR="00AC4730" w:rsidRPr="00FF7A7C" w14:paraId="1AF4AF77" w14:textId="77777777">
            <w:pPr>
              <w:pStyle w:val="ColumnHeading"/>
              <w:keepNext/>
            </w:pPr>
            <w:r w:rsidRPr="00FF7A7C">
              <w:t>Emendamento</w:t>
            </w:r>
          </w:p>
        </w:tc>
      </w:tr>
      <w:tr w14:paraId="25E59C5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604F22F0" w14:textId="77777777">
            <w:pPr>
              <w:pStyle w:val="Normal6"/>
            </w:pPr>
          </w:p>
        </w:tc>
        <w:tc>
          <w:tcPr>
            <w:tcW w:w="4876" w:type="dxa"/>
            <w:hideMark/>
          </w:tcPr>
          <w:p w:rsidR="00AC4730" w:rsidRPr="00FF7A7C" w14:paraId="56FC3E0F" w14:textId="77777777">
            <w:pPr>
              <w:pStyle w:val="Normal6"/>
              <w:rPr>
                <w:szCs w:val="24"/>
              </w:rPr>
            </w:pPr>
            <w:r w:rsidRPr="00FF7A7C">
              <w:rPr>
                <w:b/>
                <w:i/>
              </w:rPr>
              <w:t>9</w:t>
            </w:r>
            <w:r w:rsidRPr="00FF7A7C">
              <w:rPr>
                <w:b/>
                <w:i/>
              </w:rPr>
              <w:t xml:space="preserve"> bis.</w:t>
            </w:r>
            <w:r w:rsidRPr="00FF7A7C">
              <w:rPr>
                <w:b/>
                <w:i/>
              </w:rPr>
              <w:tab/>
              <w:t xml:space="preserve">invita la Commissione e gli Stati </w:t>
            </w:r>
            <w:r w:rsidRPr="00FF7A7C">
              <w:rPr>
                <w:b/>
                <w:i/>
              </w:rPr>
              <w:t xml:space="preserve">membri a continuare a semplificare il quadro di attuazione riducendo l'inutile complessità amministrativa, promuovendo controlli proporzionati e basati sul rischio ed evitando requisiti nazionali che vanno oltre la legislazione dell'Unione, mantenendo </w:t>
            </w:r>
            <w:r w:rsidRPr="00FF7A7C">
              <w:rPr>
                <w:b/>
                <w:i/>
              </w:rPr>
              <w:t>nel contempo</w:t>
            </w:r>
            <w:r w:rsidRPr="00FF7A7C">
              <w:rPr>
                <w:b/>
                <w:i/>
              </w:rPr>
              <w:t xml:space="preserve"> un'efficace tutela degli interessi finanziari dell'Unione;</w:t>
            </w:r>
          </w:p>
        </w:tc>
      </w:tr>
    </w:tbl>
    <w:p w:rsidR="00AC4730" w:rsidRPr="00FF7A7C" w:rsidP="00AC4730" w14:paraId="74AC909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B341E3E" w14:textId="77777777">
      <w:r w:rsidRPr="00FF7A7C">
        <w:rPr>
          <w:rStyle w:val="HideTWBExt"/>
        </w:rPr>
        <w:t>&lt;/Amend&gt;</w:t>
      </w:r>
    </w:p>
    <w:p w:rsidR="00AC4730" w:rsidRPr="00FF7A7C" w:rsidP="00AC4730" w14:paraId="3978F04A"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FA71076"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772F66F1" w14:textId="77777777">
      <w:r w:rsidRPr="00FF7A7C">
        <w:rPr>
          <w:rStyle w:val="HideTWBExt"/>
        </w:rPr>
        <w:t>&lt;/RepeatBlock-By&gt;</w:t>
      </w:r>
    </w:p>
    <w:p w:rsidR="00AC4730" w:rsidRPr="00FF7A7C" w:rsidP="00AC4730" w14:paraId="708D10ED"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ECF4B28" w14:textId="77777777">
      <w:pPr>
        <w:pStyle w:val="NormalBold"/>
      </w:pPr>
      <w:r w:rsidRPr="00FF7A7C">
        <w:rPr>
          <w:rStyle w:val="HideTWBExt"/>
          <w:b w:val="0"/>
        </w:rPr>
        <w:t>&lt;Article&gt;</w:t>
      </w:r>
      <w:r w:rsidRPr="00FF7A7C">
        <w:t>Paragrafo 10</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0C1FF9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1832F80" w14:textId="77777777">
            <w:pPr>
              <w:keepNext/>
            </w:pPr>
          </w:p>
        </w:tc>
      </w:tr>
      <w:tr w14:paraId="17BCD15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D781A20" w14:textId="77777777">
            <w:pPr>
              <w:pStyle w:val="ColumnHeading"/>
              <w:keepNext/>
            </w:pPr>
            <w:r w:rsidRPr="00FF7A7C">
              <w:t>Proposta di risoluzione</w:t>
            </w:r>
          </w:p>
        </w:tc>
        <w:tc>
          <w:tcPr>
            <w:tcW w:w="4876" w:type="dxa"/>
            <w:hideMark/>
          </w:tcPr>
          <w:p w:rsidR="00AC4730" w:rsidRPr="00FF7A7C" w14:paraId="338F33A3" w14:textId="77777777">
            <w:pPr>
              <w:pStyle w:val="ColumnHeading"/>
              <w:keepNext/>
            </w:pPr>
            <w:r w:rsidRPr="00FF7A7C">
              <w:t>Emendamento</w:t>
            </w:r>
          </w:p>
        </w:tc>
      </w:tr>
      <w:tr w14:paraId="5C7FFAC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1B83B11" w14:textId="77777777">
            <w:pPr>
              <w:pStyle w:val="Normal6"/>
            </w:pPr>
            <w:r w:rsidRPr="00FF7A7C">
              <w:t>10.</w:t>
            </w:r>
            <w:r w:rsidRPr="00FF7A7C">
              <w:tab/>
              <w:t xml:space="preserve">sottolinea che l'attuazione dei fondi dell'UE si basa su flussi finanziari, di controllo e di monitoraggio interconnessi, sostenuti da strutture </w:t>
            </w:r>
            <w:r w:rsidRPr="00FF7A7C">
              <w:t>nazionali di coordinamento e da organismi di audit e di lotta antifrode a livello dell'UE; osserva che gli Stati membri di nuova adesione hanno inizialmente dovuto affrontare sfide relative alla capacità amministrativa, al coordinamento e alla maturità del sistema; osserva che le carenze in termini di coordinamento, qualità dei dati e interoperabilità tra i sistemi sono state tra le sfide ricorrenti individuate negli Stati membri che hanno aderito all'UE a partire dal 2004 e che tali carenze hanno ridotto l</w:t>
            </w:r>
            <w:r w:rsidRPr="00FF7A7C">
              <w:t>'efficacia dei meccanismi di monitoraggio e controllo;</w:t>
            </w:r>
          </w:p>
        </w:tc>
        <w:tc>
          <w:tcPr>
            <w:tcW w:w="4876" w:type="dxa"/>
            <w:hideMark/>
          </w:tcPr>
          <w:p w:rsidR="00AC4730" w:rsidRPr="00FF7A7C" w14:paraId="53BEDF0E" w14:textId="77777777">
            <w:pPr>
              <w:pStyle w:val="Normal6"/>
              <w:rPr>
                <w:szCs w:val="24"/>
              </w:rPr>
            </w:pPr>
            <w:r w:rsidRPr="00FF7A7C">
              <w:t>10.</w:t>
            </w:r>
            <w:r w:rsidRPr="00FF7A7C">
              <w:tab/>
              <w:t>sottolinea che l'attuazione dei fondi dell'UE si basa su flussi finanziari, di controllo e di monitoraggio interconnessi, sostenuti da strutture nazionali di coordinamento e da organismi di audit e di lotta antifrode a livello dell'UE; osserva che gli Stati membri di nuova adesione hanno inizialmente dovuto affrontare sfide relative alla capacità amministrativa, al coordinamento e alla maturità del sistema; osserva che le carenze in termini di coordinamento, qualità dei dati e interoperabilità tra i sistem</w:t>
            </w:r>
            <w:r w:rsidRPr="00FF7A7C">
              <w:t xml:space="preserve">i sono state tra le sfide ricorrenti individuate negli Stati membri che hanno aderito all'UE a partire dal 2004 e che tali carenze hanno ridotto l'efficacia dei meccanismi di monitoraggio e controllo; </w:t>
            </w:r>
            <w:r w:rsidRPr="00FF7A7C">
              <w:rPr>
                <w:b/>
                <w:i/>
              </w:rPr>
              <w:t>invita la Commissione e gli Stati membri a garantire che i meccanismi di monitoraggio, controllo e audit rimangano pienamente efficaci e credibili, anche nel contesto dei futuri allargamenti; sottolinea la necessità di rafforzare le capacità degli organismi di audit e antifrode a livello dell'UE, potenziare il</w:t>
            </w:r>
            <w:r w:rsidRPr="00FF7A7C">
              <w:rPr>
                <w:b/>
                <w:i/>
              </w:rPr>
              <w:t xml:space="preserve"> coordinamento con le autorità nazionali, migliorare la qualità e l'interoperabilità dei dati e garantire che i sistemi di monitoraggio digitale consentano l'individuazione tempestiva di rischi, irregolarità, conflitti di interessi e frodi;</w:t>
            </w:r>
          </w:p>
        </w:tc>
      </w:tr>
    </w:tbl>
    <w:p w:rsidR="00AC4730" w:rsidRPr="00FF7A7C" w:rsidP="00AC4730" w14:paraId="34C52E5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B907FDA" w14:textId="77777777">
      <w:r w:rsidRPr="00FF7A7C">
        <w:rPr>
          <w:rStyle w:val="HideTWBExt"/>
        </w:rPr>
        <w:t>&lt;/Amend&gt;</w:t>
      </w:r>
    </w:p>
    <w:p w:rsidR="00AC4730" w:rsidRPr="00FF7A7C" w:rsidP="00AC4730" w14:paraId="41858E69"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BB51F2C"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2E79AA56" w14:textId="77777777">
      <w:r w:rsidRPr="00FF7A7C">
        <w:rPr>
          <w:rStyle w:val="HideTWBExt"/>
        </w:rPr>
        <w:t>&lt;/RepeatBlock-By&gt;</w:t>
      </w:r>
    </w:p>
    <w:p w:rsidR="00AC4730" w:rsidRPr="00FF7A7C" w:rsidP="00AC4730" w14:paraId="0C88666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7CE64D9" w14:textId="77777777">
      <w:pPr>
        <w:pStyle w:val="NormalBold"/>
      </w:pPr>
      <w:r w:rsidRPr="00FF7A7C">
        <w:rPr>
          <w:rStyle w:val="HideTWBExt"/>
          <w:b w:val="0"/>
        </w:rPr>
        <w:t>&lt;Article&gt;</w:t>
      </w:r>
      <w:r w:rsidRPr="00FF7A7C">
        <w:t>Paragrafo 10</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55C0C4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3FFBF55" w14:textId="77777777">
            <w:pPr>
              <w:keepNext/>
            </w:pPr>
          </w:p>
        </w:tc>
      </w:tr>
      <w:tr w14:paraId="4EECF8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750B985" w14:textId="77777777">
            <w:pPr>
              <w:pStyle w:val="ColumnHeading"/>
              <w:keepNext/>
            </w:pPr>
            <w:r w:rsidRPr="00FF7A7C">
              <w:t>Proposta di risoluzione</w:t>
            </w:r>
          </w:p>
        </w:tc>
        <w:tc>
          <w:tcPr>
            <w:tcW w:w="4876" w:type="dxa"/>
            <w:hideMark/>
          </w:tcPr>
          <w:p w:rsidR="00AC4730" w:rsidRPr="00FF7A7C" w14:paraId="5EE9EB19" w14:textId="77777777">
            <w:pPr>
              <w:pStyle w:val="ColumnHeading"/>
              <w:keepNext/>
            </w:pPr>
            <w:r w:rsidRPr="00FF7A7C">
              <w:t>Emendamento</w:t>
            </w:r>
          </w:p>
        </w:tc>
      </w:tr>
      <w:tr w14:paraId="7DCC547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40129A1" w14:textId="77777777">
            <w:pPr>
              <w:pStyle w:val="Normal6"/>
            </w:pPr>
            <w:r w:rsidRPr="00FF7A7C">
              <w:t>10.</w:t>
            </w:r>
            <w:r w:rsidRPr="00FF7A7C">
              <w:tab/>
            </w:r>
            <w:r w:rsidRPr="00FF7A7C">
              <w:t xml:space="preserve">sottolinea che l'attuazione dei fondi dell'UE si basa su flussi finanziari, di controllo e di monitoraggio interconnessi, sostenuti da strutture </w:t>
            </w:r>
            <w:r w:rsidRPr="00FF7A7C">
              <w:rPr>
                <w:b/>
                <w:bCs/>
                <w:i/>
                <w:iCs/>
              </w:rPr>
              <w:t>nazionali</w:t>
            </w:r>
            <w:r w:rsidRPr="00FF7A7C">
              <w:t xml:space="preserve"> di coordinamento e da organismi di audit e di lotta antifrode a livello dell'UE; osserva che gli Stati membri di nuova adesione hanno inizialmente dovuto affrontare sfide relative alla capacità amministrativa, al coordinamento e alla maturità del sistema; osserva che le carenze in termini di coordinamento, qualità dei dati e interoperabilità tra i sistemi</w:t>
            </w:r>
            <w:r w:rsidRPr="00FF7A7C">
              <w:t xml:space="preserve"> sono state tra le sfide ricorrenti individuate negli Stati membri che hanno aderito all'UE a partire dal 2004 e che tali carenze hanno ridotto l'efficacia dei meccanismi di monitoraggio e controllo;</w:t>
            </w:r>
          </w:p>
        </w:tc>
        <w:tc>
          <w:tcPr>
            <w:tcW w:w="4876" w:type="dxa"/>
            <w:hideMark/>
          </w:tcPr>
          <w:p w:rsidR="00AC4730" w:rsidRPr="00FF7A7C" w14:paraId="6BA6EC83" w14:textId="77777777">
            <w:pPr>
              <w:pStyle w:val="Normal6"/>
              <w:rPr>
                <w:szCs w:val="24"/>
              </w:rPr>
            </w:pPr>
            <w:r w:rsidRPr="00FF7A7C">
              <w:t>10.</w:t>
            </w:r>
            <w:r w:rsidRPr="00FF7A7C">
              <w:tab/>
              <w:t xml:space="preserve">sottolinea che l'attuazione dei fondi dell'UE si basa su flussi finanziari, di controllo e di monitoraggio interconnessi, sostenuti da strutture di coordinamento </w:t>
            </w:r>
            <w:r w:rsidRPr="00FF7A7C">
              <w:rPr>
                <w:b/>
                <w:i/>
              </w:rPr>
              <w:t>nazionali e dell'Unione</w:t>
            </w:r>
            <w:r w:rsidRPr="00FF7A7C">
              <w:t xml:space="preserve"> e da organismi di audit e di lotta antifrode a livello dell'UE</w:t>
            </w:r>
            <w:r w:rsidRPr="00FF7A7C">
              <w:rPr>
                <w:b/>
                <w:i/>
              </w:rPr>
              <w:t>, comprese misure anticorruzione e relative ai conflitti di interessi</w:t>
            </w:r>
            <w:r w:rsidRPr="00FF7A7C">
              <w:t>; osserva che gli Stati membri di nuova adesione hanno inizialmente dovuto affrontare sfide relative alla capacità amministrativa, al coordinamento e alla maturità del sistema; osserva che le ca</w:t>
            </w:r>
            <w:r w:rsidRPr="00FF7A7C">
              <w:t>renze in termini di coordinamento, qualità dei dati e interoperabilità tra i sistemi sono state tra le sfide ricorrenti individuate negli Stati membri che hanno aderito all'UE a partire dal 2004 e che tali carenze hanno ridotto l'efficacia dei meccanismi di monitoraggio e controllo;</w:t>
            </w:r>
          </w:p>
        </w:tc>
      </w:tr>
    </w:tbl>
    <w:p w:rsidR="00AC4730" w:rsidRPr="00FF7A7C" w:rsidP="00AC4730" w14:paraId="22D2968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3E5A5C5" w14:textId="77777777">
      <w:r w:rsidRPr="00FF7A7C">
        <w:rPr>
          <w:rStyle w:val="HideTWBExt"/>
        </w:rPr>
        <w:t>&lt;/Amend&gt;</w:t>
      </w:r>
    </w:p>
    <w:p w:rsidR="00AC4730" w:rsidRPr="00FF7A7C" w:rsidP="00AC4730" w14:paraId="1C151930"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073F6C3"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2BCE9D1D" w14:textId="77777777">
      <w:r w:rsidRPr="00FF7A7C">
        <w:rPr>
          <w:rStyle w:val="HideTWBExt"/>
        </w:rPr>
        <w:t>&lt;/RepeatBlock-By&gt;</w:t>
      </w:r>
    </w:p>
    <w:p w:rsidR="00AC4730" w:rsidRPr="00FF7A7C" w:rsidP="00AC4730" w14:paraId="306E2832"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D08C4A8" w14:textId="77777777">
      <w:pPr>
        <w:pStyle w:val="NormalBold"/>
      </w:pPr>
      <w:r w:rsidRPr="00FF7A7C">
        <w:rPr>
          <w:rStyle w:val="HideTWBExt"/>
          <w:b w:val="0"/>
        </w:rPr>
        <w:t>&lt;Article&gt;</w:t>
      </w:r>
      <w:r w:rsidRPr="00FF7A7C">
        <w:t>Paragrafo 10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A87309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46D273E" w14:textId="77777777">
            <w:pPr>
              <w:keepNext/>
            </w:pPr>
          </w:p>
        </w:tc>
      </w:tr>
      <w:tr w14:paraId="3AF4AD3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F5F099B" w14:textId="77777777">
            <w:pPr>
              <w:pStyle w:val="ColumnHeading"/>
              <w:keepNext/>
            </w:pPr>
            <w:r w:rsidRPr="00FF7A7C">
              <w:t xml:space="preserve">Proposta di </w:t>
            </w:r>
            <w:r w:rsidRPr="00FF7A7C">
              <w:t>risoluzione</w:t>
            </w:r>
          </w:p>
        </w:tc>
        <w:tc>
          <w:tcPr>
            <w:tcW w:w="4876" w:type="dxa"/>
            <w:hideMark/>
          </w:tcPr>
          <w:p w:rsidR="00AC4730" w:rsidRPr="00FF7A7C" w14:paraId="7C0084D4" w14:textId="77777777">
            <w:pPr>
              <w:pStyle w:val="ColumnHeading"/>
              <w:keepNext/>
            </w:pPr>
            <w:r w:rsidRPr="00FF7A7C">
              <w:t>Emendamento</w:t>
            </w:r>
          </w:p>
        </w:tc>
      </w:tr>
      <w:tr w14:paraId="5564E32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7A67FC8" w14:textId="77777777">
            <w:pPr>
              <w:pStyle w:val="Normal6"/>
            </w:pPr>
          </w:p>
        </w:tc>
        <w:tc>
          <w:tcPr>
            <w:tcW w:w="4876" w:type="dxa"/>
            <w:hideMark/>
          </w:tcPr>
          <w:p w:rsidR="00AC4730" w:rsidRPr="00FF7A7C" w14:paraId="29810335" w14:textId="77777777">
            <w:pPr>
              <w:pStyle w:val="Normal6"/>
              <w:rPr>
                <w:szCs w:val="24"/>
              </w:rPr>
            </w:pPr>
            <w:r w:rsidRPr="00FF7A7C">
              <w:rPr>
                <w:b/>
                <w:i/>
              </w:rPr>
              <w:t>10</w:t>
            </w:r>
            <w:r w:rsidRPr="00FF7A7C">
              <w:rPr>
                <w:b/>
                <w:i/>
              </w:rPr>
              <w:t xml:space="preserve"> bis.</w:t>
            </w:r>
            <w:r w:rsidRPr="00FF7A7C">
              <w:rPr>
                <w:b/>
                <w:i/>
              </w:rPr>
              <w:tab/>
              <w:t xml:space="preserve">richiama l'attenzione sul fatto che un numero relativamente elevato di irregolarità rilevate e segnalate può riflettere il funzionamento tempestivo ed efficace dei sistemi di gestione e di controllo, piuttosto che costituire, di per sé, una prova di cattiva gestione; sottolinea che le irregolarità non dovrebbero essere automaticamente equiparate alla frode o alla corruzione, in quanto molte possono derivare da errori non intenzionali, norme complesse o carenze amministrative, mentre la frode comporta </w:t>
            </w:r>
            <w:r w:rsidRPr="00FF7A7C">
              <w:rPr>
                <w:b/>
                <w:i/>
              </w:rPr>
              <w:t>un comportamento intenzionale; chiede che tali categorie siano chiaramente distinte nella segnalazione e nella comunicazione pubblica, al fine di evitare di scoraggiare una segnalazione trasparente o di causare un danno reputazionale sproporzionato alle autorità di gestione che individuano e segnalano le irregolarità in buona fede e conformemente ai loro obblighi di controllo;</w:t>
            </w:r>
          </w:p>
        </w:tc>
      </w:tr>
    </w:tbl>
    <w:p w:rsidR="00AC4730" w:rsidRPr="00FF7A7C" w:rsidP="00AC4730" w14:paraId="1A6AC29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CB79431" w14:textId="77777777">
      <w:r w:rsidRPr="00FF7A7C">
        <w:rPr>
          <w:rStyle w:val="HideTWBExt"/>
        </w:rPr>
        <w:t>&lt;/Amend&gt;</w:t>
      </w:r>
    </w:p>
    <w:p w:rsidR="00AC4730" w:rsidRPr="00FF7A7C" w:rsidP="00AC4730" w14:paraId="79BCC8E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A745375"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3BB28DFD" w14:textId="77777777">
      <w:r w:rsidRPr="00FF7A7C">
        <w:rPr>
          <w:rStyle w:val="HideTWBExt"/>
        </w:rPr>
        <w:t>&lt;/RepeatBlock-By&gt;</w:t>
      </w:r>
    </w:p>
    <w:p w:rsidR="00AC4730" w:rsidRPr="00FF7A7C" w:rsidP="00AC4730" w14:paraId="4BFDFE9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A1E0030" w14:textId="77777777">
      <w:pPr>
        <w:pStyle w:val="NormalBold"/>
      </w:pPr>
      <w:r w:rsidRPr="00FF7A7C">
        <w:rPr>
          <w:rStyle w:val="HideTWBExt"/>
          <w:b w:val="0"/>
        </w:rPr>
        <w:t>&lt;Article&gt;</w:t>
      </w:r>
      <w:r w:rsidRPr="00FF7A7C">
        <w:t>Paragrafo 11</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44D006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BFA16E5" w14:textId="77777777">
            <w:pPr>
              <w:keepNext/>
            </w:pPr>
          </w:p>
        </w:tc>
      </w:tr>
      <w:tr w14:paraId="49C37AE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915EFAB" w14:textId="77777777">
            <w:pPr>
              <w:pStyle w:val="ColumnHeading"/>
              <w:keepNext/>
            </w:pPr>
            <w:r w:rsidRPr="00FF7A7C">
              <w:t>Proposta di risoluzione</w:t>
            </w:r>
          </w:p>
        </w:tc>
        <w:tc>
          <w:tcPr>
            <w:tcW w:w="4876" w:type="dxa"/>
            <w:hideMark/>
          </w:tcPr>
          <w:p w:rsidR="00AC4730" w:rsidRPr="00FF7A7C" w14:paraId="59987B6A" w14:textId="77777777">
            <w:pPr>
              <w:pStyle w:val="ColumnHeading"/>
              <w:keepNext/>
            </w:pPr>
            <w:r w:rsidRPr="00FF7A7C">
              <w:t>Emendamento</w:t>
            </w:r>
          </w:p>
        </w:tc>
      </w:tr>
      <w:tr w14:paraId="4738069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B4FEC1A" w14:textId="77777777">
            <w:pPr>
              <w:pStyle w:val="Normal6"/>
            </w:pPr>
            <w:r w:rsidRPr="00FF7A7C">
              <w:t>11.</w:t>
            </w:r>
            <w:r w:rsidRPr="00FF7A7C">
              <w:tab/>
              <w:t xml:space="preserve">si rammarica che la </w:t>
            </w:r>
            <w:r w:rsidRPr="00FF7A7C">
              <w:t>sovraregolamentazione</w:t>
            </w:r>
            <w:r w:rsidRPr="00FF7A7C">
              <w:t xml:space="preserve"> rimanga la sfida operativa più persistente in tutti gli Stati membri che hanno aderito all'UE a partire dal 2004, in quanto ha creato un onere amministrativo supplementare nella gestione dei fondi dell'UE, determinando procedure più complesse, con limitate competenze dei beneficiari, e aumentando il rischio di errore;</w:t>
            </w:r>
          </w:p>
        </w:tc>
        <w:tc>
          <w:tcPr>
            <w:tcW w:w="4876" w:type="dxa"/>
            <w:hideMark/>
          </w:tcPr>
          <w:p w:rsidR="00AC4730" w:rsidRPr="00FF7A7C" w14:paraId="74219402" w14:textId="77777777">
            <w:pPr>
              <w:pStyle w:val="Normal6"/>
              <w:rPr>
                <w:szCs w:val="24"/>
              </w:rPr>
            </w:pPr>
            <w:r w:rsidRPr="00FF7A7C">
              <w:t>11.</w:t>
            </w:r>
            <w:r w:rsidRPr="00FF7A7C">
              <w:tab/>
              <w:t xml:space="preserve">si rammarica che la </w:t>
            </w:r>
            <w:r w:rsidRPr="00FF7A7C">
              <w:t>sovraregolamentazione</w:t>
            </w:r>
            <w:r w:rsidRPr="00FF7A7C">
              <w:t xml:space="preserve"> rimanga la sfida operativa più persistente in tutti gli Stati membri che hanno aderito all'UE a partire dal 2004, in quanto ha creato un onere amministrativo supplementare nella gestione dei fondi dell'UE, determinando procedure più complesse, con limitate competenze dei beneficiari, e aumentando il rischio di errore </w:t>
            </w:r>
            <w:r w:rsidRPr="00FF7A7C">
              <w:rPr>
                <w:b/>
                <w:i/>
              </w:rPr>
              <w:t>o l'incertezza giuridica</w:t>
            </w:r>
            <w:r w:rsidRPr="00FF7A7C">
              <w:t>;</w:t>
            </w:r>
          </w:p>
        </w:tc>
      </w:tr>
    </w:tbl>
    <w:p w:rsidR="00AC4730" w:rsidRPr="00FF7A7C" w:rsidP="00AC4730" w14:paraId="4B619E0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AF958B2" w14:textId="77777777">
      <w:r w:rsidRPr="00FF7A7C">
        <w:rPr>
          <w:rStyle w:val="HideTWBExt"/>
        </w:rPr>
        <w:t>&lt;/Amend&gt;</w:t>
      </w:r>
    </w:p>
    <w:p w:rsidR="00AC4730" w:rsidRPr="00FF7A7C" w:rsidP="00AC4730" w14:paraId="4ACCAE2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9421A5C"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67FA0F7D" w14:textId="77777777">
      <w:r w:rsidRPr="00FF7A7C">
        <w:rPr>
          <w:rStyle w:val="HideTWBExt"/>
        </w:rPr>
        <w:t>&lt;/RepeatBlock-By&gt;</w:t>
      </w:r>
    </w:p>
    <w:p w:rsidR="00AC4730" w:rsidRPr="00FF7A7C" w:rsidP="00AC4730" w14:paraId="7F3126F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BB0DBE7" w14:textId="77777777">
      <w:pPr>
        <w:pStyle w:val="NormalBold"/>
      </w:pPr>
      <w:r w:rsidRPr="00FF7A7C">
        <w:rPr>
          <w:rStyle w:val="HideTWBExt"/>
          <w:b w:val="0"/>
        </w:rPr>
        <w:t>&lt;Article&gt;</w:t>
      </w:r>
      <w:r w:rsidRPr="00FF7A7C">
        <w:t>Paragrafo 12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58CD7F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AF0DE4B" w14:textId="77777777">
            <w:pPr>
              <w:keepNext/>
            </w:pPr>
          </w:p>
        </w:tc>
      </w:tr>
      <w:tr w14:paraId="335969C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746B862" w14:textId="77777777">
            <w:pPr>
              <w:pStyle w:val="ColumnHeading"/>
              <w:keepNext/>
            </w:pPr>
            <w:r w:rsidRPr="00FF7A7C">
              <w:t>Proposta di risoluzione</w:t>
            </w:r>
          </w:p>
        </w:tc>
        <w:tc>
          <w:tcPr>
            <w:tcW w:w="4876" w:type="dxa"/>
            <w:hideMark/>
          </w:tcPr>
          <w:p w:rsidR="00AC4730" w:rsidRPr="00FF7A7C" w14:paraId="6F1C7FA2" w14:textId="77777777">
            <w:pPr>
              <w:pStyle w:val="ColumnHeading"/>
              <w:keepNext/>
            </w:pPr>
            <w:r w:rsidRPr="00FF7A7C">
              <w:t>Emendamento</w:t>
            </w:r>
          </w:p>
        </w:tc>
      </w:tr>
      <w:tr w14:paraId="246666F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083AED5B" w14:textId="77777777">
            <w:pPr>
              <w:pStyle w:val="Normal6"/>
            </w:pPr>
          </w:p>
        </w:tc>
        <w:tc>
          <w:tcPr>
            <w:tcW w:w="4876" w:type="dxa"/>
            <w:hideMark/>
          </w:tcPr>
          <w:p w:rsidR="00AC4730" w:rsidRPr="00FF7A7C" w14:paraId="57B0602C" w14:textId="77777777">
            <w:pPr>
              <w:pStyle w:val="Normal6"/>
              <w:rPr>
                <w:szCs w:val="24"/>
              </w:rPr>
            </w:pPr>
            <w:r w:rsidRPr="00FF7A7C">
              <w:rPr>
                <w:b/>
                <w:i/>
              </w:rPr>
              <w:t>12 bis.</w:t>
            </w:r>
            <w:r w:rsidRPr="00FF7A7C">
              <w:rPr>
                <w:b/>
                <w:i/>
              </w:rPr>
              <w:tab/>
              <w:t xml:space="preserve">chiede che gli insegnamenti tratti dal finanziamento basato sui risultati siano attentamente valutati, sottolineando </w:t>
            </w:r>
            <w:r w:rsidRPr="00FF7A7C">
              <w:rPr>
                <w:b/>
                <w:i/>
              </w:rPr>
              <w:t>nel contempo</w:t>
            </w:r>
            <w:r w:rsidRPr="00FF7A7C">
              <w:rPr>
                <w:b/>
                <w:i/>
              </w:rPr>
              <w:t xml:space="preserve"> che tali metodi non devono indebolire la trasparenza o la tutela degli interessi finanziari dell'Unione;</w:t>
            </w:r>
          </w:p>
        </w:tc>
      </w:tr>
    </w:tbl>
    <w:p w:rsidR="00AC4730" w:rsidRPr="00FF7A7C" w:rsidP="00AC4730" w14:paraId="078878DC"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99137B6" w14:textId="77777777">
      <w:r w:rsidRPr="00FF7A7C">
        <w:rPr>
          <w:rStyle w:val="HideTWBExt"/>
        </w:rPr>
        <w:t>&lt;/Amend&gt;</w:t>
      </w:r>
    </w:p>
    <w:p w:rsidR="00AC4730" w:rsidRPr="00FF7A7C" w:rsidP="00AC4730" w14:paraId="731305E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BD63F04"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253C5D0A" w14:textId="77777777">
      <w:r w:rsidRPr="00FF7A7C">
        <w:rPr>
          <w:rStyle w:val="HideTWBExt"/>
        </w:rPr>
        <w:t>&lt;/RepeatBlock-By&gt;</w:t>
      </w:r>
    </w:p>
    <w:p w:rsidR="00AC4730" w:rsidRPr="00FF7A7C" w:rsidP="00AC4730" w14:paraId="17CA014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B9FE6EC" w14:textId="77777777">
      <w:pPr>
        <w:pStyle w:val="NormalBold"/>
      </w:pPr>
      <w:r w:rsidRPr="00FF7A7C">
        <w:rPr>
          <w:rStyle w:val="HideTWBExt"/>
          <w:b w:val="0"/>
        </w:rPr>
        <w:t>&lt;Article&gt;</w:t>
      </w:r>
      <w:r w:rsidRPr="00FF7A7C">
        <w:t>Paragrafo 13</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8BAA62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06AB551" w14:textId="77777777">
            <w:pPr>
              <w:keepNext/>
            </w:pPr>
          </w:p>
        </w:tc>
      </w:tr>
      <w:tr w14:paraId="14406DD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B847205" w14:textId="77777777">
            <w:pPr>
              <w:pStyle w:val="ColumnHeading"/>
              <w:keepNext/>
            </w:pPr>
            <w:r w:rsidRPr="00FF7A7C">
              <w:t>Proposta di risoluzione</w:t>
            </w:r>
          </w:p>
        </w:tc>
        <w:tc>
          <w:tcPr>
            <w:tcW w:w="4876" w:type="dxa"/>
            <w:hideMark/>
          </w:tcPr>
          <w:p w:rsidR="00AC4730" w:rsidRPr="00FF7A7C" w14:paraId="3316FEF9" w14:textId="77777777">
            <w:pPr>
              <w:pStyle w:val="ColumnHeading"/>
              <w:keepNext/>
            </w:pPr>
            <w:r w:rsidRPr="00FF7A7C">
              <w:t>Emendamento</w:t>
            </w:r>
          </w:p>
        </w:tc>
      </w:tr>
      <w:tr w14:paraId="44F8766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6C2098E" w14:textId="77777777">
            <w:pPr>
              <w:pStyle w:val="Normal6"/>
            </w:pPr>
            <w:r w:rsidRPr="00FF7A7C">
              <w:t>13.</w:t>
            </w:r>
            <w:r w:rsidRPr="00FF7A7C">
              <w:tab/>
            </w:r>
            <w:r w:rsidRPr="00FF7A7C">
              <w:t>sottolinea che, al fine di effettuare verifiche e audit dei programmi finanziati con i fondi dell'UE, è essenziale disporre di risorse umane competenti con un'esperienza adeguata e una memoria istituzionale a diversi livelli; deplora la mancanza di risorse finanziarie sufficienti, anche per la formazione e lo sviluppo di capacità dedicate alle funzioni di controllo, e osserva che si tratta di un fattore che incide sulla capacità delle autorità di gestione (nell'ambito della politica di coesione) di effettua</w:t>
            </w:r>
            <w:r w:rsidRPr="00FF7A7C">
              <w:t>re controlli e verifiche efficaci e approfonditi della spesa;</w:t>
            </w:r>
          </w:p>
        </w:tc>
        <w:tc>
          <w:tcPr>
            <w:tcW w:w="4876" w:type="dxa"/>
            <w:hideMark/>
          </w:tcPr>
          <w:p w:rsidR="00AC4730" w:rsidRPr="00FF7A7C" w14:paraId="5CF52E27" w14:textId="77777777">
            <w:pPr>
              <w:pStyle w:val="Normal6"/>
              <w:rPr>
                <w:szCs w:val="24"/>
              </w:rPr>
            </w:pPr>
            <w:r w:rsidRPr="00FF7A7C">
              <w:t>13.</w:t>
            </w:r>
            <w:r w:rsidRPr="00FF7A7C">
              <w:tab/>
              <w:t xml:space="preserve">sottolinea che, al fine di effettuare verifiche e audit dei programmi finanziati con i fondi dell'UE, è essenziale disporre di risorse umane competenti con un'esperienza adeguata e una memoria istituzionale a diversi livelli; deplora la mancanza di risorse finanziarie sufficienti, anche per la formazione e lo sviluppo di capacità dedicate alle funzioni di controllo </w:t>
            </w:r>
            <w:r w:rsidRPr="00FF7A7C">
              <w:rPr>
                <w:b/>
                <w:i/>
              </w:rPr>
              <w:t>e di audit</w:t>
            </w:r>
            <w:r w:rsidRPr="00FF7A7C">
              <w:t>, e osserva che si tratta di un fattore che incide sulla capacità delle autorità di gestione (nell'ambito della politica di coesione)</w:t>
            </w:r>
            <w:r w:rsidRPr="00FF7A7C">
              <w:t xml:space="preserve"> di effettuare controlli e verifiche efficaci e approfonditi della spesa;</w:t>
            </w:r>
          </w:p>
        </w:tc>
      </w:tr>
    </w:tbl>
    <w:p w:rsidR="00AC4730" w:rsidRPr="00FF7A7C" w:rsidP="00AC4730" w14:paraId="0AE2CD9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9F51B74" w14:textId="77777777">
      <w:r w:rsidRPr="00FF7A7C">
        <w:rPr>
          <w:rStyle w:val="HideTWBExt"/>
        </w:rPr>
        <w:t>&lt;/Amend&gt;</w:t>
      </w:r>
    </w:p>
    <w:p w:rsidR="00AC4730" w:rsidRPr="00FF7A7C" w:rsidP="00AC4730" w14:paraId="0B2AFA9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69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ADB8D2E"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23C3E4E5" w14:textId="77777777">
      <w:r w:rsidRPr="00FF7A7C">
        <w:rPr>
          <w:rStyle w:val="HideTWBExt"/>
        </w:rPr>
        <w:t>&lt;/RepeatBlock-By&gt;</w:t>
      </w:r>
    </w:p>
    <w:p w:rsidR="00AC4730" w:rsidRPr="00FF7A7C" w:rsidP="00AC4730" w14:paraId="2D30EE1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92B04CE" w14:textId="77777777">
      <w:pPr>
        <w:pStyle w:val="NormalBold"/>
      </w:pPr>
      <w:r w:rsidRPr="00FF7A7C">
        <w:rPr>
          <w:rStyle w:val="HideTWBExt"/>
          <w:b w:val="0"/>
        </w:rPr>
        <w:t>&lt;Article&gt;</w:t>
      </w:r>
      <w:r w:rsidRPr="00FF7A7C">
        <w:t>Titolo 3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999A8E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26436DE" w14:textId="77777777">
            <w:pPr>
              <w:keepNext/>
            </w:pPr>
          </w:p>
        </w:tc>
      </w:tr>
      <w:tr w14:paraId="1BA8CD1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6F29AD7" w14:textId="77777777">
            <w:pPr>
              <w:pStyle w:val="ColumnHeading"/>
              <w:keepNext/>
            </w:pPr>
            <w:r w:rsidRPr="00FF7A7C">
              <w:t>Proposta di risoluzione</w:t>
            </w:r>
          </w:p>
        </w:tc>
        <w:tc>
          <w:tcPr>
            <w:tcW w:w="4876" w:type="dxa"/>
            <w:hideMark/>
          </w:tcPr>
          <w:p w:rsidR="00AC4730" w:rsidRPr="00FF7A7C" w14:paraId="242ADE8F" w14:textId="77777777">
            <w:pPr>
              <w:pStyle w:val="ColumnHeading"/>
              <w:keepNext/>
            </w:pPr>
            <w:r w:rsidRPr="00FF7A7C">
              <w:t>Emendamento</w:t>
            </w:r>
          </w:p>
        </w:tc>
      </w:tr>
      <w:tr w14:paraId="31C5182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35D1E871" w14:textId="77777777">
            <w:pPr>
              <w:pStyle w:val="Normal6"/>
            </w:pPr>
          </w:p>
        </w:tc>
        <w:tc>
          <w:tcPr>
            <w:tcW w:w="4876" w:type="dxa"/>
            <w:hideMark/>
          </w:tcPr>
          <w:p w:rsidR="00AC4730" w:rsidRPr="00FF7A7C" w14:paraId="50CF0A25" w14:textId="77777777">
            <w:pPr>
              <w:pStyle w:val="Normal6"/>
              <w:rPr>
                <w:szCs w:val="24"/>
              </w:rPr>
            </w:pPr>
            <w:r w:rsidRPr="00FF7A7C">
              <w:rPr>
                <w:b/>
                <w:i/>
              </w:rPr>
              <w:t xml:space="preserve">Insegnamenti tratti per quanto riguarda le garanzie dello Stato di diritto e la </w:t>
            </w:r>
            <w:r w:rsidRPr="00FF7A7C">
              <w:rPr>
                <w:b/>
                <w:i/>
              </w:rPr>
              <w:t>protezione dei beneficiari finali</w:t>
            </w:r>
          </w:p>
        </w:tc>
      </w:tr>
    </w:tbl>
    <w:p w:rsidR="00AC4730" w:rsidRPr="00FF7A7C" w:rsidP="00AC4730" w14:paraId="713BE9B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2827DCE" w14:textId="77777777">
      <w:r w:rsidRPr="00FF7A7C">
        <w:rPr>
          <w:rStyle w:val="HideTWBExt"/>
        </w:rPr>
        <w:t>&lt;/Amend&gt;</w:t>
      </w:r>
    </w:p>
    <w:p w:rsidR="00AC4730" w:rsidRPr="00FF7A7C" w:rsidP="00AC4730" w14:paraId="03211DC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880423F"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5B7A3464" w14:textId="77777777">
      <w:r w:rsidRPr="00FF7A7C">
        <w:rPr>
          <w:rStyle w:val="HideTWBExt"/>
        </w:rPr>
        <w:t>&lt;/RepeatBlock-By&gt;</w:t>
      </w:r>
    </w:p>
    <w:p w:rsidR="00AC4730" w:rsidRPr="00FF7A7C" w:rsidP="00AC4730" w14:paraId="7A38D86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1D4210B" w14:textId="77777777">
      <w:pPr>
        <w:pStyle w:val="NormalBold"/>
      </w:pPr>
      <w:r w:rsidRPr="00FF7A7C">
        <w:rPr>
          <w:rStyle w:val="HideTWBExt"/>
          <w:b w:val="0"/>
        </w:rPr>
        <w:t>&lt;Article&gt;</w:t>
      </w:r>
      <w:r w:rsidRPr="00FF7A7C">
        <w:t>Paragrafo 13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49FC82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204939C" w14:textId="77777777">
            <w:pPr>
              <w:keepNext/>
            </w:pPr>
          </w:p>
        </w:tc>
      </w:tr>
      <w:tr w14:paraId="6A8ACDD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0CF2D9A" w14:textId="77777777">
            <w:pPr>
              <w:pStyle w:val="ColumnHeading"/>
              <w:keepNext/>
            </w:pPr>
            <w:r w:rsidRPr="00FF7A7C">
              <w:t>Proposta di risoluzione</w:t>
            </w:r>
          </w:p>
        </w:tc>
        <w:tc>
          <w:tcPr>
            <w:tcW w:w="4876" w:type="dxa"/>
            <w:hideMark/>
          </w:tcPr>
          <w:p w:rsidR="00AC4730" w:rsidRPr="00FF7A7C" w14:paraId="5715632E" w14:textId="77777777">
            <w:pPr>
              <w:pStyle w:val="ColumnHeading"/>
              <w:keepNext/>
            </w:pPr>
            <w:r w:rsidRPr="00FF7A7C">
              <w:t>Emendamento</w:t>
            </w:r>
          </w:p>
        </w:tc>
      </w:tr>
      <w:tr w14:paraId="3485710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6A0709FE" w14:textId="77777777">
            <w:pPr>
              <w:pStyle w:val="Normal6"/>
            </w:pPr>
          </w:p>
        </w:tc>
        <w:tc>
          <w:tcPr>
            <w:tcW w:w="4876" w:type="dxa"/>
            <w:hideMark/>
          </w:tcPr>
          <w:p w:rsidR="00AC4730" w:rsidRPr="00FF7A7C" w14:paraId="2B173628" w14:textId="77777777">
            <w:pPr>
              <w:pStyle w:val="Normal6"/>
              <w:rPr>
                <w:szCs w:val="24"/>
              </w:rPr>
            </w:pPr>
            <w:r w:rsidRPr="00FF7A7C">
              <w:rPr>
                <w:b/>
                <w:i/>
              </w:rPr>
              <w:t>13 bis.</w:t>
            </w:r>
            <w:r w:rsidRPr="00FF7A7C">
              <w:rPr>
                <w:b/>
                <w:i/>
              </w:rPr>
              <w:tab/>
              <w:t xml:space="preserve">sottolinea che il rispetto dello Stato di diritto è un prerequisito per una sana gestione finanziaria del bilancio dell'UE; ricorda che sono state avviate procedure ai sensi </w:t>
            </w:r>
            <w:r w:rsidRPr="00FF7A7C">
              <w:rPr>
                <w:b/>
                <w:i/>
              </w:rPr>
              <w:t>dell'articolo 7 TUE nei confronti di due Stati membri che hanno aderito all'Unione nel 2004 e che il regolamento sulla condizionalità dello Stato di diritto è stato attivato anche in relazione a uno di essi; ritiene che l'esperienza degli allargamenti successivi al 2004 dimostri che le debolezze sistemiche che interessano i quadri anticorruzione, gli appalti pubblici, lo spazio civico, l'indipendenza della magistratura e delle procure, la libertà dei media o l'efficace indagine sulle frodi e la corruzione a</w:t>
            </w:r>
            <w:r w:rsidRPr="00FF7A7C">
              <w:rPr>
                <w:b/>
                <w:i/>
              </w:rPr>
              <w:t xml:space="preserve"> danno dei fondi dell'UE possono rappresentare un grave rischio per la tutela degli interessi finanziari dell'Unione;</w:t>
            </w:r>
          </w:p>
        </w:tc>
      </w:tr>
    </w:tbl>
    <w:p w:rsidR="00AC4730" w:rsidRPr="00FF7A7C" w:rsidP="00AC4730" w14:paraId="7E4ED55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15C423A" w14:textId="77777777">
      <w:r w:rsidRPr="00FF7A7C">
        <w:rPr>
          <w:rStyle w:val="HideTWBExt"/>
        </w:rPr>
        <w:t>&lt;/Amend&gt;</w:t>
      </w:r>
    </w:p>
    <w:p w:rsidR="00AC4730" w:rsidRPr="00FF7A7C" w:rsidP="00AC4730" w14:paraId="3B65853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0B42FCD" w14:textId="77777777">
      <w:pPr>
        <w:pStyle w:val="NormalBold"/>
      </w:pPr>
      <w:r w:rsidRPr="00FF7A7C">
        <w:rPr>
          <w:rStyle w:val="HideTWBExt"/>
          <w:b w:val="0"/>
        </w:rPr>
        <w:t>&lt;RepeatBlock-By&gt;&lt;Members&gt;</w:t>
      </w:r>
      <w:r w:rsidRPr="00FF7A7C">
        <w:t xml:space="preserve">Csaba </w:t>
      </w:r>
      <w:r w:rsidRPr="00FF7A7C">
        <w:t>Molnár</w:t>
      </w:r>
      <w:r w:rsidRPr="00FF7A7C">
        <w:t xml:space="preserve">, Carla </w:t>
      </w:r>
      <w:r w:rsidRPr="00FF7A7C">
        <w:t>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5B9A9460" w14:textId="77777777">
      <w:r w:rsidRPr="00FF7A7C">
        <w:rPr>
          <w:rStyle w:val="HideTWBExt"/>
        </w:rPr>
        <w:t>&lt;/RepeatBlock-By&gt;</w:t>
      </w:r>
    </w:p>
    <w:p w:rsidR="00AC4730" w:rsidRPr="00FF7A7C" w:rsidP="00AC4730" w14:paraId="543B1CF6"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AD2ED65" w14:textId="77777777">
      <w:pPr>
        <w:pStyle w:val="NormalBold"/>
      </w:pPr>
      <w:r w:rsidRPr="00FF7A7C">
        <w:rPr>
          <w:rStyle w:val="HideTWBExt"/>
          <w:b w:val="0"/>
        </w:rPr>
        <w:t>&lt;Article&gt;</w:t>
      </w:r>
      <w:r w:rsidRPr="00FF7A7C">
        <w:t>Paragrafo 13 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A1A53C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8EA2857" w14:textId="77777777">
            <w:pPr>
              <w:keepNext/>
            </w:pPr>
          </w:p>
        </w:tc>
      </w:tr>
      <w:tr w14:paraId="516564D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F0C6EF3" w14:textId="77777777">
            <w:pPr>
              <w:pStyle w:val="ColumnHeading"/>
              <w:keepNext/>
            </w:pPr>
            <w:r w:rsidRPr="00FF7A7C">
              <w:t>Proposta di risoluzione</w:t>
            </w:r>
          </w:p>
        </w:tc>
        <w:tc>
          <w:tcPr>
            <w:tcW w:w="4876" w:type="dxa"/>
            <w:hideMark/>
          </w:tcPr>
          <w:p w:rsidR="00AC4730" w:rsidRPr="00FF7A7C" w14:paraId="1B095DEF" w14:textId="77777777">
            <w:pPr>
              <w:pStyle w:val="ColumnHeading"/>
              <w:keepNext/>
            </w:pPr>
            <w:r w:rsidRPr="00FF7A7C">
              <w:t>Emendamento</w:t>
            </w:r>
          </w:p>
        </w:tc>
      </w:tr>
      <w:tr w14:paraId="6F9D45C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39D9EC09" w14:textId="77777777">
            <w:pPr>
              <w:pStyle w:val="Normal6"/>
            </w:pPr>
          </w:p>
        </w:tc>
        <w:tc>
          <w:tcPr>
            <w:tcW w:w="4876" w:type="dxa"/>
            <w:hideMark/>
          </w:tcPr>
          <w:p w:rsidR="00AC4730" w:rsidRPr="00FF7A7C" w14:paraId="7840F8FF" w14:textId="77777777">
            <w:pPr>
              <w:pStyle w:val="Normal6"/>
              <w:rPr>
                <w:szCs w:val="24"/>
              </w:rPr>
            </w:pPr>
            <w:r w:rsidRPr="00FF7A7C">
              <w:rPr>
                <w:b/>
                <w:i/>
              </w:rPr>
              <w:t>13 ter.</w:t>
            </w:r>
            <w:r w:rsidRPr="00FF7A7C">
              <w:rPr>
                <w:b/>
                <w:i/>
              </w:rPr>
              <w:tab/>
              <w:t xml:space="preserve">sottolinea che il monitoraggio dello Stato di diritto non deve limitarsi al </w:t>
            </w:r>
            <w:r w:rsidRPr="00FF7A7C">
              <w:rPr>
                <w:b/>
                <w:i/>
              </w:rPr>
              <w:t xml:space="preserve">processo di adesione, ma deve proseguire dopo l'adesione e applicarsi allo stesso modo a tutti gli Stati membri; invita la Commissione a sfruttare appieno l'intero pacchetto di strumenti per lo Stato di diritto, tra cui la relazione annuale sullo Stato di diritto, il regolamento sulla condizionalità dello Stato di diritto, le procedure di infrazione, nonché le misure rafforzate di audit e controllo, qualora le violazioni dello Stato di diritto incidano o rischino di incidere sulla sana gestione finanziaria </w:t>
            </w:r>
            <w:r w:rsidRPr="00FF7A7C">
              <w:rPr>
                <w:b/>
                <w:i/>
              </w:rPr>
              <w:t>del bilancio dell'Unione o sulla tutela degli interessi finanziari dell'Unione;</w:t>
            </w:r>
          </w:p>
        </w:tc>
      </w:tr>
    </w:tbl>
    <w:p w:rsidR="00AC4730" w:rsidRPr="00FF7A7C" w:rsidP="00AC4730" w14:paraId="7F8A8F9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1B2E1BC" w14:textId="77777777">
      <w:r w:rsidRPr="00FF7A7C">
        <w:rPr>
          <w:rStyle w:val="HideTWBExt"/>
        </w:rPr>
        <w:t>&lt;/Amend&gt;</w:t>
      </w:r>
    </w:p>
    <w:p w:rsidR="00AC4730" w:rsidRPr="00FF7A7C" w:rsidP="00AC4730" w14:paraId="468A88F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BB64BBF"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2B84B634" w14:textId="77777777">
      <w:r w:rsidRPr="00FF7A7C">
        <w:rPr>
          <w:rStyle w:val="HideTWBExt"/>
        </w:rPr>
        <w:t>&lt;/RepeatBlock-By&gt;</w:t>
      </w:r>
    </w:p>
    <w:p w:rsidR="00AC4730" w:rsidRPr="00FF7A7C" w:rsidP="00AC4730" w14:paraId="1D4EBE3D"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0E4D95D" w14:textId="77777777">
      <w:pPr>
        <w:pStyle w:val="NormalBold"/>
      </w:pPr>
      <w:r w:rsidRPr="00FF7A7C">
        <w:rPr>
          <w:rStyle w:val="HideTWBExt"/>
          <w:b w:val="0"/>
        </w:rPr>
        <w:t>&lt;Article&gt;</w:t>
      </w:r>
      <w:r w:rsidRPr="00FF7A7C">
        <w:t>Paragrafo 13 quater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F17552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673AF43" w14:textId="77777777">
            <w:pPr>
              <w:keepNext/>
            </w:pPr>
          </w:p>
        </w:tc>
      </w:tr>
      <w:tr w14:paraId="6052438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D2AEC18" w14:textId="77777777">
            <w:pPr>
              <w:pStyle w:val="ColumnHeading"/>
              <w:keepNext/>
            </w:pPr>
            <w:r w:rsidRPr="00FF7A7C">
              <w:t>Proposta di risoluzione</w:t>
            </w:r>
          </w:p>
        </w:tc>
        <w:tc>
          <w:tcPr>
            <w:tcW w:w="4876" w:type="dxa"/>
            <w:hideMark/>
          </w:tcPr>
          <w:p w:rsidR="00AC4730" w:rsidRPr="00FF7A7C" w14:paraId="22B04BA2" w14:textId="77777777">
            <w:pPr>
              <w:pStyle w:val="ColumnHeading"/>
              <w:keepNext/>
            </w:pPr>
            <w:r w:rsidRPr="00FF7A7C">
              <w:t>Emendamento</w:t>
            </w:r>
          </w:p>
        </w:tc>
      </w:tr>
      <w:tr w14:paraId="655895D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EF50B99" w14:textId="77777777">
            <w:pPr>
              <w:pStyle w:val="Normal6"/>
            </w:pPr>
          </w:p>
        </w:tc>
        <w:tc>
          <w:tcPr>
            <w:tcW w:w="4876" w:type="dxa"/>
            <w:hideMark/>
          </w:tcPr>
          <w:p w:rsidR="00AC4730" w:rsidRPr="00FF7A7C" w14:paraId="29CAD4F5" w14:textId="77777777">
            <w:pPr>
              <w:pStyle w:val="Normal6"/>
              <w:rPr>
                <w:szCs w:val="24"/>
              </w:rPr>
            </w:pPr>
            <w:r w:rsidRPr="00FF7A7C">
              <w:rPr>
                <w:b/>
                <w:i/>
              </w:rPr>
              <w:t>13 quater.</w:t>
            </w:r>
            <w:r w:rsidRPr="00FF7A7C">
              <w:rPr>
                <w:b/>
                <w:i/>
              </w:rPr>
              <w:tab/>
              <w:t xml:space="preserve">insiste sul fatto che la protezione del bilancio dell'UE nel nuovo QFP deve basarsi su </w:t>
            </w:r>
            <w:r w:rsidRPr="00FF7A7C">
              <w:rPr>
                <w:b/>
                <w:i/>
              </w:rPr>
              <w:t>garanzie chiare, applicabili e trasparenti in materia di Stato di diritto; sottolinea che i futuri piani nazionali e strumenti basati sui risultati, sulla scorta dell'esperienza dei piani nazionali di ripresa e resilienza, devono includere traguardi e obiettivi ambiziosi, misurabili e verificabili in modo indipendente, relativi alla lotta alla corruzione, all'integrità degli appalti pubblici, alla prevenzione dei conflitti di interessi, alla trasparenza dei destinatari finali e a sistemi di audit e controll</w:t>
            </w:r>
            <w:r w:rsidRPr="00FF7A7C">
              <w:rPr>
                <w:b/>
                <w:i/>
              </w:rPr>
              <w:t>o efficaci;</w:t>
            </w:r>
          </w:p>
        </w:tc>
      </w:tr>
    </w:tbl>
    <w:p w:rsidR="00AC4730" w:rsidRPr="00FF7A7C" w:rsidP="00AC4730" w14:paraId="12785276"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D00430C" w14:textId="77777777">
      <w:r w:rsidRPr="00FF7A7C">
        <w:rPr>
          <w:rStyle w:val="HideTWBExt"/>
        </w:rPr>
        <w:t>&lt;/Amend&gt;</w:t>
      </w:r>
    </w:p>
    <w:p w:rsidR="00AC4730" w:rsidRPr="00FF7A7C" w:rsidP="00AC4730" w14:paraId="7E18F67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EB3AAD7"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6DADC6C1" w14:textId="77777777">
      <w:r w:rsidRPr="00FF7A7C">
        <w:rPr>
          <w:rStyle w:val="HideTWBExt"/>
        </w:rPr>
        <w:t>&lt;/RepeatBlock-By&gt;</w:t>
      </w:r>
    </w:p>
    <w:p w:rsidR="00AC4730" w:rsidRPr="00FF7A7C" w:rsidP="00AC4730" w14:paraId="3EAED35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3EED346" w14:textId="77777777">
      <w:pPr>
        <w:pStyle w:val="NormalBold"/>
      </w:pPr>
      <w:r w:rsidRPr="00FF7A7C">
        <w:rPr>
          <w:rStyle w:val="HideTWBExt"/>
          <w:b w:val="0"/>
        </w:rPr>
        <w:t>&lt;Article&gt;</w:t>
      </w:r>
      <w:r w:rsidRPr="00FF7A7C">
        <w:t>Paragrafo 13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0BD781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C2C0B62" w14:textId="77777777">
            <w:pPr>
              <w:keepNext/>
            </w:pPr>
          </w:p>
        </w:tc>
      </w:tr>
      <w:tr w14:paraId="2E9FE19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FB584EA" w14:textId="77777777">
            <w:pPr>
              <w:pStyle w:val="ColumnHeading"/>
              <w:keepNext/>
            </w:pPr>
            <w:r w:rsidRPr="00FF7A7C">
              <w:t>Proposta di risoluzione</w:t>
            </w:r>
          </w:p>
        </w:tc>
        <w:tc>
          <w:tcPr>
            <w:tcW w:w="4876" w:type="dxa"/>
            <w:hideMark/>
          </w:tcPr>
          <w:p w:rsidR="00AC4730" w:rsidRPr="00FF7A7C" w14:paraId="01B8EE70" w14:textId="77777777">
            <w:pPr>
              <w:pStyle w:val="ColumnHeading"/>
              <w:keepNext/>
            </w:pPr>
            <w:r w:rsidRPr="00FF7A7C">
              <w:t>Emendamento</w:t>
            </w:r>
          </w:p>
        </w:tc>
      </w:tr>
      <w:tr w14:paraId="6FAD01E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69EC383" w14:textId="77777777">
            <w:pPr>
              <w:pStyle w:val="Normal6"/>
            </w:pPr>
          </w:p>
        </w:tc>
        <w:tc>
          <w:tcPr>
            <w:tcW w:w="4876" w:type="dxa"/>
            <w:hideMark/>
          </w:tcPr>
          <w:p w:rsidR="00AC4730" w:rsidRPr="00FF7A7C" w14:paraId="53BF5F04" w14:textId="77777777">
            <w:pPr>
              <w:pStyle w:val="Normal6"/>
              <w:rPr>
                <w:szCs w:val="24"/>
              </w:rPr>
            </w:pPr>
            <w:r w:rsidRPr="00FF7A7C">
              <w:rPr>
                <w:b/>
                <w:i/>
              </w:rPr>
              <w:t>13 bis.</w:t>
            </w:r>
            <w:r w:rsidRPr="00FF7A7C">
              <w:rPr>
                <w:b/>
                <w:i/>
              </w:rPr>
              <w:tab/>
              <w:t xml:space="preserve">sottolinea che l'UE ha frontiere terrestri con 23 paesi, compresi i paesi candidati, e ritiene pertanto che la loro partecipazione, in quanto partner paritari, ai programmi Interreg e alle </w:t>
            </w:r>
            <w:r w:rsidRPr="00FF7A7C">
              <w:rPr>
                <w:b/>
                <w:i/>
              </w:rPr>
              <w:t>strategie macroregionali offra loro una preziosa opportunità per sviluppare la loro capacità di partecipare ai programmi della politica di coesione non solo a livello centrale ma anche a livello locale e regionale, preparandoli in tal modo all'adesione; sottolinea che, nel contesto dei futuri allargamenti dell'UE, tali paesi candidati dovrebbero essere incoraggiati a partecipare attivamente ai pertinenti programmi transnazionali;</w:t>
            </w:r>
          </w:p>
        </w:tc>
      </w:tr>
    </w:tbl>
    <w:p w:rsidR="00AC4730" w:rsidRPr="00FF7A7C" w:rsidP="00AC4730" w14:paraId="5B2EF8D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40E69E4" w14:textId="77777777">
      <w:r w:rsidRPr="00FF7A7C">
        <w:rPr>
          <w:rStyle w:val="HideTWBExt"/>
        </w:rPr>
        <w:t>&lt;/Amend&gt;</w:t>
      </w:r>
    </w:p>
    <w:p w:rsidR="00AC4730" w:rsidRPr="00FF7A7C" w:rsidP="00AC4730" w14:paraId="2801125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C2A5F03"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108BDF24" w14:textId="77777777">
      <w:r w:rsidRPr="00FF7A7C">
        <w:rPr>
          <w:rStyle w:val="HideTWBExt"/>
        </w:rPr>
        <w:t>&lt;/RepeatBlock-By&gt;</w:t>
      </w:r>
    </w:p>
    <w:p w:rsidR="00AC4730" w:rsidRPr="00FF7A7C" w:rsidP="00AC4730" w14:paraId="60FC34E1"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6857C8C" w14:textId="77777777">
      <w:pPr>
        <w:pStyle w:val="NormalBold"/>
      </w:pPr>
      <w:r w:rsidRPr="00FF7A7C">
        <w:rPr>
          <w:rStyle w:val="HideTWBExt"/>
          <w:b w:val="0"/>
        </w:rPr>
        <w:t>&lt;Article&gt;</w:t>
      </w:r>
      <w:r w:rsidRPr="00FF7A7C">
        <w:t>Paragrafo 14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96C99E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A07D46A" w14:textId="77777777">
            <w:pPr>
              <w:keepNext/>
            </w:pPr>
          </w:p>
        </w:tc>
      </w:tr>
      <w:tr w14:paraId="7500CD5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6594A5A" w14:textId="77777777">
            <w:pPr>
              <w:pStyle w:val="ColumnHeading"/>
              <w:keepNext/>
            </w:pPr>
            <w:r w:rsidRPr="00FF7A7C">
              <w:t>Proposta di risoluzione</w:t>
            </w:r>
          </w:p>
        </w:tc>
        <w:tc>
          <w:tcPr>
            <w:tcW w:w="4876" w:type="dxa"/>
            <w:hideMark/>
          </w:tcPr>
          <w:p w:rsidR="00AC4730" w:rsidRPr="00FF7A7C" w14:paraId="2A8615D8" w14:textId="77777777">
            <w:pPr>
              <w:pStyle w:val="ColumnHeading"/>
              <w:keepNext/>
            </w:pPr>
            <w:r w:rsidRPr="00FF7A7C">
              <w:t>Emendamento</w:t>
            </w:r>
          </w:p>
        </w:tc>
      </w:tr>
      <w:tr w14:paraId="0967D17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AD19210" w14:textId="77777777">
            <w:pPr>
              <w:pStyle w:val="Normal6"/>
            </w:pPr>
            <w:r w:rsidRPr="00FF7A7C">
              <w:t>14.</w:t>
            </w:r>
            <w:r w:rsidRPr="00FF7A7C">
              <w:tab/>
              <w:t xml:space="preserve">invita la Commissione a valutare se i canali di </w:t>
            </w:r>
            <w:r w:rsidRPr="00FF7A7C">
              <w:t xml:space="preserve">cooperazione, i servizi di audit e i sistemi di garanzia nei confronti della Corte dei conti europea della Commissione (DG REGIO e direzione generale dell'Allargamento e del vicinato orientale (DG ENEST)), dell'OLAF e della Procura europea (EPPO) dispongano di capacità sufficienti e dell'adeguata architettura di controllo di bilancio dell'UE per un'UE più ampia con contesti di gestione dei fondi più complessi; </w:t>
            </w:r>
            <w:r w:rsidRPr="00FF7A7C">
              <w:rPr>
                <w:b/>
                <w:i/>
              </w:rPr>
              <w:t>invita la Commissione a evitare un'inutile ristrutturazione preadesione, a meno che non sia basata</w:t>
            </w:r>
            <w:r w:rsidRPr="00FF7A7C">
              <w:rPr>
                <w:b/>
                <w:i/>
              </w:rPr>
              <w:t xml:space="preserve"> su dati concreti, graduale e accompagnata da piani di transizione, misure di ritenzione del personale e garanzie di continuità;</w:t>
            </w:r>
          </w:p>
        </w:tc>
        <w:tc>
          <w:tcPr>
            <w:tcW w:w="4876" w:type="dxa"/>
            <w:hideMark/>
          </w:tcPr>
          <w:p w:rsidR="00AC4730" w:rsidRPr="00FF7A7C" w14:paraId="14DD508C" w14:textId="77777777">
            <w:pPr>
              <w:pStyle w:val="Normal6"/>
              <w:rPr>
                <w:szCs w:val="24"/>
              </w:rPr>
            </w:pPr>
            <w:r w:rsidRPr="00FF7A7C">
              <w:t>14.</w:t>
            </w:r>
            <w:r w:rsidRPr="00FF7A7C">
              <w:tab/>
              <w:t>invita la Commissione a valutare se i canali di cooperazione, i servizi di audit e i sistemi di garanzia nei confronti della Corte dei conti europea della Commissione (DG REGIO e direzione generale dell'Allargamento e del vicinato orientale (DG ENEST)), dell'OLAF e della Procura europea (EPPO) dispongano di capacità sufficienti e dell'adeguata architettura di controllo di bilancio dell'UE per un'UE più ampia con contesti di gestione dei fondi più complessi;</w:t>
            </w:r>
          </w:p>
        </w:tc>
      </w:tr>
    </w:tbl>
    <w:p w:rsidR="00AC4730" w:rsidRPr="00FF7A7C" w:rsidP="00AC4730" w14:paraId="6EDAB9E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81BF684" w14:textId="77777777">
      <w:r w:rsidRPr="00FF7A7C">
        <w:rPr>
          <w:rStyle w:val="HideTWBExt"/>
        </w:rPr>
        <w:t>&lt;/Amend&gt;</w:t>
      </w:r>
    </w:p>
    <w:p w:rsidR="00AC4730" w:rsidRPr="00FF7A7C" w:rsidP="00AC4730" w14:paraId="43CD06F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B91D401"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147EF7C4" w14:textId="77777777">
      <w:r w:rsidRPr="00FF7A7C">
        <w:rPr>
          <w:rStyle w:val="HideTWBExt"/>
        </w:rPr>
        <w:t>&lt;/RepeatBlock-By&gt;</w:t>
      </w:r>
    </w:p>
    <w:p w:rsidR="00AC4730" w:rsidRPr="00FF7A7C" w:rsidP="00AC4730" w14:paraId="65F3E60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8CC93DA" w14:textId="77777777">
      <w:pPr>
        <w:pStyle w:val="NormalBold"/>
      </w:pPr>
      <w:r w:rsidRPr="00FF7A7C">
        <w:rPr>
          <w:rStyle w:val="HideTWBExt"/>
          <w:b w:val="0"/>
        </w:rPr>
        <w:t>&lt;Article&gt;</w:t>
      </w:r>
      <w:r w:rsidRPr="00FF7A7C">
        <w:t>Paragrafo 14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AEC01E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B50EEF5" w14:textId="77777777">
            <w:pPr>
              <w:keepNext/>
            </w:pPr>
          </w:p>
        </w:tc>
      </w:tr>
      <w:tr w14:paraId="7C7D706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B11A6AD" w14:textId="77777777">
            <w:pPr>
              <w:pStyle w:val="ColumnHeading"/>
              <w:keepNext/>
            </w:pPr>
            <w:r w:rsidRPr="00FF7A7C">
              <w:t>Proposta di risoluzione</w:t>
            </w:r>
          </w:p>
        </w:tc>
        <w:tc>
          <w:tcPr>
            <w:tcW w:w="4876" w:type="dxa"/>
            <w:hideMark/>
          </w:tcPr>
          <w:p w:rsidR="00AC4730" w:rsidRPr="00FF7A7C" w14:paraId="2F3417AF" w14:textId="77777777">
            <w:pPr>
              <w:pStyle w:val="ColumnHeading"/>
              <w:keepNext/>
            </w:pPr>
            <w:r w:rsidRPr="00FF7A7C">
              <w:t>Emendamento</w:t>
            </w:r>
          </w:p>
        </w:tc>
      </w:tr>
      <w:tr w14:paraId="1550891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34F46AF" w14:textId="77777777">
            <w:pPr>
              <w:pStyle w:val="Normal6"/>
            </w:pPr>
            <w:r w:rsidRPr="00FF7A7C">
              <w:t>14.</w:t>
            </w:r>
            <w:r w:rsidRPr="00FF7A7C">
              <w:tab/>
              <w:t>invita la Commissione a valutare se i canali di cooperazione, i servizi di audit e i sistemi di garanzia nei confronti della Corte dei conti europea della Commissione (DG REGIO e direzione generale dell'Allargamento e del vicinato orientale (DG ENEST)), dell'OLAF e della Procura europea (EPPO) dispongano di capacità sufficienti e dell'adeguata architettura di controllo di bilancio dell'UE per un'UE più ampia con contesti di gestione dei fondi più complessi; invita la Commissione a evitare un'inutile ristru</w:t>
            </w:r>
            <w:r w:rsidRPr="00FF7A7C">
              <w:t>tturazione preadesione, a meno che non sia basata su dati concreti, graduale e accompagnata da piani di transizione, misure di ritenzione del personale e garanzie di continuità;</w:t>
            </w:r>
          </w:p>
        </w:tc>
        <w:tc>
          <w:tcPr>
            <w:tcW w:w="4876" w:type="dxa"/>
            <w:hideMark/>
          </w:tcPr>
          <w:p w:rsidR="00AC4730" w:rsidRPr="00FF7A7C" w14:paraId="4357AB39" w14:textId="77777777">
            <w:pPr>
              <w:pStyle w:val="Normal6"/>
              <w:rPr>
                <w:szCs w:val="24"/>
              </w:rPr>
            </w:pPr>
            <w:r w:rsidRPr="00FF7A7C">
              <w:t>14.</w:t>
            </w:r>
            <w:r w:rsidRPr="00FF7A7C">
              <w:tab/>
              <w:t>invita la Commissione a valutare se i canali di cooperazione, i servizi di audit e i sistemi di garanzia nei confronti della Corte dei conti europea della Commissione (DG REGIO e direzione generale dell'Allargamento e del vicinato orientale (DG ENEST)), dell'OLAF e della Procura europea (EPPO) dispongano di capacità sufficienti e dell'adeguata architettura di controllo di bilancio dell'UE per un'UE più ampia con contesti di gestione dei fondi più complessi; invita la Commissione a evitare un'inutile ristru</w:t>
            </w:r>
            <w:r w:rsidRPr="00FF7A7C">
              <w:t xml:space="preserve">tturazione preadesione, a meno che non sia basata su dati concreti, graduale e accompagnata da piani di transizione, misure di ritenzione del personale e garanzie di continuità; </w:t>
            </w:r>
            <w:r w:rsidRPr="00FF7A7C">
              <w:rPr>
                <w:b/>
                <w:i/>
              </w:rPr>
              <w:t>invita inoltre la Commissione a provvedere affinché qualsiasi futuro allargamento sia accompagnato da risorse amministrative e finanziarie sufficienti e a garantire una solida responsabilità pubblica e il controllo democratico;</w:t>
            </w:r>
          </w:p>
        </w:tc>
      </w:tr>
    </w:tbl>
    <w:p w:rsidR="00AC4730" w:rsidRPr="00FF7A7C" w:rsidP="00AC4730" w14:paraId="4DA819F6"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4F8CDB4" w14:textId="77777777">
      <w:r w:rsidRPr="00FF7A7C">
        <w:rPr>
          <w:rStyle w:val="HideTWBExt"/>
        </w:rPr>
        <w:t>&lt;/Amend&gt;</w:t>
      </w:r>
    </w:p>
    <w:p w:rsidR="00AC4730" w:rsidRPr="00FF7A7C" w:rsidP="00AC4730" w14:paraId="17F85C5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DFB494D"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1C37E4B1" w14:textId="77777777">
      <w:r w:rsidRPr="00FF7A7C">
        <w:rPr>
          <w:rStyle w:val="HideTWBExt"/>
        </w:rPr>
        <w:t>&lt;/RepeatBlock-By&gt;</w:t>
      </w:r>
    </w:p>
    <w:p w:rsidR="00AC4730" w:rsidRPr="00FF7A7C" w:rsidP="00AC4730" w14:paraId="274D2C5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6AB2833" w14:textId="77777777">
      <w:pPr>
        <w:pStyle w:val="NormalBold"/>
      </w:pPr>
      <w:r w:rsidRPr="00FF7A7C">
        <w:rPr>
          <w:rStyle w:val="HideTWBExt"/>
          <w:b w:val="0"/>
        </w:rPr>
        <w:t>&lt;Article&gt;</w:t>
      </w:r>
      <w:r w:rsidRPr="00FF7A7C">
        <w:t>Paragrafo 14</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E16CB3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F320C82" w14:textId="77777777">
            <w:pPr>
              <w:keepNext/>
            </w:pPr>
          </w:p>
        </w:tc>
      </w:tr>
      <w:tr w14:paraId="03004FB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B7EDDB7" w14:textId="77777777">
            <w:pPr>
              <w:pStyle w:val="ColumnHeading"/>
              <w:keepNext/>
            </w:pPr>
            <w:r w:rsidRPr="00FF7A7C">
              <w:t>Proposta di risoluzione</w:t>
            </w:r>
          </w:p>
        </w:tc>
        <w:tc>
          <w:tcPr>
            <w:tcW w:w="4876" w:type="dxa"/>
            <w:hideMark/>
          </w:tcPr>
          <w:p w:rsidR="00AC4730" w:rsidRPr="00FF7A7C" w14:paraId="1D0C7C11" w14:textId="77777777">
            <w:pPr>
              <w:pStyle w:val="ColumnHeading"/>
              <w:keepNext/>
            </w:pPr>
            <w:r w:rsidRPr="00FF7A7C">
              <w:t>Emendamento</w:t>
            </w:r>
          </w:p>
        </w:tc>
      </w:tr>
      <w:tr w14:paraId="01072FD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DFE505B" w14:textId="77777777">
            <w:pPr>
              <w:pStyle w:val="Normal6"/>
            </w:pPr>
            <w:r w:rsidRPr="00FF7A7C">
              <w:t>14.</w:t>
            </w:r>
            <w:r w:rsidRPr="00FF7A7C">
              <w:tab/>
            </w:r>
            <w:r w:rsidRPr="00FF7A7C">
              <w:t>invita la Commissione a valutare se i canali di cooperazione, i servizi di audit e i sistemi di garanzia nei confronti della Corte dei conti europea della Commissione (DG REGIO e direzione generale dell'Allargamento e del vicinato orientale (DG ENEST)), dell'OLAF e della Procura europea (EPPO) dispongano di capacità sufficienti e dell'adeguata architettura di controllo di bilancio dell'UE per un'UE più ampia con contesti di gestione dei fondi più complessi; invita la Commissione a evitare un'inutile ristrut</w:t>
            </w:r>
            <w:r w:rsidRPr="00FF7A7C">
              <w:t>turazione preadesione, a meno che non sia basata su dati concreti, graduale e accompagnata da piani di transizione, misure di ritenzione del personale e garanzie di continuità;</w:t>
            </w:r>
          </w:p>
        </w:tc>
        <w:tc>
          <w:tcPr>
            <w:tcW w:w="4876" w:type="dxa"/>
            <w:hideMark/>
          </w:tcPr>
          <w:p w:rsidR="00AC4730" w:rsidRPr="00FF7A7C" w14:paraId="605D9417" w14:textId="77777777">
            <w:pPr>
              <w:pStyle w:val="Normal6"/>
              <w:rPr>
                <w:szCs w:val="24"/>
              </w:rPr>
            </w:pPr>
            <w:r w:rsidRPr="00FF7A7C">
              <w:t>14.</w:t>
            </w:r>
            <w:r w:rsidRPr="00FF7A7C">
              <w:tab/>
              <w:t>invita la Commissione a valutare se i canali di cooperazione, i servizi di audit e i sistemi di garanzia nei confronti della Corte dei conti europea della Commissione (DG REGIO e direzione generale dell'Allargamento e del vicinato orientale (DG ENEST)), dell'OLAF e della Procura europea (EPPO) dispongano di capacità sufficienti</w:t>
            </w:r>
            <w:r w:rsidRPr="00FF7A7C">
              <w:rPr>
                <w:b/>
                <w:i/>
              </w:rPr>
              <w:t>, di dati</w:t>
            </w:r>
            <w:r w:rsidRPr="00FF7A7C">
              <w:t xml:space="preserve"> e dell'adeguata architettura di controllo di bilancio dell'UE per un'UE più ampia con contesti di gestione dei fondi più complessi; invita la Commissione a evitare un'inuti</w:t>
            </w:r>
            <w:r w:rsidRPr="00FF7A7C">
              <w:t>le ristrutturazione preadesione, a meno che non sia basata su dati concreti, graduale e accompagnata da piani di transizione, misure di ritenzione del personale e garanzie di continuità;</w:t>
            </w:r>
          </w:p>
        </w:tc>
      </w:tr>
    </w:tbl>
    <w:p w:rsidR="00AC4730" w:rsidRPr="00FF7A7C" w:rsidP="00AC4730" w14:paraId="0BC22944"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2B5BBFE" w14:textId="77777777">
      <w:r w:rsidRPr="00FF7A7C">
        <w:rPr>
          <w:rStyle w:val="HideTWBExt"/>
        </w:rPr>
        <w:t>&lt;/Amend&gt;</w:t>
      </w:r>
    </w:p>
    <w:p w:rsidR="00AC4730" w:rsidRPr="00FF7A7C" w:rsidP="00AC4730" w14:paraId="00F9DDA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CB8E763"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2C917408" w14:textId="77777777">
      <w:r w:rsidRPr="00FF7A7C">
        <w:rPr>
          <w:rStyle w:val="HideTWBExt"/>
        </w:rPr>
        <w:t>&lt;/RepeatBlock-By&gt;</w:t>
      </w:r>
    </w:p>
    <w:p w:rsidR="00AC4730" w:rsidRPr="00FF7A7C" w:rsidP="00AC4730" w14:paraId="631D20EF"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F855C58" w14:textId="77777777">
      <w:pPr>
        <w:pStyle w:val="NormalBold"/>
      </w:pPr>
      <w:r w:rsidRPr="00FF7A7C">
        <w:rPr>
          <w:rStyle w:val="HideTWBExt"/>
          <w:b w:val="0"/>
        </w:rPr>
        <w:t>&lt;Article&gt;</w:t>
      </w:r>
      <w:r w:rsidRPr="00FF7A7C">
        <w:t>Paragrafo 14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D5B4CB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A348EE8" w14:textId="77777777">
            <w:pPr>
              <w:keepNext/>
            </w:pPr>
          </w:p>
        </w:tc>
      </w:tr>
      <w:tr w14:paraId="2D06FA7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29A3084" w14:textId="77777777">
            <w:pPr>
              <w:pStyle w:val="ColumnHeading"/>
              <w:keepNext/>
            </w:pPr>
            <w:r w:rsidRPr="00FF7A7C">
              <w:t>Proposta di risoluzione</w:t>
            </w:r>
          </w:p>
        </w:tc>
        <w:tc>
          <w:tcPr>
            <w:tcW w:w="4876" w:type="dxa"/>
            <w:hideMark/>
          </w:tcPr>
          <w:p w:rsidR="00AC4730" w:rsidRPr="00FF7A7C" w14:paraId="60440880" w14:textId="77777777">
            <w:pPr>
              <w:pStyle w:val="ColumnHeading"/>
              <w:keepNext/>
            </w:pPr>
            <w:r w:rsidRPr="00FF7A7C">
              <w:t>Emendamento</w:t>
            </w:r>
          </w:p>
        </w:tc>
      </w:tr>
      <w:tr w14:paraId="0C0730A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7FC319D1" w14:textId="77777777">
            <w:pPr>
              <w:pStyle w:val="Normal6"/>
            </w:pPr>
          </w:p>
        </w:tc>
        <w:tc>
          <w:tcPr>
            <w:tcW w:w="4876" w:type="dxa"/>
            <w:hideMark/>
          </w:tcPr>
          <w:p w:rsidR="00AC4730" w:rsidRPr="00FF7A7C" w14:paraId="7AC2536B" w14:textId="77777777">
            <w:pPr>
              <w:pStyle w:val="Normal6"/>
              <w:rPr>
                <w:szCs w:val="24"/>
              </w:rPr>
            </w:pPr>
            <w:r w:rsidRPr="00FF7A7C">
              <w:rPr>
                <w:b/>
                <w:i/>
              </w:rPr>
              <w:t>14 bis.</w:t>
            </w:r>
            <w:r w:rsidRPr="00FF7A7C">
              <w:rPr>
                <w:b/>
                <w:i/>
              </w:rPr>
              <w:tab/>
              <w:t xml:space="preserve">sottolinea che il sostegno dell'UE alle organizzazioni della società civile, ai media </w:t>
            </w:r>
            <w:r w:rsidRPr="00FF7A7C">
              <w:rPr>
                <w:b/>
                <w:i/>
              </w:rPr>
              <w:t>indipendenti, alle parti sociali, alle autorità locali e ai difensori dei diritti umani nei paesi dell'allargamento dovrebbe essere rafforzato e non dovrebbe dipendere dai risultati delle riforme dei governi centrali; sottolinea che tali attori svolgono un ruolo essenziale nel garantire la responsabilità democratica, monitorare la spesa pubblica e difendere lo Stato di diritto;</w:t>
            </w:r>
          </w:p>
        </w:tc>
      </w:tr>
    </w:tbl>
    <w:p w:rsidR="00AC4730" w:rsidRPr="00FF7A7C" w:rsidP="00AC4730" w14:paraId="0AE3199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55A81CA" w14:textId="77777777">
      <w:r w:rsidRPr="00FF7A7C">
        <w:rPr>
          <w:rStyle w:val="HideTWBExt"/>
        </w:rPr>
        <w:t>&lt;/Amend&gt;</w:t>
      </w:r>
    </w:p>
    <w:p w:rsidR="00AC4730" w:rsidRPr="00FF7A7C" w:rsidP="00AC4730" w14:paraId="3C31EF7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2BD3E5D"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110E5938" w14:textId="77777777">
      <w:r w:rsidRPr="00FF7A7C">
        <w:rPr>
          <w:rStyle w:val="HideTWBExt"/>
        </w:rPr>
        <w:t>&lt;/RepeatBlock-By&gt;</w:t>
      </w:r>
    </w:p>
    <w:p w:rsidR="00AC4730" w:rsidRPr="00FF7A7C" w:rsidP="00AC4730" w14:paraId="6E816E3E"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66F2380" w14:textId="77777777">
      <w:pPr>
        <w:pStyle w:val="NormalBold"/>
      </w:pPr>
      <w:r w:rsidRPr="00FF7A7C">
        <w:rPr>
          <w:rStyle w:val="HideTWBExt"/>
          <w:b w:val="0"/>
        </w:rPr>
        <w:t>&lt;Article&gt;</w:t>
      </w:r>
      <w:r w:rsidRPr="00FF7A7C">
        <w:t>Paragrafo 15</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37B3F7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0B1E3C2" w14:textId="77777777">
            <w:pPr>
              <w:keepNext/>
            </w:pPr>
          </w:p>
        </w:tc>
      </w:tr>
      <w:tr w14:paraId="2C72B34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A3FE9EB" w14:textId="77777777">
            <w:pPr>
              <w:pStyle w:val="ColumnHeading"/>
              <w:keepNext/>
            </w:pPr>
            <w:r w:rsidRPr="00FF7A7C">
              <w:t>Proposta di risoluzione</w:t>
            </w:r>
          </w:p>
        </w:tc>
        <w:tc>
          <w:tcPr>
            <w:tcW w:w="4876" w:type="dxa"/>
            <w:hideMark/>
          </w:tcPr>
          <w:p w:rsidR="00AC4730" w:rsidRPr="00FF7A7C" w14:paraId="50FD9CBC" w14:textId="77777777">
            <w:pPr>
              <w:pStyle w:val="ColumnHeading"/>
              <w:keepNext/>
            </w:pPr>
            <w:r w:rsidRPr="00FF7A7C">
              <w:t>Emendamento</w:t>
            </w:r>
          </w:p>
        </w:tc>
      </w:tr>
      <w:tr w14:paraId="77E7C15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753D872" w14:textId="77777777">
            <w:pPr>
              <w:pStyle w:val="Normal6"/>
            </w:pPr>
            <w:r w:rsidRPr="00FF7A7C">
              <w:t>15.</w:t>
            </w:r>
            <w:r w:rsidRPr="00FF7A7C">
              <w:tab/>
            </w:r>
            <w:r w:rsidRPr="00FF7A7C">
              <w:t xml:space="preserve">sottolinea che la qualità amministrativa, la preparazione digitale, il capitale umano, la capacità di innovazione e lo sviluppo economico </w:t>
            </w:r>
            <w:r w:rsidRPr="00FF7A7C">
              <w:rPr>
                <w:b/>
                <w:i/>
              </w:rPr>
              <w:t>incidono sui risultati della struttura di gestione</w:t>
            </w:r>
            <w:r w:rsidRPr="00FF7A7C">
              <w:t xml:space="preserve"> e che nessun fattore funziona in modo isolato; ricorda che una performance insufficiente è più frequente laddove le risorse amministrative e umane limitate coincidono con discrepanze strutturali, come la debolezza delle strutture di audit e di controllo;</w:t>
            </w:r>
          </w:p>
        </w:tc>
        <w:tc>
          <w:tcPr>
            <w:tcW w:w="4876" w:type="dxa"/>
            <w:hideMark/>
          </w:tcPr>
          <w:p w:rsidR="00AC4730" w:rsidRPr="00FF7A7C" w14:paraId="76A375B6" w14:textId="77777777">
            <w:pPr>
              <w:pStyle w:val="Normal6"/>
              <w:rPr>
                <w:szCs w:val="24"/>
              </w:rPr>
            </w:pPr>
            <w:r w:rsidRPr="00FF7A7C">
              <w:t>15.</w:t>
            </w:r>
            <w:r w:rsidRPr="00FF7A7C">
              <w:tab/>
              <w:t xml:space="preserve">sottolinea che la qualità amministrativa, la preparazione digitale, il capitale umano, la capacità di innovazione e lo sviluppo economico </w:t>
            </w:r>
            <w:r w:rsidRPr="00FF7A7C">
              <w:rPr>
                <w:b/>
                <w:i/>
              </w:rPr>
              <w:t>hanno un impatto decisivo sulla qualità dell'elaborazione e dell'attuazione dei programmi e dei progetti e, in ultima analisi, sui risultati conseguiti dai programmi e dagli strumenti finanziati dall'UE,</w:t>
            </w:r>
            <w:r w:rsidRPr="00FF7A7C">
              <w:t xml:space="preserve"> e che nessun fattore funziona in modo isolato; ricorda che una performance insufficiente è più frequente laddove le risorse amministrative e umane limitate coincidono co</w:t>
            </w:r>
            <w:r w:rsidRPr="00FF7A7C">
              <w:t>n discrepanze strutturali, come la debolezza delle strutture di audit e di controllo;</w:t>
            </w:r>
          </w:p>
        </w:tc>
      </w:tr>
    </w:tbl>
    <w:p w:rsidR="00AC4730" w:rsidRPr="00FF7A7C" w:rsidP="00AC4730" w14:paraId="10F070E3"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3275EF2" w14:textId="77777777">
      <w:r w:rsidRPr="00FF7A7C">
        <w:rPr>
          <w:rStyle w:val="HideTWBExt"/>
        </w:rPr>
        <w:t>&lt;/Amend&gt;</w:t>
      </w:r>
    </w:p>
    <w:p w:rsidR="00AC4730" w:rsidRPr="00FF7A7C" w:rsidP="00AC4730" w14:paraId="487269B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79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84F735D"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4B09B2B7" w14:textId="77777777">
      <w:r w:rsidRPr="00FF7A7C">
        <w:rPr>
          <w:rStyle w:val="HideTWBExt"/>
        </w:rPr>
        <w:t>&lt;/RepeatBlock-By&gt;</w:t>
      </w:r>
    </w:p>
    <w:p w:rsidR="00AC4730" w:rsidRPr="00FF7A7C" w:rsidP="00AC4730" w14:paraId="4E1A00F4"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6A36EC0" w14:textId="77777777">
      <w:pPr>
        <w:pStyle w:val="NormalBold"/>
      </w:pPr>
      <w:r w:rsidRPr="00FF7A7C">
        <w:rPr>
          <w:rStyle w:val="HideTWBExt"/>
          <w:b w:val="0"/>
        </w:rPr>
        <w:t>&lt;Article&gt;</w:t>
      </w:r>
      <w:r w:rsidRPr="00FF7A7C">
        <w:t>Paragrafo 15</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8328A3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6DC9AFC" w14:textId="77777777">
            <w:pPr>
              <w:keepNext/>
            </w:pPr>
          </w:p>
        </w:tc>
      </w:tr>
      <w:tr w14:paraId="4E36C28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5ED438F" w14:textId="77777777">
            <w:pPr>
              <w:pStyle w:val="ColumnHeading"/>
              <w:keepNext/>
            </w:pPr>
            <w:r w:rsidRPr="00FF7A7C">
              <w:t>Proposta di risoluzione</w:t>
            </w:r>
          </w:p>
        </w:tc>
        <w:tc>
          <w:tcPr>
            <w:tcW w:w="4876" w:type="dxa"/>
            <w:hideMark/>
          </w:tcPr>
          <w:p w:rsidR="00AC4730" w:rsidRPr="00FF7A7C" w14:paraId="2A45AE26" w14:textId="77777777">
            <w:pPr>
              <w:pStyle w:val="ColumnHeading"/>
              <w:keepNext/>
            </w:pPr>
            <w:r w:rsidRPr="00FF7A7C">
              <w:t>Emendamento</w:t>
            </w:r>
          </w:p>
        </w:tc>
      </w:tr>
      <w:tr w14:paraId="231AAE4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5D22710" w14:textId="77777777">
            <w:pPr>
              <w:pStyle w:val="Normal6"/>
            </w:pPr>
            <w:r w:rsidRPr="00FF7A7C">
              <w:t>15.</w:t>
            </w:r>
            <w:r w:rsidRPr="00FF7A7C">
              <w:tab/>
              <w:t>sottolinea che la qualità amministrativa, la preparazione digitale, il capitale umano, la capacità di innovazione e lo sviluppo economico incidono sui risultati della struttura di gestione e che nessun fattore funziona in modo isolato; ricorda che una performance insufficiente è più frequente laddove le risorse amministrative e umane limitate coincidono con discrepanze strutturali, come la debolezza delle strutture di audit e di controllo;</w:t>
            </w:r>
          </w:p>
        </w:tc>
        <w:tc>
          <w:tcPr>
            <w:tcW w:w="4876" w:type="dxa"/>
            <w:hideMark/>
          </w:tcPr>
          <w:p w:rsidR="00AC4730" w:rsidRPr="00FF7A7C" w14:paraId="0A315F1E" w14:textId="77777777">
            <w:pPr>
              <w:pStyle w:val="Normal6"/>
              <w:rPr>
                <w:szCs w:val="24"/>
              </w:rPr>
            </w:pPr>
            <w:r w:rsidRPr="00FF7A7C">
              <w:t>15.</w:t>
            </w:r>
            <w:r w:rsidRPr="00FF7A7C">
              <w:tab/>
            </w:r>
            <w:r w:rsidRPr="00FF7A7C">
              <w:rPr>
                <w:b/>
                <w:i/>
              </w:rPr>
              <w:t>sottolinea che gli ultimi 20 anni della politica di coesione hanno dimostrato una forte correlazione tra la qualità della governance e l'impatto degli investimenti della politica di coesione e chiede pertanto il rafforzamento della capacità amministrativa dei paesi candidati, dal momento che il miglioramento della qualità della governance a livello nazionale, regionale e locale può aumentare l'efficacia delle politiche e degli investimenti nazionali ed europei;</w:t>
            </w:r>
            <w:r w:rsidRPr="00FF7A7C">
              <w:t xml:space="preserve"> sottolinea che la qualità amministrativa, la </w:t>
            </w:r>
            <w:r w:rsidRPr="00FF7A7C">
              <w:t>preparazione digitale, il capitale umano, la capacità di innovazione e lo sviluppo economico incidono sui risultati della struttura di gestione e che nessun fattore funziona in modo isolato; ricorda che una performance insufficiente è più frequente laddove le risorse amministrative e umane limitate coincidono con discrepanze strutturali, come la debolezza delle strutture di audit e di controllo;</w:t>
            </w:r>
          </w:p>
        </w:tc>
      </w:tr>
    </w:tbl>
    <w:p w:rsidR="00AC4730" w:rsidRPr="00FF7A7C" w:rsidP="00AC4730" w14:paraId="519BE1D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43389A2" w14:textId="77777777">
      <w:r w:rsidRPr="00FF7A7C">
        <w:rPr>
          <w:rStyle w:val="HideTWBExt"/>
        </w:rPr>
        <w:t>&lt;/Amend&gt;</w:t>
      </w:r>
    </w:p>
    <w:p w:rsidR="00AC4730" w:rsidRPr="00FF7A7C" w:rsidP="00AC4730" w14:paraId="28340337"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E6C1604"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43958AC5" w14:textId="77777777">
      <w:r w:rsidRPr="00FF7A7C">
        <w:rPr>
          <w:rStyle w:val="HideTWBExt"/>
        </w:rPr>
        <w:t>&lt;/RepeatBlock-By&gt;</w:t>
      </w:r>
    </w:p>
    <w:p w:rsidR="00AC4730" w:rsidRPr="00FF7A7C" w:rsidP="00AC4730" w14:paraId="5AF97005"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E4B6275" w14:textId="77777777">
      <w:pPr>
        <w:pStyle w:val="NormalBold"/>
      </w:pPr>
      <w:r w:rsidRPr="00FF7A7C">
        <w:rPr>
          <w:rStyle w:val="HideTWBExt"/>
          <w:b w:val="0"/>
        </w:rPr>
        <w:t>&lt;Article&gt;</w:t>
      </w:r>
      <w:r w:rsidRPr="00FF7A7C">
        <w:t>Paragrafo 15</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5B5539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D0CF8E6" w14:textId="77777777">
            <w:pPr>
              <w:keepNext/>
            </w:pPr>
          </w:p>
        </w:tc>
      </w:tr>
      <w:tr w14:paraId="578F079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8549EFF" w14:textId="77777777">
            <w:pPr>
              <w:pStyle w:val="ColumnHeading"/>
              <w:keepNext/>
            </w:pPr>
            <w:r w:rsidRPr="00FF7A7C">
              <w:t>Proposta di risoluzione</w:t>
            </w:r>
          </w:p>
        </w:tc>
        <w:tc>
          <w:tcPr>
            <w:tcW w:w="4876" w:type="dxa"/>
            <w:hideMark/>
          </w:tcPr>
          <w:p w:rsidR="00AC4730" w:rsidRPr="00FF7A7C" w14:paraId="11647FFF" w14:textId="77777777">
            <w:pPr>
              <w:pStyle w:val="ColumnHeading"/>
              <w:keepNext/>
            </w:pPr>
            <w:r w:rsidRPr="00FF7A7C">
              <w:t>Emendamento</w:t>
            </w:r>
          </w:p>
        </w:tc>
      </w:tr>
      <w:tr w14:paraId="050EF62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5222CC7" w14:textId="77777777">
            <w:pPr>
              <w:pStyle w:val="Normal6"/>
            </w:pPr>
            <w:r w:rsidRPr="00FF7A7C">
              <w:t>15.</w:t>
            </w:r>
            <w:r w:rsidRPr="00FF7A7C">
              <w:tab/>
              <w:t xml:space="preserve">sottolinea che la qualità amministrativa, la </w:t>
            </w:r>
            <w:r w:rsidRPr="00FF7A7C">
              <w:t>preparazione digitale, il capitale umano, la capacità di innovazione e lo sviluppo economico incidono sui risultati della struttura di gestione e che nessun fattore funziona in modo isolato; ricorda che una performance insufficiente è più frequente laddove le risorse amministrative e umane limitate coincidono con discrepanze strutturali, come la debolezza delle strutture di audit e di controllo;</w:t>
            </w:r>
          </w:p>
        </w:tc>
        <w:tc>
          <w:tcPr>
            <w:tcW w:w="4876" w:type="dxa"/>
            <w:hideMark/>
          </w:tcPr>
          <w:p w:rsidR="00AC4730" w:rsidRPr="00FF7A7C" w14:paraId="2B1CA5BC" w14:textId="77777777">
            <w:pPr>
              <w:pStyle w:val="Normal6"/>
              <w:rPr>
                <w:szCs w:val="24"/>
              </w:rPr>
            </w:pPr>
            <w:r w:rsidRPr="00FF7A7C">
              <w:t>15.</w:t>
            </w:r>
            <w:r w:rsidRPr="00FF7A7C">
              <w:tab/>
              <w:t xml:space="preserve">sottolinea che la qualità amministrativa, la preparazione digitale, il capitale umano, la capacità di innovazione e lo sviluppo economico incidono sui risultati della struttura di gestione e che nessun fattore funziona in modo isolato; ricorda che una performance insufficiente è più frequente laddove le risorse amministrative e umane limitate coincidono con discrepanze strutturali, come la debolezza delle strutture di audit e di controllo; </w:t>
            </w:r>
            <w:r w:rsidRPr="00FF7A7C">
              <w:rPr>
                <w:b/>
                <w:i/>
              </w:rPr>
              <w:t xml:space="preserve">invita la Commissione e gli Stati membri a investire in un settore </w:t>
            </w:r>
            <w:r w:rsidRPr="00FF7A7C">
              <w:rPr>
                <w:b/>
                <w:i/>
              </w:rPr>
              <w:t>pubblico qualificato in grado di affrontare le sfide di una sana gestione finanziaria;</w:t>
            </w:r>
          </w:p>
        </w:tc>
      </w:tr>
    </w:tbl>
    <w:p w:rsidR="00AC4730" w:rsidRPr="00FF7A7C" w:rsidP="00AC4730" w14:paraId="2A066D1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3930DC6" w14:textId="77777777">
      <w:r w:rsidRPr="00FF7A7C">
        <w:rPr>
          <w:rStyle w:val="HideTWBExt"/>
        </w:rPr>
        <w:t>&lt;/Amend&gt;</w:t>
      </w:r>
    </w:p>
    <w:p w:rsidR="00AC4730" w:rsidRPr="00FF7A7C" w:rsidP="00AC4730" w14:paraId="4B8454A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EB0377A"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394D0EA0" w14:textId="77777777">
      <w:r w:rsidRPr="00FF7A7C">
        <w:rPr>
          <w:rStyle w:val="HideTWBExt"/>
        </w:rPr>
        <w:t>&lt;/RepeatBlock-By&gt;</w:t>
      </w:r>
    </w:p>
    <w:p w:rsidR="00AC4730" w:rsidRPr="00FF7A7C" w:rsidP="00AC4730" w14:paraId="5C36D8A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F227847" w14:textId="77777777">
      <w:pPr>
        <w:pStyle w:val="NormalBold"/>
      </w:pPr>
      <w:r w:rsidRPr="00FF7A7C">
        <w:rPr>
          <w:rStyle w:val="HideTWBExt"/>
          <w:b w:val="0"/>
        </w:rPr>
        <w:t>&lt;Article&gt;</w:t>
      </w:r>
      <w:r w:rsidRPr="00FF7A7C">
        <w:t>Paragrafo 15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AC1669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86D0E11" w14:textId="77777777">
            <w:pPr>
              <w:keepNext/>
            </w:pPr>
          </w:p>
        </w:tc>
      </w:tr>
      <w:tr w14:paraId="1CE22DB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8895C1C" w14:textId="77777777">
            <w:pPr>
              <w:pStyle w:val="ColumnHeading"/>
              <w:keepNext/>
            </w:pPr>
            <w:r w:rsidRPr="00FF7A7C">
              <w:t>Proposta di risoluzione</w:t>
            </w:r>
          </w:p>
        </w:tc>
        <w:tc>
          <w:tcPr>
            <w:tcW w:w="4876" w:type="dxa"/>
            <w:hideMark/>
          </w:tcPr>
          <w:p w:rsidR="00AC4730" w:rsidRPr="00FF7A7C" w14:paraId="789F9348" w14:textId="77777777">
            <w:pPr>
              <w:pStyle w:val="ColumnHeading"/>
              <w:keepNext/>
            </w:pPr>
            <w:r w:rsidRPr="00FF7A7C">
              <w:t>Emendamento</w:t>
            </w:r>
          </w:p>
        </w:tc>
      </w:tr>
      <w:tr w14:paraId="56ED8C3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2BFF8E95" w14:textId="77777777">
            <w:pPr>
              <w:pStyle w:val="Normal6"/>
            </w:pPr>
          </w:p>
        </w:tc>
        <w:tc>
          <w:tcPr>
            <w:tcW w:w="4876" w:type="dxa"/>
            <w:hideMark/>
          </w:tcPr>
          <w:p w:rsidR="00AC4730" w:rsidRPr="00FF7A7C" w14:paraId="060DB536" w14:textId="77777777">
            <w:pPr>
              <w:pStyle w:val="Normal6"/>
              <w:rPr>
                <w:szCs w:val="24"/>
              </w:rPr>
            </w:pPr>
            <w:r w:rsidRPr="00FF7A7C">
              <w:rPr>
                <w:b/>
                <w:i/>
              </w:rPr>
              <w:t>15 bis.</w:t>
            </w:r>
            <w:r w:rsidRPr="00FF7A7C">
              <w:rPr>
                <w:b/>
                <w:i/>
              </w:rPr>
              <w:tab/>
              <w:t xml:space="preserve">invita la Commissione e gli Stati membri a semplificare le norme di attuazione per i beneficiari, in particolare quelli di minori dimensioni, come i comuni e le organizzazioni della società civile, senza compromettere elevati </w:t>
            </w:r>
            <w:r w:rsidRPr="00FF7A7C">
              <w:rPr>
                <w:b/>
                <w:i/>
              </w:rPr>
              <w:t>standard di responsabilità e trasparenza;</w:t>
            </w:r>
          </w:p>
        </w:tc>
      </w:tr>
    </w:tbl>
    <w:p w:rsidR="00AC4730" w:rsidRPr="00FF7A7C" w:rsidP="00AC4730" w14:paraId="722A0621"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13A1780" w14:textId="77777777">
      <w:r w:rsidRPr="00FF7A7C">
        <w:rPr>
          <w:rStyle w:val="HideTWBExt"/>
        </w:rPr>
        <w:t>&lt;/Amend&gt;</w:t>
      </w:r>
    </w:p>
    <w:p w:rsidR="00AC4730" w:rsidRPr="00FF7A7C" w:rsidP="00AC4730" w14:paraId="3CA4588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7E5E4E7"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198B36EE" w14:textId="77777777">
      <w:r w:rsidRPr="00FF7A7C">
        <w:rPr>
          <w:rStyle w:val="HideTWBExt"/>
        </w:rPr>
        <w:t>&lt;/RepeatBlock-By&gt;</w:t>
      </w:r>
    </w:p>
    <w:p w:rsidR="00AC4730" w:rsidRPr="00FF7A7C" w:rsidP="00AC4730" w14:paraId="0CC7071B"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A684497" w14:textId="77777777">
      <w:pPr>
        <w:pStyle w:val="NormalBold"/>
      </w:pPr>
      <w:r w:rsidRPr="00FF7A7C">
        <w:rPr>
          <w:rStyle w:val="HideTWBExt"/>
          <w:b w:val="0"/>
        </w:rPr>
        <w:t>&lt;Article&gt;</w:t>
      </w:r>
      <w:r w:rsidRPr="00FF7A7C">
        <w:t>Paragrafo 16</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D1E558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D1C2E06" w14:textId="77777777">
            <w:pPr>
              <w:keepNext/>
            </w:pPr>
          </w:p>
        </w:tc>
      </w:tr>
      <w:tr w14:paraId="5EB879C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FC2E79D" w14:textId="77777777">
            <w:pPr>
              <w:pStyle w:val="ColumnHeading"/>
              <w:keepNext/>
            </w:pPr>
            <w:r w:rsidRPr="00FF7A7C">
              <w:t>Proposta di risoluzione</w:t>
            </w:r>
          </w:p>
        </w:tc>
        <w:tc>
          <w:tcPr>
            <w:tcW w:w="4876" w:type="dxa"/>
            <w:hideMark/>
          </w:tcPr>
          <w:p w:rsidR="00AC4730" w:rsidRPr="00FF7A7C" w14:paraId="233C6341" w14:textId="77777777">
            <w:pPr>
              <w:pStyle w:val="ColumnHeading"/>
              <w:keepNext/>
            </w:pPr>
            <w:r w:rsidRPr="00FF7A7C">
              <w:t>Emendamento</w:t>
            </w:r>
          </w:p>
        </w:tc>
      </w:tr>
      <w:tr w14:paraId="2A682BE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6246D81" w14:textId="77777777">
            <w:pPr>
              <w:pStyle w:val="Normal6"/>
            </w:pPr>
            <w:r w:rsidRPr="00FF7A7C">
              <w:t>16.</w:t>
            </w:r>
            <w:r w:rsidRPr="00FF7A7C">
              <w:tab/>
            </w:r>
            <w:r w:rsidRPr="00FF7A7C">
              <w:t xml:space="preserve">esorta la Commissione a sostenere i paesi candidati nell'investire nella modernizzazione della loro struttura di governance e nella digitalizzazione dei </w:t>
            </w:r>
            <w:r w:rsidRPr="00FF7A7C">
              <w:rPr>
                <w:b/>
                <w:i/>
              </w:rPr>
              <w:t>fondi</w:t>
            </w:r>
            <w:r w:rsidRPr="00FF7A7C">
              <w:t xml:space="preserve"> e degli strumenti informatici interni, al fine di garantire l'adozione di strumenti digitali interoperabili, accelerare la selezione dei progetti, ridurre i ritardi, rafforzare il monitoraggio, migliorare la trasparenza, sostenere la verificabilità e il tracciamento in tempo reale dei flussi di fondi e migliorare il controllo dei rischi e la prevenzio</w:t>
            </w:r>
            <w:r w:rsidRPr="00FF7A7C">
              <w:t>ne delle frodi, osservando che ciò dovrebbe costituire un modello per i nuovi paesi candidati; sottolinea che una politica efficace in materia di risorse umane è fondamentale e dovrebbe includere una politica di assunzione efficace ed efficiente nonché investimenti nella formazione del personale e nella ritenzione di personale di alta qualità;</w:t>
            </w:r>
          </w:p>
        </w:tc>
        <w:tc>
          <w:tcPr>
            <w:tcW w:w="4876" w:type="dxa"/>
            <w:hideMark/>
          </w:tcPr>
          <w:p w:rsidR="00AC4730" w:rsidRPr="00FF7A7C" w14:paraId="1E89E022" w14:textId="77777777">
            <w:pPr>
              <w:pStyle w:val="Normal6"/>
              <w:rPr>
                <w:szCs w:val="24"/>
              </w:rPr>
            </w:pPr>
            <w:r w:rsidRPr="00FF7A7C">
              <w:t>16.</w:t>
            </w:r>
            <w:r w:rsidRPr="00FF7A7C">
              <w:tab/>
              <w:t xml:space="preserve">esorta la Commissione a sostenere i paesi candidati nell'investire nella modernizzazione della loro struttura di governance e nella digitalizzazione dei </w:t>
            </w:r>
            <w:r w:rsidRPr="00FF7A7C">
              <w:rPr>
                <w:b/>
                <w:i/>
              </w:rPr>
              <w:t>sistemi di gestione dei finanziamenti</w:t>
            </w:r>
            <w:r w:rsidRPr="00FF7A7C">
              <w:t xml:space="preserve"> e degli strumenti informatici interni, </w:t>
            </w:r>
            <w:r w:rsidRPr="00FF7A7C">
              <w:rPr>
                <w:b/>
                <w:i/>
              </w:rPr>
              <w:t>nonché dei sistemi di audit assistiti dall'intelligenza artificiale,</w:t>
            </w:r>
            <w:r w:rsidRPr="00FF7A7C">
              <w:t xml:space="preserve"> al fine di garantire l'adozione di strumenti digitali interoperabili, accelerare la selezione dei progetti, ridurre i ritardi, rafforzare il monitoraggio, migliorare la trasparenza, sostenere la verificabilità e </w:t>
            </w:r>
            <w:r w:rsidRPr="00FF7A7C">
              <w:t>il tracciamento in tempo reale dei flussi di fondi e migliorare il controllo dei rischi e la prevenzione delle frodi, osservando che ciò dovrebbe costituire un modello per i nuovi paesi candidati; sottolinea che una politica efficace in materia di risorse umane è fondamentale e dovrebbe includere una politica di assunzione efficace ed efficiente nonché investimenti nella formazione del personale e nella ritenzione di personale di alta qualità;</w:t>
            </w:r>
          </w:p>
        </w:tc>
      </w:tr>
    </w:tbl>
    <w:p w:rsidR="00AC4730" w:rsidRPr="00FF7A7C" w:rsidP="00AC4730" w14:paraId="7969158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F6CE438" w14:textId="77777777">
      <w:r w:rsidRPr="00FF7A7C">
        <w:rPr>
          <w:rStyle w:val="HideTWBExt"/>
        </w:rPr>
        <w:t>&lt;/Amend&gt;</w:t>
      </w:r>
    </w:p>
    <w:p w:rsidR="00AC4730" w:rsidRPr="00FF7A7C" w:rsidP="00AC4730" w14:paraId="1F7C071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428F9E2"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63074EF5" w14:textId="77777777">
      <w:r w:rsidRPr="00FF7A7C">
        <w:rPr>
          <w:rStyle w:val="HideTWBExt"/>
        </w:rPr>
        <w:t>&lt;/RepeatBlock-By&gt;</w:t>
      </w:r>
    </w:p>
    <w:p w:rsidR="00AC4730" w:rsidRPr="00FF7A7C" w:rsidP="00AC4730" w14:paraId="2A6CF096"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0566D54" w14:textId="77777777">
      <w:pPr>
        <w:pStyle w:val="NormalBold"/>
      </w:pPr>
      <w:r w:rsidRPr="00FF7A7C">
        <w:rPr>
          <w:rStyle w:val="HideTWBExt"/>
          <w:b w:val="0"/>
        </w:rPr>
        <w:t>&lt;Article&gt;</w:t>
      </w:r>
      <w:r w:rsidRPr="00FF7A7C">
        <w:t>Paragrafo 16</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F6F382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EAD0A40" w14:textId="77777777">
            <w:pPr>
              <w:keepNext/>
            </w:pPr>
          </w:p>
        </w:tc>
      </w:tr>
      <w:tr w14:paraId="37537B5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8CB0B28" w14:textId="77777777">
            <w:pPr>
              <w:pStyle w:val="ColumnHeading"/>
              <w:keepNext/>
            </w:pPr>
            <w:r w:rsidRPr="00FF7A7C">
              <w:t>Proposta di risoluzione</w:t>
            </w:r>
          </w:p>
        </w:tc>
        <w:tc>
          <w:tcPr>
            <w:tcW w:w="4876" w:type="dxa"/>
            <w:hideMark/>
          </w:tcPr>
          <w:p w:rsidR="00AC4730" w:rsidRPr="00FF7A7C" w14:paraId="2078048E" w14:textId="77777777">
            <w:pPr>
              <w:pStyle w:val="ColumnHeading"/>
              <w:keepNext/>
            </w:pPr>
            <w:r w:rsidRPr="00FF7A7C">
              <w:t>Emendamento</w:t>
            </w:r>
          </w:p>
        </w:tc>
      </w:tr>
      <w:tr w14:paraId="00A6482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8AFF547" w14:textId="77777777">
            <w:pPr>
              <w:pStyle w:val="Normal6"/>
            </w:pPr>
            <w:r w:rsidRPr="00FF7A7C">
              <w:t>16.</w:t>
            </w:r>
            <w:r w:rsidRPr="00FF7A7C">
              <w:tab/>
              <w:t xml:space="preserve">esorta la Commissione a sostenere i paesi candidati nell'investire nella modernizzazione della loro struttura di governance e nella digitalizzazione dei fondi e degli strumenti informatici interni, al fine di </w:t>
            </w:r>
            <w:r w:rsidRPr="00FF7A7C">
              <w:t xml:space="preserve">garantire l'adozione di strumenti digitali interoperabili, accelerare la selezione dei progetti, ridurre i ritardi, rafforzare il monitoraggio, migliorare la trasparenza, sostenere la verificabilità e il tracciamento in tempo reale dei flussi di fondi e migliorare il controllo dei rischi e la prevenzione delle frodi, osservando che ciò dovrebbe costituire un modello per i nuovi paesi candidati; sottolinea che una politica efficace in materia di risorse umane è fondamentale e dovrebbe includere una politica </w:t>
            </w:r>
            <w:r w:rsidRPr="00FF7A7C">
              <w:t>di assunzione efficace ed efficiente nonché investimenti nella formazione del personale e nella ritenzione di personale di alta qualità;</w:t>
            </w:r>
          </w:p>
        </w:tc>
        <w:tc>
          <w:tcPr>
            <w:tcW w:w="4876" w:type="dxa"/>
            <w:hideMark/>
          </w:tcPr>
          <w:p w:rsidR="00AC4730" w:rsidRPr="00FF7A7C" w14:paraId="31616682" w14:textId="77777777">
            <w:pPr>
              <w:pStyle w:val="Normal6"/>
              <w:rPr>
                <w:szCs w:val="24"/>
              </w:rPr>
            </w:pPr>
            <w:r w:rsidRPr="00FF7A7C">
              <w:t>16.</w:t>
            </w:r>
            <w:r w:rsidRPr="00FF7A7C">
              <w:tab/>
              <w:t xml:space="preserve">esorta la Commissione a sostenere i paesi candidati nell'investire nella modernizzazione della loro struttura di governance e nella digitalizzazione dei fondi e degli strumenti informatici interni, al fine di garantire l'adozione di strumenti digitali interoperabili, accelerare la selezione dei progetti, ridurre i ritardi, rafforzare il monitoraggio, migliorare la trasparenza, </w:t>
            </w:r>
            <w:r w:rsidRPr="00FF7A7C">
              <w:rPr>
                <w:b/>
                <w:i/>
              </w:rPr>
              <w:t>la responsabilità e il controllo pubblico,</w:t>
            </w:r>
            <w:r w:rsidRPr="00FF7A7C">
              <w:t xml:space="preserve"> sostenere la verificabilità e il tracciamento in tempo reale dei flussi di fondi e migli</w:t>
            </w:r>
            <w:r w:rsidRPr="00FF7A7C">
              <w:t>orare il controllo dei rischi e la prevenzione delle frodi, osservando che ciò dovrebbe costituire un modello per i nuovi paesi candidati; sottolinea che una politica efficace in materia di risorse umane è fondamentale e dovrebbe includere una politica di assunzione efficace ed efficiente nonché investimenti nella formazione del personale e nella ritenzione di personale di alta qualità;</w:t>
            </w:r>
          </w:p>
        </w:tc>
      </w:tr>
    </w:tbl>
    <w:p w:rsidR="00AC4730" w:rsidRPr="00FF7A7C" w:rsidP="00AC4730" w14:paraId="062B634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98C6379" w14:textId="77777777">
      <w:r w:rsidRPr="00FF7A7C">
        <w:rPr>
          <w:rStyle w:val="HideTWBExt"/>
        </w:rPr>
        <w:t>&lt;/Amend&gt;</w:t>
      </w:r>
    </w:p>
    <w:p w:rsidR="00AC4730" w:rsidRPr="00FF7A7C" w:rsidP="00AC4730" w14:paraId="29D105A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2D20F49"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5FA151E3" w14:textId="77777777">
      <w:r w:rsidRPr="00FF7A7C">
        <w:rPr>
          <w:rStyle w:val="HideTWBExt"/>
        </w:rPr>
        <w:t>&lt;/RepeatBlock-By&gt;</w:t>
      </w:r>
    </w:p>
    <w:p w:rsidR="00AC4730" w:rsidRPr="00FF7A7C" w:rsidP="00AC4730" w14:paraId="4ACF60A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0BBFC27" w14:textId="77777777">
      <w:pPr>
        <w:pStyle w:val="NormalBold"/>
      </w:pPr>
      <w:r w:rsidRPr="00FF7A7C">
        <w:rPr>
          <w:rStyle w:val="HideTWBExt"/>
          <w:b w:val="0"/>
        </w:rPr>
        <w:t>&lt;Article&gt;</w:t>
      </w:r>
      <w:r w:rsidRPr="00FF7A7C">
        <w:t>Paragrafo 17</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44DEDE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6C525F5" w14:textId="77777777">
            <w:pPr>
              <w:keepNext/>
            </w:pPr>
          </w:p>
        </w:tc>
      </w:tr>
      <w:tr w14:paraId="34E0AEE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CACEF8A" w14:textId="77777777">
            <w:pPr>
              <w:pStyle w:val="ColumnHeading"/>
              <w:keepNext/>
            </w:pPr>
            <w:r w:rsidRPr="00FF7A7C">
              <w:t>Proposta di risoluzione</w:t>
            </w:r>
          </w:p>
        </w:tc>
        <w:tc>
          <w:tcPr>
            <w:tcW w:w="4876" w:type="dxa"/>
            <w:hideMark/>
          </w:tcPr>
          <w:p w:rsidR="00AC4730" w:rsidRPr="00FF7A7C" w14:paraId="716E708C" w14:textId="77777777">
            <w:pPr>
              <w:pStyle w:val="ColumnHeading"/>
              <w:keepNext/>
            </w:pPr>
            <w:r w:rsidRPr="00FF7A7C">
              <w:t>Emendamento</w:t>
            </w:r>
          </w:p>
        </w:tc>
      </w:tr>
      <w:tr w14:paraId="2725E10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AA1F00A" w14:textId="77777777">
            <w:pPr>
              <w:pStyle w:val="Normal6"/>
            </w:pPr>
            <w:r w:rsidRPr="00FF7A7C">
              <w:t>17.</w:t>
            </w:r>
            <w:r w:rsidRPr="00FF7A7C">
              <w:tab/>
              <w:t xml:space="preserve">invita la Commissione a sostenere i paesi candidati nell'attuazione di riforme volte a istituire autorità e beneficiari degli appalti professionalizzati prima dell'adesione; insiste affinché la Commissione </w:t>
            </w:r>
            <w:r w:rsidRPr="00FF7A7C">
              <w:rPr>
                <w:b/>
                <w:i/>
              </w:rPr>
              <w:t>monitori</w:t>
            </w:r>
            <w:r w:rsidRPr="00FF7A7C">
              <w:t xml:space="preserve"> la </w:t>
            </w:r>
            <w:r w:rsidRPr="00FF7A7C">
              <w:t>sovraregolamentazione</w:t>
            </w:r>
            <w:r w:rsidRPr="00FF7A7C">
              <w:t xml:space="preserve"> durante i negoziati e l'attuazione, dal momento che requisiti nazionali supplementari </w:t>
            </w:r>
            <w:r w:rsidRPr="00FF7A7C">
              <w:rPr>
                <w:b/>
                <w:i/>
              </w:rPr>
              <w:t>possono</w:t>
            </w:r>
            <w:r w:rsidRPr="00FF7A7C">
              <w:t xml:space="preserve"> aumentare gli oneri amministrativi senza ridurre il rischio di errore; sottolinea la necessità di garantire che il controllo degli appalti sia digitalizzato attraverso gli appal</w:t>
            </w:r>
            <w:r w:rsidRPr="00FF7A7C">
              <w:t>ti elettronici, gli strumenti relativi ai conflitti di interessi, i controlli sulla titolarità effettiva, i sistemi di segnalazione del rischio e il monitoraggio dei tempi di ricorso;</w:t>
            </w:r>
          </w:p>
        </w:tc>
        <w:tc>
          <w:tcPr>
            <w:tcW w:w="4876" w:type="dxa"/>
            <w:hideMark/>
          </w:tcPr>
          <w:p w:rsidR="00AC4730" w:rsidRPr="00FF7A7C" w14:paraId="2182849B" w14:textId="77777777">
            <w:pPr>
              <w:pStyle w:val="Normal6"/>
              <w:rPr>
                <w:szCs w:val="24"/>
              </w:rPr>
            </w:pPr>
            <w:r w:rsidRPr="00FF7A7C">
              <w:t>17.</w:t>
            </w:r>
            <w:r w:rsidRPr="00FF7A7C">
              <w:tab/>
              <w:t>invita la Commissione a sostenere i paesi candidati nell'attuazione di riforme volte a istituire autorità e beneficiari degli appalti professionalizzati prima dell'adesione; insiste affinché la Commissione</w:t>
            </w:r>
            <w:r w:rsidRPr="00FF7A7C">
              <w:rPr>
                <w:b/>
                <w:i/>
              </w:rPr>
              <w:t>, nel monitorare</w:t>
            </w:r>
            <w:r w:rsidRPr="00FF7A7C">
              <w:t xml:space="preserve"> la </w:t>
            </w:r>
            <w:r w:rsidRPr="00FF7A7C">
              <w:t>sovraregolamentazione</w:t>
            </w:r>
            <w:r w:rsidRPr="00FF7A7C">
              <w:t xml:space="preserve"> durante i negoziati e l'attuazione, dal momento che requisiti nazionali supplementari </w:t>
            </w:r>
            <w:r w:rsidRPr="00FF7A7C">
              <w:rPr>
                <w:b/>
                <w:i/>
              </w:rPr>
              <w:t>potrebbero</w:t>
            </w:r>
            <w:r w:rsidRPr="00FF7A7C">
              <w:t xml:space="preserve"> aumentare gli oneri amministrativi senza ridurre il rischio di errore</w:t>
            </w:r>
            <w:r w:rsidRPr="00FF7A7C">
              <w:rPr>
                <w:b/>
                <w:i/>
              </w:rPr>
              <w:t xml:space="preserve">, </w:t>
            </w:r>
            <w:r w:rsidRPr="00FF7A7C">
              <w:rPr>
                <w:b/>
                <w:i/>
              </w:rPr>
              <w:t>garantisca</w:t>
            </w:r>
            <w:r w:rsidRPr="00FF7A7C">
              <w:rPr>
                <w:b/>
                <w:i/>
              </w:rPr>
              <w:t xml:space="preserve"> che sia previsto qualsiasi ulteriore livello di protezione al fine di rafforzare la t</w:t>
            </w:r>
            <w:r w:rsidRPr="00FF7A7C">
              <w:rPr>
                <w:b/>
                <w:i/>
              </w:rPr>
              <w:t>rasparenza, la sostenibilità ambientale, la prevenzione dei conflitti di interessi e la lotta alla corruzione</w:t>
            </w:r>
            <w:r w:rsidRPr="00FF7A7C">
              <w:t>; sottolinea la necessità di garantire che il controllo degli appalti sia digitalizzato attraverso gli appalti elettronici, gli strumenti relativi ai conflitti di interessi, i controlli sulla titolarità effettiva, i sistemi di segnalazione del rischio e il monitoraggio dei tempi di ricorso;</w:t>
            </w:r>
          </w:p>
        </w:tc>
      </w:tr>
    </w:tbl>
    <w:p w:rsidR="00AC4730" w:rsidRPr="00FF7A7C" w:rsidP="00AC4730" w14:paraId="7336EEFB"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D7B15C9" w14:textId="77777777">
      <w:r w:rsidRPr="00FF7A7C">
        <w:rPr>
          <w:rStyle w:val="HideTWBExt"/>
        </w:rPr>
        <w:t>&lt;/Amend&gt;</w:t>
      </w:r>
    </w:p>
    <w:p w:rsidR="00AC4730" w:rsidRPr="00FF7A7C" w:rsidP="00AC4730" w14:paraId="15FF8A9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773F8FB"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072364EB" w14:textId="77777777">
      <w:r w:rsidRPr="00FF7A7C">
        <w:rPr>
          <w:rStyle w:val="HideTWBExt"/>
        </w:rPr>
        <w:t>&lt;/RepeatBlock-By&gt;</w:t>
      </w:r>
    </w:p>
    <w:p w:rsidR="00AC4730" w:rsidRPr="00FF7A7C" w:rsidP="00AC4730" w14:paraId="73E3338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E3CD008" w14:textId="77777777">
      <w:pPr>
        <w:pStyle w:val="NormalBold"/>
      </w:pPr>
      <w:r w:rsidRPr="00FF7A7C">
        <w:rPr>
          <w:rStyle w:val="HideTWBExt"/>
          <w:b w:val="0"/>
        </w:rPr>
        <w:t>&lt;Article&gt;</w:t>
      </w:r>
      <w:r w:rsidRPr="00FF7A7C">
        <w:t>Paragrafo 17</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9918F2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E05A4D7" w14:textId="77777777">
            <w:pPr>
              <w:keepNext/>
            </w:pPr>
          </w:p>
        </w:tc>
      </w:tr>
      <w:tr w14:paraId="23814BB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02E2DE6" w14:textId="77777777">
            <w:pPr>
              <w:pStyle w:val="ColumnHeading"/>
              <w:keepNext/>
            </w:pPr>
            <w:r w:rsidRPr="00FF7A7C">
              <w:t>Proposta di risoluzione</w:t>
            </w:r>
          </w:p>
        </w:tc>
        <w:tc>
          <w:tcPr>
            <w:tcW w:w="4876" w:type="dxa"/>
            <w:hideMark/>
          </w:tcPr>
          <w:p w:rsidR="00AC4730" w:rsidRPr="00FF7A7C" w14:paraId="16A3C31F" w14:textId="77777777">
            <w:pPr>
              <w:pStyle w:val="ColumnHeading"/>
              <w:keepNext/>
            </w:pPr>
            <w:r w:rsidRPr="00FF7A7C">
              <w:t>Emendamento</w:t>
            </w:r>
          </w:p>
        </w:tc>
      </w:tr>
      <w:tr w14:paraId="77F6ADE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2416718" w14:textId="77777777">
            <w:pPr>
              <w:pStyle w:val="Normal6"/>
            </w:pPr>
            <w:r w:rsidRPr="00FF7A7C">
              <w:t>17.</w:t>
            </w:r>
            <w:r w:rsidRPr="00FF7A7C">
              <w:tab/>
              <w:t xml:space="preserve">invita la Commissione a sostenere i paesi candidati nell'attuazione di riforme volte a istituire </w:t>
            </w:r>
            <w:r w:rsidRPr="00FF7A7C">
              <w:t xml:space="preserve">autorità e beneficiari degli appalti professionalizzati prima dell'adesione; insiste affinché la Commissione monitori la </w:t>
            </w:r>
            <w:r w:rsidRPr="00FF7A7C">
              <w:t>sovraregolamentazione</w:t>
            </w:r>
            <w:r w:rsidRPr="00FF7A7C">
              <w:t xml:space="preserve"> durante i negoziati e l'attuazione, dal momento che requisiti nazionali supplementari possono aumentare gli oneri amministrativi senza ridurre il rischio di errore; sottolinea la necessità di garantire che il controllo degli appalti sia digitalizzato attraverso gli appalti elettronici, gli strumenti relativi ai conflitti di interessi, i controlli sulla titolarità eff</w:t>
            </w:r>
            <w:r w:rsidRPr="00FF7A7C">
              <w:t>ettiva, i sistemi di segnalazione del rischio e il monitoraggio dei tempi di ricorso;</w:t>
            </w:r>
          </w:p>
        </w:tc>
        <w:tc>
          <w:tcPr>
            <w:tcW w:w="4876" w:type="dxa"/>
            <w:hideMark/>
          </w:tcPr>
          <w:p w:rsidR="00AC4730" w:rsidRPr="00FF7A7C" w14:paraId="121CDA7D" w14:textId="77777777">
            <w:pPr>
              <w:pStyle w:val="Normal6"/>
              <w:rPr>
                <w:szCs w:val="24"/>
              </w:rPr>
            </w:pPr>
            <w:r w:rsidRPr="00FF7A7C">
              <w:t>17.</w:t>
            </w:r>
            <w:r w:rsidRPr="00FF7A7C">
              <w:tab/>
              <w:t xml:space="preserve">invita la Commissione a sostenere i paesi candidati nell'attuazione di riforme volte a istituire autorità e beneficiari degli appalti professionalizzati prima dell'adesione; insiste affinché la Commissione monitori la </w:t>
            </w:r>
            <w:r w:rsidRPr="00FF7A7C">
              <w:t>sovraregolamentazione</w:t>
            </w:r>
            <w:r w:rsidRPr="00FF7A7C">
              <w:t xml:space="preserve"> durante i negoziati e l'attuazione, dal momento che requisiti nazionali supplementari possono aumentare gli oneri amministrativi senza ridurre il rischio di errore; </w:t>
            </w:r>
            <w:r w:rsidRPr="00FF7A7C">
              <w:rPr>
                <w:b/>
                <w:i/>
              </w:rPr>
              <w:t>sottolinea che qualsiasi requisito che vada oltre le norme dell'Unione dovrebbe essere trasparente, giurid</w:t>
            </w:r>
            <w:r w:rsidRPr="00FF7A7C">
              <w:rPr>
                <w:b/>
                <w:i/>
              </w:rPr>
              <w:t>icamente giustificato, proporzionato a un rischio individuato e concepito in modo da non creare ostacoli amministrativi discriminatori, politicamente discrezionali o ingiustificati per i beneficiari locali e regionali;</w:t>
            </w:r>
            <w:r w:rsidRPr="00FF7A7C">
              <w:t xml:space="preserve"> sottolinea la necessità di garantire che il controllo degli appalti sia digitalizzato attraverso gli appalti elettronici, gli strumenti relativi ai conflitti di interessi, i controlli sulla titolarità effettiva, i sistemi di segnalazione del rischio e il monitoraggio dei tempi di ricorso;</w:t>
            </w:r>
          </w:p>
        </w:tc>
      </w:tr>
    </w:tbl>
    <w:p w:rsidR="00AC4730" w:rsidRPr="00FF7A7C" w:rsidP="00AC4730" w14:paraId="4D7B1FA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7796F15" w14:textId="77777777">
      <w:r w:rsidRPr="00FF7A7C">
        <w:rPr>
          <w:rStyle w:val="HideTWBExt"/>
        </w:rPr>
        <w:t>&lt;/Amend&gt;</w:t>
      </w:r>
    </w:p>
    <w:p w:rsidR="00AC4730" w:rsidRPr="00FF7A7C" w:rsidP="00AC4730" w14:paraId="58A73B50"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29B5F3B" w14:textId="77777777">
      <w:pPr>
        <w:pStyle w:val="NormalBold"/>
      </w:pPr>
      <w:r w:rsidRPr="00FF7A7C">
        <w:rPr>
          <w:rStyle w:val="HideTWBExt"/>
          <w:b w:val="0"/>
        </w:rPr>
        <w:t>&lt;RepeatBlock-By&gt;&lt;Members&gt;</w:t>
      </w:r>
      <w:r w:rsidRPr="00FF7A7C">
        <w:t>Tomáš</w:t>
      </w:r>
      <w:r w:rsidRPr="00FF7A7C">
        <w:t xml:space="preserve"> </w:t>
      </w:r>
      <w:r w:rsidRPr="00FF7A7C">
        <w:t>Zdechovský</w:t>
      </w:r>
      <w:r w:rsidRPr="00FF7A7C">
        <w:rPr>
          <w:rStyle w:val="HideTWBExt"/>
          <w:b w:val="0"/>
        </w:rPr>
        <w:t>&lt;/Members&gt;</w:t>
      </w:r>
    </w:p>
    <w:p w:rsidR="00AC4730" w:rsidRPr="00FF7A7C" w:rsidP="00AC4730" w14:paraId="3DA114E1" w14:textId="77777777">
      <w:r w:rsidRPr="00FF7A7C">
        <w:rPr>
          <w:rStyle w:val="HideTWBExt"/>
        </w:rPr>
        <w:t>&lt;/RepeatBlock-By&gt;</w:t>
      </w:r>
    </w:p>
    <w:p w:rsidR="00AC4730" w:rsidRPr="00FF7A7C" w:rsidP="00AC4730" w14:paraId="67AAC94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DF8F5A6" w14:textId="77777777">
      <w:pPr>
        <w:pStyle w:val="NormalBold"/>
      </w:pPr>
      <w:r w:rsidRPr="00FF7A7C">
        <w:rPr>
          <w:rStyle w:val="HideTWBExt"/>
          <w:b w:val="0"/>
        </w:rPr>
        <w:t>&lt;Article&gt;</w:t>
      </w:r>
      <w:r w:rsidRPr="00FF7A7C">
        <w:t>Paragrafo 17</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F77A63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2F4AC01" w14:textId="77777777">
            <w:pPr>
              <w:keepNext/>
            </w:pPr>
          </w:p>
        </w:tc>
      </w:tr>
      <w:tr w14:paraId="25A30A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C314003" w14:textId="77777777">
            <w:pPr>
              <w:pStyle w:val="ColumnHeading"/>
              <w:keepNext/>
            </w:pPr>
            <w:r w:rsidRPr="00FF7A7C">
              <w:t>Proposta di risoluzione</w:t>
            </w:r>
          </w:p>
        </w:tc>
        <w:tc>
          <w:tcPr>
            <w:tcW w:w="4876" w:type="dxa"/>
            <w:hideMark/>
          </w:tcPr>
          <w:p w:rsidR="00AC4730" w:rsidRPr="00FF7A7C" w14:paraId="2871825E" w14:textId="77777777">
            <w:pPr>
              <w:pStyle w:val="ColumnHeading"/>
              <w:keepNext/>
            </w:pPr>
            <w:r w:rsidRPr="00FF7A7C">
              <w:t>Emendamento</w:t>
            </w:r>
          </w:p>
        </w:tc>
      </w:tr>
      <w:tr w14:paraId="12E5800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AD19727" w14:textId="77777777">
            <w:pPr>
              <w:pStyle w:val="Normal6"/>
            </w:pPr>
            <w:r w:rsidRPr="00FF7A7C">
              <w:t>17.</w:t>
            </w:r>
            <w:r w:rsidRPr="00FF7A7C">
              <w:tab/>
              <w:t xml:space="preserve">invita la Commissione a sostenere i paesi candidati nell'attuazione di riforme volte a istituire autorità e beneficiari degli appalti </w:t>
            </w:r>
            <w:r w:rsidRPr="00FF7A7C">
              <w:t xml:space="preserve">professionalizzati prima dell'adesione; insiste affinché la Commissione monitori la </w:t>
            </w:r>
            <w:r w:rsidRPr="00FF7A7C">
              <w:t>sovraregolamentazione</w:t>
            </w:r>
            <w:r w:rsidRPr="00FF7A7C">
              <w:t xml:space="preserve"> durante i negoziati e l'attuazione, dal momento che requisiti nazionali supplementari possono aumentare gli oneri amministrativi senza ridurre il rischio di errore; sottolinea la necessità di garantire che il controllo degli appalti sia digitalizzato attraverso gli appalti elettronici, gli strumenti relativi ai conflitti di interessi, i controlli sulla titolarità effettiva, i sistemi di segnalazione del</w:t>
            </w:r>
            <w:r w:rsidRPr="00FF7A7C">
              <w:t xml:space="preserve"> rischio e il monitoraggio dei tempi di ricorso;</w:t>
            </w:r>
          </w:p>
        </w:tc>
        <w:tc>
          <w:tcPr>
            <w:tcW w:w="4876" w:type="dxa"/>
            <w:hideMark/>
          </w:tcPr>
          <w:p w:rsidR="00AC4730" w:rsidRPr="00FF7A7C" w14:paraId="55A0BFA8" w14:textId="77777777">
            <w:pPr>
              <w:pStyle w:val="Normal6"/>
              <w:rPr>
                <w:szCs w:val="24"/>
              </w:rPr>
            </w:pPr>
            <w:r w:rsidRPr="00FF7A7C">
              <w:t>17.</w:t>
            </w:r>
            <w:r w:rsidRPr="00FF7A7C">
              <w:tab/>
              <w:t xml:space="preserve">invita la Commissione a sostenere i paesi candidati nell'attuazione di riforme volte a istituire autorità e beneficiari degli appalti professionalizzati prima dell'adesione; insiste affinché la Commissione monitori la </w:t>
            </w:r>
            <w:r w:rsidRPr="00FF7A7C">
              <w:t>sovraregolamentazione</w:t>
            </w:r>
            <w:r w:rsidRPr="00FF7A7C">
              <w:t xml:space="preserve"> durante i negoziati e l'attuazione, dal momento che requisiti nazionali supplementari possono aumentare gli oneri amministrativi senza ridurre il rischio di errore; sottolinea la necessità di garantire che il controllo degli appalti sia digitalizzato attraverso gli appal</w:t>
            </w:r>
            <w:r w:rsidRPr="00FF7A7C">
              <w:t xml:space="preserve">ti elettronici, gli strumenti relativi ai conflitti di interessi, i controlli sulla titolarità effettiva, i sistemi di segnalazione del rischio e il monitoraggio dei tempi di ricorso; </w:t>
            </w:r>
            <w:r w:rsidRPr="00FF7A7C">
              <w:rPr>
                <w:b/>
                <w:i/>
              </w:rPr>
              <w:t>sottolinea che procedure di appalto trasparenti e competitive sono essenziali per garantire un buon rapporto costi-benefici;</w:t>
            </w:r>
          </w:p>
        </w:tc>
      </w:tr>
    </w:tbl>
    <w:p w:rsidR="00AC4730" w:rsidRPr="00FF7A7C" w:rsidP="00AC4730" w14:paraId="096E3B6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4E9BF99" w14:textId="77777777">
      <w:r w:rsidRPr="00FF7A7C">
        <w:rPr>
          <w:rStyle w:val="HideTWBExt"/>
        </w:rPr>
        <w:t>&lt;/Amend&gt;</w:t>
      </w:r>
    </w:p>
    <w:p w:rsidR="00AC4730" w:rsidRPr="00FF7A7C" w:rsidP="00AC4730" w14:paraId="766840F9"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8917BFB"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w:t>
      </w:r>
      <w:r w:rsidRPr="00FF7A7C">
        <w:t xml:space="preserve">Olivier </w:t>
      </w:r>
      <w:r w:rsidRPr="00FF7A7C">
        <w:t>Chastel</w:t>
      </w:r>
      <w:r w:rsidRPr="00FF7A7C">
        <w:rPr>
          <w:rStyle w:val="HideTWBExt"/>
          <w:b w:val="0"/>
        </w:rPr>
        <w:t>&lt;/Members&gt;</w:t>
      </w:r>
    </w:p>
    <w:p w:rsidR="00AC4730" w:rsidRPr="00FF7A7C" w:rsidP="00AC4730" w14:paraId="204E18D6" w14:textId="77777777">
      <w:r w:rsidRPr="00FF7A7C">
        <w:rPr>
          <w:rStyle w:val="HideTWBExt"/>
        </w:rPr>
        <w:t>&lt;/RepeatBlock-By&gt;</w:t>
      </w:r>
    </w:p>
    <w:p w:rsidR="00AC4730" w:rsidRPr="00FF7A7C" w:rsidP="00AC4730" w14:paraId="6F1B9C9C"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15408D5" w14:textId="77777777">
      <w:pPr>
        <w:pStyle w:val="NormalBold"/>
      </w:pPr>
      <w:r w:rsidRPr="00FF7A7C">
        <w:rPr>
          <w:rStyle w:val="HideTWBExt"/>
          <w:b w:val="0"/>
        </w:rPr>
        <w:t>&lt;Article&gt;</w:t>
      </w:r>
      <w:r w:rsidRPr="00FF7A7C">
        <w:t>Paragrafo 17</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69C928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5FE3861B" w14:textId="77777777">
            <w:pPr>
              <w:keepNext/>
            </w:pPr>
          </w:p>
        </w:tc>
      </w:tr>
      <w:tr w14:paraId="02EF1AC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FADFAEB" w14:textId="77777777">
            <w:pPr>
              <w:pStyle w:val="ColumnHeading"/>
              <w:keepNext/>
            </w:pPr>
            <w:r w:rsidRPr="00FF7A7C">
              <w:t>Proposta di risoluzione</w:t>
            </w:r>
          </w:p>
        </w:tc>
        <w:tc>
          <w:tcPr>
            <w:tcW w:w="4876" w:type="dxa"/>
            <w:hideMark/>
          </w:tcPr>
          <w:p w:rsidR="00AC4730" w:rsidRPr="00FF7A7C" w14:paraId="407FD3DA" w14:textId="77777777">
            <w:pPr>
              <w:pStyle w:val="ColumnHeading"/>
              <w:keepNext/>
            </w:pPr>
            <w:r w:rsidRPr="00FF7A7C">
              <w:t>Emendamento</w:t>
            </w:r>
          </w:p>
        </w:tc>
      </w:tr>
      <w:tr w14:paraId="001B282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9E404B0" w14:textId="77777777">
            <w:pPr>
              <w:pStyle w:val="Normal6"/>
            </w:pPr>
            <w:r w:rsidRPr="00FF7A7C">
              <w:t>17.</w:t>
            </w:r>
            <w:r w:rsidRPr="00FF7A7C">
              <w:tab/>
              <w:t xml:space="preserve">invita la Commissione a sostenere i paesi candidati nell'attuazione di riforme volte a </w:t>
            </w:r>
            <w:r w:rsidRPr="00FF7A7C">
              <w:t xml:space="preserve">istituire autorità e beneficiari degli appalti professionalizzati prima dell'adesione; insiste affinché la Commissione monitori la </w:t>
            </w:r>
            <w:r w:rsidRPr="00FF7A7C">
              <w:t>sovraregolamentazione</w:t>
            </w:r>
            <w:r w:rsidRPr="00FF7A7C">
              <w:t xml:space="preserve"> durante i negoziati e l'attuazione, dal momento che requisiti nazionali supplementari possono aumentare gli oneri amministrativi senza ridurre il rischio di errore; sottolinea la necessità di garantire che il controllo degli appalti sia digitalizzato attraverso gli appalti elettronici, gli strumenti relativi ai conflitti di interessi, i controlli sulla tito</w:t>
            </w:r>
            <w:r w:rsidRPr="00FF7A7C">
              <w:t>larità effettiva, i sistemi di segnalazione del rischio e il monitoraggio dei tempi di ricorso;</w:t>
            </w:r>
          </w:p>
        </w:tc>
        <w:tc>
          <w:tcPr>
            <w:tcW w:w="4876" w:type="dxa"/>
            <w:hideMark/>
          </w:tcPr>
          <w:p w:rsidR="00AC4730" w:rsidRPr="00FF7A7C" w14:paraId="2B94A217" w14:textId="77777777">
            <w:pPr>
              <w:pStyle w:val="Normal6"/>
              <w:rPr>
                <w:szCs w:val="24"/>
              </w:rPr>
            </w:pPr>
            <w:r w:rsidRPr="00FF7A7C">
              <w:t>17.</w:t>
            </w:r>
            <w:r w:rsidRPr="00FF7A7C">
              <w:tab/>
              <w:t xml:space="preserve">invita la Commissione a sostenere i paesi candidati nell'attuazione di riforme volte a istituire autorità e beneficiari degli appalti professionalizzati prima dell'adesione; insiste affinché la Commissione monitori la </w:t>
            </w:r>
            <w:r w:rsidRPr="00FF7A7C">
              <w:t>sovraregolamentazione</w:t>
            </w:r>
            <w:r w:rsidRPr="00FF7A7C">
              <w:t xml:space="preserve"> durante i negoziati e l'attuazione, dal momento che requisiti nazionali supplementari possono aumentare gli oneri amministrativi senza ridurre il rischio di errore </w:t>
            </w:r>
            <w:r w:rsidRPr="00FF7A7C">
              <w:rPr>
                <w:b/>
                <w:i/>
              </w:rPr>
              <w:t>o di incertezza giuridica</w:t>
            </w:r>
            <w:r w:rsidRPr="00FF7A7C">
              <w:t>; sottolinea la necessità di garantire che il controllo degli appalti sia digitali</w:t>
            </w:r>
            <w:r w:rsidRPr="00FF7A7C">
              <w:t>zzato attraverso gli appalti elettronici, gli strumenti relativi ai conflitti di interessi, i controlli sulla titolarità effettiva, i sistemi di segnalazione del rischio e il monitoraggio dei tempi di ricorso;</w:t>
            </w:r>
          </w:p>
        </w:tc>
      </w:tr>
    </w:tbl>
    <w:p w:rsidR="00AC4730" w:rsidRPr="00FF7A7C" w:rsidP="00AC4730" w14:paraId="2CDFDA7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2CD354B" w14:textId="77777777">
      <w:r w:rsidRPr="00FF7A7C">
        <w:rPr>
          <w:rStyle w:val="HideTWBExt"/>
        </w:rPr>
        <w:t>&lt;/Amend&gt;</w:t>
      </w:r>
    </w:p>
    <w:p w:rsidR="00AC4730" w:rsidRPr="00FF7A7C" w:rsidP="00AC4730" w14:paraId="35823E3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09A6248"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1DB93FDF" w14:textId="77777777">
      <w:r w:rsidRPr="00FF7A7C">
        <w:rPr>
          <w:rStyle w:val="HideTWBExt"/>
        </w:rPr>
        <w:t>&lt;/RepeatBlock-By&gt;</w:t>
      </w:r>
    </w:p>
    <w:p w:rsidR="00AC4730" w:rsidRPr="00FF7A7C" w:rsidP="00AC4730" w14:paraId="66D40E1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02CD45A" w14:textId="77777777">
      <w:pPr>
        <w:pStyle w:val="NormalBold"/>
      </w:pPr>
      <w:r w:rsidRPr="00FF7A7C">
        <w:rPr>
          <w:rStyle w:val="HideTWBExt"/>
          <w:b w:val="0"/>
        </w:rPr>
        <w:t>&lt;Article&gt;</w:t>
      </w:r>
      <w:r w:rsidRPr="00FF7A7C">
        <w:t>Paragrafo 17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9968D2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2DB7EA7" w14:textId="77777777">
            <w:pPr>
              <w:keepNext/>
            </w:pPr>
          </w:p>
        </w:tc>
      </w:tr>
      <w:tr w14:paraId="260A9FE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FB3069C" w14:textId="77777777">
            <w:pPr>
              <w:pStyle w:val="ColumnHeading"/>
              <w:keepNext/>
            </w:pPr>
            <w:r w:rsidRPr="00FF7A7C">
              <w:t>Proposta di risoluzione</w:t>
            </w:r>
          </w:p>
        </w:tc>
        <w:tc>
          <w:tcPr>
            <w:tcW w:w="4876" w:type="dxa"/>
            <w:hideMark/>
          </w:tcPr>
          <w:p w:rsidR="00AC4730" w:rsidRPr="00FF7A7C" w14:paraId="72118AE6" w14:textId="77777777">
            <w:pPr>
              <w:pStyle w:val="ColumnHeading"/>
              <w:keepNext/>
            </w:pPr>
            <w:r w:rsidRPr="00FF7A7C">
              <w:t>Emendamento</w:t>
            </w:r>
          </w:p>
        </w:tc>
      </w:tr>
      <w:tr w14:paraId="2C1FE6E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00A52E9F" w14:textId="77777777">
            <w:pPr>
              <w:pStyle w:val="Normal6"/>
            </w:pPr>
          </w:p>
        </w:tc>
        <w:tc>
          <w:tcPr>
            <w:tcW w:w="4876" w:type="dxa"/>
            <w:hideMark/>
          </w:tcPr>
          <w:p w:rsidR="00AC4730" w:rsidRPr="00FF7A7C" w14:paraId="5BFA4B19" w14:textId="77777777">
            <w:pPr>
              <w:pStyle w:val="Normal6"/>
              <w:rPr>
                <w:szCs w:val="24"/>
              </w:rPr>
            </w:pPr>
            <w:r w:rsidRPr="00FF7A7C">
              <w:rPr>
                <w:b/>
                <w:i/>
              </w:rPr>
              <w:t>17a.</w:t>
            </w:r>
            <w:r w:rsidRPr="00FF7A7C">
              <w:rPr>
                <w:b/>
                <w:i/>
              </w:rPr>
              <w:tab/>
              <w:t xml:space="preserve">sottolinea che il futuro allargamento deve essere guidato da una prospettiva geopolitica, riconoscendo che l'avvicinamento dei paesi candidati </w:t>
            </w:r>
            <w:r w:rsidRPr="00FF7A7C">
              <w:rPr>
                <w:b/>
                <w:i/>
              </w:rPr>
              <w:t xml:space="preserve">all'Unione contribuisce direttamente alla sicurezza, alla resilienza democratica e all'autonomia strategica dell'Europa; sottolinea che ritardi o incertezze nel processo di allargamento possono creare vulnerabilità sfruttabili da attori esterni che cercano di compromettere la stabilità europea; </w:t>
            </w:r>
          </w:p>
        </w:tc>
      </w:tr>
    </w:tbl>
    <w:p w:rsidR="00AC4730" w:rsidRPr="00FF7A7C" w:rsidP="00AC4730" w14:paraId="5EEA3C01"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B0CD784" w14:textId="77777777">
      <w:r w:rsidRPr="00FF7A7C">
        <w:rPr>
          <w:rStyle w:val="HideTWBExt"/>
        </w:rPr>
        <w:t>&lt;/Amend&gt;</w:t>
      </w:r>
    </w:p>
    <w:p w:rsidR="00AC4730" w:rsidRPr="00FF7A7C" w:rsidP="00AC4730" w14:paraId="16B4C509"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89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FF7BB32"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4DD5273C" w14:textId="77777777">
      <w:r w:rsidRPr="00FF7A7C">
        <w:rPr>
          <w:rStyle w:val="HideTWBExt"/>
        </w:rPr>
        <w:t>&lt;/RepeatBlock-By&gt;</w:t>
      </w:r>
    </w:p>
    <w:p w:rsidR="00AC4730" w:rsidRPr="00FF7A7C" w:rsidP="00AC4730" w14:paraId="054EF9E0"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1D4A805" w14:textId="77777777">
      <w:pPr>
        <w:pStyle w:val="NormalBold"/>
      </w:pPr>
      <w:r w:rsidRPr="00FF7A7C">
        <w:rPr>
          <w:rStyle w:val="HideTWBExt"/>
          <w:b w:val="0"/>
        </w:rPr>
        <w:t>&lt;Article&gt;</w:t>
      </w:r>
      <w:r w:rsidRPr="00FF7A7C">
        <w:t>Paragrafo 17 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93FF90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63E90A6" w14:textId="77777777">
            <w:pPr>
              <w:keepNext/>
            </w:pPr>
          </w:p>
        </w:tc>
      </w:tr>
      <w:tr w14:paraId="64E7A7D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6429C9A" w14:textId="77777777">
            <w:pPr>
              <w:pStyle w:val="ColumnHeading"/>
              <w:keepNext/>
            </w:pPr>
            <w:r w:rsidRPr="00FF7A7C">
              <w:t>Proposta di risoluzione</w:t>
            </w:r>
          </w:p>
        </w:tc>
        <w:tc>
          <w:tcPr>
            <w:tcW w:w="4876" w:type="dxa"/>
            <w:hideMark/>
          </w:tcPr>
          <w:p w:rsidR="00AC4730" w:rsidRPr="00FF7A7C" w14:paraId="647E8600" w14:textId="77777777">
            <w:pPr>
              <w:pStyle w:val="ColumnHeading"/>
              <w:keepNext/>
            </w:pPr>
            <w:r w:rsidRPr="00FF7A7C">
              <w:t>Emendamento</w:t>
            </w:r>
          </w:p>
        </w:tc>
      </w:tr>
      <w:tr w14:paraId="3B51A16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261E7D8F" w14:textId="77777777">
            <w:pPr>
              <w:pStyle w:val="Normal6"/>
            </w:pPr>
          </w:p>
        </w:tc>
        <w:tc>
          <w:tcPr>
            <w:tcW w:w="4876" w:type="dxa"/>
            <w:hideMark/>
          </w:tcPr>
          <w:p w:rsidR="00AC4730" w:rsidRPr="00FF7A7C" w14:paraId="7AC38EFE" w14:textId="77777777">
            <w:pPr>
              <w:pStyle w:val="Normal6"/>
              <w:rPr>
                <w:szCs w:val="24"/>
              </w:rPr>
            </w:pPr>
            <w:r w:rsidRPr="00FF7A7C">
              <w:rPr>
                <w:b/>
                <w:i/>
              </w:rPr>
              <w:t>17 ter.</w:t>
            </w:r>
            <w:r w:rsidRPr="00FF7A7C">
              <w:rPr>
                <w:b/>
                <w:i/>
              </w:rPr>
              <w:tab/>
              <w:t xml:space="preserve">invita la Commissione a garantire che la politica di allargamento sia sostenuta da una strategia di investimento globale che combini le riforme istituzionali con lo sviluppo delle </w:t>
            </w:r>
            <w:r w:rsidRPr="00FF7A7C">
              <w:rPr>
                <w:b/>
                <w:i/>
              </w:rPr>
              <w:t>infrastrutture, l'integrazione economica, la sicurezza energetica, la connettività digitale e i collegamenti di trasporto, garantendo in tal modo che i paesi candidati diventino partecipanti pienamente integrati nel progetto europeo;</w:t>
            </w:r>
          </w:p>
        </w:tc>
      </w:tr>
    </w:tbl>
    <w:p w:rsidR="00AC4730" w:rsidRPr="00FF7A7C" w:rsidP="00AC4730" w14:paraId="45A8F0DC"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D2D13F7" w14:textId="77777777">
      <w:r w:rsidRPr="00FF7A7C">
        <w:rPr>
          <w:rStyle w:val="HideTWBExt"/>
        </w:rPr>
        <w:t>&lt;/Amend&gt;</w:t>
      </w:r>
    </w:p>
    <w:p w:rsidR="00AC4730" w:rsidRPr="00FF7A7C" w:rsidP="00AC4730" w14:paraId="4563E816"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24CB697D"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2A9A9D8E" w14:textId="77777777">
      <w:r w:rsidRPr="00FF7A7C">
        <w:rPr>
          <w:rStyle w:val="HideTWBExt"/>
        </w:rPr>
        <w:t>&lt;/RepeatBlock-By&gt;</w:t>
      </w:r>
    </w:p>
    <w:p w:rsidR="00AC4730" w:rsidRPr="00FF7A7C" w:rsidP="00AC4730" w14:paraId="089B0C75"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3F399D00" w14:textId="77777777">
      <w:pPr>
        <w:pStyle w:val="NormalBold"/>
      </w:pPr>
      <w:r w:rsidRPr="00FF7A7C">
        <w:rPr>
          <w:rStyle w:val="HideTWBExt"/>
          <w:b w:val="0"/>
        </w:rPr>
        <w:t>&lt;Article&gt;</w:t>
      </w:r>
      <w:r w:rsidRPr="00FF7A7C">
        <w:t>Paragrafo 17 quater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6F3E6A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048E131" w14:textId="77777777">
            <w:pPr>
              <w:keepNext/>
            </w:pPr>
          </w:p>
        </w:tc>
      </w:tr>
      <w:tr w14:paraId="2BA77F4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5E34916" w14:textId="77777777">
            <w:pPr>
              <w:pStyle w:val="ColumnHeading"/>
              <w:keepNext/>
            </w:pPr>
            <w:r w:rsidRPr="00FF7A7C">
              <w:t>Proposta di risoluzione</w:t>
            </w:r>
          </w:p>
        </w:tc>
        <w:tc>
          <w:tcPr>
            <w:tcW w:w="4876" w:type="dxa"/>
            <w:hideMark/>
          </w:tcPr>
          <w:p w:rsidR="00AC4730" w:rsidRPr="00FF7A7C" w14:paraId="2B77BD57" w14:textId="77777777">
            <w:pPr>
              <w:pStyle w:val="ColumnHeading"/>
              <w:keepNext/>
            </w:pPr>
            <w:r w:rsidRPr="00FF7A7C">
              <w:t>Emendamento</w:t>
            </w:r>
          </w:p>
        </w:tc>
      </w:tr>
      <w:tr w14:paraId="6BAAE62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3C9D9D9" w14:textId="77777777">
            <w:pPr>
              <w:pStyle w:val="Normal6"/>
            </w:pPr>
          </w:p>
        </w:tc>
        <w:tc>
          <w:tcPr>
            <w:tcW w:w="4876" w:type="dxa"/>
            <w:hideMark/>
          </w:tcPr>
          <w:p w:rsidR="00AC4730" w:rsidRPr="00FF7A7C" w14:paraId="01B72FA1" w14:textId="77777777">
            <w:pPr>
              <w:pStyle w:val="Normal6"/>
              <w:rPr>
                <w:szCs w:val="24"/>
              </w:rPr>
            </w:pPr>
            <w:r w:rsidRPr="00FF7A7C">
              <w:rPr>
                <w:b/>
                <w:i/>
              </w:rPr>
              <w:t>17 quater.</w:t>
            </w:r>
            <w:r w:rsidRPr="00FF7A7C">
              <w:rPr>
                <w:b/>
                <w:i/>
              </w:rPr>
              <w:tab/>
              <w:t>sottolinea l'importanza strategica dei corridoi di trasporto europei, compresa la rete transeuropea dei trasporti (TEN-T), quali strumenti di integrazione economica, coesione territoriale e resilienza geopolitica; sottolinea che l'estensione e il completamento di tali corridoi verso i paesi candidati rafforzeranno i legami commerciali, la mobilità militare, la sicurezza energetica e la resilienza alle crisi; invita la Commissione a dare priorità ai progetti di connettività che collegano i paesi candidati a</w:t>
            </w:r>
            <w:r w:rsidRPr="00FF7A7C">
              <w:rPr>
                <w:b/>
                <w:i/>
              </w:rPr>
              <w:t>lle reti di trasporto, energetiche e digitali dell'Unione;</w:t>
            </w:r>
          </w:p>
        </w:tc>
      </w:tr>
    </w:tbl>
    <w:p w:rsidR="00AC4730" w:rsidRPr="00FF7A7C" w:rsidP="00AC4730" w14:paraId="164BC4D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3CACA03" w14:textId="77777777">
      <w:r w:rsidRPr="00FF7A7C">
        <w:rPr>
          <w:rStyle w:val="HideTWBExt"/>
        </w:rPr>
        <w:t>&lt;/Amend&gt;</w:t>
      </w:r>
    </w:p>
    <w:p w:rsidR="00AC4730" w:rsidRPr="00FF7A7C" w:rsidP="00AC4730" w14:paraId="45B4BC7E"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1AFFABA"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173279F4" w14:textId="77777777">
      <w:r w:rsidRPr="00FF7A7C">
        <w:rPr>
          <w:rStyle w:val="HideTWBExt"/>
        </w:rPr>
        <w:t>&lt;/RepeatBlock-By&gt;</w:t>
      </w:r>
    </w:p>
    <w:p w:rsidR="00AC4730" w:rsidRPr="00FF7A7C" w:rsidP="00AC4730" w14:paraId="067D4AF4"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FB126CB" w14:textId="77777777">
      <w:pPr>
        <w:pStyle w:val="NormalBold"/>
      </w:pPr>
      <w:r w:rsidRPr="00FF7A7C">
        <w:rPr>
          <w:rStyle w:val="HideTWBExt"/>
          <w:b w:val="0"/>
        </w:rPr>
        <w:t>&lt;Article&gt;</w:t>
      </w:r>
      <w:r w:rsidRPr="00FF7A7C">
        <w:t>Paragrafo 18</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7EB597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A29FD69" w14:textId="77777777">
            <w:pPr>
              <w:keepNext/>
            </w:pPr>
          </w:p>
        </w:tc>
      </w:tr>
      <w:tr w14:paraId="0E56A0F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AD33C02" w14:textId="77777777">
            <w:pPr>
              <w:pStyle w:val="ColumnHeading"/>
              <w:keepNext/>
            </w:pPr>
            <w:r w:rsidRPr="00FF7A7C">
              <w:t>Proposta di risoluzione</w:t>
            </w:r>
          </w:p>
        </w:tc>
        <w:tc>
          <w:tcPr>
            <w:tcW w:w="4876" w:type="dxa"/>
            <w:hideMark/>
          </w:tcPr>
          <w:p w:rsidR="00AC4730" w:rsidRPr="00FF7A7C" w14:paraId="14B21184" w14:textId="77777777">
            <w:pPr>
              <w:pStyle w:val="ColumnHeading"/>
              <w:keepNext/>
            </w:pPr>
            <w:r w:rsidRPr="00FF7A7C">
              <w:t>Emendamento</w:t>
            </w:r>
          </w:p>
        </w:tc>
      </w:tr>
      <w:tr w14:paraId="024F217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C68E291" w14:textId="77777777">
            <w:pPr>
              <w:pStyle w:val="Normal6"/>
            </w:pPr>
            <w:r w:rsidRPr="00FF7A7C">
              <w:t>18.</w:t>
            </w:r>
            <w:r w:rsidRPr="00FF7A7C">
              <w:tab/>
              <w:t xml:space="preserve">esorta la Commissione a sostenere i paesi candidati nell'attuazione di piani di riforma volti a </w:t>
            </w:r>
            <w:r w:rsidRPr="00FF7A7C">
              <w:t>rafforzare la loro capacità e la loro preparazione amministrativa, che comprendono piani di assunzione e ritenzione del personale, sistemi di gestione e controllo funzionanti, piattaforme digitali di monitoraggio operative, una solida metodologia di campionamento, una strategia antifrode, controlli sui conflitti di interessi e un'attuazione pilota nell'ambito del processo e dei fondi di preadesione, nonché a conseguire tassi di assorbimento più elevati, tassi di errore inferiori e migliori progressi in term</w:t>
            </w:r>
            <w:r w:rsidRPr="00FF7A7C">
              <w:t>ini di risultati;</w:t>
            </w:r>
          </w:p>
        </w:tc>
        <w:tc>
          <w:tcPr>
            <w:tcW w:w="4876" w:type="dxa"/>
            <w:hideMark/>
          </w:tcPr>
          <w:p w:rsidR="00AC4730" w:rsidRPr="00FF7A7C" w14:paraId="4EC8A42D" w14:textId="77777777">
            <w:pPr>
              <w:pStyle w:val="Normal6"/>
              <w:rPr>
                <w:szCs w:val="24"/>
              </w:rPr>
            </w:pPr>
            <w:r w:rsidRPr="00FF7A7C">
              <w:t>18.</w:t>
            </w:r>
            <w:r w:rsidRPr="00FF7A7C">
              <w:tab/>
              <w:t>esorta la Commissione a sostenere i paesi candidati nell'attuazione di piani di riforma volti a rafforzare la loro capacità</w:t>
            </w:r>
            <w:r w:rsidRPr="00FF7A7C">
              <w:rPr>
                <w:b/>
                <w:i/>
              </w:rPr>
              <w:t>, anche attraverso programmi di gemellaggio tra le autorità competenti responsabili della gestione, dell'audit, del controllo e della tutela dei fondi dell'Unione negli Stati membri e nei paesi candidati,</w:t>
            </w:r>
            <w:r w:rsidRPr="00FF7A7C">
              <w:t xml:space="preserve"> e la loro preparazione amministrativa, che comprendono piani di assunzione e ritenzione del personale, sistemi di gestione e controllo funzionanti, piattaforme digitali di monitoraggi</w:t>
            </w:r>
            <w:r w:rsidRPr="00FF7A7C">
              <w:t>o operative, una solida metodologia di campionamento, una strategia antifrode, controlli sui conflitti di interessi e un'attuazione pilota nell'ambito del processo e dei fondi di preadesione, nonché a conseguire tassi di assorbimento più elevati, tassi di errore inferiori e migliori progressi in termini di risultati;</w:t>
            </w:r>
          </w:p>
        </w:tc>
      </w:tr>
    </w:tbl>
    <w:p w:rsidR="00AC4730" w:rsidRPr="00FF7A7C" w:rsidP="00AC4730" w14:paraId="30C3F19B"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8188832" w14:textId="77777777">
      <w:r w:rsidRPr="00FF7A7C">
        <w:rPr>
          <w:rStyle w:val="HideTWBExt"/>
        </w:rPr>
        <w:t>&lt;/Amend&gt;</w:t>
      </w:r>
    </w:p>
    <w:p w:rsidR="00AC4730" w:rsidRPr="00FF7A7C" w:rsidP="00AC4730" w14:paraId="102DE28C"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B58DC6A"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2B0CBA42" w14:textId="77777777">
      <w:r w:rsidRPr="00FF7A7C">
        <w:rPr>
          <w:rStyle w:val="HideTWBExt"/>
        </w:rPr>
        <w:t>&lt;/RepeatBlock-By&gt;</w:t>
      </w:r>
    </w:p>
    <w:p w:rsidR="00AC4730" w:rsidRPr="00FF7A7C" w:rsidP="00AC4730" w14:paraId="2252311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46324B9F" w14:textId="77777777">
      <w:pPr>
        <w:pStyle w:val="NormalBold"/>
      </w:pPr>
      <w:r w:rsidRPr="00FF7A7C">
        <w:rPr>
          <w:rStyle w:val="HideTWBExt"/>
          <w:b w:val="0"/>
        </w:rPr>
        <w:t>&lt;Article&gt;</w:t>
      </w:r>
      <w:r w:rsidRPr="00FF7A7C">
        <w:t>Paragrafo 18</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D2E9F8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28BEDCD" w14:textId="77777777">
            <w:pPr>
              <w:keepNext/>
            </w:pPr>
          </w:p>
        </w:tc>
      </w:tr>
      <w:tr w14:paraId="4B0FE45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0ABA20A" w14:textId="77777777">
            <w:pPr>
              <w:pStyle w:val="ColumnHeading"/>
              <w:keepNext/>
            </w:pPr>
            <w:r w:rsidRPr="00FF7A7C">
              <w:t>Proposta di risoluzione</w:t>
            </w:r>
          </w:p>
        </w:tc>
        <w:tc>
          <w:tcPr>
            <w:tcW w:w="4876" w:type="dxa"/>
            <w:hideMark/>
          </w:tcPr>
          <w:p w:rsidR="00AC4730" w:rsidRPr="00FF7A7C" w14:paraId="73742DD9" w14:textId="77777777">
            <w:pPr>
              <w:pStyle w:val="ColumnHeading"/>
              <w:keepNext/>
            </w:pPr>
            <w:r w:rsidRPr="00FF7A7C">
              <w:t>Emendamento</w:t>
            </w:r>
          </w:p>
        </w:tc>
      </w:tr>
      <w:tr w14:paraId="23AF54B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BB74627" w14:textId="77777777">
            <w:pPr>
              <w:pStyle w:val="Normal6"/>
            </w:pPr>
            <w:r w:rsidRPr="00FF7A7C">
              <w:t>18.</w:t>
            </w:r>
            <w:r w:rsidRPr="00FF7A7C">
              <w:tab/>
              <w:t xml:space="preserve">esorta la Commissione a sostenere i paesi candidati nell'attuazione di piani di riforma volti a rafforzare la loro capacità e la loro preparazione </w:t>
            </w:r>
            <w:r w:rsidRPr="00FF7A7C">
              <w:t>amministrativa, che comprendono piani di assunzione e ritenzione del personale, sistemi di gestione e controllo funzionanti, piattaforme digitali di monitoraggio operative, una solida metodologia di campionamento, una strategia antifrode, controlli sui conflitti di interessi e un'attuazione pilota nell'ambito del processo e dei fondi di preadesione, nonché a conseguire tassi di assorbimento più elevati, tassi di errore inferiori e migliori progressi in termini di risultati;</w:t>
            </w:r>
          </w:p>
        </w:tc>
        <w:tc>
          <w:tcPr>
            <w:tcW w:w="4876" w:type="dxa"/>
            <w:hideMark/>
          </w:tcPr>
          <w:p w:rsidR="00AC4730" w:rsidRPr="00FF7A7C" w14:paraId="010B25A1" w14:textId="77777777">
            <w:pPr>
              <w:pStyle w:val="Normal6"/>
              <w:rPr>
                <w:szCs w:val="24"/>
              </w:rPr>
            </w:pPr>
            <w:r w:rsidRPr="00FF7A7C">
              <w:t>18.</w:t>
            </w:r>
            <w:r w:rsidRPr="00FF7A7C">
              <w:tab/>
              <w:t>esorta la Commissione a sostenere i paesi candidati nell'attuazione di piani di riforma volti a rafforzare la loro capacità e la loro preparazione amministrativa, che comprendono piani di assunzione e ritenzione del personale, sistemi di gestione e controllo funzionanti, piattaforme digitali di monitoraggio operative, una solida metodologia di campionamento, una strategia antifrode, controlli sui conflitti di interessi e un'attuazione pilota nell'ambito del processo e dei fondi di preadesione, nonché a con</w:t>
            </w:r>
            <w:r w:rsidRPr="00FF7A7C">
              <w:t xml:space="preserve">seguire tassi di assorbimento più elevati, tassi di errore inferiori e migliori progressi in termini di risultati; </w:t>
            </w:r>
            <w:r w:rsidRPr="00FF7A7C">
              <w:rPr>
                <w:b/>
                <w:i/>
              </w:rPr>
              <w:t>sottolinea che l'assistenza preadesione dovrebbe promuovere il rafforzamento della pubblica amministrazione ed evitare di fare affidamento su consulenti privati esterni;</w:t>
            </w:r>
          </w:p>
        </w:tc>
      </w:tr>
    </w:tbl>
    <w:p w:rsidR="00AC4730" w:rsidRPr="00FF7A7C" w:rsidP="00AC4730" w14:paraId="18512E3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D67F658" w14:textId="77777777">
      <w:r w:rsidRPr="00FF7A7C">
        <w:rPr>
          <w:rStyle w:val="HideTWBExt"/>
        </w:rPr>
        <w:t>&lt;/Amend&gt;</w:t>
      </w:r>
    </w:p>
    <w:p w:rsidR="00AC4730" w:rsidRPr="00FF7A7C" w:rsidP="00AC4730" w14:paraId="1862932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8B42719" w14:textId="77777777">
      <w:pPr>
        <w:pStyle w:val="NormalBold"/>
      </w:pPr>
      <w:r w:rsidRPr="00FF7A7C">
        <w:rPr>
          <w:rStyle w:val="HideTWBExt"/>
          <w:b w:val="0"/>
        </w:rPr>
        <w:t>&lt;RepeatBlock-By&gt;&lt;Members&gt;</w:t>
      </w:r>
      <w:r w:rsidRPr="00FF7A7C">
        <w:t>Şerban</w:t>
      </w:r>
      <w:r w:rsidRPr="00FF7A7C">
        <w:t xml:space="preserve"> </w:t>
      </w:r>
      <w:r w:rsidRPr="00FF7A7C">
        <w:t>Dimitrie</w:t>
      </w:r>
      <w:r w:rsidRPr="00FF7A7C">
        <w:t xml:space="preserve"> </w:t>
      </w:r>
      <w:r w:rsidRPr="00FF7A7C">
        <w:t>Sturdza</w:t>
      </w:r>
      <w:r w:rsidRPr="00FF7A7C">
        <w:rPr>
          <w:rStyle w:val="HideTWBExt"/>
          <w:b w:val="0"/>
        </w:rPr>
        <w:t>&lt;/Members&gt;</w:t>
      </w:r>
    </w:p>
    <w:p w:rsidR="00AC4730" w:rsidRPr="00FF7A7C" w:rsidP="00AC4730" w14:paraId="524C9B16" w14:textId="77777777">
      <w:r w:rsidRPr="00FF7A7C">
        <w:rPr>
          <w:rStyle w:val="HideTWBExt"/>
        </w:rPr>
        <w:t>&lt;/RepeatBlock-By&gt;</w:t>
      </w:r>
    </w:p>
    <w:p w:rsidR="00AC4730" w:rsidRPr="00FF7A7C" w:rsidP="00AC4730" w14:paraId="5FE66CE3"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5EC2EC3" w14:textId="77777777">
      <w:pPr>
        <w:pStyle w:val="NormalBold"/>
      </w:pPr>
      <w:r w:rsidRPr="00FF7A7C">
        <w:rPr>
          <w:rStyle w:val="HideTWBExt"/>
          <w:b w:val="0"/>
        </w:rPr>
        <w:t>&lt;Article&gt;</w:t>
      </w:r>
      <w:r w:rsidRPr="00FF7A7C">
        <w:t>Paragrafo 18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AE9B64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0CAB0B3" w14:textId="77777777">
            <w:pPr>
              <w:keepNext/>
            </w:pPr>
          </w:p>
        </w:tc>
      </w:tr>
      <w:tr w14:paraId="1CDFC47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30236A0" w14:textId="77777777">
            <w:pPr>
              <w:pStyle w:val="ColumnHeading"/>
              <w:keepNext/>
            </w:pPr>
            <w:r w:rsidRPr="00FF7A7C">
              <w:t>Proposta di risoluzione</w:t>
            </w:r>
          </w:p>
        </w:tc>
        <w:tc>
          <w:tcPr>
            <w:tcW w:w="4876" w:type="dxa"/>
            <w:hideMark/>
          </w:tcPr>
          <w:p w:rsidR="00AC4730" w:rsidRPr="00FF7A7C" w14:paraId="66F695DA" w14:textId="77777777">
            <w:pPr>
              <w:pStyle w:val="ColumnHeading"/>
              <w:keepNext/>
            </w:pPr>
            <w:r w:rsidRPr="00FF7A7C">
              <w:t>Emendamento</w:t>
            </w:r>
          </w:p>
        </w:tc>
      </w:tr>
      <w:tr w14:paraId="20B4B41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F80846F" w14:textId="77777777">
            <w:pPr>
              <w:pStyle w:val="Normal6"/>
            </w:pPr>
          </w:p>
        </w:tc>
        <w:tc>
          <w:tcPr>
            <w:tcW w:w="4876" w:type="dxa"/>
            <w:hideMark/>
          </w:tcPr>
          <w:p w:rsidR="00AC4730" w:rsidRPr="00FF7A7C" w14:paraId="10657E8D" w14:textId="77777777">
            <w:pPr>
              <w:pStyle w:val="Normal6"/>
              <w:rPr>
                <w:szCs w:val="24"/>
              </w:rPr>
            </w:pPr>
            <w:r w:rsidRPr="00FF7A7C">
              <w:rPr>
                <w:b/>
                <w:i/>
              </w:rPr>
              <w:t>18 bis.</w:t>
            </w:r>
            <w:r w:rsidRPr="00FF7A7C">
              <w:rPr>
                <w:b/>
                <w:i/>
              </w:rPr>
              <w:tab/>
              <w:t xml:space="preserve">invita la Commissione ad agevolare lo scambio di competenze tecniche tra i paesi candidati e gli Stati membri con comprovati risultati positivi nell'attuazione della politica di coesione, anche attraverso meccanismi quali le valutazioni inter </w:t>
            </w:r>
            <w:r w:rsidRPr="00FF7A7C">
              <w:rPr>
                <w:b/>
                <w:i/>
              </w:rPr>
              <w:t>pares</w:t>
            </w:r>
            <w:r w:rsidRPr="00FF7A7C">
              <w:rPr>
                <w:b/>
                <w:i/>
              </w:rPr>
              <w:t>, lo strumento di assistenza tecnica e scambio di informazioni (TAIEX) e i programmi di gemellaggio; sottolinea che tali strumenti possono accelerare il trasferimento delle migliori pratiche, rafforzare la capacità amministrativa e ridurre la curva di apprendimen</w:t>
            </w:r>
            <w:r w:rsidRPr="00FF7A7C">
              <w:rPr>
                <w:b/>
                <w:i/>
              </w:rPr>
              <w:t>to per i paesi candidati prima dell'adesione;</w:t>
            </w:r>
          </w:p>
        </w:tc>
      </w:tr>
    </w:tbl>
    <w:p w:rsidR="00AC4730" w:rsidRPr="00FF7A7C" w:rsidP="00AC4730" w14:paraId="4F6E0ADB"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BA3635A" w14:textId="77777777">
      <w:r w:rsidRPr="00FF7A7C">
        <w:rPr>
          <w:rStyle w:val="HideTWBExt"/>
        </w:rPr>
        <w:t>&lt;/Amend&gt;</w:t>
      </w:r>
    </w:p>
    <w:p w:rsidR="00AC4730" w:rsidRPr="00FF7A7C" w:rsidP="00AC4730" w14:paraId="56274DD5"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CE1D1ED"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3E3F3A01" w14:textId="77777777">
      <w:r w:rsidRPr="00FF7A7C">
        <w:rPr>
          <w:rStyle w:val="HideTWBExt"/>
        </w:rPr>
        <w:t>&lt;/RepeatBlock-By&gt;</w:t>
      </w:r>
    </w:p>
    <w:p w:rsidR="00AC4730" w:rsidRPr="00FF7A7C" w:rsidP="00AC4730" w14:paraId="1AA1081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EC01806" w14:textId="77777777">
      <w:pPr>
        <w:pStyle w:val="NormalBold"/>
      </w:pPr>
      <w:r w:rsidRPr="00FF7A7C">
        <w:rPr>
          <w:rStyle w:val="HideTWBExt"/>
          <w:b w:val="0"/>
        </w:rPr>
        <w:t>&lt;Article&gt;</w:t>
      </w:r>
      <w:r w:rsidRPr="00FF7A7C">
        <w:t>Paragrafo 18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528EB3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A666477" w14:textId="77777777">
            <w:pPr>
              <w:keepNext/>
            </w:pPr>
          </w:p>
        </w:tc>
      </w:tr>
      <w:tr w14:paraId="216ABA8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DD58456" w14:textId="77777777">
            <w:pPr>
              <w:pStyle w:val="ColumnHeading"/>
              <w:keepNext/>
            </w:pPr>
            <w:r w:rsidRPr="00FF7A7C">
              <w:t>Proposta di risoluzione</w:t>
            </w:r>
          </w:p>
        </w:tc>
        <w:tc>
          <w:tcPr>
            <w:tcW w:w="4876" w:type="dxa"/>
            <w:hideMark/>
          </w:tcPr>
          <w:p w:rsidR="00AC4730" w:rsidRPr="00FF7A7C" w14:paraId="3342B6C7" w14:textId="77777777">
            <w:pPr>
              <w:pStyle w:val="ColumnHeading"/>
              <w:keepNext/>
            </w:pPr>
            <w:r w:rsidRPr="00FF7A7C">
              <w:t>Emendamento</w:t>
            </w:r>
          </w:p>
        </w:tc>
      </w:tr>
      <w:tr w14:paraId="6F32941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168366ED" w14:textId="77777777">
            <w:pPr>
              <w:pStyle w:val="Normal6"/>
            </w:pPr>
          </w:p>
        </w:tc>
        <w:tc>
          <w:tcPr>
            <w:tcW w:w="4876" w:type="dxa"/>
            <w:hideMark/>
          </w:tcPr>
          <w:p w:rsidR="00AC4730" w:rsidRPr="00FF7A7C" w14:paraId="4A105250" w14:textId="77777777">
            <w:pPr>
              <w:pStyle w:val="Normal6"/>
              <w:rPr>
                <w:szCs w:val="24"/>
              </w:rPr>
            </w:pPr>
            <w:r w:rsidRPr="00FF7A7C">
              <w:rPr>
                <w:b/>
                <w:i/>
              </w:rPr>
              <w:t>18 bis.</w:t>
            </w:r>
            <w:r w:rsidRPr="00FF7A7C">
              <w:rPr>
                <w:b/>
                <w:i/>
              </w:rPr>
              <w:tab/>
              <w:t>chiede che il prossimo quadro finanziario pluriennale rispecchi l'importanza strategica dell'allargamento garantendo risorse sufficienti per l'assistenza preadesione, la connettività infrastrutturale, lo sviluppo delle capacità istituzionali e la convergenza economica; sottolinea che gli investimenti prima dell'adesione riducono i futuri costi di adeguamento e rafforzano l'efficacia della futura spesa dell'UE;</w:t>
            </w:r>
          </w:p>
        </w:tc>
      </w:tr>
    </w:tbl>
    <w:p w:rsidR="00AC4730" w:rsidRPr="00FF7A7C" w:rsidP="00AC4730" w14:paraId="026805B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BAFB204" w14:textId="77777777">
      <w:r w:rsidRPr="00FF7A7C">
        <w:rPr>
          <w:rStyle w:val="HideTWBExt"/>
        </w:rPr>
        <w:t>&lt;/Amend&gt;</w:t>
      </w:r>
    </w:p>
    <w:p w:rsidR="00AC4730" w:rsidRPr="00FF7A7C" w:rsidP="00AC4730" w14:paraId="4E4D2550"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09D412A"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2BD9863B" w14:textId="77777777">
      <w:r w:rsidRPr="00FF7A7C">
        <w:rPr>
          <w:rStyle w:val="HideTWBExt"/>
        </w:rPr>
        <w:t>&lt;/RepeatBlock-By&gt;</w:t>
      </w:r>
    </w:p>
    <w:p w:rsidR="00AC4730" w:rsidRPr="00FF7A7C" w:rsidP="00AC4730" w14:paraId="52FF5216"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7FCF45E" w14:textId="77777777">
      <w:pPr>
        <w:pStyle w:val="NormalBold"/>
      </w:pPr>
      <w:r w:rsidRPr="00FF7A7C">
        <w:rPr>
          <w:rStyle w:val="HideTWBExt"/>
          <w:b w:val="0"/>
        </w:rPr>
        <w:t>&lt;Article&gt;</w:t>
      </w:r>
      <w:r w:rsidRPr="00FF7A7C">
        <w:t>Paragrafo 18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10AB29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E377831" w14:textId="77777777">
            <w:pPr>
              <w:keepNext/>
            </w:pPr>
          </w:p>
        </w:tc>
      </w:tr>
      <w:tr w14:paraId="5346CD5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2711215" w14:textId="77777777">
            <w:pPr>
              <w:pStyle w:val="ColumnHeading"/>
              <w:keepNext/>
            </w:pPr>
            <w:r w:rsidRPr="00FF7A7C">
              <w:t>Proposta di risoluzione</w:t>
            </w:r>
          </w:p>
        </w:tc>
        <w:tc>
          <w:tcPr>
            <w:tcW w:w="4876" w:type="dxa"/>
            <w:hideMark/>
          </w:tcPr>
          <w:p w:rsidR="00AC4730" w:rsidRPr="00FF7A7C" w14:paraId="36CF8C51" w14:textId="77777777">
            <w:pPr>
              <w:pStyle w:val="ColumnHeading"/>
              <w:keepNext/>
            </w:pPr>
            <w:r w:rsidRPr="00FF7A7C">
              <w:t>Emendamento</w:t>
            </w:r>
          </w:p>
        </w:tc>
      </w:tr>
      <w:tr w14:paraId="06F2C9B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5E40CBF0" w14:textId="77777777">
            <w:pPr>
              <w:pStyle w:val="Normal6"/>
            </w:pPr>
          </w:p>
        </w:tc>
        <w:tc>
          <w:tcPr>
            <w:tcW w:w="4876" w:type="dxa"/>
            <w:hideMark/>
          </w:tcPr>
          <w:p w:rsidR="00AC4730" w:rsidRPr="00FF7A7C" w14:paraId="76DC92A5" w14:textId="77777777">
            <w:pPr>
              <w:pStyle w:val="Normal6"/>
              <w:rPr>
                <w:szCs w:val="24"/>
              </w:rPr>
            </w:pPr>
            <w:r w:rsidRPr="00FF7A7C">
              <w:rPr>
                <w:b/>
                <w:i/>
              </w:rPr>
              <w:t>18 bis.</w:t>
            </w:r>
            <w:r w:rsidRPr="00FF7A7C">
              <w:rPr>
                <w:b/>
                <w:i/>
              </w:rPr>
              <w:tab/>
              <w:t xml:space="preserve">raccomanda che i paesi candidati acquisiscano familiarità sia con gli strumenti di gestione concorrente sia con gli strumenti basati sui risultati, valutando </w:t>
            </w:r>
            <w:r w:rsidRPr="00FF7A7C">
              <w:rPr>
                <w:b/>
                <w:i/>
              </w:rPr>
              <w:t xml:space="preserve">nel </w:t>
            </w:r>
            <w:r w:rsidRPr="00FF7A7C">
              <w:rPr>
                <w:b/>
                <w:i/>
              </w:rPr>
              <w:t>contempo</w:t>
            </w:r>
            <w:r w:rsidRPr="00FF7A7C">
              <w:rPr>
                <w:b/>
                <w:i/>
              </w:rPr>
              <w:t xml:space="preserve"> la creazione di strutture amministrative per diversi modelli di finanziamento dell'Unione;</w:t>
            </w:r>
          </w:p>
        </w:tc>
      </w:tr>
    </w:tbl>
    <w:p w:rsidR="00AC4730" w:rsidRPr="00FF7A7C" w:rsidP="00AC4730" w14:paraId="2B30479F"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76385AB4" w14:textId="77777777">
      <w:r w:rsidRPr="00FF7A7C">
        <w:rPr>
          <w:rStyle w:val="HideTWBExt"/>
        </w:rPr>
        <w:t>&lt;/Amend&gt;</w:t>
      </w:r>
    </w:p>
    <w:p w:rsidR="00AC4730" w:rsidRPr="00FF7A7C" w:rsidP="00AC4730" w14:paraId="6AFC9137"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65BE57C"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3E7FC5A6" w14:textId="77777777">
      <w:r w:rsidRPr="00FF7A7C">
        <w:rPr>
          <w:rStyle w:val="HideTWBExt"/>
        </w:rPr>
        <w:t>&lt;/RepeatBlock-By&gt;</w:t>
      </w:r>
    </w:p>
    <w:p w:rsidR="00AC4730" w:rsidRPr="00FF7A7C" w:rsidP="00AC4730" w14:paraId="46CE580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51405DE" w14:textId="77777777">
      <w:pPr>
        <w:pStyle w:val="NormalBold"/>
      </w:pPr>
      <w:r w:rsidRPr="00FF7A7C">
        <w:rPr>
          <w:rStyle w:val="HideTWBExt"/>
          <w:b w:val="0"/>
        </w:rPr>
        <w:t>&lt;Article&gt;</w:t>
      </w:r>
      <w:r w:rsidRPr="00FF7A7C">
        <w:t>Paragrafo 18 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5AE7E4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1C32031F" w14:textId="77777777">
            <w:pPr>
              <w:keepNext/>
            </w:pPr>
          </w:p>
        </w:tc>
      </w:tr>
      <w:tr w14:paraId="6E7CD9A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22F1E3E" w14:textId="77777777">
            <w:pPr>
              <w:pStyle w:val="ColumnHeading"/>
              <w:keepNext/>
            </w:pPr>
            <w:r w:rsidRPr="00FF7A7C">
              <w:t>Proposta di risoluzione</w:t>
            </w:r>
          </w:p>
        </w:tc>
        <w:tc>
          <w:tcPr>
            <w:tcW w:w="4876" w:type="dxa"/>
            <w:hideMark/>
          </w:tcPr>
          <w:p w:rsidR="00AC4730" w:rsidRPr="00FF7A7C" w14:paraId="74A8100E" w14:textId="77777777">
            <w:pPr>
              <w:pStyle w:val="ColumnHeading"/>
              <w:keepNext/>
            </w:pPr>
            <w:r w:rsidRPr="00FF7A7C">
              <w:t>Emendamento</w:t>
            </w:r>
          </w:p>
        </w:tc>
      </w:tr>
      <w:tr w14:paraId="001FD35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6B5C8BC" w14:textId="77777777">
            <w:pPr>
              <w:pStyle w:val="Normal6"/>
            </w:pPr>
          </w:p>
        </w:tc>
        <w:tc>
          <w:tcPr>
            <w:tcW w:w="4876" w:type="dxa"/>
            <w:hideMark/>
          </w:tcPr>
          <w:p w:rsidR="00AC4730" w:rsidRPr="00FF7A7C" w14:paraId="46E2A6A5" w14:textId="77777777">
            <w:pPr>
              <w:pStyle w:val="Normal6"/>
              <w:rPr>
                <w:szCs w:val="24"/>
              </w:rPr>
            </w:pPr>
            <w:r w:rsidRPr="00FF7A7C">
              <w:rPr>
                <w:b/>
                <w:i/>
              </w:rPr>
              <w:t>18 ter.</w:t>
            </w:r>
            <w:r w:rsidRPr="00FF7A7C">
              <w:rPr>
                <w:b/>
                <w:i/>
              </w:rPr>
              <w:tab/>
              <w:t xml:space="preserve">sottolinea che i programmi dell'Unione a sostegno della competitività, </w:t>
            </w:r>
            <w:r w:rsidRPr="00FF7A7C">
              <w:rPr>
                <w:b/>
                <w:i/>
              </w:rPr>
              <w:t>dell'innovazione, della ricerca e delle tecnologie strategiche dovrebbero contribuire a rafforzare la resilienza economica complessiva dell'Unione e la crescita a lungo termine, garantendo nel contempo un'equa distribuzione geografica delle opportunità in tutti gli Stati membri; prende atto della persistente concentrazione di una quota significativa dei finanziamenti legati alla competitività in un numero limitato di regioni con ecosistemi dell'innovazione già ben sviluppati; invita la Commissione a promuov</w:t>
            </w:r>
            <w:r w:rsidRPr="00FF7A7C">
              <w:rPr>
                <w:b/>
                <w:i/>
              </w:rPr>
              <w:t>ere ulteriormente l'equilibrio geografico e le misure di sviluppo delle capacità nella progettazione e nell'attuazione di tali programmi, al fine di sostenere l'eccellenza e l'innovazione in tutti gli Stati membri, ridurre i divari di innovazione, promuovere la convergenza verso l'alto e consentire di sfruttare appieno il potenziale del mercato unico dell'Unione;</w:t>
            </w:r>
          </w:p>
        </w:tc>
      </w:tr>
    </w:tbl>
    <w:p w:rsidR="00AC4730" w:rsidRPr="00FF7A7C" w:rsidP="00AC4730" w14:paraId="5FFAC049"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1AFA602" w14:textId="77777777">
      <w:r w:rsidRPr="00FF7A7C">
        <w:rPr>
          <w:rStyle w:val="HideTWBExt"/>
        </w:rPr>
        <w:t>&lt;/Amend&gt;</w:t>
      </w:r>
    </w:p>
    <w:p w:rsidR="00AC4730" w:rsidRPr="00FF7A7C" w:rsidP="00AC4730" w14:paraId="3A807BC2"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6E18A3EE"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4255D53A" w14:textId="77777777">
      <w:r w:rsidRPr="00FF7A7C">
        <w:rPr>
          <w:rStyle w:val="HideTWBExt"/>
        </w:rPr>
        <w:t>&lt;/RepeatBlock-By&gt;</w:t>
      </w:r>
    </w:p>
    <w:p w:rsidR="00AC4730" w:rsidRPr="00FF7A7C" w:rsidP="00AC4730" w14:paraId="71E1DDF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10D7360" w14:textId="77777777">
      <w:pPr>
        <w:pStyle w:val="NormalBold"/>
      </w:pPr>
      <w:r w:rsidRPr="00FF7A7C">
        <w:rPr>
          <w:rStyle w:val="HideTWBExt"/>
          <w:b w:val="0"/>
        </w:rPr>
        <w:t>&lt;Article&gt;</w:t>
      </w:r>
      <w:r w:rsidRPr="00FF7A7C">
        <w:t>Paragrafo 19</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7D997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C0FDC26" w14:textId="77777777">
            <w:pPr>
              <w:keepNext/>
            </w:pPr>
          </w:p>
        </w:tc>
      </w:tr>
      <w:tr w14:paraId="7FE5789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87437D3" w14:textId="77777777">
            <w:pPr>
              <w:pStyle w:val="ColumnHeading"/>
              <w:keepNext/>
            </w:pPr>
            <w:r w:rsidRPr="00FF7A7C">
              <w:t>Proposta di risoluzione</w:t>
            </w:r>
          </w:p>
        </w:tc>
        <w:tc>
          <w:tcPr>
            <w:tcW w:w="4876" w:type="dxa"/>
            <w:hideMark/>
          </w:tcPr>
          <w:p w:rsidR="00AC4730" w:rsidRPr="00FF7A7C" w14:paraId="1D8E8733" w14:textId="77777777">
            <w:pPr>
              <w:pStyle w:val="ColumnHeading"/>
              <w:keepNext/>
            </w:pPr>
            <w:r w:rsidRPr="00FF7A7C">
              <w:t>Emendamento</w:t>
            </w:r>
          </w:p>
        </w:tc>
      </w:tr>
      <w:tr w14:paraId="66B3ECC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14FC9CB" w14:textId="77777777">
            <w:pPr>
              <w:pStyle w:val="Normal6"/>
            </w:pPr>
            <w:r w:rsidRPr="00FF7A7C">
              <w:t>19.</w:t>
            </w:r>
            <w:r w:rsidRPr="00FF7A7C">
              <w:tab/>
              <w:t xml:space="preserve">chiede alla Commissione e agli Stati membri di andare oltre l'assistenza tecnica e di investire nel capitale </w:t>
            </w:r>
            <w:r w:rsidRPr="00FF7A7C">
              <w:t xml:space="preserve">umano in seno alle autorità di gestione e alle autorità di audit per evitare la perdita della memoria istituzionale; invita la Commissione a sviluppare solidi sistemi di audit per tutelare gli interessi finanziari dell'UE dalla corruzione sistemica </w:t>
            </w:r>
            <w:r w:rsidRPr="00FF7A7C">
              <w:rPr>
                <w:b/>
                <w:i/>
              </w:rPr>
              <w:t>o</w:t>
            </w:r>
            <w:r w:rsidRPr="00FF7A7C">
              <w:t xml:space="preserve"> dai conflitti di interessi e a utilizzare strumenti digitali e orientamenti preventivi per ridurre i rischi strategici, anche sostenendo gli Stati membri nell'adozione di strategie nazionali antifrode;</w:t>
            </w:r>
          </w:p>
        </w:tc>
        <w:tc>
          <w:tcPr>
            <w:tcW w:w="4876" w:type="dxa"/>
            <w:hideMark/>
          </w:tcPr>
          <w:p w:rsidR="00AC4730" w:rsidRPr="00FF7A7C" w14:paraId="0CFD2653" w14:textId="77777777">
            <w:pPr>
              <w:pStyle w:val="Normal6"/>
              <w:rPr>
                <w:szCs w:val="24"/>
              </w:rPr>
            </w:pPr>
            <w:r w:rsidRPr="00FF7A7C">
              <w:t>19.</w:t>
            </w:r>
            <w:r w:rsidRPr="00FF7A7C">
              <w:tab/>
              <w:t>chiede alla Commissione e agli Stati membri di andare oltre l'assistenza tecnica e di investire nel capitale umano in seno alle autorità di gestione e alle autorità di audit per evitare la perdita della memoria istituzionale; invita la Commissione a sviluppare solidi sistemi di audit per tutelare gli interessi finanziari dell'UE dalla corruzione sistemica</w:t>
            </w:r>
            <w:r w:rsidRPr="00FF7A7C">
              <w:rPr>
                <w:b/>
                <w:i/>
              </w:rPr>
              <w:t>,</w:t>
            </w:r>
            <w:r w:rsidRPr="00FF7A7C">
              <w:t xml:space="preserve"> dai conflitti di interessi</w:t>
            </w:r>
            <w:r w:rsidRPr="00FF7A7C">
              <w:rPr>
                <w:b/>
                <w:i/>
              </w:rPr>
              <w:t>, dall'elusione fiscale e da qualsiasi uso improprio dei fondi dell'UE</w:t>
            </w:r>
            <w:r w:rsidRPr="00FF7A7C">
              <w:t xml:space="preserve"> e a utilizzare strumenti digitali e orientamenti preven</w:t>
            </w:r>
            <w:r w:rsidRPr="00FF7A7C">
              <w:t xml:space="preserve">tivi per ridurre i rischi strategici, anche sostenendo gli Stati membri nell'adozione di strategie nazionali antifrode; </w:t>
            </w:r>
            <w:r w:rsidRPr="00FF7A7C">
              <w:rPr>
                <w:b/>
                <w:i/>
              </w:rPr>
              <w:t>invita inoltre la Commissione a monitorare l'attuazione efficace di solide misure antifrode, al fine di garantire la trasparenza sui beneficiari finali e la protezione degli informatori, nel pieno rispetto dello Stato di diritto;</w:t>
            </w:r>
          </w:p>
        </w:tc>
      </w:tr>
    </w:tbl>
    <w:p w:rsidR="00AC4730" w:rsidRPr="00FF7A7C" w:rsidP="00AC4730" w14:paraId="1F8EA79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EBF3E64" w14:textId="77777777">
      <w:r w:rsidRPr="00FF7A7C">
        <w:rPr>
          <w:rStyle w:val="HideTWBExt"/>
        </w:rPr>
        <w:t>&lt;/Amend&gt;</w:t>
      </w:r>
    </w:p>
    <w:p w:rsidR="00AC4730" w:rsidRPr="00FF7A7C" w:rsidP="00AC4730" w14:paraId="49C95E91"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D3DAB27"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51DBE623" w14:textId="77777777">
      <w:r w:rsidRPr="00FF7A7C">
        <w:rPr>
          <w:rStyle w:val="HideTWBExt"/>
        </w:rPr>
        <w:t>&lt;/RepeatBlock-By&gt;</w:t>
      </w:r>
    </w:p>
    <w:p w:rsidR="00AC4730" w:rsidRPr="00FF7A7C" w:rsidP="00AC4730" w14:paraId="7C18A6ED"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8C8C69C" w14:textId="77777777">
      <w:pPr>
        <w:pStyle w:val="NormalBold"/>
      </w:pPr>
      <w:r w:rsidRPr="00FF7A7C">
        <w:rPr>
          <w:rStyle w:val="HideTWBExt"/>
          <w:b w:val="0"/>
        </w:rPr>
        <w:t>&lt;Article&gt;</w:t>
      </w:r>
      <w:r w:rsidRPr="00FF7A7C">
        <w:t>Paragrafo 19</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451DD4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97839E5" w14:textId="77777777">
            <w:pPr>
              <w:keepNext/>
            </w:pPr>
          </w:p>
        </w:tc>
      </w:tr>
      <w:tr w14:paraId="6F5D444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3A2095D" w14:textId="77777777">
            <w:pPr>
              <w:pStyle w:val="ColumnHeading"/>
              <w:keepNext/>
            </w:pPr>
            <w:r w:rsidRPr="00FF7A7C">
              <w:t>Proposta di risoluzione</w:t>
            </w:r>
          </w:p>
        </w:tc>
        <w:tc>
          <w:tcPr>
            <w:tcW w:w="4876" w:type="dxa"/>
            <w:hideMark/>
          </w:tcPr>
          <w:p w:rsidR="00AC4730" w:rsidRPr="00FF7A7C" w14:paraId="0A4E0D34" w14:textId="77777777">
            <w:pPr>
              <w:pStyle w:val="ColumnHeading"/>
              <w:keepNext/>
            </w:pPr>
            <w:r w:rsidRPr="00FF7A7C">
              <w:t>Emendamento</w:t>
            </w:r>
          </w:p>
        </w:tc>
      </w:tr>
      <w:tr w14:paraId="1806630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8104C93" w14:textId="77777777">
            <w:pPr>
              <w:pStyle w:val="Normal6"/>
            </w:pPr>
            <w:r w:rsidRPr="00FF7A7C">
              <w:t>19.</w:t>
            </w:r>
            <w:r w:rsidRPr="00FF7A7C">
              <w:tab/>
              <w:t>chiede alla Commissione e agli Stati membri di andare oltre l'assistenza tecnica e di investire nel capitale umano in seno alle autorità di gestione e alle autorità di audit per evitare la perdita della memoria istituzionale; invita la Commissione a sviluppare solidi sistemi di audit per tutelare gli interessi finanziari dell'UE dalla corruzione sistemica o dai conflitti di interessi e a utilizzare strumenti digitali e orientamenti preventivi per ridurre i rischi strategici, anche sostenendo gli Stati memb</w:t>
            </w:r>
            <w:r w:rsidRPr="00FF7A7C">
              <w:t>ri nell'adozione di strategie nazionali antifrode;</w:t>
            </w:r>
          </w:p>
        </w:tc>
        <w:tc>
          <w:tcPr>
            <w:tcW w:w="4876" w:type="dxa"/>
            <w:hideMark/>
          </w:tcPr>
          <w:p w:rsidR="00AC4730" w:rsidRPr="00FF7A7C" w14:paraId="54569106" w14:textId="77777777">
            <w:pPr>
              <w:pStyle w:val="Normal6"/>
              <w:rPr>
                <w:szCs w:val="24"/>
              </w:rPr>
            </w:pPr>
            <w:r w:rsidRPr="00FF7A7C">
              <w:t>19.</w:t>
            </w:r>
            <w:r w:rsidRPr="00FF7A7C">
              <w:tab/>
              <w:t>chiede alla Commissione e agli Stati membri di andare oltre l'assistenza tecnica e di investire nel capitale umano in seno alle autorità di gestione e alle autorità di audit per evitare la perdita della memoria istituzionale; invita la Commissione a sviluppare solidi sistemi di audit per tutelare gli interessi finanziari dell'UE dalla corruzione sistemica o dai conflitti di interessi e a utilizzare strumenti digitali e orientamenti preventivi per ridurre i rischi strategici, anche sostenendo gli Stati memb</w:t>
            </w:r>
            <w:r w:rsidRPr="00FF7A7C">
              <w:t xml:space="preserve">ri nell'adozione di strategie nazionali antifrode; </w:t>
            </w:r>
            <w:r w:rsidRPr="00FF7A7C">
              <w:rPr>
                <w:b/>
                <w:i/>
              </w:rPr>
              <w:t>sottolinea che la protezione del bilancio dell'Unione e il rispetto dello Stato di diritto si rafforzano a vicenda e non sono negoziabili;</w:t>
            </w:r>
          </w:p>
        </w:tc>
      </w:tr>
    </w:tbl>
    <w:p w:rsidR="00AC4730" w:rsidRPr="00FF7A7C" w:rsidP="00AC4730" w14:paraId="4812DBB0"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682D358" w14:textId="77777777">
      <w:r w:rsidRPr="00FF7A7C">
        <w:rPr>
          <w:rStyle w:val="HideTWBExt"/>
        </w:rPr>
        <w:t>&lt;/Amend&gt;</w:t>
      </w:r>
    </w:p>
    <w:p w:rsidR="00AC4730" w:rsidRPr="00FF7A7C" w:rsidP="00AC4730" w14:paraId="33F299BB"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99</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7D006EB3"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14A3CC14" w14:textId="77777777">
      <w:r w:rsidRPr="00FF7A7C">
        <w:rPr>
          <w:rStyle w:val="HideTWBExt"/>
        </w:rPr>
        <w:t>&lt;/RepeatBlock-By&gt;</w:t>
      </w:r>
    </w:p>
    <w:p w:rsidR="00AC4730" w:rsidRPr="00FF7A7C" w:rsidP="00AC4730" w14:paraId="6AD8E944"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E79B2EB" w14:textId="77777777">
      <w:pPr>
        <w:pStyle w:val="NormalBold"/>
      </w:pPr>
      <w:r w:rsidRPr="00FF7A7C">
        <w:rPr>
          <w:rStyle w:val="HideTWBExt"/>
          <w:b w:val="0"/>
        </w:rPr>
        <w:t>&lt;Article&gt;</w:t>
      </w:r>
      <w:r w:rsidRPr="00FF7A7C">
        <w:t>Paragrafo 19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C0E9D1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DD19359" w14:textId="77777777">
            <w:pPr>
              <w:keepNext/>
            </w:pPr>
          </w:p>
        </w:tc>
      </w:tr>
      <w:tr w14:paraId="46614F7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7AD5A70" w14:textId="77777777">
            <w:pPr>
              <w:pStyle w:val="ColumnHeading"/>
              <w:keepNext/>
            </w:pPr>
            <w:r w:rsidRPr="00FF7A7C">
              <w:t>Proposta di risoluzione</w:t>
            </w:r>
          </w:p>
        </w:tc>
        <w:tc>
          <w:tcPr>
            <w:tcW w:w="4876" w:type="dxa"/>
            <w:hideMark/>
          </w:tcPr>
          <w:p w:rsidR="00AC4730" w:rsidRPr="00FF7A7C" w14:paraId="607367C8" w14:textId="77777777">
            <w:pPr>
              <w:pStyle w:val="ColumnHeading"/>
              <w:keepNext/>
            </w:pPr>
            <w:r w:rsidRPr="00FF7A7C">
              <w:t>Emendamento</w:t>
            </w:r>
          </w:p>
        </w:tc>
      </w:tr>
      <w:tr w14:paraId="6956D7B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1E32E3C6" w14:textId="77777777">
            <w:pPr>
              <w:pStyle w:val="Normal6"/>
            </w:pPr>
          </w:p>
        </w:tc>
        <w:tc>
          <w:tcPr>
            <w:tcW w:w="4876" w:type="dxa"/>
            <w:hideMark/>
          </w:tcPr>
          <w:p w:rsidR="00AC4730" w:rsidRPr="00FF7A7C" w14:paraId="2158DE5A" w14:textId="77777777">
            <w:pPr>
              <w:pStyle w:val="Normal6"/>
              <w:rPr>
                <w:szCs w:val="24"/>
              </w:rPr>
            </w:pPr>
            <w:r w:rsidRPr="00FF7A7C">
              <w:rPr>
                <w:b/>
                <w:i/>
              </w:rPr>
              <w:t>19 bis.</w:t>
            </w:r>
            <w:r w:rsidRPr="00FF7A7C">
              <w:rPr>
                <w:b/>
                <w:i/>
              </w:rPr>
              <w:tab/>
              <w:t xml:space="preserve">ricorda che l'Unione si fonda sul rispetto della diversità culturale, storica e religiosa; invita la Commissione e gli Stati </w:t>
            </w:r>
            <w:r w:rsidRPr="00FF7A7C">
              <w:rPr>
                <w:b/>
                <w:i/>
              </w:rPr>
              <w:t>membri a garantire che i processi di allargamento rimangano attenti alle specifiche esperienze storiche, tradizioni culturali e identità religiose dei paesi candidati; sottolinea che il successo dell'integrazione richiede dialogo, comprensione reciproca e rispetto tra gli Stati membri attuali e quelli futuri;</w:t>
            </w:r>
          </w:p>
        </w:tc>
      </w:tr>
    </w:tbl>
    <w:p w:rsidR="00AC4730" w:rsidRPr="00FF7A7C" w:rsidP="00AC4730" w14:paraId="439F84F1"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59BBE120" w14:textId="77777777">
      <w:r w:rsidRPr="00FF7A7C">
        <w:rPr>
          <w:rStyle w:val="HideTWBExt"/>
        </w:rPr>
        <w:t>&lt;/Amend&gt;</w:t>
      </w:r>
    </w:p>
    <w:p w:rsidR="00AC4730" w:rsidRPr="00FF7A7C" w:rsidP="00AC4730" w14:paraId="17B85EB8"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100</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716875F"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565408C6" w14:textId="77777777">
      <w:r w:rsidRPr="00FF7A7C">
        <w:rPr>
          <w:rStyle w:val="HideTWBExt"/>
        </w:rPr>
        <w:t>&lt;/RepeatBlock-By&gt;</w:t>
      </w:r>
    </w:p>
    <w:p w:rsidR="00AC4730" w:rsidRPr="00FF7A7C" w:rsidP="00AC4730" w14:paraId="70E175C9"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4708267" w14:textId="77777777">
      <w:pPr>
        <w:pStyle w:val="NormalBold"/>
      </w:pPr>
      <w:r w:rsidRPr="00FF7A7C">
        <w:rPr>
          <w:rStyle w:val="HideTWBExt"/>
          <w:b w:val="0"/>
        </w:rPr>
        <w:t>&lt;Article&gt;</w:t>
      </w:r>
      <w:r w:rsidRPr="00FF7A7C">
        <w:t>Paragrafo 19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E9DAE0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B476FED" w14:textId="77777777">
            <w:pPr>
              <w:keepNext/>
            </w:pPr>
          </w:p>
        </w:tc>
      </w:tr>
      <w:tr w14:paraId="56ACF86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2299DE7" w14:textId="77777777">
            <w:pPr>
              <w:pStyle w:val="ColumnHeading"/>
              <w:keepNext/>
            </w:pPr>
            <w:r w:rsidRPr="00FF7A7C">
              <w:t>Proposta di risoluzione</w:t>
            </w:r>
          </w:p>
        </w:tc>
        <w:tc>
          <w:tcPr>
            <w:tcW w:w="4876" w:type="dxa"/>
            <w:hideMark/>
          </w:tcPr>
          <w:p w:rsidR="00AC4730" w:rsidRPr="00FF7A7C" w14:paraId="519B8793" w14:textId="77777777">
            <w:pPr>
              <w:pStyle w:val="ColumnHeading"/>
              <w:keepNext/>
            </w:pPr>
            <w:r w:rsidRPr="00FF7A7C">
              <w:t>Emendamento</w:t>
            </w:r>
          </w:p>
        </w:tc>
      </w:tr>
      <w:tr w14:paraId="558309A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4C1833F" w14:textId="77777777">
            <w:pPr>
              <w:pStyle w:val="Normal6"/>
            </w:pPr>
          </w:p>
        </w:tc>
        <w:tc>
          <w:tcPr>
            <w:tcW w:w="4876" w:type="dxa"/>
            <w:hideMark/>
          </w:tcPr>
          <w:p w:rsidR="00AC4730" w:rsidRPr="00FF7A7C" w14:paraId="4ED4D1D7" w14:textId="77777777">
            <w:pPr>
              <w:pStyle w:val="Normal6"/>
              <w:rPr>
                <w:szCs w:val="24"/>
              </w:rPr>
            </w:pPr>
            <w:r w:rsidRPr="00FF7A7C">
              <w:rPr>
                <w:b/>
                <w:i/>
              </w:rPr>
              <w:t>19 bis.</w:t>
            </w:r>
            <w:r w:rsidRPr="00FF7A7C">
              <w:rPr>
                <w:b/>
                <w:i/>
              </w:rPr>
              <w:tab/>
              <w:t xml:space="preserve">sottolinea che i futuri allargamenti dovrebbero rafforzare la competitività dell'Unione preparando i paesi candidati non solo a </w:t>
            </w:r>
            <w:r w:rsidRPr="00FF7A7C">
              <w:rPr>
                <w:b/>
                <w:i/>
              </w:rPr>
              <w:t>una sana gestione finanziaria, ma anche a una partecipazione effettiva al mercato unico attraverso l'allineamento normativo, l'eccellenza amministrativa e un contesto prevedibile per gli investimenti;</w:t>
            </w:r>
          </w:p>
        </w:tc>
      </w:tr>
    </w:tbl>
    <w:p w:rsidR="00AC4730" w:rsidRPr="00FF7A7C" w:rsidP="00AC4730" w14:paraId="1F166918"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39CA893F" w14:textId="77777777">
      <w:r w:rsidRPr="00FF7A7C">
        <w:rPr>
          <w:rStyle w:val="HideTWBExt"/>
        </w:rPr>
        <w:t>&lt;/Amend&gt;</w:t>
      </w:r>
    </w:p>
    <w:p w:rsidR="00AC4730" w:rsidRPr="00FF7A7C" w:rsidP="00AC4730" w14:paraId="2A001353"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101</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5FF21E08"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667712AA" w14:textId="77777777">
      <w:r w:rsidRPr="00FF7A7C">
        <w:rPr>
          <w:rStyle w:val="HideTWBExt"/>
        </w:rPr>
        <w:t>&lt;/RepeatBlock-By&gt;</w:t>
      </w:r>
    </w:p>
    <w:p w:rsidR="00AC4730" w:rsidRPr="00FF7A7C" w:rsidP="00AC4730" w14:paraId="0113E3F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31D5D42" w14:textId="77777777">
      <w:pPr>
        <w:pStyle w:val="NormalBold"/>
      </w:pPr>
      <w:r w:rsidRPr="00FF7A7C">
        <w:rPr>
          <w:rStyle w:val="HideTWBExt"/>
          <w:b w:val="0"/>
        </w:rPr>
        <w:t>&lt;Article&gt;</w:t>
      </w:r>
      <w:r w:rsidRPr="00FF7A7C">
        <w:t>Paragrafo 19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A21C45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88FA7B6" w14:textId="77777777">
            <w:pPr>
              <w:keepNext/>
            </w:pPr>
          </w:p>
        </w:tc>
      </w:tr>
      <w:tr w14:paraId="5119088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C76F60F" w14:textId="77777777">
            <w:pPr>
              <w:pStyle w:val="ColumnHeading"/>
              <w:keepNext/>
            </w:pPr>
            <w:r w:rsidRPr="00FF7A7C">
              <w:t>Proposta di risoluzione</w:t>
            </w:r>
          </w:p>
        </w:tc>
        <w:tc>
          <w:tcPr>
            <w:tcW w:w="4876" w:type="dxa"/>
            <w:hideMark/>
          </w:tcPr>
          <w:p w:rsidR="00AC4730" w:rsidRPr="00FF7A7C" w14:paraId="4ACA61DC" w14:textId="77777777">
            <w:pPr>
              <w:pStyle w:val="ColumnHeading"/>
              <w:keepNext/>
            </w:pPr>
            <w:r w:rsidRPr="00FF7A7C">
              <w:t>Emendamento</w:t>
            </w:r>
          </w:p>
        </w:tc>
      </w:tr>
      <w:tr w14:paraId="3C2DDC9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48698B3F" w14:textId="77777777">
            <w:pPr>
              <w:pStyle w:val="Normal6"/>
            </w:pPr>
          </w:p>
        </w:tc>
        <w:tc>
          <w:tcPr>
            <w:tcW w:w="4876" w:type="dxa"/>
            <w:hideMark/>
          </w:tcPr>
          <w:p w:rsidR="00AC4730" w:rsidRPr="00FF7A7C" w14:paraId="140FC60F" w14:textId="77777777">
            <w:pPr>
              <w:pStyle w:val="Normal6"/>
              <w:rPr>
                <w:szCs w:val="24"/>
              </w:rPr>
            </w:pPr>
            <w:r w:rsidRPr="00FF7A7C">
              <w:rPr>
                <w:b/>
                <w:i/>
              </w:rPr>
              <w:t>19 bis.</w:t>
            </w:r>
            <w:r w:rsidRPr="00FF7A7C">
              <w:rPr>
                <w:b/>
                <w:i/>
              </w:rPr>
              <w:tab/>
              <w:t xml:space="preserve">invita la </w:t>
            </w:r>
            <w:r w:rsidRPr="00FF7A7C">
              <w:rPr>
                <w:b/>
                <w:i/>
              </w:rPr>
              <w:t>Commissione a garantire che i fondi dell'UE non siano indirizzati verso oligarchi o imprese legate a persone politicamente esposte con ruoli decisionali, al fine di preservare l'integrità istituzionale, garantire un processo decisionale imparziale e trasparente e rafforzare la fiducia dei cittadini;</w:t>
            </w:r>
          </w:p>
        </w:tc>
      </w:tr>
    </w:tbl>
    <w:p w:rsidR="00AC4730" w:rsidRPr="00FF7A7C" w:rsidP="00AC4730" w14:paraId="4673FD45"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6AC8224C" w14:textId="77777777">
      <w:r w:rsidRPr="00FF7A7C">
        <w:rPr>
          <w:rStyle w:val="HideTWBExt"/>
        </w:rPr>
        <w:t>&lt;/Amend&gt;</w:t>
      </w:r>
    </w:p>
    <w:p w:rsidR="00AC4730" w:rsidRPr="00FF7A7C" w:rsidP="00AC4730" w14:paraId="1AD89C79"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102</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2F77FF0" w14:textId="77777777">
      <w:pPr>
        <w:pStyle w:val="NormalBold"/>
      </w:pPr>
      <w:r w:rsidRPr="00FF7A7C">
        <w:rPr>
          <w:rStyle w:val="HideTWBExt"/>
          <w:b w:val="0"/>
        </w:rPr>
        <w:t>&lt;RepeatBlock-By&gt;&lt;Members&gt;</w:t>
      </w:r>
      <w:r w:rsidRPr="00FF7A7C">
        <w:t>Ondřej</w:t>
      </w:r>
      <w:r w:rsidRPr="00FF7A7C">
        <w:t xml:space="preserve"> </w:t>
      </w:r>
      <w:r w:rsidRPr="00FF7A7C">
        <w:t>Knotek</w:t>
      </w:r>
      <w:r w:rsidRPr="00FF7A7C">
        <w:rPr>
          <w:rStyle w:val="HideTWBExt"/>
          <w:b w:val="0"/>
        </w:rPr>
        <w:t>&lt;/Members&gt;</w:t>
      </w:r>
    </w:p>
    <w:p w:rsidR="00AC4730" w:rsidRPr="00FF7A7C" w:rsidP="00AC4730" w14:paraId="6BF3D395" w14:textId="77777777">
      <w:r w:rsidRPr="00FF7A7C">
        <w:rPr>
          <w:rStyle w:val="HideTWBExt"/>
        </w:rPr>
        <w:t>&lt;/RepeatBlock-By&gt;</w:t>
      </w:r>
    </w:p>
    <w:p w:rsidR="00AC4730" w:rsidRPr="00FF7A7C" w:rsidP="00AC4730" w14:paraId="0408DA3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62A84DB7" w14:textId="77777777">
      <w:pPr>
        <w:pStyle w:val="NormalBold"/>
      </w:pPr>
      <w:r w:rsidRPr="00FF7A7C">
        <w:rPr>
          <w:rStyle w:val="HideTWBExt"/>
          <w:b w:val="0"/>
        </w:rPr>
        <w:t>&lt;Article&gt;</w:t>
      </w:r>
      <w:r w:rsidRPr="00FF7A7C">
        <w:t>Paragrafo 19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E720F1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DBA483C" w14:textId="77777777">
            <w:pPr>
              <w:keepNext/>
            </w:pPr>
          </w:p>
        </w:tc>
      </w:tr>
      <w:tr w14:paraId="6B26857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18B90753" w14:textId="77777777">
            <w:pPr>
              <w:pStyle w:val="ColumnHeading"/>
              <w:keepNext/>
            </w:pPr>
            <w:r w:rsidRPr="00FF7A7C">
              <w:t>Proposta di risoluzione</w:t>
            </w:r>
          </w:p>
        </w:tc>
        <w:tc>
          <w:tcPr>
            <w:tcW w:w="4876" w:type="dxa"/>
            <w:hideMark/>
          </w:tcPr>
          <w:p w:rsidR="00AC4730" w:rsidRPr="00FF7A7C" w14:paraId="0D5AB034" w14:textId="77777777">
            <w:pPr>
              <w:pStyle w:val="ColumnHeading"/>
              <w:keepNext/>
            </w:pPr>
            <w:r w:rsidRPr="00FF7A7C">
              <w:t>Emendamento</w:t>
            </w:r>
          </w:p>
        </w:tc>
      </w:tr>
      <w:tr w14:paraId="4B7711A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3FDA35FD" w14:textId="77777777">
            <w:pPr>
              <w:pStyle w:val="Normal6"/>
            </w:pPr>
          </w:p>
        </w:tc>
        <w:tc>
          <w:tcPr>
            <w:tcW w:w="4876" w:type="dxa"/>
            <w:hideMark/>
          </w:tcPr>
          <w:p w:rsidR="00AC4730" w:rsidRPr="00FF7A7C" w14:paraId="31560127" w14:textId="77777777">
            <w:pPr>
              <w:pStyle w:val="Normal6"/>
              <w:rPr>
                <w:szCs w:val="24"/>
              </w:rPr>
            </w:pPr>
            <w:r w:rsidRPr="00FF7A7C">
              <w:rPr>
                <w:b/>
                <w:i/>
              </w:rPr>
              <w:t>19 bis.</w:t>
            </w:r>
            <w:r w:rsidRPr="00FF7A7C">
              <w:rPr>
                <w:b/>
                <w:i/>
              </w:rPr>
              <w:tab/>
              <w:t>incoraggia la Commissione ad agevolare lo scambio di migliori pratiche tra le autorità di gestione, audit e controllo degli Stati membri attuali e futuri al fine di rafforzare la capacità amministrativa, migliorare la governance digitale e accrescere la protezione del bilancio dell'Unione;</w:t>
            </w:r>
          </w:p>
        </w:tc>
      </w:tr>
    </w:tbl>
    <w:p w:rsidR="00AC4730" w:rsidRPr="00FF7A7C" w:rsidP="00AC4730" w14:paraId="31EC2CE0"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C82499E" w14:textId="77777777">
      <w:r w:rsidRPr="00FF7A7C">
        <w:rPr>
          <w:rStyle w:val="HideTWBExt"/>
        </w:rPr>
        <w:t>&lt;/Amend&gt;</w:t>
      </w:r>
    </w:p>
    <w:p w:rsidR="00AC4730" w:rsidRPr="00FF7A7C" w:rsidP="00AC4730" w14:paraId="3D4F0DB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103</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CCECF3F" w14:textId="77777777">
      <w:pPr>
        <w:pStyle w:val="NormalBold"/>
      </w:pPr>
      <w:r w:rsidRPr="00FF7A7C">
        <w:rPr>
          <w:rStyle w:val="HideTWBExt"/>
          <w:b w:val="0"/>
        </w:rPr>
        <w:t>&lt;RepeatBlock-By&gt;&lt;Members&gt;</w:t>
      </w:r>
      <w:r w:rsidRPr="00FF7A7C">
        <w:t xml:space="preserve">Vlad </w:t>
      </w:r>
      <w:r w:rsidRPr="00FF7A7C">
        <w:t>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44F17795" w14:textId="77777777">
      <w:r w:rsidRPr="00FF7A7C">
        <w:rPr>
          <w:rStyle w:val="HideTWBExt"/>
        </w:rPr>
        <w:t>&lt;/RepeatBlock-By&gt;</w:t>
      </w:r>
    </w:p>
    <w:p w:rsidR="00AC4730" w:rsidRPr="00FF7A7C" w:rsidP="00AC4730" w14:paraId="7E8564D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E7AAAE1" w14:textId="77777777">
      <w:pPr>
        <w:pStyle w:val="NormalBold"/>
      </w:pPr>
      <w:r w:rsidRPr="00FF7A7C">
        <w:rPr>
          <w:rStyle w:val="HideTWBExt"/>
          <w:b w:val="0"/>
        </w:rPr>
        <w:t>&lt;Article&gt;</w:t>
      </w:r>
      <w:r w:rsidRPr="00FF7A7C">
        <w:t>Paragrafo 19 ter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7CFAD2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22FA4FAF" w14:textId="77777777">
            <w:pPr>
              <w:keepNext/>
            </w:pPr>
          </w:p>
        </w:tc>
      </w:tr>
      <w:tr w14:paraId="2A2A374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532EDC2" w14:textId="77777777">
            <w:pPr>
              <w:pStyle w:val="ColumnHeading"/>
              <w:keepNext/>
            </w:pPr>
            <w:r w:rsidRPr="00FF7A7C">
              <w:t>Proposta di risoluzione</w:t>
            </w:r>
          </w:p>
        </w:tc>
        <w:tc>
          <w:tcPr>
            <w:tcW w:w="4876" w:type="dxa"/>
            <w:hideMark/>
          </w:tcPr>
          <w:p w:rsidR="00AC4730" w:rsidRPr="00FF7A7C" w14:paraId="3DD83306" w14:textId="77777777">
            <w:pPr>
              <w:pStyle w:val="ColumnHeading"/>
              <w:keepNext/>
            </w:pPr>
            <w:r w:rsidRPr="00FF7A7C">
              <w:t>Emendamento</w:t>
            </w:r>
          </w:p>
        </w:tc>
      </w:tr>
      <w:tr w14:paraId="4101BC1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3097B7A6" w14:textId="77777777">
            <w:pPr>
              <w:pStyle w:val="Normal6"/>
            </w:pPr>
          </w:p>
        </w:tc>
        <w:tc>
          <w:tcPr>
            <w:tcW w:w="4876" w:type="dxa"/>
            <w:hideMark/>
          </w:tcPr>
          <w:p w:rsidR="00AC4730" w:rsidRPr="00FF7A7C" w14:paraId="476D23C3" w14:textId="77777777">
            <w:pPr>
              <w:pStyle w:val="Normal6"/>
              <w:rPr>
                <w:szCs w:val="24"/>
              </w:rPr>
            </w:pPr>
            <w:r w:rsidRPr="00FF7A7C">
              <w:rPr>
                <w:b/>
                <w:i/>
              </w:rPr>
              <w:t>19 ter.</w:t>
            </w:r>
            <w:r w:rsidRPr="00FF7A7C">
              <w:rPr>
                <w:b/>
                <w:i/>
              </w:rPr>
              <w:tab/>
              <w:t xml:space="preserve">sottolinea che il </w:t>
            </w:r>
            <w:r w:rsidRPr="00FF7A7C">
              <w:rPr>
                <w:b/>
                <w:i/>
              </w:rPr>
              <w:t>monitoraggio dei programmi di riforma nell'ambito degli strumenti di preadesione basati sui risultati dovrebbe essere reso sufficientemente trasparente da consentire un controllo efficace, anche da parte delle parti sociali e delle organizzazioni della società civile dei paesi beneficiari; osserva che le organizzazioni della società civile contribuiscono al quadro di controllo e responsabilità relativo ai fondi dell'Unione, anche monitorando l'attuazione delle fasi di riforma e l'utilizzo dei fondi da parte</w:t>
            </w:r>
            <w:r w:rsidRPr="00FF7A7C">
              <w:rPr>
                <w:b/>
                <w:i/>
              </w:rPr>
              <w:t xml:space="preserve"> dei destinatari finali, e sottolinea che l'applicazione di meccanismi di condizionalità nei confronti dei governi centrali non dovrebbe avere l'effetto indesiderato di indebolire tale capacità di controllo indipendente;</w:t>
            </w:r>
          </w:p>
        </w:tc>
      </w:tr>
    </w:tbl>
    <w:p w:rsidR="00AC4730" w:rsidRPr="00FF7A7C" w:rsidP="00AC4730" w14:paraId="7A9AA14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192A7E49" w14:textId="77777777">
      <w:r w:rsidRPr="00FF7A7C">
        <w:rPr>
          <w:rStyle w:val="HideTWBExt"/>
        </w:rPr>
        <w:t>&lt;/Amend&gt;</w:t>
      </w:r>
    </w:p>
    <w:p w:rsidR="00AC4730" w:rsidRPr="00FF7A7C" w:rsidP="00AC4730" w14:paraId="0E3B674D"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104</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17F6B1F8" w14:textId="77777777">
      <w:pPr>
        <w:pStyle w:val="NormalBold"/>
      </w:pPr>
      <w:r w:rsidRPr="00FF7A7C">
        <w:rPr>
          <w:rStyle w:val="HideTWBExt"/>
          <w:b w:val="0"/>
        </w:rPr>
        <w:t>&lt;RepeatBlock-By&gt;&lt;Members&gt;</w:t>
      </w:r>
      <w:r w:rsidRPr="00FF7A7C">
        <w:t xml:space="preserve">Cristian </w:t>
      </w:r>
      <w:r w:rsidRPr="00FF7A7C">
        <w:t>Terheş</w:t>
      </w:r>
      <w:r w:rsidRPr="00FF7A7C">
        <w:rPr>
          <w:rStyle w:val="HideTWBExt"/>
          <w:b w:val="0"/>
        </w:rPr>
        <w:t>&lt;/Members&gt;</w:t>
      </w:r>
    </w:p>
    <w:p w:rsidR="00AC4730" w:rsidRPr="00FF7A7C" w:rsidP="00AC4730" w14:paraId="6E162506" w14:textId="77777777">
      <w:r w:rsidRPr="00FF7A7C">
        <w:rPr>
          <w:rStyle w:val="HideTWBExt"/>
        </w:rPr>
        <w:t>&lt;/RepeatBlock-By&gt;</w:t>
      </w:r>
    </w:p>
    <w:p w:rsidR="00AC4730" w:rsidRPr="00FF7A7C" w:rsidP="00AC4730" w14:paraId="62973E47"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5F3D2799" w14:textId="77777777">
      <w:pPr>
        <w:pStyle w:val="NormalBold"/>
      </w:pPr>
      <w:r w:rsidRPr="00FF7A7C">
        <w:rPr>
          <w:rStyle w:val="HideTWBExt"/>
          <w:b w:val="0"/>
        </w:rPr>
        <w:t>&lt;Article&gt;</w:t>
      </w:r>
      <w:r w:rsidRPr="00FF7A7C">
        <w:t>Paragrafo 20</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C4F8C9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4824F172" w14:textId="77777777">
            <w:pPr>
              <w:keepNext/>
            </w:pPr>
          </w:p>
        </w:tc>
      </w:tr>
      <w:tr w14:paraId="315CBD1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2D13F18" w14:textId="77777777">
            <w:pPr>
              <w:pStyle w:val="ColumnHeading"/>
              <w:keepNext/>
            </w:pPr>
            <w:r w:rsidRPr="00FF7A7C">
              <w:t>Proposta di risoluzione</w:t>
            </w:r>
          </w:p>
        </w:tc>
        <w:tc>
          <w:tcPr>
            <w:tcW w:w="4876" w:type="dxa"/>
            <w:hideMark/>
          </w:tcPr>
          <w:p w:rsidR="00AC4730" w:rsidRPr="00FF7A7C" w14:paraId="506E4513" w14:textId="77777777">
            <w:pPr>
              <w:pStyle w:val="ColumnHeading"/>
              <w:keepNext/>
            </w:pPr>
            <w:r w:rsidRPr="00FF7A7C">
              <w:t>Emendamento</w:t>
            </w:r>
          </w:p>
        </w:tc>
      </w:tr>
      <w:tr w14:paraId="5DFB9C4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DCE4D34" w14:textId="77777777">
            <w:pPr>
              <w:pStyle w:val="Normal6"/>
            </w:pPr>
            <w:r w:rsidRPr="00FF7A7C">
              <w:t>20.</w:t>
            </w:r>
            <w:r w:rsidRPr="00FF7A7C">
              <w:tab/>
            </w:r>
            <w:r w:rsidRPr="00FF7A7C">
              <w:t xml:space="preserve">sottolinea che l'esperienza degli Stati membri che hanno aderito all'UE a partire dal 2004 dimostra che </w:t>
            </w:r>
            <w:r w:rsidRPr="00FF7A7C">
              <w:rPr>
                <w:b/>
                <w:bCs/>
                <w:i/>
                <w:iCs/>
              </w:rPr>
              <w:t>la</w:t>
            </w:r>
            <w:r w:rsidRPr="00FF7A7C">
              <w:t xml:space="preserve"> capacità amministrativa, la stabilità istituzionale e sistemi di gestione e di controllo maturi </w:t>
            </w:r>
            <w:r w:rsidRPr="00FF7A7C">
              <w:rPr>
                <w:b/>
                <w:i/>
              </w:rPr>
              <w:t>sono più decisivi per l'efficace attuazione dei fondi dell'UE rispetto al modello di governance formale scelto</w:t>
            </w:r>
            <w:r w:rsidRPr="00FF7A7C">
              <w:t>; invita la Commissione a garantire che tali insegnamenti si riflettano nella preparazione dei futuri allargamenti e nell'elaborazione del quadro di bilancio dell'UE per il periodo successivo al 2027</w:t>
            </w:r>
            <w:r w:rsidRPr="00FF7A7C">
              <w:t>;</w:t>
            </w:r>
          </w:p>
        </w:tc>
        <w:tc>
          <w:tcPr>
            <w:tcW w:w="4876" w:type="dxa"/>
            <w:hideMark/>
          </w:tcPr>
          <w:p w:rsidR="00AC4730" w:rsidRPr="00FF7A7C" w14:paraId="7E74B2C8" w14:textId="77777777">
            <w:pPr>
              <w:pStyle w:val="Normal6"/>
              <w:rPr>
                <w:szCs w:val="24"/>
              </w:rPr>
            </w:pPr>
            <w:r w:rsidRPr="00FF7A7C">
              <w:t>20.</w:t>
            </w:r>
            <w:r w:rsidRPr="00FF7A7C">
              <w:tab/>
              <w:t xml:space="preserve">sottolinea che l'esperienza degli Stati membri che hanno aderito all'UE a partire dal 2004 dimostra che </w:t>
            </w:r>
            <w:r w:rsidRPr="00FF7A7C">
              <w:rPr>
                <w:b/>
                <w:i/>
              </w:rPr>
              <w:t>l'allargamento è stato uno degli investimenti strategici di maggior successo dell'UE, che ha garantito pace, stabilità, sviluppo economico e una sovranità europea più forte</w:t>
            </w:r>
            <w:r w:rsidRPr="00FF7A7C">
              <w:t>;</w:t>
            </w:r>
            <w:r w:rsidRPr="00FF7A7C">
              <w:rPr>
                <w:b/>
                <w:i/>
              </w:rPr>
              <w:t xml:space="preserve"> sottolinea che un'efficace</w:t>
            </w:r>
            <w:r w:rsidRPr="00FF7A7C">
              <w:t xml:space="preserve"> capacità amministrativa, la stabilità istituzionale e sistemi di gestione e di controllo maturi </w:t>
            </w:r>
            <w:r w:rsidRPr="00FF7A7C">
              <w:rPr>
                <w:b/>
                <w:i/>
              </w:rPr>
              <w:t>restano essenziali per un'integrazione riuscita, ma che l'allargamento deve essere affrontato anche come uno s</w:t>
            </w:r>
            <w:r w:rsidRPr="00FF7A7C">
              <w:rPr>
                <w:b/>
                <w:i/>
              </w:rPr>
              <w:t>trumento geopolitico che rafforza la sicurezza, la resilienza e l'influenza dell'Unione</w:t>
            </w:r>
            <w:r w:rsidRPr="00FF7A7C">
              <w:t xml:space="preserve">; invita la Commissione a garantire che tali insegnamenti si riflettano nella preparazione dei futuri allargamenti e nell'elaborazione del quadro di </w:t>
            </w:r>
            <w:r w:rsidRPr="00FF7A7C">
              <w:t>bilancio dell'UE per il periodo successivo al 2027</w:t>
            </w:r>
            <w:r w:rsidRPr="00FF7A7C">
              <w:rPr>
                <w:b/>
                <w:i/>
              </w:rPr>
              <w:t>, anche attraverso risorse finanziarie adeguate, priorità di investimento strategiche e un sostegno mirato ai paesi candidati</w:t>
            </w:r>
            <w:r w:rsidRPr="00FF7A7C">
              <w:t>;</w:t>
            </w:r>
          </w:p>
        </w:tc>
      </w:tr>
    </w:tbl>
    <w:p w:rsidR="00AC4730" w:rsidRPr="00FF7A7C" w:rsidP="00AC4730" w14:paraId="18A6AF0D"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D96511A" w14:textId="77777777">
      <w:r w:rsidRPr="00FF7A7C">
        <w:rPr>
          <w:rStyle w:val="HideTWBExt"/>
        </w:rPr>
        <w:t>&lt;/Amend&gt;</w:t>
      </w:r>
    </w:p>
    <w:p w:rsidR="00AC4730" w:rsidRPr="00FF7A7C" w:rsidP="00AC4730" w14:paraId="1AB221F2"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105</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ECD100A" w14:textId="77777777">
      <w:pPr>
        <w:pStyle w:val="NormalBold"/>
      </w:pPr>
      <w:r w:rsidRPr="00FF7A7C">
        <w:rPr>
          <w:rStyle w:val="HideTWBExt"/>
          <w:b w:val="0"/>
        </w:rPr>
        <w:t>&lt;RepeatBlock-By&gt;&lt;Members&gt;</w:t>
      </w:r>
      <w:r w:rsidRPr="00FF7A7C">
        <w:t xml:space="preserve">Csaba </w:t>
      </w:r>
      <w:r w:rsidRPr="00FF7A7C">
        <w:t>Molnár</w:t>
      </w:r>
      <w:r w:rsidRPr="00FF7A7C">
        <w:t>, Carla Tavares</w:t>
      </w:r>
      <w:r w:rsidRPr="00FF7A7C">
        <w:rPr>
          <w:rStyle w:val="HideTWBExt"/>
          <w:b w:val="0"/>
        </w:rPr>
        <w:t>&lt;/</w:t>
      </w:r>
      <w:r w:rsidRPr="00FF7A7C">
        <w:rPr>
          <w:rStyle w:val="HideTWBExt"/>
          <w:b w:val="0"/>
        </w:rPr>
        <w:t>Members</w:t>
      </w:r>
      <w:r w:rsidRPr="00FF7A7C">
        <w:rPr>
          <w:rStyle w:val="HideTWBExt"/>
          <w:b w:val="0"/>
        </w:rPr>
        <w:t>&gt;</w:t>
      </w:r>
    </w:p>
    <w:p w:rsidR="00AC4730" w:rsidRPr="00FF7A7C" w:rsidP="00AC4730" w14:paraId="5BED2247" w14:textId="77777777">
      <w:r w:rsidRPr="00FF7A7C">
        <w:rPr>
          <w:rStyle w:val="HideTWBExt"/>
        </w:rPr>
        <w:t>&lt;/RepeatBlock-By&gt;</w:t>
      </w:r>
    </w:p>
    <w:p w:rsidR="00AC4730" w:rsidRPr="00FF7A7C" w:rsidP="00AC4730" w14:paraId="3348E50C"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0E87BC61" w14:textId="77777777">
      <w:pPr>
        <w:pStyle w:val="NormalBold"/>
      </w:pPr>
      <w:r w:rsidRPr="00FF7A7C">
        <w:rPr>
          <w:rStyle w:val="HideTWBExt"/>
          <w:b w:val="0"/>
        </w:rPr>
        <w:t>&lt;Article&gt;</w:t>
      </w:r>
      <w:r w:rsidRPr="00FF7A7C">
        <w:t>Paragrafo 20</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FF2160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08527F80" w14:textId="77777777">
            <w:pPr>
              <w:keepNext/>
            </w:pPr>
          </w:p>
        </w:tc>
      </w:tr>
      <w:tr w14:paraId="0BD012B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65451F01" w14:textId="77777777">
            <w:pPr>
              <w:pStyle w:val="ColumnHeading"/>
              <w:keepNext/>
            </w:pPr>
            <w:r w:rsidRPr="00FF7A7C">
              <w:t>Proposta di risoluzione</w:t>
            </w:r>
          </w:p>
        </w:tc>
        <w:tc>
          <w:tcPr>
            <w:tcW w:w="4876" w:type="dxa"/>
            <w:hideMark/>
          </w:tcPr>
          <w:p w:rsidR="00AC4730" w:rsidRPr="00FF7A7C" w14:paraId="27C3563C" w14:textId="77777777">
            <w:pPr>
              <w:pStyle w:val="ColumnHeading"/>
              <w:keepNext/>
            </w:pPr>
            <w:r w:rsidRPr="00FF7A7C">
              <w:t>Emendamento</w:t>
            </w:r>
          </w:p>
        </w:tc>
      </w:tr>
      <w:tr w14:paraId="1ADDC7E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486AC4EE" w14:textId="77777777">
            <w:pPr>
              <w:pStyle w:val="Normal6"/>
            </w:pPr>
            <w:r w:rsidRPr="00FF7A7C">
              <w:t>20.</w:t>
            </w:r>
            <w:r w:rsidRPr="00FF7A7C">
              <w:tab/>
            </w:r>
            <w:r w:rsidRPr="00FF7A7C">
              <w:t xml:space="preserve">sottolinea che l'esperienza degli Stati membri che hanno aderito all'UE a partire dal 2004 dimostra che la capacità amministrativa, la stabilità istituzionale e sistemi di gestione e di controllo maturi sono </w:t>
            </w:r>
            <w:r w:rsidRPr="00FF7A7C">
              <w:rPr>
                <w:b/>
                <w:i/>
              </w:rPr>
              <w:t>più</w:t>
            </w:r>
            <w:r w:rsidRPr="00FF7A7C">
              <w:t xml:space="preserve"> decisivi per l'efficace attuazione dei fondi dell'UE </w:t>
            </w:r>
            <w:r w:rsidRPr="00FF7A7C">
              <w:rPr>
                <w:b/>
                <w:i/>
              </w:rPr>
              <w:t>rispetto al modello di</w:t>
            </w:r>
            <w:r w:rsidRPr="00FF7A7C">
              <w:t xml:space="preserve"> governance </w:t>
            </w:r>
            <w:r w:rsidRPr="00FF7A7C">
              <w:rPr>
                <w:b/>
                <w:i/>
              </w:rPr>
              <w:t>formale scelto</w:t>
            </w:r>
            <w:r w:rsidRPr="00FF7A7C">
              <w:t>; invita la Commissione a garantire che tali insegnamenti si riflettano nella preparazione dei futuri allargamenti e nell'elaborazione del quadro di bilancio dell'UE per il periodo successivo al 2027</w:t>
            </w:r>
            <w:r w:rsidRPr="00FF7A7C">
              <w:t>;</w:t>
            </w:r>
          </w:p>
        </w:tc>
        <w:tc>
          <w:tcPr>
            <w:tcW w:w="4876" w:type="dxa"/>
            <w:hideMark/>
          </w:tcPr>
          <w:p w:rsidR="00AC4730" w:rsidRPr="00FF7A7C" w14:paraId="4311BF1E" w14:textId="77777777">
            <w:pPr>
              <w:pStyle w:val="Normal6"/>
              <w:rPr>
                <w:szCs w:val="24"/>
              </w:rPr>
            </w:pPr>
            <w:r w:rsidRPr="00FF7A7C">
              <w:t>20.</w:t>
            </w:r>
            <w:r w:rsidRPr="00FF7A7C">
              <w:tab/>
              <w:t>sottolinea che l'esperienza degli Stati membri che hanno aderito all'UE a partire dal 2004 dimostra che</w:t>
            </w:r>
            <w:r w:rsidRPr="00FF7A7C">
              <w:rPr>
                <w:b/>
                <w:i/>
              </w:rPr>
              <w:t>, pur essendo</w:t>
            </w:r>
            <w:r w:rsidRPr="00FF7A7C">
              <w:t xml:space="preserve"> la capacità amministrativa, la stabilità istituzionale e i sistemi di gestione e di controllo maturi decisivi per l'efficace attuazione dei fondi dell'UE, </w:t>
            </w:r>
            <w:r w:rsidRPr="00FF7A7C">
              <w:rPr>
                <w:b/>
                <w:i/>
              </w:rPr>
              <w:t>la partecipazione democratica di tutti i portatori di interessi pertinenti (sulla base del partenariato e della</w:t>
            </w:r>
            <w:r w:rsidRPr="00FF7A7C">
              <w:t xml:space="preserve"> governance </w:t>
            </w:r>
            <w:r w:rsidRPr="00FF7A7C">
              <w:rPr>
                <w:b/>
                <w:i/>
              </w:rPr>
              <w:t>multilivello) è altrettanto indispensabile per una programmazione e un'attuazione di buona qualità e, in ultima anal</w:t>
            </w:r>
            <w:r w:rsidRPr="00FF7A7C">
              <w:rPr>
                <w:b/>
                <w:i/>
              </w:rPr>
              <w:t>isi, per un utilizzo efficace ed efficiente del denaro dei contribuenti dell'UE</w:t>
            </w:r>
            <w:r w:rsidRPr="00FF7A7C">
              <w:t>; invita la Commissione a garantire che tali insegnamenti si riflettano nella preparazione dei futuri allargamenti e nell'elaborazione del quadro di bilancio dell'UE per il periodo successivo al 2027;</w:t>
            </w:r>
          </w:p>
        </w:tc>
      </w:tr>
    </w:tbl>
    <w:p w:rsidR="00AC4730" w:rsidRPr="00FF7A7C" w:rsidP="00AC4730" w14:paraId="4949BE62"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2D197F8F" w14:textId="77777777">
      <w:r w:rsidRPr="00FF7A7C">
        <w:rPr>
          <w:rStyle w:val="HideTWBExt"/>
        </w:rPr>
        <w:t>&lt;/Amend&gt;</w:t>
      </w:r>
    </w:p>
    <w:p w:rsidR="00AC4730" w:rsidRPr="00FF7A7C" w:rsidP="00AC4730" w14:paraId="463F4F2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106</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05CBE8C8"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7AADE5D1" w14:textId="77777777">
      <w:r w:rsidRPr="00FF7A7C">
        <w:rPr>
          <w:rStyle w:val="HideTWBExt"/>
        </w:rPr>
        <w:t>&lt;/RepeatBlock-By&gt;</w:t>
      </w:r>
    </w:p>
    <w:p w:rsidR="00AC4730" w:rsidRPr="00FF7A7C" w:rsidP="00AC4730" w14:paraId="7C5686B9"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1E7B5488" w14:textId="77777777">
      <w:pPr>
        <w:pStyle w:val="NormalBold"/>
      </w:pPr>
      <w:r w:rsidRPr="00FF7A7C">
        <w:rPr>
          <w:rStyle w:val="HideTWBExt"/>
          <w:b w:val="0"/>
        </w:rPr>
        <w:t>&lt;Article&gt;</w:t>
      </w:r>
      <w:r w:rsidRPr="00FF7A7C">
        <w:t>Paragrafo 20</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1AE6B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7C66997A" w14:textId="77777777">
            <w:pPr>
              <w:keepNext/>
            </w:pPr>
          </w:p>
        </w:tc>
      </w:tr>
      <w:tr w14:paraId="466D9BF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2E12BF99" w14:textId="77777777">
            <w:pPr>
              <w:pStyle w:val="ColumnHeading"/>
              <w:keepNext/>
            </w:pPr>
            <w:r w:rsidRPr="00FF7A7C">
              <w:t>Proposta di risoluzione</w:t>
            </w:r>
          </w:p>
        </w:tc>
        <w:tc>
          <w:tcPr>
            <w:tcW w:w="4876" w:type="dxa"/>
            <w:hideMark/>
          </w:tcPr>
          <w:p w:rsidR="00AC4730" w:rsidRPr="00FF7A7C" w14:paraId="204D0961" w14:textId="77777777">
            <w:pPr>
              <w:pStyle w:val="ColumnHeading"/>
              <w:keepNext/>
            </w:pPr>
            <w:r w:rsidRPr="00FF7A7C">
              <w:t>Emendamento</w:t>
            </w:r>
          </w:p>
        </w:tc>
      </w:tr>
      <w:tr w14:paraId="43D2633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76042DE3" w14:textId="77777777">
            <w:pPr>
              <w:pStyle w:val="Normal6"/>
            </w:pPr>
            <w:r w:rsidRPr="00FF7A7C">
              <w:t>20.</w:t>
            </w:r>
            <w:r w:rsidRPr="00FF7A7C">
              <w:tab/>
              <w:t>sottolinea che l'esperienza degli Stati membri che hanno aderito all'UE a partire dal 2004 dimostra che la capacità amministrativa, la stabilità istituzionale e sistemi di gestione e di controllo maturi sono più decisivi per l'efficace attuazione dei fondi dell'UE rispetto al modello di governance formale scelto; invita la Commissione a garantire che tali insegnamenti si riflettano nella preparazione dei futuri allargamenti e nell'elaborazione del quadro di bilancio dell'UE per il periodo successivo al 202</w:t>
            </w:r>
            <w:r w:rsidRPr="00FF7A7C">
              <w:t>7;</w:t>
            </w:r>
          </w:p>
        </w:tc>
        <w:tc>
          <w:tcPr>
            <w:tcW w:w="4876" w:type="dxa"/>
            <w:hideMark/>
          </w:tcPr>
          <w:p w:rsidR="00AC4730" w:rsidRPr="00FF7A7C" w14:paraId="1961464B" w14:textId="77777777">
            <w:pPr>
              <w:pStyle w:val="Normal6"/>
              <w:rPr>
                <w:szCs w:val="24"/>
              </w:rPr>
            </w:pPr>
            <w:r w:rsidRPr="00FF7A7C">
              <w:t>20.</w:t>
            </w:r>
            <w:r w:rsidRPr="00FF7A7C">
              <w:tab/>
              <w:t>sottolinea che l'esperienza degli Stati membri che hanno aderito all'UE a partire dal 2004 dimostra che la capacità amministrativa, la stabilità istituzionale e sistemi di gestione e di controllo maturi sono più decisivi per l'efficace attuazione dei fondi dell'UE rispetto al modello di governance formale scelto; invita la Commissione a garantire che tali insegnamenti si riflettano nella preparazione dei futuri allargamenti e nell'elaborazione del quadro di bilancio dell'UE per il periodo successivo al 202</w:t>
            </w:r>
            <w:r w:rsidRPr="00FF7A7C">
              <w:t xml:space="preserve">7; </w:t>
            </w:r>
            <w:r w:rsidRPr="00FF7A7C">
              <w:rPr>
                <w:b/>
                <w:i/>
              </w:rPr>
              <w:t>invita inoltre la Commissione e gli Stati membri a migliorare la trasparenza e l'accessibilità pubblica dei dati sui risultati e sulla performance dei fondi dell'Unione negli Stati membri che hanno aderito all'UE a partire dal 2004, in modo che i cittadini e i contribuenti possano vedere i benefici documentati di una spesa dell'Unione ben gestita, rafforzando in tal modo la responsabilità e la titolarità pubblica;</w:t>
            </w:r>
          </w:p>
        </w:tc>
      </w:tr>
    </w:tbl>
    <w:p w:rsidR="00AC4730" w:rsidRPr="00FF7A7C" w:rsidP="00AC4730" w14:paraId="7935291E"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07775292" w14:textId="77777777">
      <w:r w:rsidRPr="00FF7A7C">
        <w:rPr>
          <w:rStyle w:val="HideTWBExt"/>
        </w:rPr>
        <w:t>&lt;/Amend&gt;</w:t>
      </w:r>
    </w:p>
    <w:p w:rsidR="00AC4730" w:rsidRPr="00FF7A7C" w:rsidP="00AC4730" w14:paraId="07A76975"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107</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3C856CBE" w14:textId="77777777">
      <w:pPr>
        <w:pStyle w:val="NormalBold"/>
      </w:pPr>
      <w:r w:rsidRPr="00FF7A7C">
        <w:rPr>
          <w:rStyle w:val="HideTWBExt"/>
          <w:b w:val="0"/>
        </w:rPr>
        <w:t>&lt;RepeatBlock-By&gt;&lt;Members&gt;</w:t>
      </w:r>
      <w:r w:rsidRPr="00FF7A7C">
        <w:t xml:space="preserve">Jonas </w:t>
      </w:r>
      <w:r w:rsidRPr="00FF7A7C">
        <w:t>Sjöstedt</w:t>
      </w:r>
      <w:r w:rsidRPr="00FF7A7C">
        <w:rPr>
          <w:rStyle w:val="HideTWBExt"/>
          <w:b w:val="0"/>
        </w:rPr>
        <w:t>&lt;/Members&gt;</w:t>
      </w:r>
    </w:p>
    <w:p w:rsidR="00AC4730" w:rsidRPr="00FF7A7C" w:rsidP="00AC4730" w14:paraId="65A99A8D" w14:textId="77777777">
      <w:r w:rsidRPr="00FF7A7C">
        <w:rPr>
          <w:rStyle w:val="HideTWBExt"/>
        </w:rPr>
        <w:t>&lt;/RepeatBlock-By&gt;</w:t>
      </w:r>
    </w:p>
    <w:p w:rsidR="00AC4730" w:rsidRPr="00FF7A7C" w:rsidP="00AC4730" w14:paraId="369AF1C8" w14:textId="77777777">
      <w:pPr>
        <w:pStyle w:val="NormalBold"/>
        <w:keepNext/>
      </w:pPr>
      <w:r w:rsidRPr="00FF7A7C">
        <w:rPr>
          <w:rStyle w:val="HideTWBExt"/>
          <w:b w:val="0"/>
        </w:rPr>
        <w:t>&lt;DocAmend&gt;</w:t>
      </w:r>
      <w:r w:rsidRPr="00FF7A7C">
        <w:t>Proposta di 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713A6856" w14:textId="77777777">
      <w:pPr>
        <w:pStyle w:val="NormalBold"/>
      </w:pPr>
      <w:r w:rsidRPr="00FF7A7C">
        <w:rPr>
          <w:rStyle w:val="HideTWBExt"/>
          <w:b w:val="0"/>
        </w:rPr>
        <w:t>&lt;Article&gt;</w:t>
      </w:r>
      <w:r w:rsidRPr="00FF7A7C">
        <w:t>Paragrafo 20</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46019A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68C18D8C" w14:textId="77777777">
            <w:pPr>
              <w:keepNext/>
            </w:pPr>
          </w:p>
        </w:tc>
      </w:tr>
      <w:tr w14:paraId="14FC788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55C64902" w14:textId="77777777">
            <w:pPr>
              <w:pStyle w:val="ColumnHeading"/>
              <w:keepNext/>
            </w:pPr>
            <w:r w:rsidRPr="00FF7A7C">
              <w:t xml:space="preserve">Proposta di </w:t>
            </w:r>
            <w:r w:rsidRPr="00FF7A7C">
              <w:t>risoluzione</w:t>
            </w:r>
          </w:p>
        </w:tc>
        <w:tc>
          <w:tcPr>
            <w:tcW w:w="4876" w:type="dxa"/>
            <w:hideMark/>
          </w:tcPr>
          <w:p w:rsidR="00AC4730" w:rsidRPr="00FF7A7C" w14:paraId="32EBA3ED" w14:textId="77777777">
            <w:pPr>
              <w:pStyle w:val="ColumnHeading"/>
              <w:keepNext/>
            </w:pPr>
            <w:r w:rsidRPr="00FF7A7C">
              <w:t>Emendamento</w:t>
            </w:r>
          </w:p>
        </w:tc>
      </w:tr>
      <w:tr w14:paraId="334CE77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34A91DE0" w14:textId="77777777">
            <w:pPr>
              <w:pStyle w:val="Normal6"/>
            </w:pPr>
            <w:r w:rsidRPr="00FF7A7C">
              <w:t>20.</w:t>
            </w:r>
            <w:r w:rsidRPr="00FF7A7C">
              <w:tab/>
            </w:r>
            <w:r w:rsidRPr="00FF7A7C">
              <w:t xml:space="preserve">sottolinea che l'esperienza degli Stati membri che hanno aderito all'UE a partire dal 2004 dimostra che la capacità amministrativa, la stabilità </w:t>
            </w:r>
            <w:r w:rsidRPr="00FF7A7C">
              <w:rPr>
                <w:b/>
                <w:bCs/>
                <w:i/>
                <w:iCs/>
              </w:rPr>
              <w:t>istituzionale</w:t>
            </w:r>
            <w:r w:rsidRPr="00FF7A7C">
              <w:t xml:space="preserve"> e sistemi di gestione e di controllo maturi sono più decisivi per l'efficace attuazione dei fondi dell'UE rispetto al modello di governance formale scelto; invita la Commissione a garantire che tali insegnamenti si riflettano nella preparazione dei futuri allargamenti e nell'elaborazione del quadro di bilancio dell'UE per il periodo successivo al 2027</w:t>
            </w:r>
            <w:r w:rsidRPr="00FF7A7C">
              <w:t>;</w:t>
            </w:r>
          </w:p>
        </w:tc>
        <w:tc>
          <w:tcPr>
            <w:tcW w:w="4876" w:type="dxa"/>
            <w:hideMark/>
          </w:tcPr>
          <w:p w:rsidR="00AC4730" w:rsidRPr="00FF7A7C" w14:paraId="56EBE8C0" w14:textId="77777777">
            <w:pPr>
              <w:pStyle w:val="Normal6"/>
              <w:rPr>
                <w:szCs w:val="24"/>
              </w:rPr>
            </w:pPr>
            <w:r w:rsidRPr="00FF7A7C">
              <w:t>20.</w:t>
            </w:r>
            <w:r w:rsidRPr="00FF7A7C">
              <w:tab/>
              <w:t xml:space="preserve">sottolinea che l'esperienza degli Stati membri che hanno aderito all'UE a partire dal 2004 dimostra che la capacità amministrativa, la stabilità </w:t>
            </w:r>
            <w:r w:rsidRPr="00FF7A7C">
              <w:rPr>
                <w:b/>
                <w:i/>
              </w:rPr>
              <w:t>e la trasparenza istituzionali</w:t>
            </w:r>
            <w:r w:rsidRPr="00FF7A7C">
              <w:t xml:space="preserve"> e sistemi di gestione e di controllo maturi sono più decisivi per l'efficace attuazione dei fondi dell'UE rispetto al modello di governance formale scelto; invita la Commissione a garantire che tali insegnamenti si riflettano nella preparazione dei futuri allargamenti e nell'elaborazione del quadro di bilancio dell'UE per il periodo </w:t>
            </w:r>
            <w:r w:rsidRPr="00FF7A7C">
              <w:t>successivo al 2027;</w:t>
            </w:r>
          </w:p>
        </w:tc>
      </w:tr>
    </w:tbl>
    <w:p w:rsidR="00AC4730" w:rsidRPr="00FF7A7C" w:rsidP="00AC4730" w14:paraId="28579DCA"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AC4730" w:rsidRPr="00FF7A7C" w:rsidP="00AC4730" w14:paraId="444D09A7" w14:textId="77777777">
      <w:r w:rsidRPr="00FF7A7C">
        <w:rPr>
          <w:rStyle w:val="HideTWBExt"/>
        </w:rPr>
        <w:t>&lt;/Amend&gt;</w:t>
      </w:r>
    </w:p>
    <w:p w:rsidR="00AC4730" w:rsidRPr="00FF7A7C" w:rsidP="00AC4730" w14:paraId="5A781924" w14:textId="77777777">
      <w:pPr>
        <w:pStyle w:val="AMNumberTabs0"/>
        <w:keepNext/>
      </w:pPr>
      <w:r w:rsidRPr="00FF7A7C">
        <w:rPr>
          <w:rStyle w:val="HideTWBExt"/>
          <w:b w:val="0"/>
        </w:rPr>
        <w:t>&lt;Amend&gt;</w:t>
      </w:r>
      <w:r w:rsidRPr="00FF7A7C">
        <w:t>Emendamento</w:t>
      </w:r>
      <w:r w:rsidRPr="00FF7A7C">
        <w:tab/>
      </w:r>
      <w:r w:rsidRPr="00FF7A7C">
        <w:tab/>
      </w:r>
      <w:r w:rsidRPr="00FF7A7C">
        <w:rPr>
          <w:rStyle w:val="HideTWBExt"/>
          <w:b w:val="0"/>
        </w:rPr>
        <w:t>&lt;NumAm&gt;</w:t>
      </w:r>
      <w:r w:rsidRPr="00FF7A7C">
        <w:t>108</w:t>
      </w:r>
      <w:r w:rsidRPr="00FF7A7C">
        <w:rPr>
          <w:rStyle w:val="HideTWBExt"/>
          <w:b w:val="0"/>
        </w:rPr>
        <w:t>&lt;/</w:t>
      </w:r>
      <w:r w:rsidRPr="00FF7A7C">
        <w:rPr>
          <w:rStyle w:val="HideTWBExt"/>
          <w:b w:val="0"/>
        </w:rPr>
        <w:t>NumAm</w:t>
      </w:r>
      <w:r w:rsidRPr="00FF7A7C">
        <w:rPr>
          <w:rStyle w:val="HideTWBExt"/>
          <w:b w:val="0"/>
        </w:rPr>
        <w:t>&gt;</w:t>
      </w:r>
    </w:p>
    <w:p w:rsidR="00AC4730" w:rsidRPr="00FF7A7C" w:rsidP="00AC4730" w14:paraId="4C69733D" w14:textId="77777777">
      <w:pPr>
        <w:pStyle w:val="NormalBold"/>
      </w:pPr>
      <w:r w:rsidRPr="00FF7A7C">
        <w:rPr>
          <w:rStyle w:val="HideTWBExt"/>
          <w:b w:val="0"/>
        </w:rPr>
        <w:t>&lt;RepeatBlock-By&gt;&lt;Members&gt;</w:t>
      </w:r>
      <w:r w:rsidRPr="00FF7A7C">
        <w:t>Vlad Vasile-</w:t>
      </w:r>
      <w:r w:rsidRPr="00FF7A7C">
        <w:t>Voiculescu</w:t>
      </w:r>
      <w:r w:rsidRPr="00FF7A7C">
        <w:t xml:space="preserve">, Michal </w:t>
      </w:r>
      <w:r w:rsidRPr="00FF7A7C">
        <w:t>Wiezik</w:t>
      </w:r>
      <w:r w:rsidRPr="00FF7A7C">
        <w:t xml:space="preserve">, Olivier </w:t>
      </w:r>
      <w:r w:rsidRPr="00FF7A7C">
        <w:t>Chastel</w:t>
      </w:r>
      <w:r w:rsidRPr="00FF7A7C">
        <w:rPr>
          <w:rStyle w:val="HideTWBExt"/>
          <w:b w:val="0"/>
        </w:rPr>
        <w:t>&lt;/Members&gt;</w:t>
      </w:r>
    </w:p>
    <w:p w:rsidR="00AC4730" w:rsidRPr="00FF7A7C" w:rsidP="00AC4730" w14:paraId="0476B9FD" w14:textId="77777777">
      <w:r w:rsidRPr="00FF7A7C">
        <w:rPr>
          <w:rStyle w:val="HideTWBExt"/>
        </w:rPr>
        <w:t>&lt;/RepeatBlock-By&gt;</w:t>
      </w:r>
    </w:p>
    <w:p w:rsidR="00AC4730" w:rsidRPr="00FF7A7C" w:rsidP="00AC4730" w14:paraId="59C9D5AE" w14:textId="77777777">
      <w:pPr>
        <w:pStyle w:val="NormalBold"/>
        <w:keepNext/>
      </w:pPr>
      <w:r w:rsidRPr="00FF7A7C">
        <w:rPr>
          <w:rStyle w:val="HideTWBExt"/>
          <w:b w:val="0"/>
        </w:rPr>
        <w:t>&lt;DocAmend&gt;</w:t>
      </w:r>
      <w:r w:rsidRPr="00FF7A7C">
        <w:t xml:space="preserve">Proposta di </w:t>
      </w:r>
      <w:r w:rsidRPr="00FF7A7C">
        <w:t>risoluzione</w:t>
      </w:r>
      <w:r w:rsidRPr="00FF7A7C">
        <w:rPr>
          <w:rStyle w:val="HideTWBExt"/>
          <w:b w:val="0"/>
        </w:rPr>
        <w:t>&lt;/</w:t>
      </w:r>
      <w:r w:rsidRPr="00FF7A7C">
        <w:rPr>
          <w:rStyle w:val="HideTWBExt"/>
          <w:b w:val="0"/>
        </w:rPr>
        <w:t>DocAmend</w:t>
      </w:r>
      <w:r w:rsidRPr="00FF7A7C">
        <w:rPr>
          <w:rStyle w:val="HideTWBExt"/>
          <w:b w:val="0"/>
        </w:rPr>
        <w:t>&gt;</w:t>
      </w:r>
    </w:p>
    <w:p w:rsidR="00AC4730" w:rsidRPr="00FF7A7C" w:rsidP="00AC4730" w14:paraId="2F176BF3" w14:textId="77777777">
      <w:pPr>
        <w:pStyle w:val="NormalBold"/>
      </w:pPr>
      <w:r w:rsidRPr="00FF7A7C">
        <w:rPr>
          <w:rStyle w:val="HideTWBExt"/>
          <w:b w:val="0"/>
        </w:rPr>
        <w:t>&lt;Article&gt;</w:t>
      </w:r>
      <w:r w:rsidRPr="00FF7A7C">
        <w:t>Paragrafo 20 bis (nuovo)</w:t>
      </w:r>
      <w:r w:rsidRPr="00FF7A7C">
        <w:rPr>
          <w:rStyle w:val="HideTWBExt"/>
          <w:b w:val="0"/>
        </w:rPr>
        <w:t>&lt;/</w:t>
      </w:r>
      <w:r w:rsidRPr="00FF7A7C">
        <w:rPr>
          <w:rStyle w:val="HideTWBExt"/>
          <w:b w:val="0"/>
        </w:rPr>
        <w:t>Article</w:t>
      </w:r>
      <w:r w:rsidRPr="00FF7A7C">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032787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F7A7C" w14:paraId="309506CB" w14:textId="77777777">
            <w:pPr>
              <w:keepNext/>
            </w:pPr>
          </w:p>
        </w:tc>
      </w:tr>
      <w:tr w14:paraId="44790AB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F7A7C" w14:paraId="0B43EAC3" w14:textId="77777777">
            <w:pPr>
              <w:pStyle w:val="ColumnHeading"/>
              <w:keepNext/>
            </w:pPr>
            <w:r w:rsidRPr="00FF7A7C">
              <w:t>Proposta di risoluzione</w:t>
            </w:r>
          </w:p>
        </w:tc>
        <w:tc>
          <w:tcPr>
            <w:tcW w:w="4876" w:type="dxa"/>
            <w:hideMark/>
          </w:tcPr>
          <w:p w:rsidR="00AC4730" w:rsidRPr="00FF7A7C" w14:paraId="4791EE8A" w14:textId="77777777">
            <w:pPr>
              <w:pStyle w:val="ColumnHeading"/>
              <w:keepNext/>
            </w:pPr>
            <w:r w:rsidRPr="00FF7A7C">
              <w:t>Emendamento</w:t>
            </w:r>
          </w:p>
        </w:tc>
      </w:tr>
      <w:tr w14:paraId="63DCFC0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F7A7C" w14:paraId="729CB524" w14:textId="77777777">
            <w:pPr>
              <w:pStyle w:val="Normal6"/>
            </w:pPr>
          </w:p>
        </w:tc>
        <w:tc>
          <w:tcPr>
            <w:tcW w:w="4876" w:type="dxa"/>
            <w:hideMark/>
          </w:tcPr>
          <w:p w:rsidR="00AC4730" w:rsidRPr="00FF7A7C" w14:paraId="00DE1BCB" w14:textId="77777777">
            <w:pPr>
              <w:pStyle w:val="Normal6"/>
              <w:rPr>
                <w:szCs w:val="24"/>
              </w:rPr>
            </w:pPr>
            <w:r w:rsidRPr="00FF7A7C">
              <w:rPr>
                <w:b/>
                <w:i/>
              </w:rPr>
              <w:t>20 bis.</w:t>
            </w:r>
            <w:r w:rsidRPr="00FF7A7C">
              <w:rPr>
                <w:b/>
                <w:i/>
              </w:rPr>
              <w:tab/>
              <w:t xml:space="preserve">evidenzia che qualsiasi futura architettura di attuazione del bilancio dell'Unione per il periodo successivo al 2027, compresi i piani di </w:t>
            </w:r>
            <w:r w:rsidRPr="00FF7A7C">
              <w:rPr>
                <w:b/>
                <w:i/>
              </w:rPr>
              <w:t>partenariato nazionali e regionali proposti, dovrebbe essere concepita ponendo un forte accento sulla responsabilità, sulla verificabilità e sulla chiara ripartizione delle responsabilità, evitando un'ulteriore complessità amministrativa che potrebbe compromettere l'efficace attuazione e la sana gestione finanziaria dei fondi dell'Unione, nonché la certezza del diritto per le autorità pubbliche, i beneficiari e gli investitori privati; sottolinea che l'accelerazione del ritmo del processo di allargamento re</w:t>
            </w:r>
            <w:r w:rsidRPr="00FF7A7C">
              <w:rPr>
                <w:b/>
                <w:i/>
              </w:rPr>
              <w:t>nde essenziale che l'architettura di controllo di bilancio per il periodo successivo al 2027, compresi i sistemi di controllo della Commissione, dell'OLAF, dell'EPPO e della Corte dei conti europea, corrisponda adeguatamente a un'Unione più ampia con contesti di gestione dei fondi più complessi.</w:t>
            </w:r>
          </w:p>
        </w:tc>
      </w:tr>
    </w:tbl>
    <w:p w:rsidR="00AC4730" w:rsidRPr="00FF7A7C" w:rsidP="00AC4730" w14:paraId="2FBCBA96" w14:textId="77777777">
      <w:pPr>
        <w:pStyle w:val="Olang"/>
      </w:pPr>
      <w:r w:rsidRPr="00FF7A7C">
        <w:rPr>
          <w:noProof w:val="0"/>
        </w:rPr>
        <w:t xml:space="preserve">Or. </w:t>
      </w:r>
      <w:r w:rsidRPr="00FF7A7C">
        <w:rPr>
          <w:rStyle w:val="HideTWBExt"/>
          <w:noProof w:val="0"/>
        </w:rPr>
        <w:t>&lt;</w:t>
      </w:r>
      <w:r w:rsidRPr="00FF7A7C">
        <w:rPr>
          <w:rStyle w:val="HideTWBExt"/>
          <w:noProof w:val="0"/>
        </w:rPr>
        <w:t>Original</w:t>
      </w:r>
      <w:r w:rsidRPr="00FF7A7C">
        <w:rPr>
          <w:rStyle w:val="HideTWBExt"/>
          <w:noProof w:val="0"/>
        </w:rPr>
        <w:t>&gt;</w:t>
      </w:r>
      <w:r w:rsidRPr="00FF7A7C">
        <w:rPr>
          <w:rStyle w:val="HideTWBInt"/>
          <w:noProof w:val="0"/>
        </w:rPr>
        <w:t>{EN}</w:t>
      </w:r>
      <w:r w:rsidRPr="00FF7A7C">
        <w:rPr>
          <w:noProof w:val="0"/>
        </w:rPr>
        <w:t>en</w:t>
      </w:r>
      <w:r w:rsidRPr="00FF7A7C">
        <w:rPr>
          <w:rStyle w:val="HideTWBExt"/>
          <w:noProof w:val="0"/>
        </w:rPr>
        <w:t>&lt;/</w:t>
      </w:r>
      <w:r w:rsidRPr="00FF7A7C">
        <w:rPr>
          <w:rStyle w:val="HideTWBExt"/>
          <w:noProof w:val="0"/>
        </w:rPr>
        <w:t>Original</w:t>
      </w:r>
      <w:r w:rsidRPr="00FF7A7C">
        <w:rPr>
          <w:rStyle w:val="HideTWBExt"/>
          <w:noProof w:val="0"/>
        </w:rPr>
        <w:t>&gt;</w:t>
      </w:r>
    </w:p>
    <w:p w:rsidR="002F29F3" w:rsidRPr="00FF7A7C" w:rsidP="002F29F3" w14:paraId="764ED3F9" w14:textId="77777777">
      <w:r w:rsidRPr="00FF7A7C">
        <w:rPr>
          <w:rStyle w:val="HideTWBExt"/>
        </w:rPr>
        <w:t>&lt;/Amend&gt;&lt;/RepeatBlock-Amend&gt;</w:t>
      </w:r>
    </w:p>
    <w:sectPr w:rsidSect="00FF7A7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A7C" w:rsidRPr="00FF7A7C" w:rsidP="00FF7A7C" w14:paraId="17C750AF" w14:textId="77777777">
    <w:pPr>
      <w:pStyle w:val="EPFooter"/>
    </w:pPr>
    <w:r w:rsidRPr="00FF7A7C">
      <w:t>PE</w:t>
    </w:r>
    <w:r w:rsidRPr="00FF7A7C">
      <w:rPr>
        <w:rStyle w:val="HideTWBExt"/>
      </w:rPr>
      <w:t>&lt;</w:t>
    </w:r>
    <w:r w:rsidRPr="00FF7A7C">
      <w:rPr>
        <w:rStyle w:val="HideTWBExt"/>
      </w:rPr>
      <w:t>NoPE</w:t>
    </w:r>
    <w:r w:rsidRPr="00FF7A7C">
      <w:rPr>
        <w:rStyle w:val="HideTWBExt"/>
      </w:rPr>
      <w:t>&gt;</w:t>
    </w:r>
    <w:r w:rsidRPr="00FF7A7C">
      <w:t>791.056</w:t>
    </w:r>
    <w:r w:rsidRPr="00FF7A7C">
      <w:rPr>
        <w:rStyle w:val="HideTWBExt"/>
      </w:rPr>
      <w:t>&lt;/</w:t>
    </w:r>
    <w:r w:rsidRPr="00FF7A7C">
      <w:rPr>
        <w:rStyle w:val="HideTWBExt"/>
      </w:rPr>
      <w:t>NoPE</w:t>
    </w:r>
    <w:r w:rsidRPr="00FF7A7C">
      <w:rPr>
        <w:rStyle w:val="HideTWBExt"/>
      </w:rPr>
      <w:t>&gt;&lt;Version&gt;</w:t>
    </w:r>
    <w:r w:rsidRPr="00FF7A7C">
      <w:t>v01-00</w:t>
    </w:r>
    <w:r w:rsidRPr="00FF7A7C">
      <w:rPr>
        <w:rStyle w:val="HideTWBExt"/>
      </w:rPr>
      <w:t>&lt;/Version&gt;</w:t>
    </w:r>
    <w:r w:rsidRPr="00FF7A7C">
      <w:tab/>
    </w:r>
    <w:r w:rsidRPr="00FF7A7C">
      <w:fldChar w:fldCharType="begin"/>
    </w:r>
    <w:r w:rsidRPr="00FF7A7C">
      <w:instrText xml:space="preserve"> PAGE  \* MERGEFORMAT </w:instrText>
    </w:r>
    <w:r w:rsidRPr="00FF7A7C">
      <w:fldChar w:fldCharType="separate"/>
    </w:r>
    <w:r w:rsidRPr="00FF7A7C">
      <w:rPr>
        <w:noProof/>
      </w:rPr>
      <w:t>2</w:t>
    </w:r>
    <w:r w:rsidRPr="00FF7A7C">
      <w:fldChar w:fldCharType="end"/>
    </w:r>
    <w:r w:rsidRPr="00FF7A7C">
      <w:t>/</w:t>
    </w:r>
    <w:r>
      <w:fldChar w:fldCharType="begin"/>
    </w:r>
    <w:r>
      <w:instrText xml:space="preserve"> NUMPAGES  \* MERGEFORMAT </w:instrText>
    </w:r>
    <w:r>
      <w:fldChar w:fldCharType="separate"/>
    </w:r>
    <w:r w:rsidRPr="00FF7A7C">
      <w:rPr>
        <w:noProof/>
      </w:rPr>
      <w:t>70</w:t>
    </w:r>
    <w:r w:rsidRPr="00FF7A7C">
      <w:rPr>
        <w:noProof/>
      </w:rPr>
      <w:fldChar w:fldCharType="end"/>
    </w:r>
    <w:r w:rsidRPr="00FF7A7C">
      <w:tab/>
    </w:r>
    <w:r w:rsidRPr="00FF7A7C">
      <w:rPr>
        <w:rStyle w:val="HideTWBExt"/>
      </w:rPr>
      <w:t>&lt;PathFdR&gt;</w:t>
    </w:r>
    <w:r w:rsidRPr="00FF7A7C">
      <w:t>AM\1348351IT.docx</w:t>
    </w:r>
    <w:r w:rsidRPr="00FF7A7C">
      <w:rPr>
        <w:rStyle w:val="HideTWBExt"/>
      </w:rPr>
      <w:t>&lt;/</w:t>
    </w:r>
    <w:r w:rsidRPr="00FF7A7C">
      <w:rPr>
        <w:rStyle w:val="HideTWBExt"/>
      </w:rPr>
      <w:t>PathFdR</w:t>
    </w:r>
    <w:r w:rsidRPr="00FF7A7C">
      <w:rPr>
        <w:rStyle w:val="HideTWBExt"/>
      </w:rPr>
      <w:t>&gt;</w:t>
    </w:r>
  </w:p>
  <w:p w:rsidR="00AD3D9F" w:rsidRPr="00FF7A7C" w:rsidP="00FF7A7C" w14:paraId="6A58EDFB" w14:textId="3F396129">
    <w:pPr>
      <w:pStyle w:val="EPFooter2"/>
    </w:pPr>
    <w:r w:rsidRPr="00FF7A7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A7C" w:rsidRPr="00FF7A7C" w:rsidP="00FF7A7C" w14:paraId="298385DA" w14:textId="77777777">
    <w:pPr>
      <w:pStyle w:val="EPFooter"/>
    </w:pPr>
    <w:r w:rsidRPr="00FF7A7C">
      <w:rPr>
        <w:rStyle w:val="HideTWBExt"/>
      </w:rPr>
      <w:t>&lt;PathFdR&gt;</w:t>
    </w:r>
    <w:r w:rsidRPr="00FF7A7C">
      <w:t>AM\1348351IT.docx</w:t>
    </w:r>
    <w:r w:rsidRPr="00FF7A7C">
      <w:rPr>
        <w:rStyle w:val="HideTWBExt"/>
      </w:rPr>
      <w:t>&lt;/</w:t>
    </w:r>
    <w:r w:rsidRPr="00FF7A7C">
      <w:rPr>
        <w:rStyle w:val="HideTWBExt"/>
      </w:rPr>
      <w:t>PathFdR</w:t>
    </w:r>
    <w:r w:rsidRPr="00FF7A7C">
      <w:rPr>
        <w:rStyle w:val="HideTWBExt"/>
      </w:rPr>
      <w:t>&gt;</w:t>
    </w:r>
    <w:r w:rsidRPr="00FF7A7C">
      <w:tab/>
    </w:r>
    <w:r w:rsidRPr="00FF7A7C">
      <w:fldChar w:fldCharType="begin"/>
    </w:r>
    <w:r w:rsidRPr="00FF7A7C">
      <w:instrText xml:space="preserve"> PAGE  \* MERGEFORMAT </w:instrText>
    </w:r>
    <w:r w:rsidRPr="00FF7A7C">
      <w:fldChar w:fldCharType="separate"/>
    </w:r>
    <w:r w:rsidRPr="00FF7A7C">
      <w:rPr>
        <w:noProof/>
      </w:rPr>
      <w:t>69</w:t>
    </w:r>
    <w:r w:rsidRPr="00FF7A7C">
      <w:fldChar w:fldCharType="end"/>
    </w:r>
    <w:r w:rsidRPr="00FF7A7C">
      <w:t>/</w:t>
    </w:r>
    <w:r>
      <w:fldChar w:fldCharType="begin"/>
    </w:r>
    <w:r>
      <w:instrText xml:space="preserve"> NUMPAGES  \* MERGEFORMAT </w:instrText>
    </w:r>
    <w:r>
      <w:fldChar w:fldCharType="separate"/>
    </w:r>
    <w:r w:rsidRPr="00FF7A7C">
      <w:rPr>
        <w:noProof/>
      </w:rPr>
      <w:t>70</w:t>
    </w:r>
    <w:r w:rsidRPr="00FF7A7C">
      <w:rPr>
        <w:noProof/>
      </w:rPr>
      <w:fldChar w:fldCharType="end"/>
    </w:r>
    <w:r w:rsidRPr="00FF7A7C">
      <w:tab/>
      <w:t>PE</w:t>
    </w:r>
    <w:r w:rsidRPr="00FF7A7C">
      <w:rPr>
        <w:rStyle w:val="HideTWBExt"/>
      </w:rPr>
      <w:t>&lt;</w:t>
    </w:r>
    <w:r w:rsidRPr="00FF7A7C">
      <w:rPr>
        <w:rStyle w:val="HideTWBExt"/>
      </w:rPr>
      <w:t>NoPE</w:t>
    </w:r>
    <w:r w:rsidRPr="00FF7A7C">
      <w:rPr>
        <w:rStyle w:val="HideTWBExt"/>
      </w:rPr>
      <w:t>&gt;</w:t>
    </w:r>
    <w:r w:rsidRPr="00FF7A7C">
      <w:t>791.056</w:t>
    </w:r>
    <w:r w:rsidRPr="00FF7A7C">
      <w:rPr>
        <w:rStyle w:val="HideTWBExt"/>
      </w:rPr>
      <w:t>&lt;/</w:t>
    </w:r>
    <w:r w:rsidRPr="00FF7A7C">
      <w:rPr>
        <w:rStyle w:val="HideTWBExt"/>
      </w:rPr>
      <w:t>NoPE</w:t>
    </w:r>
    <w:r w:rsidRPr="00FF7A7C">
      <w:rPr>
        <w:rStyle w:val="HideTWBExt"/>
      </w:rPr>
      <w:t>&gt;&lt;Version&gt;</w:t>
    </w:r>
    <w:r w:rsidRPr="00FF7A7C">
      <w:t>v01-00</w:t>
    </w:r>
    <w:r w:rsidRPr="00FF7A7C">
      <w:rPr>
        <w:rStyle w:val="HideTWBExt"/>
      </w:rPr>
      <w:t>&lt;/Version&gt;</w:t>
    </w:r>
  </w:p>
  <w:p w:rsidR="00AD3D9F" w:rsidRPr="00FF7A7C" w:rsidP="00FF7A7C" w14:paraId="21CE716F" w14:textId="3A29BCAE">
    <w:pPr>
      <w:pStyle w:val="EPFooter2"/>
    </w:pPr>
    <w:r w:rsidRPr="00FF7A7C">
      <w:tab/>
    </w:r>
    <w:r w:rsidRPr="00FF7A7C">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A7C" w:rsidRPr="00FF7A7C" w:rsidP="00FF7A7C" w14:paraId="2DB4A207" w14:textId="77777777">
    <w:pPr>
      <w:pStyle w:val="EPFooter"/>
    </w:pPr>
    <w:r w:rsidRPr="00FF7A7C">
      <w:rPr>
        <w:rStyle w:val="HideTWBExt"/>
      </w:rPr>
      <w:t>&lt;PathFdR&gt;</w:t>
    </w:r>
    <w:r w:rsidRPr="00FF7A7C">
      <w:t>AM\1348351IT.docx</w:t>
    </w:r>
    <w:r w:rsidRPr="00FF7A7C">
      <w:rPr>
        <w:rStyle w:val="HideTWBExt"/>
      </w:rPr>
      <w:t>&lt;/</w:t>
    </w:r>
    <w:r w:rsidRPr="00FF7A7C">
      <w:rPr>
        <w:rStyle w:val="HideTWBExt"/>
      </w:rPr>
      <w:t>PathFdR</w:t>
    </w:r>
    <w:r w:rsidRPr="00FF7A7C">
      <w:rPr>
        <w:rStyle w:val="HideTWBExt"/>
      </w:rPr>
      <w:t>&gt;</w:t>
    </w:r>
    <w:r w:rsidRPr="00FF7A7C">
      <w:tab/>
    </w:r>
    <w:r w:rsidRPr="00FF7A7C">
      <w:tab/>
      <w:t>PE</w:t>
    </w:r>
    <w:r w:rsidRPr="00FF7A7C">
      <w:rPr>
        <w:rStyle w:val="HideTWBExt"/>
      </w:rPr>
      <w:t>&lt;</w:t>
    </w:r>
    <w:r w:rsidRPr="00FF7A7C">
      <w:rPr>
        <w:rStyle w:val="HideTWBExt"/>
      </w:rPr>
      <w:t>NoPE</w:t>
    </w:r>
    <w:r w:rsidRPr="00FF7A7C">
      <w:rPr>
        <w:rStyle w:val="HideTWBExt"/>
      </w:rPr>
      <w:t>&gt;</w:t>
    </w:r>
    <w:r w:rsidRPr="00FF7A7C">
      <w:t>791.056</w:t>
    </w:r>
    <w:r w:rsidRPr="00FF7A7C">
      <w:rPr>
        <w:rStyle w:val="HideTWBExt"/>
      </w:rPr>
      <w:t>&lt;/</w:t>
    </w:r>
    <w:r w:rsidRPr="00FF7A7C">
      <w:rPr>
        <w:rStyle w:val="HideTWBExt"/>
      </w:rPr>
      <w:t>NoPE</w:t>
    </w:r>
    <w:r w:rsidRPr="00FF7A7C">
      <w:rPr>
        <w:rStyle w:val="HideTWBExt"/>
      </w:rPr>
      <w:t>&gt;&lt;Version&gt;</w:t>
    </w:r>
    <w:r w:rsidRPr="00FF7A7C">
      <w:t>v01-00</w:t>
    </w:r>
    <w:r w:rsidRPr="00FF7A7C">
      <w:rPr>
        <w:rStyle w:val="HideTWBExt"/>
      </w:rPr>
      <w:t>&lt;/Version&gt;</w:t>
    </w:r>
  </w:p>
  <w:p w:rsidR="00AD3D9F" w:rsidRPr="00FF7A7C" w:rsidP="00FF7A7C" w14:paraId="579F0164" w14:textId="5C310493">
    <w:pPr>
      <w:pStyle w:val="EPFooter2"/>
    </w:pPr>
    <w:r w:rsidRPr="00FF7A7C">
      <w:t>IT</w:t>
    </w:r>
    <w:r w:rsidRPr="00FF7A7C">
      <w:tab/>
    </w:r>
    <w:r w:rsidRPr="00FF7A7C">
      <w:rPr>
        <w:b w:val="0"/>
        <w:i/>
        <w:color w:val="C0C0C0"/>
        <w:sz w:val="22"/>
      </w:rPr>
      <w:t>Unita nella diversità</w:t>
    </w:r>
    <w:r w:rsidRPr="00FF7A7C">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20C" w14:paraId="389136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20C" w14:paraId="5B3363F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20C" w14:paraId="42907D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3BC"/>
    <w:rsid w:val="000058AA"/>
    <w:rsid w:val="00010170"/>
    <w:rsid w:val="00025AAD"/>
    <w:rsid w:val="00072B4B"/>
    <w:rsid w:val="000E17CA"/>
    <w:rsid w:val="000E2478"/>
    <w:rsid w:val="0011298B"/>
    <w:rsid w:val="00114EDE"/>
    <w:rsid w:val="0012108E"/>
    <w:rsid w:val="00125041"/>
    <w:rsid w:val="0015022B"/>
    <w:rsid w:val="00175062"/>
    <w:rsid w:val="001767FD"/>
    <w:rsid w:val="001B1694"/>
    <w:rsid w:val="001C108E"/>
    <w:rsid w:val="001C6137"/>
    <w:rsid w:val="001C6BFC"/>
    <w:rsid w:val="001D630D"/>
    <w:rsid w:val="00243AB4"/>
    <w:rsid w:val="00257C39"/>
    <w:rsid w:val="00262416"/>
    <w:rsid w:val="002A3EAA"/>
    <w:rsid w:val="002B6DE3"/>
    <w:rsid w:val="002B799B"/>
    <w:rsid w:val="002F0149"/>
    <w:rsid w:val="002F29F3"/>
    <w:rsid w:val="00307E56"/>
    <w:rsid w:val="00367E53"/>
    <w:rsid w:val="00381C16"/>
    <w:rsid w:val="003A520C"/>
    <w:rsid w:val="003C7A69"/>
    <w:rsid w:val="003D7856"/>
    <w:rsid w:val="003E0B86"/>
    <w:rsid w:val="004106BA"/>
    <w:rsid w:val="0044299E"/>
    <w:rsid w:val="00444941"/>
    <w:rsid w:val="00473E77"/>
    <w:rsid w:val="004B02E9"/>
    <w:rsid w:val="004D02AB"/>
    <w:rsid w:val="004E4A92"/>
    <w:rsid w:val="00505F01"/>
    <w:rsid w:val="005537B2"/>
    <w:rsid w:val="005D04A2"/>
    <w:rsid w:val="005E5FA1"/>
    <w:rsid w:val="00601094"/>
    <w:rsid w:val="00613BFC"/>
    <w:rsid w:val="006143BC"/>
    <w:rsid w:val="006232E5"/>
    <w:rsid w:val="00663E24"/>
    <w:rsid w:val="006838B3"/>
    <w:rsid w:val="0072150A"/>
    <w:rsid w:val="00741C98"/>
    <w:rsid w:val="00742225"/>
    <w:rsid w:val="00794E41"/>
    <w:rsid w:val="007964AA"/>
    <w:rsid w:val="007B1846"/>
    <w:rsid w:val="007C1252"/>
    <w:rsid w:val="007E54B7"/>
    <w:rsid w:val="007F22E4"/>
    <w:rsid w:val="008305E9"/>
    <w:rsid w:val="0084427E"/>
    <w:rsid w:val="008447B4"/>
    <w:rsid w:val="00866CBA"/>
    <w:rsid w:val="00873A27"/>
    <w:rsid w:val="008A1ABC"/>
    <w:rsid w:val="008B040A"/>
    <w:rsid w:val="008D47A0"/>
    <w:rsid w:val="0093376E"/>
    <w:rsid w:val="0095177E"/>
    <w:rsid w:val="00952F4F"/>
    <w:rsid w:val="009531F4"/>
    <w:rsid w:val="00954A54"/>
    <w:rsid w:val="00987F31"/>
    <w:rsid w:val="009B54E9"/>
    <w:rsid w:val="009C2758"/>
    <w:rsid w:val="00A530BE"/>
    <w:rsid w:val="00A57C56"/>
    <w:rsid w:val="00A63F10"/>
    <w:rsid w:val="00A7559D"/>
    <w:rsid w:val="00A771CC"/>
    <w:rsid w:val="00A804CE"/>
    <w:rsid w:val="00A836A6"/>
    <w:rsid w:val="00AC4730"/>
    <w:rsid w:val="00AD3D9F"/>
    <w:rsid w:val="00AE20EB"/>
    <w:rsid w:val="00B4019F"/>
    <w:rsid w:val="00B43C20"/>
    <w:rsid w:val="00BB4855"/>
    <w:rsid w:val="00BE6658"/>
    <w:rsid w:val="00BF6585"/>
    <w:rsid w:val="00C00B24"/>
    <w:rsid w:val="00C4274A"/>
    <w:rsid w:val="00C4749E"/>
    <w:rsid w:val="00C569E8"/>
    <w:rsid w:val="00C56F77"/>
    <w:rsid w:val="00C72F6B"/>
    <w:rsid w:val="00C83592"/>
    <w:rsid w:val="00C85D0F"/>
    <w:rsid w:val="00CA7F28"/>
    <w:rsid w:val="00CD004B"/>
    <w:rsid w:val="00CF297C"/>
    <w:rsid w:val="00CF4E9D"/>
    <w:rsid w:val="00D2257D"/>
    <w:rsid w:val="00D274E0"/>
    <w:rsid w:val="00D34123"/>
    <w:rsid w:val="00D35B06"/>
    <w:rsid w:val="00D42F84"/>
    <w:rsid w:val="00D71C6E"/>
    <w:rsid w:val="00DA7120"/>
    <w:rsid w:val="00DB7EF9"/>
    <w:rsid w:val="00DC19A9"/>
    <w:rsid w:val="00DC1DD4"/>
    <w:rsid w:val="00DC3244"/>
    <w:rsid w:val="00DC36BD"/>
    <w:rsid w:val="00DF038C"/>
    <w:rsid w:val="00E67987"/>
    <w:rsid w:val="00E730C8"/>
    <w:rsid w:val="00EA1780"/>
    <w:rsid w:val="00EB2B18"/>
    <w:rsid w:val="00ED25D2"/>
    <w:rsid w:val="00EF54D2"/>
    <w:rsid w:val="00F15510"/>
    <w:rsid w:val="00F20F19"/>
    <w:rsid w:val="00F32629"/>
    <w:rsid w:val="00F457AA"/>
    <w:rsid w:val="00F61FB2"/>
    <w:rsid w:val="00F925F1"/>
    <w:rsid w:val="00FA7F93"/>
    <w:rsid w:val="00FA7FAA"/>
    <w:rsid w:val="00FB3CF9"/>
    <w:rsid w:val="00FE26FA"/>
    <w:rsid w:val="00FF64CB"/>
    <w:rsid w:val="00FF64DF"/>
    <w:rsid w:val="00FF7A7C"/>
  </w:rsids>
  <w:docVars>
    <w:docVar w:name="AMPLURMNU" w:val=" 1"/>
    <w:docVar w:name="CODEMNU" w:val=" 1"/>
    <w:docVar w:name="COMKEY" w:val="CONT"/>
    <w:docVar w:name="COMMKEY" w:val="CONT"/>
    <w:docVar w:name="CVar" w:val="2"/>
    <w:docVar w:name="DOCDT" w:val="16/07/2026"/>
    <w:docVar w:name="DOCREFINI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7804 HideTWBExt;}{\*\cs18 \additive \v\f1\fs20\cf15 &#13;_x000a_\spriority0 \styrsid417804 HideTWBInt;}{\s19\qr \li0\ri0\sb240\sa240\nowidctlpar\wrapdefault\aspalpha\aspnum\faauto\adjustright\rin0\lin0\itap0 \rtlch\fcs1 \af0\afs20\alang1025 \ltrch\fcs0 \fs24\lang2057\langfe2057\cgrid\langnp2057\langfenp2057 &#13;_x000a_\sbasedon0 \snext19 \spriority0 \styrsid417804 AmOrLang;}{\s20\ql \li0\ri0\sa120\nowidctlpar\wrapdefault\aspalpha\aspnum\faauto\adjustright\rin0\lin0\itap0 \rtlch\fcs1 \af0\afs20\alang1025 \ltrch\fcs0 &#13;_x000a_\fs24\lang2057\langfe2057\cgrid\langnp2057\langfenp2057 \sbasedon0 \snext20 \spriority0 \styrsid417804 Normal6a;}{\s21\ql \li0\ri0\nowidctlpar\wrapdefault\aspalpha\aspnum\faauto\adjustright\rin0\lin0\itap0 \rtlch\fcs1 \af0\afs20\alang1025 \ltrch\fcs0 &#13;_x000a_\b\fs24\lang2057\langfe2057\cgrid\langnp2057\langfenp2057 \sbasedon0 \snext21 \spriority0 \styrsid417804 NormalBold;}{\s22\qc \li0\ri0\sa240\nowidctlpar\wrapdefault\aspalpha\aspnum\faauto\adjustright\rin0\lin0\itap0 \rtlch\fcs1 \af0\afs20\alang1025 &#13;_x000a_\ltrch\fcs0 \i\fs24\lang2057\langfe2057\cgrid\langnp2057\langfenp2057 \sbasedon0 \snext22 \spriority0 \styrsid41780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17804 AmNumberTabs;}}{\*\rsidtbl \rsid24658\rsid223860\rsid417804\rsid735077\rsid1713596\rsid1718133\rsid2892074\rsid3565327\rsid4666813&#13;_x000a_\rsid6641733\rsid780095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MADARIAGA Miren}{\operator MADARIAGA Miren}{\creatim\yr2026\mo7\dy16\hr15\min7}{\revtim\yr2026\mo7\dy16\hr15\min7}{\version1}{\edmins0}{\nofpages1}{\nofwords92}&#13;_x000a_{\nofchars528}{\nofcharsws61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7804\newtblstyruls\nogrowautofit\usenormstyforlist\noindnmbrts\felnbrelev\nocxsptable\indrlsweleven\noafcnsttbl\afelev\utinl\hwelev\spltpgpar\notcvasp\notbrkcnstfrctbl\notvatxbx\krnprsnet\cachedcolbal \nouicompat \fet0&#13;_x000a_{\*\wgrffmtfilter 013f}\nofeaturethrottle1\ilfomacatclnup0{\*\template C:\\Users\\MMADAR~1\\AppData\\Local\\Temp\\Blank1.dotx}{\*\ftnsep \ltrpar \pard\plain \ltrpar\ql \li0\ri0\widctlpar\wrapdefault\aspalpha\aspnum\faauto\adjustright\rin0\lin0\itap0 &#13;_x000a_\rtlch\fcs1 \af0\afs20\alang1025 \ltrch\fcs0 \fs24\lang2057\langfe2057\cgrid\langnp2057\langfenp2057 {\rtlch\fcs1 \af0 \ltrch\fcs0 \insrsid7800953 \chftnsep &#13;_x000a_\par }}{\*\ftnsepc \ltrpar \pard\plain \ltrpar\ql \li0\ri0\widctlpar\wrapdefault\aspalpha\aspnum\faauto\adjustright\rin0\lin0\itap0 \rtlch\fcs1 \af0\afs20\alang1025 \ltrch\fcs0 \fs24\lang2057\langfe2057\cgrid\langnp2057\langfenp2057 {\rtlch\fcs1 \af0 &#13;_x000a_\ltrch\fcs0 \insrsid7800953 \chftnsepc &#13;_x000a_\par }}{\*\aftnsep \ltrpar \pard\plain \ltrpar\ql \li0\ri0\widctlpar\wrapdefault\aspalpha\aspnum\faauto\adjustright\rin0\lin0\itap0 \rtlch\fcs1 \af0\afs20\alang1025 \ltrch\fcs0 \fs24\lang2057\langfe2057\cgrid\langnp2057\langfenp2057 {\rtlch\fcs1 \af0 &#13;_x000a_\ltrch\fcs0 \insrsid7800953 \chftnsep &#13;_x000a_\par }}{\*\aftnsepc \ltrpar \pard\plain \ltrpar\ql \li0\ri0\widctlpar\wrapdefault\aspalpha\aspnum\faauto\adjustright\rin0\lin0\itap0 \rtlch\fcs1 \af0\afs20\alang1025 \ltrch\fcs0 \fs24\lang2057\langfe2057\cgrid\langnp2057\langfenp2057 {\rtlch\fcs1 \af0 &#13;_x000a_\ltrch\fcs0 \insrsid78009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200193 \rtlch\fcs1 &#13;_x000a_\af0\afs20\alang1025 \ltrch\fcs0 \b\fs24\lang2057\langfe2057\cgrid\langnp2057\langfenp2057 {\rtlch\fcs1 \af0 \ltrch\fcs0 \cs17\b0\v\f1\fs20\cf9\lang1024\langfe1024\noproof\insrsid417804\charrsid14244830 {\*\bkmkstart restart}&lt;Amend&gt;}{\rtlch\fcs1 \af0 &#13;_x000a_\ltrch\fcs0 \insrsid417804\charrsid14244830 Amendment\tab \tab }{\rtlch\fcs1 \af0 \ltrch\fcs0 \cs17\b0\v\f1\fs20\cf9\lang1024\langfe1024\noproof\insrsid417804\charrsid14244830 &lt;NumAm&gt;}{\rtlch\fcs1 \af0 \ltrch\fcs0 \insrsid417804\charrsid14244830 #}{&#13;_x000a_\rtlch\fcs1 \af1 \ltrch\fcs0 \cs18\v\f1\fs20\cf15\insrsid417804\charrsid14244830 ENMIENDA@NRAM@}{\rtlch\fcs1 \af0 \ltrch\fcs0 \insrsid417804\charrsid14244830 #}{\rtlch\fcs1 \af0 \ltrch\fcs0 &#13;_x000a_\cs17\b0\v\f1\fs20\cf9\lang1024\langfe1024\noproof\insrsid417804\charrsid14244830 &lt;/NumAm&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RepeatBlock-By&gt;}{\rtlch\fcs1 \af0 \ltrch\fcs0 \insrsid417804\charrsid14244830 #}{\rtlch\fcs1 \af1 \ltrch\fcs0 &#13;_x000a_\cs18\v\f1\fs20\cf15\insrsid417804\charrsid14244830 (MOD@InsideLoop()}{\rtlch\fcs1 \af0 \ltrch\fcs0 \insrsid417804\charrsid14244830 ##}{\rtlch\fcs1 \af1 \ltrch\fcs0 \cs18\v\f1\fs20\cf15\insrsid417804\charrsid14244830 &gt;&gt;&gt;@[ZMEMBERSMSG]@}{\rtlch\fcs1 \af0 &#13;_x000a_\ltrch\fcs0 \insrsid417804\charrsid14244830 #}{\rtlch\fcs1 \af0 \ltrch\fcs0 \cs17\b0\v\f1\fs20\cf9\lang1024\langfe1024\noproof\insrsid417804\charrsid14244830 &lt;Members&gt;}{\rtlch\fcs1 \af0 \ltrch\fcs0 \insrsid417804\charrsid14244830 #}{\rtlch\fcs1 \af1 &#13;_x000a_\ltrch\fcs0 \cs18\v\f1\fs20\cf15\insrsid417804\charrsid14244830 (MOD@InsideLoop(\'a7)}{\rtlch\fcs1 \af0 \ltrch\fcs0 \insrsid417804\charrsid14244830 #}{\rtlch\fcs1 \af0 \ltrch\fcs0 \cf10\insrsid417804\charrsid14244830 \u9668\'3f}{\rtlch\fcs1 \af0 &#13;_x000a_\ltrch\fcs0 \insrsid417804\charrsid14244830 #}{\rtlch\fcs1 \af1 \ltrch\fcs0 \cs18\v\f1\fs20\cf15\insrsid417804\charrsid14244830 TVTMEMBERS\'a7@MEMBERS@}{\rtlch\fcs1 \af0 \ltrch\fcs0 \insrsid417804\charrsid14244830 #}{\rtlch\fcs1 \af0 \ltrch\fcs0 &#13;_x000a_\cf10\insrsid417804\charrsid14244830 \u9658\'3f}{\rtlch\fcs1 \af0 \ltrch\fcs0 \cs17\b0\v\f1\fs20\cf9\lang1024\langfe1024\noproof\insrsid417804\charrsid14244830 &lt;/Members&gt;}{\rtlch\fcs1 \af0 \ltrch\fcs0 \insrsid417804\charrsid14244830 &#13;_x000a_\par }\pard\plain \ltrpar\ql \li0\ri0\widctlpar\wrapdefault\aspalpha\aspnum\faauto\adjustright\rin0\lin0\itap0\pararsid11353503 \rtlch\fcs1 \af0\afs20\alang1025 \ltrch\fcs0 \fs24\lang2057\langfe2057\cgrid\langnp2057\langfenp2057 {\rtlch\fcs1 \af0 \ltrch\fcs0 &#13;_x000a_\cs17\v\f1\fs20\cf9\lang1024\langfe1024\noproof\insrsid417804\charrsid14244830 &lt;AuNomDe&gt;&lt;OptDel&gt;}{\rtlch\fcs1 \af0 \ltrch\fcs0 \insrsid417804\charrsid14244830 #}{\rtlch\fcs1 \af1 \ltrch\fcs0 \cs18\v\f1\fs20\cf15\insrsid417804\charrsid14244830 &#13;_x000a_MNU[ONBEHALFYES][NOTAPP]@CHOICE@}{\rtlch\fcs1 \af0 \ltrch\fcs0 \insrsid417804\charrsid14244830 #}{\rtlch\fcs1 \af0 \ltrch\fcs0 \cs17\v\f1\fs20\cf9\lang1024\langfe1024\noproof\insrsid417804\charrsid14244830 &lt;/OptDel&gt;&lt;/AuNomDe&gt;}{\rtlch\fcs1 \af0 &#13;_x000a_\ltrch\fcs0 \insrsid417804\charrsid14244830 &#13;_x000a_\par &lt;&lt;&lt;}{\rtlch\fcs1 \af0 \ltrch\fcs0 \cs17\v\f1\fs20\cf9\lang1024\langfe1024\noproof\insrsid417804\charrsid14244830 &lt;/RepeatBlock-By&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DocAmend&gt;}{\rtlch\fcs1 \af0 \ltrch\fcs0 \insrsid417804\charrsid14244830 #}{\rtlch\fcs1 \af1 \ltrch\fcs0 \cs18\v\f1\fs20\cf15\insrsid417804\charrsid14244830 &#13;_x000a_MNU[OPTAMDOCINI][AMDOCA1][OPTAMDOCNLE][AMDOCA1][AMDOCA2][AMDOCA1][AMDOCA1][OPTAMDOCDEC]@CHOICE@CODEMNU}{\rtlch\fcs1 \af0 \ltrch\fcs0 \insrsid417804\charrsid14244830 #}{\rtlch\fcs1 \af0 \ltrch\fcs0 &#13;_x000a_\cs17\b0\v\f1\fs20\cf9\lang1024\langfe1024\noproof\insrsid417804\charrsid14244830 &lt;/DocAmend&gt;}{\rtlch\fcs1 \af0 \ltrch\fcs0 \insrsid417804\charrsid14244830 &#13;_x000a_\par }\pard \ltrpar\s21\ql \li0\ri0\nowidctlpar\wrapdefault\aspalpha\aspnum\faauto\adjustright\rin0\lin0\itap0\pararsid7949889 {\rtlch\fcs1 \af0 \ltrch\fcs0 \cs17\b0\v\f1\fs20\cf9\lang1024\langfe1024\noproof\insrsid417804\charrsid14244830 &lt;Article&gt;}{&#13;_x000a_\rtlch\fcs1 \af0 \ltrch\fcs0 \cf10\insrsid417804\charrsid14244830 \u9668\'3f}{\rtlch\fcs1 \af0 \ltrch\fcs0 \insrsid417804\charrsid14244830 #}{\rtlch\fcs1 \af1 \ltrch\fcs0 \cs18\v\f1\fs20\cf15\insrsid417804\charrsid14244830 TVTAMPART@AMPART@}{\rtlch\fcs1 &#13;_x000a_\af0 \ltrch\fcs0 \insrsid417804\charrsid14244830 #}{\rtlch\fcs1 \af0 \ltrch\fcs0 \cf10\insrsid417804\charrsid14244830 \u9658\'3f}{\rtlch\fcs1 \af0 \ltrch\fcs0 \cs17\b0\v\f1\fs20\cf9\lang1024\langfe1024\noproof\insrsid417804\charrsid14244830 &lt;/Article&gt;}{&#13;_x000a_\rtlch\fcs1 \af0 \ltrch\fcs0 \insrsid417804\charrsid14244830 &#13;_x000a_\par \ltrrow}\trowd \ltrrow\ts11\trqc\trgaph340\trleft0\trftsWidth3\trwWidth9752\trftsWidthB3\trpaddl340\trpaddr340\trpaddfl3\trpaddft3\trpaddfb3\trpaddfr3\tblrsid7949889\tblind0\tblindtype3 \clvertalt\clbrdrt\brdrtbl \clbrdrl\brdrtbl \clbrdrb\brdrtbl \clbrdrr&#13;_x000a_\brdrtbl \cltxlrtb\clftsWidth3\clwWidth9752\clshdrawnil \cellx9752\pard\plain \ltrpar\ql \li0\ri0\keepn\widctlpar\intbl\wrapdefault\aspalpha\aspnum\faauto\adjustright\rin0\lin0\pararsid13053803 \rtlch\fcs1 \af0\afs20\alang1025 \ltrch\fcs0 &#13;_x000a_\fs24\lang2057\langfe2057\cgrid\langnp2057\langfenp2057 {\rtlch\fcs1 \af0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trrow&#13;_x000a_\ts11\trqc\trgaph340\trleft0\trftsWidth3\trwWidth9752\trftsWidthB3\trpaddl340\trpaddr340\trpaddfl3\trpaddft3\trpaddfb3\trpaddfr3\tblrsid7949889\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7949889\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2\qc \li0\ri0\sa240\keepn\nowidctlpar\intbl\wrapdefault\aspalpha\aspnum\faauto\adjustright\rin0\lin0\pararsid13053803 \rtlch\fcs1 \af0\afs20\alang1025 \ltrch\fcs0 &#13;_x000a_\i\fs24\lang2057\langfe2057\cgrid\langnp2057\langfenp2057 {\rtlch\fcs1 \af0 \ltrch\fcs0 \insrsid417804\charrsid14244830 #}{\rtlch\fcs1 \af1 \ltrch\fcs0 \cs18\v\f1\fs20\cf15\insrsid417804\charrsid14244830 &#13;_x000a_MNU[OPTAMDOCINI][AMDOCA1][OPTAMDOCNLE][AMDOCA1][AMDOCA2][AMDOCA1][AMDOCA1][OPTAMDOCDEC]@CHOICE@CODEMNU}{\rtlch\fcs1 \af0 \ltrch\fcs0 \insrsid417804\charrsid14244830 #\cell Amendment\cell }\pard\plain \ltrpar&#13;_x000a_\ql \li0\ri0\widctlpar\intbl\wrapdefault\aspalpha\aspnum\faauto\adjustright\rin0\lin0 \rtlch\fcs1 \af0\afs20\alang1025 \ltrch\fcs0 \fs24\lang2057\langfe2057\cgrid\langnp2057\langfenp2057 {\rtlch\fcs1 \af0 \ltrch\fcs0 \insrsid417804\charrsid14244830 &#13;_x000a_\trowd \ltrrow\ts11\trqc\trgaph340\trleft0\trftsWidth3\trwWidth9752\trftsWidthB3\trpaddl340\trpaddr340\trpaddfl3\trpaddft3\trpaddfb3\trpaddfr3\tblrsid7949889\tblind0\tblindtype3 \clvertalt\clbrdrt\brdrtbl \clbrdrl\brdrtbl \clbrdrb\brdrtbl \clbrdrr&#13;_x000a_\brdrtbl \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7949889 \rtlch\fcs1 \af0\afs20\alang1025 \ltrch\fcs0 \fs24\lang2057\langfe2057\cgrid\langnp2057\langfenp2057 {\rtlch\fcs1 \af0 \ltrch\fcs0 &#13;_x000a_\insrsid417804\charrsid14244830 ##\cell ##}{\rtlch\fcs1 \af0\afs24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astrow \ltrrow&#13;_x000a_\ts11\trqc\trgaph340\trleft0\trftsWidth3\trwWidth9752\trftsWidthB3\trpaddl340\trpaddr340\trpaddfl3\trpaddft3\trpaddfb3\trpaddfr3\tblrsid7949889\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7949889 \rtlch\fcs1 \af0\afs20\alang1025 \ltrch\fcs0 \fs24\lang2057\langfe2057\cgrid\langnp2057\langfenp2057 {\rtlch\fcs1 \af0 \ltrch\fcs0 &#13;_x000a_\insrsid417804\charrsid14244830 Or. }{\rtlch\fcs1 \af0 \ltrch\fcs0 \cs17\v\f1\fs20\cf9\lang1024\langfe1024\noproof\insrsid417804\charrsid14244830 &lt;Original&gt;}{\rtlch\fcs1 \af0 \ltrch\fcs0 \insrsid417804\charrsid14244830 #}{\rtlch\fcs1 \af1 \ltrch\fcs0 &#13;_x000a_\cs18\v\f1\fs20\cf15\insrsid417804\charrsid14244830 KEY(MAIN/LANGMIN)sh@ORLANGMSG@}{\rtlch\fcs1 \af0 \ltrch\fcs0 \insrsid417804\charrsid14244830 #}{\rtlch\fcs1 \af0 \ltrch\fcs0 &#13;_x000a_\cs17\v\f1\fs20\cf9\lang1024\langfe1024\noproof\insrsid417804\charrsid14244830 &lt;/Original&gt;}{\rtlch\fcs1 \af0 \ltrch\fcs0 \insrsid417804\charrsid14244830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417804\charrsid1424483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48&#13;_x000a_8b182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AUTHOR" w:val="Tomáš Zdechovský"/>
    <w:docVar w:name="TXTLANGUE" w:val="EN"/>
    <w:docVar w:name="TXTLANGUEMIN" w:val="en"/>
    <w:docVar w:name="TXTNRFIRSTAM" w:val="1"/>
    <w:docVar w:name="TXTNRLASTAM" w:val="21"/>
    <w:docVar w:name="TXTNRPE" w:val="791.056"/>
    <w:docVar w:name="TXTNRPE2" w:val="789.881"/>
    <w:docVar w:name="TXTNRPROC" w:val="2025/2071"/>
    <w:docVar w:name="TXTPEorAP" w:val="PE"/>
    <w:docVar w:name="TXTROUTE" w:val="AM\1348351EN.docx"/>
    <w:docVar w:name="TXTTITLE" w:val="Evaluation the xxx"/>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FCE9A32-639A-488D-B2AD-D685A6C6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
    <w:name w:val="msonormal"/>
    <w:basedOn w:val="Normal"/>
    <w:rsid w:val="002F29F3"/>
    <w:pPr>
      <w:widowControl/>
      <w:spacing w:before="100" w:beforeAutospacing="1" w:after="100" w:afterAutospacing="1"/>
    </w:pPr>
    <w:rPr>
      <w:szCs w:val="24"/>
    </w:rPr>
  </w:style>
  <w:style w:type="paragraph" w:styleId="Footer">
    <w:name w:val="footer"/>
    <w:link w:val="FooterChar"/>
    <w:semiHidden/>
    <w:unhideWhenUsed/>
    <w:rsid w:val="002F29F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F29F3"/>
    <w:rPr>
      <w:sz w:val="22"/>
    </w:rPr>
  </w:style>
  <w:style w:type="character" w:customStyle="1" w:styleId="Normal12Char">
    <w:name w:val="Normal12 Char"/>
    <w:basedOn w:val="DefaultParagraphFont"/>
    <w:link w:val="Normal12"/>
    <w:locked/>
    <w:rsid w:val="002F29F3"/>
    <w:rPr>
      <w:noProof/>
      <w:sz w:val="24"/>
    </w:rPr>
  </w:style>
  <w:style w:type="paragraph" w:customStyle="1" w:styleId="Normal12">
    <w:name w:val="Normal12"/>
    <w:basedOn w:val="Normal"/>
    <w:link w:val="Normal12Char"/>
    <w:rsid w:val="002F29F3"/>
    <w:pPr>
      <w:spacing w:after="240"/>
    </w:pPr>
    <w:rPr>
      <w:noProof/>
    </w:rPr>
  </w:style>
  <w:style w:type="paragraph" w:customStyle="1" w:styleId="CommitteeAM">
    <w:name w:val="CommitteeAM"/>
    <w:basedOn w:val="Normal"/>
    <w:rsid w:val="002F29F3"/>
    <w:pPr>
      <w:spacing w:before="240" w:after="600"/>
      <w:jc w:val="center"/>
    </w:pPr>
    <w:rPr>
      <w:i/>
    </w:rPr>
  </w:style>
  <w:style w:type="paragraph" w:customStyle="1" w:styleId="ZDateAM">
    <w:name w:val="ZDateAM"/>
    <w:basedOn w:val="Normal"/>
    <w:rsid w:val="002F29F3"/>
    <w:pPr>
      <w:tabs>
        <w:tab w:val="right" w:pos="9356"/>
      </w:tabs>
      <w:spacing w:after="480"/>
    </w:pPr>
    <w:rPr>
      <w:noProof/>
    </w:rPr>
  </w:style>
  <w:style w:type="paragraph" w:customStyle="1" w:styleId="ProjRap">
    <w:name w:val="ProjRap"/>
    <w:basedOn w:val="Normal"/>
    <w:rsid w:val="002F29F3"/>
    <w:pPr>
      <w:tabs>
        <w:tab w:val="right" w:pos="9356"/>
      </w:tabs>
    </w:pPr>
    <w:rPr>
      <w:b/>
      <w:noProof/>
    </w:rPr>
  </w:style>
  <w:style w:type="paragraph" w:customStyle="1" w:styleId="PELeft">
    <w:name w:val="PELeft"/>
    <w:basedOn w:val="Normal"/>
    <w:rsid w:val="002F29F3"/>
    <w:pPr>
      <w:spacing w:before="40" w:after="40"/>
    </w:pPr>
    <w:rPr>
      <w:rFonts w:ascii="Arial" w:hAnsi="Arial" w:cs="Arial"/>
      <w:sz w:val="22"/>
      <w:szCs w:val="22"/>
    </w:rPr>
  </w:style>
  <w:style w:type="paragraph" w:customStyle="1" w:styleId="PERight">
    <w:name w:val="PERight"/>
    <w:basedOn w:val="Normal"/>
    <w:next w:val="Normal"/>
    <w:rsid w:val="002F29F3"/>
    <w:pPr>
      <w:jc w:val="right"/>
    </w:pPr>
    <w:rPr>
      <w:rFonts w:ascii="Arial" w:hAnsi="Arial" w:cs="Arial"/>
      <w:sz w:val="22"/>
      <w:szCs w:val="22"/>
    </w:rPr>
  </w:style>
  <w:style w:type="character" w:customStyle="1" w:styleId="Normal6Char">
    <w:name w:val="Normal6 Char"/>
    <w:basedOn w:val="DefaultParagraphFont"/>
    <w:link w:val="Normal6"/>
    <w:locked/>
    <w:rsid w:val="002F29F3"/>
    <w:rPr>
      <w:sz w:val="24"/>
      <w:lang w:val="it-IT"/>
    </w:rPr>
  </w:style>
  <w:style w:type="paragraph" w:customStyle="1" w:styleId="Normal6">
    <w:name w:val="Normal6"/>
    <w:basedOn w:val="Normal"/>
    <w:link w:val="Normal6Char"/>
    <w:rsid w:val="002F29F3"/>
    <w:pPr>
      <w:spacing w:after="120"/>
    </w:pPr>
  </w:style>
  <w:style w:type="character" w:customStyle="1" w:styleId="NormalBoldChar">
    <w:name w:val="NormalBold Char"/>
    <w:basedOn w:val="DefaultParagraphFont"/>
    <w:link w:val="NormalBold"/>
    <w:locked/>
    <w:rsid w:val="002F29F3"/>
    <w:rPr>
      <w:b/>
      <w:sz w:val="24"/>
    </w:rPr>
  </w:style>
  <w:style w:type="paragraph" w:customStyle="1" w:styleId="Normal12Italic">
    <w:name w:val="Normal12Italic"/>
    <w:basedOn w:val="Normal12"/>
    <w:rsid w:val="002F29F3"/>
    <w:rPr>
      <w:i/>
    </w:rPr>
  </w:style>
  <w:style w:type="paragraph" w:customStyle="1" w:styleId="JustificationTitle">
    <w:name w:val="JustificationTitle"/>
    <w:basedOn w:val="Normal"/>
    <w:next w:val="Normal12"/>
    <w:rsid w:val="002F29F3"/>
    <w:pPr>
      <w:keepNext/>
      <w:spacing w:before="240" w:after="240"/>
      <w:jc w:val="center"/>
    </w:pPr>
    <w:rPr>
      <w:i/>
      <w:noProof/>
    </w:rPr>
  </w:style>
  <w:style w:type="paragraph" w:customStyle="1" w:styleId="Olang">
    <w:name w:val="Olang"/>
    <w:basedOn w:val="Normal"/>
    <w:rsid w:val="002F29F3"/>
    <w:pPr>
      <w:spacing w:before="240" w:after="240"/>
      <w:jc w:val="right"/>
    </w:pPr>
    <w:rPr>
      <w:noProof/>
      <w:szCs w:val="24"/>
    </w:rPr>
  </w:style>
  <w:style w:type="paragraph" w:customStyle="1" w:styleId="ColumnHeading">
    <w:name w:val="ColumnHeading"/>
    <w:basedOn w:val="Normal"/>
    <w:rsid w:val="002F29F3"/>
    <w:pPr>
      <w:spacing w:after="240"/>
      <w:jc w:val="center"/>
    </w:pPr>
    <w:rPr>
      <w:i/>
    </w:rPr>
  </w:style>
  <w:style w:type="paragraph" w:customStyle="1" w:styleId="AMNumberTabs0">
    <w:name w:val="AMNumberTabs"/>
    <w:basedOn w:val="Normal"/>
    <w:rsid w:val="002F29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29F3"/>
    <w:pPr>
      <w:spacing w:before="240"/>
    </w:pPr>
    <w:rPr>
      <w:b/>
    </w:rPr>
  </w:style>
  <w:style w:type="paragraph" w:customStyle="1" w:styleId="CrossRef">
    <w:name w:val="CrossRef"/>
    <w:basedOn w:val="Normal"/>
    <w:rsid w:val="002F29F3"/>
    <w:pPr>
      <w:spacing w:before="240"/>
      <w:jc w:val="center"/>
    </w:pPr>
    <w:rPr>
      <w:i/>
    </w:rPr>
  </w:style>
  <w:style w:type="paragraph" w:customStyle="1" w:styleId="Footer2">
    <w:name w:val="Footer2"/>
    <w:basedOn w:val="Normal12"/>
    <w:rsid w:val="002F29F3"/>
    <w:pPr>
      <w:tabs>
        <w:tab w:val="center" w:pos="4535"/>
        <w:tab w:val="right" w:pos="9923"/>
      </w:tabs>
      <w:spacing w:line="480" w:lineRule="auto"/>
      <w:ind w:left="-851"/>
    </w:pPr>
    <w:rPr>
      <w:rFonts w:ascii="Arial" w:cs="Arial"/>
      <w:b/>
      <w:sz w:val="48"/>
    </w:rPr>
  </w:style>
  <w:style w:type="character" w:customStyle="1" w:styleId="Footer2Middle">
    <w:name w:val="Footer2Middle"/>
    <w:rsid w:val="002F29F3"/>
    <w:rPr>
      <w:rFonts w:ascii="Arial" w:hAnsi="Arial" w:cs="Arial" w:hint="default"/>
      <w:b w:val="0"/>
      <w:bCs w:val="0"/>
      <w:i/>
      <w:iCs w:val="0"/>
      <w:color w:val="C0C0C0"/>
      <w:sz w:val="22"/>
    </w:rPr>
  </w:style>
  <w:style w:type="paragraph" w:customStyle="1" w:styleId="EntPE">
    <w:name w:val="EntPE"/>
    <w:basedOn w:val="Normal12"/>
    <w:rsid w:val="002F29F3"/>
    <w:pPr>
      <w:jc w:val="center"/>
    </w:pPr>
    <w:rPr>
      <w:noProof w:val="0"/>
      <w:sz w:val="56"/>
    </w:rPr>
  </w:style>
  <w:style w:type="character" w:styleId="CommentReference">
    <w:name w:val="annotation reference"/>
    <w:basedOn w:val="DefaultParagraphFont"/>
    <w:rsid w:val="006232E5"/>
    <w:rPr>
      <w:sz w:val="16"/>
      <w:szCs w:val="16"/>
    </w:rPr>
  </w:style>
  <w:style w:type="paragraph" w:styleId="CommentText">
    <w:name w:val="annotation text"/>
    <w:basedOn w:val="Normal"/>
    <w:link w:val="CommentTextChar"/>
    <w:rsid w:val="006232E5"/>
    <w:rPr>
      <w:sz w:val="20"/>
    </w:rPr>
  </w:style>
  <w:style w:type="character" w:customStyle="1" w:styleId="CommentTextChar">
    <w:name w:val="Comment Text Char"/>
    <w:basedOn w:val="DefaultParagraphFont"/>
    <w:link w:val="CommentText"/>
    <w:rsid w:val="006232E5"/>
  </w:style>
  <w:style w:type="paragraph" w:styleId="CommentSubject">
    <w:name w:val="annotation subject"/>
    <w:basedOn w:val="CommentText"/>
    <w:next w:val="CommentText"/>
    <w:link w:val="CommentSubjectChar"/>
    <w:semiHidden/>
    <w:unhideWhenUsed/>
    <w:rsid w:val="006232E5"/>
    <w:rPr>
      <w:b/>
      <w:bCs/>
    </w:rPr>
  </w:style>
  <w:style w:type="character" w:customStyle="1" w:styleId="CommentSubjectChar">
    <w:name w:val="Comment Subject Char"/>
    <w:basedOn w:val="CommentTextChar"/>
    <w:link w:val="CommentSubject"/>
    <w:semiHidden/>
    <w:rsid w:val="00623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MADAR~1\AppData\Local\Temp\AM_Com_Non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1</TotalTime>
  <Pages>70</Pages>
  <Words>15715</Words>
  <Characters>96360</Characters>
  <Application>Microsoft Office Word</Application>
  <DocSecurity>0</DocSecurity>
  <Lines>3689</Lines>
  <Paragraphs>937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2026-08-31T08:53:00Z</dcterms:created>
  <dcterms:modified xsi:type="dcterms:W3CDTF">2026-08-31T08:53:00Z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1348351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- 2026/08/31 10:52</vt:lpwstr>
  </property>
  <property fmtid="{D5CDD505-2E9C-101B-9397-08002B2CF9AE}" pid="9" name="Created with">
    <vt:lpwstr>10.3.0 Build [20260401]</vt:lpwstr>
  </property>
  <property fmtid="{D5CDD505-2E9C-101B-9397-08002B2CF9AE}" pid="10" name="FooterPath">
    <vt:lpwstr>AM\1348351IT.docx</vt:lpwstr>
  </property>
  <property fmtid="{D5CDD505-2E9C-101B-9397-08002B2CF9AE}" pid="11" name="LastEdited with">
    <vt:lpwstr>10.3.1 Build [20260701]</vt:lpwstr>
  </property>
  <property fmtid="{D5CDD505-2E9C-101B-9397-08002B2CF9AE}" pid="12" name="PE number">
    <vt:lpwstr>791.056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- 2026/07/22 17:46</vt:lpwstr>
  </property>
</Properties>
</file>