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European Parliament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Committee on Budgetary Control</w:t>
      </w:r>
      <w:r>
        <w:rPr>
          <w:rStyle w:val="HideTWBExt"/>
        </w:rPr>
        <w:t>&lt;/Commission&gt;</w:t>
      </w:r>
    </w:p>
    <w:p>
      <w:pPr>
        <w:pStyle w:val="LineBottom"/>
      </w:pPr>
      <w:r>
        <w:t xml:space="preserve"> </w:t>
      </w:r>
    </w:p>
    <w:p>
      <w:pPr>
        <w:pStyle w:val="CoverReference"/>
      </w:pPr>
      <w:r>
        <w:rPr>
          <w:rStyle w:val="HideTWBExt"/>
        </w:rPr>
        <w:t>&lt;RefProc&gt;</w:t>
      </w:r>
      <w:r>
        <w:t>2026/2006</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{06/10/2026}</w:t>
      </w:r>
      <w:r>
        <w:t>6.10.2026</w:t>
      </w:r>
      <w:r>
        <w:rPr>
          <w:rStyle w:val="HideTWBExt"/>
        </w:rPr>
        <w:t>&lt;/Date&gt;</w:t>
      </w:r>
    </w:p>
    <w:p>
      <w:pPr>
        <w:pStyle w:val="CoverDocType"/>
      </w:pPr>
      <w:r>
        <w:rPr>
          <w:rStyle w:val="HideTWBExt"/>
        </w:rPr>
        <w:t>&lt;TypeAM&gt;</w:t>
      </w:r>
      <w:r>
        <w:t>AMENDMENTS</w:t>
      </w:r>
      <w:r>
        <w:rPr>
          <w:rStyle w:val="HideTWBExt"/>
        </w:rPr>
        <w:t>&lt;/TypeAM&gt;</w:t>
      </w:r>
    </w:p>
    <w:p>
      <w:pPr>
        <w:pStyle w:val="CoverDocType24a"/>
      </w:pPr>
      <w:r>
        <w:rPr>
          <w:rStyle w:val="HideTWBExt"/>
        </w:rPr>
        <w:t>&lt;RangeAM&gt;</w:t>
      </w:r>
      <w:r>
        <w:t>1</w:t>
      </w:r>
      <w:r>
        <w:t xml:space="preserve"> - </w:t>
      </w:r>
      <w:r>
        <w:t>159</w:t>
      </w:r>
      <w:r>
        <w:rPr>
          <w:rStyle w:val="HideTWBExt"/>
        </w:rPr>
        <w:t>&lt;/RangeAM&gt;</w:t>
      </w:r>
    </w:p>
    <w:p>
      <w:pPr>
        <w:pStyle w:val="CoverBold"/>
      </w:pPr>
      <w:r>
        <w:rPr>
          <w:rStyle w:val="HideTWBExt"/>
        </w:rPr>
        <w:t>&lt;TitreType&gt;</w:t>
      </w:r>
      <w:r>
        <w:t>Draft report</w:t>
      </w:r>
      <w:r>
        <w:rPr>
          <w:rStyle w:val="HideTWBExt"/>
        </w:rPr>
        <w:t>&lt;/TitreType&gt;</w:t>
      </w:r>
    </w:p>
    <w:p>
      <w:pPr>
        <w:pStyle w:val="CoverBold"/>
      </w:pPr>
      <w:r>
        <w:rPr>
          <w:rStyle w:val="HideTWBExt"/>
        </w:rPr>
        <w:t>&lt;Rapporteur&gt;</w:t>
      </w:r>
      <w:r>
        <w:t>Tomáš Zdechovský, Dick Erixon</w:t>
      </w:r>
      <w:r>
        <w:rPr>
          <w:rStyle w:val="HideTWBExt"/>
        </w:rPr>
        <w:t>&lt;/Rapporteur&gt;</w:t>
      </w:r>
    </w:p>
    <w:p>
      <w:pPr>
        <w:pStyle w:val="CoverNormal24a"/>
      </w:pPr>
      <w:r>
        <w:rPr>
          <w:rStyle w:val="HideTWBExt"/>
        </w:rPr>
        <w:t>&lt;DocRefPE&gt;</w:t>
      </w:r>
      <w:r>
        <w:t>(PE790.202v01-00)</w:t>
      </w:r>
      <w:r>
        <w:rPr>
          <w:rStyle w:val="HideTWBExt"/>
        </w:rPr>
        <w:t>&lt;/DocRefPE&gt;</w:t>
      </w:r>
    </w:p>
    <w:p>
      <w:pPr>
        <w:pStyle w:val="CoverNormal"/>
      </w:pPr>
      <w:r>
        <w:rPr>
          <w:rStyle w:val="HideTWBExt"/>
        </w:rPr>
        <w:t>&lt;Titre&gt;</w:t>
      </w:r>
      <w:r>
        <w:t>Protection of the Union’s financial interests in the post-2027 multiannual financial framework through the revision of the anti-fraud architecture</w:t>
      </w:r>
      <w:r>
        <w:rPr>
          <w:rStyle w:val="HideTWBExt"/>
        </w:rPr>
        <w:t>&lt;/Titre&gt;</w:t>
      </w:r>
    </w:p>
    <w:p>
      <w:pPr>
        <w:pStyle w:val="CoverNormal24a"/>
      </w:pPr>
      <w:r>
        <w:rPr>
          <w:rStyle w:val="HideTWBExt"/>
        </w:rPr>
        <w:t>&lt;DocRef&gt;</w:t>
      </w:r>
      <w:r>
        <w:t>(2026/2006(INI))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Regulation (EU) 2016/794 (Europol Regulation), Regulation (EU) 2018/1727 (Eurojust Regulation) and Regulation (EU) 2024/1620 establishing the Authority for Anti-Money Laundering and Countering the Financing of Terrorism (AMLA),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Regulation (EU) 2026/2108 establishing the Union Customs Code and the European Union Customs Authority,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its resolution of 28 April 2026 on control, transparency and traceability of performance-based instruments</w:t>
            </w:r>
            <w:r>
              <w:rPr>
                <w:b/>
                <w:i/>
                <w:vertAlign w:val="superscript"/>
              </w:rPr>
              <w:t>4a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TA-10-2026-0122, https://www.europarl.europa.eu/doceo/document/TA-10-2026-0122_EN.html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6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its resolution of 18 December 2025 on the implementation of the rule of law conditionality regime</w:t>
            </w:r>
            <w:r>
              <w:rPr>
                <w:b/>
                <w:i/>
                <w:vertAlign w:val="superscript"/>
              </w:rPr>
              <w:t>4b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4b</w:t>
            </w:r>
            <w:r>
              <w:t xml:space="preserve"> </w:t>
            </w:r>
            <w:r>
              <w:rPr>
                <w:b/>
                <w:i/>
              </w:rPr>
              <w:t>P10_TA(2025)0343, https://www.europarl.europa.eu/doceo/document/TA-10-2025-0343_EN.html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6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its resolution of 28 April 2026 on the proposal for a Council regulation laying down the Multiannual Financial Framework for the years 2028 to 2034 </w:t>
            </w:r>
            <w:r>
              <w:rPr>
                <w:b/>
                <w:i/>
                <w:vertAlign w:val="superscript"/>
              </w:rPr>
              <w:t>4c</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4c</w:t>
            </w:r>
            <w:r>
              <w:t xml:space="preserve"> </w:t>
            </w:r>
            <w:r>
              <w:rPr>
                <w:b/>
                <w:i/>
              </w:rPr>
              <w:t>P10_TA(2026)0111, https://www.europarl.europa.eu/doceo/document/TA-10-2026-0111_EN.html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European Court of Auditors Special Report 18/2026 entitled The Commission’s anti-fraud strategy - Comprehensive yet insufficiently ambitious,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whereas the principle of sound financial management, as enshrined in the Financial Regulation, makes rigorous and continuous budgetary vigilance, effective control and audit, and full traceability of Union expenditure imperative; whereas, in turn, such vigilance, control and traceability provide the operational foundation and necessary data transparency that enable the EU anti-fraud architecture to effectively protect the Union’s financial interests across the full anti-fraud cycle, from prevention and detection to investigation, prosecution and recovery;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whereas the protection of the Union's financial interests relies, in addition to EPPO and OLAF, on Europol, Eurojust, AMLA, the newly established European Union Customs Authority, the European Court of Auditors and the competent national authorities, including the anti-fraud coordination services and financial intelligence units;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whereas respect for the rule of law provides the structural foundation that determines whether the EU anti-fraud architecture can successfully protect the Union budget; whereas rule of law deficiencies can disrupt the entire enforcement chain by negatively affecting reporting channels, the proper functioning and independence of authorities responsible for budget implementation, financial control and audit, investigation and prosecution, judicial independence, the prevention and sanctioning of fraud, the recovery of Union funds, and effective cooperation with all AFA components;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whereas an active civil society, protected whistleblowers and free, pluralistic and independent media and press, including investigative journalists, play an essential role in detecting, exposing and preventing fraud and corruption affecting the Union’s financial interests and in strengthening public accountability and scrutiny of the use of Union funds;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whereas the post-2027 MFF is expected to make greater use of performance-based financing, supported by relevant performance indicators, increasingly linking Union funding to the achievement of milestones and targets rather than to costs incurred; whereas this shift requires control and audit methods to adapt and creates new challenges for the protection of the Union’s financial interests; whereas the evolution of the AFA should therefore take these changes into account and ensure that fraud prevention, detection, investigation and recovery mechanisms remain effective under performance-based spending models;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whereas the EU budget implementation model in the MFF 2028–2034 is projected to shift from cost-based to performance-based implementation, where protection of the Union’s financial interests is expected to hinge increasingly on verification of the functioning of management, control and anti-fraud systems rather than on verification of underlying transactions;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whereas assets recovered or confiscated in PIF-related cases currently remain with the Member States concerned, even where the underlying offences have caused damage to the Union budget; whereas consideration should be given to allowing all or part of such assets to be returned to the Union budget;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Gilles Boyer,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Underlines that the protection of the Union’s financial interests, as defined by the PIF Directive should remain the common basis of the AFA; clarifies that, where AFA components such as Europol, Eurojust and AMLA hold wider mandates under their respective founding instruments, their participation and role in the AFA and all obligations </w:t>
            </w:r>
            <w:r>
              <w:rPr>
                <w:b/>
                <w:i/>
              </w:rPr>
              <w:t>relates</w:t>
            </w:r>
            <w:r>
              <w:t xml:space="preserve"> exclusively to their PIF-relevant functions; maintains that any extension of EPPO or OLAF mandates to organised crime </w:t>
            </w:r>
            <w:r>
              <w:rPr>
                <w:b/>
                <w:i/>
              </w:rPr>
              <w:t>generically</w:t>
            </w:r>
            <w:r>
              <w:t xml:space="preserve"> requires an unanimous European Council decision with Parliament’s consent, or a separate legislative act; rejects any attempt to achieve such extension through administrative practice or organisational redesign;</w:t>
            </w:r>
          </w:p>
        </w:tc>
        <w:tc>
          <w:tcPr>
            <w:tcW w:w="4876" w:type="dxa"/>
            <w:tcBorders>
              <w:top w:val="nil"/>
              <w:left w:val="nil"/>
              <w:bottom w:val="nil"/>
              <w:right w:val="nil"/>
            </w:tcBorders>
          </w:tcPr>
          <w:p>
            <w:pPr>
              <w:pStyle w:val="Normal6a"/>
            </w:pPr>
            <w:r>
              <w:t>2.</w:t>
            </w:r>
            <w:r>
              <w:tab/>
            </w:r>
            <w:r>
              <w:t>Underlines that the protection of the Union’s financial interests, as defined by the PIF Directive</w:t>
            </w:r>
            <w:r>
              <w:rPr>
                <w:b/>
                <w:i/>
              </w:rPr>
              <w:t>,</w:t>
            </w:r>
            <w:r>
              <w:t xml:space="preserve"> should remain the common basis of the AFA; clarifies that, where AFA components such as Europol, Eurojust and AMLA hold wider mandates under their respective founding instruments, their participation and role in the AFA and all </w:t>
            </w:r>
            <w:r>
              <w:rPr>
                <w:b/>
                <w:i/>
              </w:rPr>
              <w:t>related</w:t>
            </w:r>
            <w:r>
              <w:t xml:space="preserve"> obligations </w:t>
            </w:r>
            <w:r>
              <w:rPr>
                <w:b/>
                <w:i/>
              </w:rPr>
              <w:t>apply</w:t>
            </w:r>
            <w:r>
              <w:t xml:space="preserve"> exclusively to their PIF-relevant functions</w:t>
            </w:r>
            <w:r>
              <w:rPr>
                <w:b/>
                <w:i/>
              </w:rPr>
              <w:t>; stresses that EPPO contributes to the fight against organised crime where criminal organisations are involved in PIF offences; considers that any possible extension of its mandate should be carefully assessed, taking into account the risk of diluting its focus and expertise on the protection of the Union’s financial interests, and creating overlaps with existing national and Union authorities and bodies</w:t>
            </w:r>
            <w:r>
              <w:t>; maintains that any extension of EPPO or OLAF mandates to organised crime requires an unanimous European Council decision with Parliament’s consent, or a separate legislative act; rejects any attempt to achieve such extension through administrative practice or organisational redesign;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Underlines that the protection of the Union’s financial interests, as defined by the PIF Directive should remain the common basis of the AFA; clarifies that, where AFA components such as Europol, Eurojust and AMLA hold wider mandates under their respective founding instruments, their participation and role in the AFA and all obligations </w:t>
            </w:r>
            <w:r>
              <w:rPr>
                <w:b/>
                <w:i/>
              </w:rPr>
              <w:t>relates</w:t>
            </w:r>
            <w:r>
              <w:t xml:space="preserve"> exclusively to their PIF-relevant functions; </w:t>
            </w:r>
            <w:r>
              <w:rPr>
                <w:b/>
                <w:i/>
              </w:rPr>
              <w:t>maintains that any extension of EPPO or OLAF mandates to organised crime generically requires an unanimous European Council decision with Parliament’s consent, or a separate legislative act; rejects any attempt to achieve such extension through administrative practice or organisational redesign;</w:t>
            </w:r>
          </w:p>
        </w:tc>
        <w:tc>
          <w:tcPr>
            <w:tcW w:w="4876" w:type="dxa"/>
            <w:tcBorders>
              <w:top w:val="nil"/>
              <w:left w:val="nil"/>
              <w:bottom w:val="nil"/>
              <w:right w:val="nil"/>
            </w:tcBorders>
          </w:tcPr>
          <w:p>
            <w:pPr>
              <w:pStyle w:val="Normal6a"/>
            </w:pPr>
            <w:r>
              <w:t>2.</w:t>
            </w:r>
            <w:r>
              <w:tab/>
            </w:r>
            <w:r>
              <w:t>Underlines that the protection of the Union’s financial interests, as defined by the PIF Directive</w:t>
            </w:r>
            <w:r>
              <w:rPr>
                <w:b/>
                <w:i/>
              </w:rPr>
              <w:t>,</w:t>
            </w:r>
            <w:r>
              <w:t xml:space="preserve"> should remain the </w:t>
            </w:r>
            <w:r>
              <w:rPr>
                <w:b/>
                <w:i/>
              </w:rPr>
              <w:t>defining purpose and</w:t>
            </w:r>
            <w:r>
              <w:t xml:space="preserve"> common basis of the AFA; clarifies that, where AFA components such as Europol, Eurojust and AMLA hold wider mandates under their respective founding instruments, their participation and role in the AFA and all </w:t>
            </w:r>
            <w:r>
              <w:rPr>
                <w:b/>
                <w:i/>
              </w:rPr>
              <w:t>related</w:t>
            </w:r>
            <w:r>
              <w:t xml:space="preserve"> obligations </w:t>
            </w:r>
            <w:r>
              <w:rPr>
                <w:b/>
                <w:i/>
              </w:rPr>
              <w:t>relate</w:t>
            </w:r>
            <w:r>
              <w:t xml:space="preserve"> exclusively to their PIF-relevant functions;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Underlines that the protection of the Union’s financial interests, as defined by the PIF Directive should remain the common basis of the AFA; clarifies that, where AFA components such as Europol, Eurojust and AMLA hold wider mandates under their respective founding instruments, their participation </w:t>
            </w:r>
            <w:r>
              <w:rPr>
                <w:b/>
                <w:i/>
              </w:rPr>
              <w:t>and role</w:t>
            </w:r>
            <w:r>
              <w:t xml:space="preserve"> in the AFA </w:t>
            </w:r>
            <w:r>
              <w:rPr>
                <w:b/>
                <w:i/>
              </w:rPr>
              <w:t>and all obligations relates exclusively to</w:t>
            </w:r>
            <w:r>
              <w:t xml:space="preserve"> their PIF-relevant functions; maintains that any extension of EPPO or OLAF mandates to organised crime generically requires an unanimous European Council decision with Parliament’s consent, or a separate legislative act; </w:t>
            </w:r>
            <w:r>
              <w:rPr>
                <w:b/>
                <w:i/>
              </w:rPr>
              <w:t>rejects any attempt to achieve such extension through administrative practice or organisational redesign;</w:t>
            </w:r>
          </w:p>
        </w:tc>
        <w:tc>
          <w:tcPr>
            <w:tcW w:w="4876" w:type="dxa"/>
            <w:tcBorders>
              <w:top w:val="nil"/>
              <w:left w:val="nil"/>
              <w:bottom w:val="nil"/>
              <w:right w:val="nil"/>
            </w:tcBorders>
          </w:tcPr>
          <w:p>
            <w:pPr>
              <w:pStyle w:val="Normal6a"/>
            </w:pPr>
            <w:r>
              <w:t>2.</w:t>
            </w:r>
            <w:r>
              <w:tab/>
            </w:r>
            <w:r>
              <w:t xml:space="preserve">Underlines that the protection of the Union’s financial interests, as defined by the PIF Directive should remain the common basis of the AFA; clarifies that, where AFA components such as Europol, Eurojust and AMLA hold wider mandates under their respective founding instruments, their participation in the AFA </w:t>
            </w:r>
            <w:r>
              <w:rPr>
                <w:b/>
                <w:i/>
              </w:rPr>
              <w:t>concerns</w:t>
            </w:r>
            <w:r>
              <w:t xml:space="preserve"> their PIF-relevant functions</w:t>
            </w:r>
            <w:r>
              <w:rPr>
                <w:b/>
                <w:i/>
              </w:rPr>
              <w:t>, without limiting cooperation and the exchange of information in cases where PIF offences are linked to organised crime or money laundering</w:t>
            </w:r>
            <w:r>
              <w:t>; maintains that any extension of EPPO or OLAF mandates to organised crime generically requires an unanimous European Council decision with Parliament’s consent, or a separate legislative act;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Ondřej Knotek,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Urges</w:t>
            </w:r>
            <w:r>
              <w:t xml:space="preserve"> the Commission to address the governance deficit identified by ECA Special Report 26/2025 and repeatedly stressed by Parliament: the absence of system-level accountability, the lack of measurable outcomes, and the missing overview of individual components' strategies and priorities; stresses that recovery is the final tangible evidence of the AFA's effectiveness; reiterates that the AFA’s outcome is expected to be bigger than the sum of its components’;</w:t>
            </w:r>
          </w:p>
        </w:tc>
        <w:tc>
          <w:tcPr>
            <w:tcW w:w="4876" w:type="dxa"/>
            <w:tcBorders>
              <w:top w:val="nil"/>
              <w:left w:val="nil"/>
              <w:bottom w:val="nil"/>
              <w:right w:val="nil"/>
            </w:tcBorders>
          </w:tcPr>
          <w:p>
            <w:pPr>
              <w:pStyle w:val="Normal6a"/>
            </w:pPr>
            <w:r>
              <w:t>3.</w:t>
            </w:r>
            <w:r>
              <w:tab/>
            </w:r>
            <w:r>
              <w:rPr>
                <w:b/>
                <w:i/>
              </w:rPr>
              <w:t>Calls on</w:t>
            </w:r>
            <w:r>
              <w:t xml:space="preserve"> the Commission </w:t>
            </w:r>
            <w:r>
              <w:rPr>
                <w:b/>
                <w:i/>
              </w:rPr>
              <w:t>and the Member States, within their respective responsibilities and in cooperation with the relevant AFA components,</w:t>
            </w:r>
            <w:r>
              <w:t xml:space="preserve"> to address the governance deficit identified by ECA Special Report 26/2025 and repeatedly stressed by Parliament: the absence of system-level accountability, the lack of measurable outcomes, and the missing overview of individual components' strategies and priorities; stresses that recovery is the final tangible evidence of the AFA's effectiveness; reiterates that the AFA’s outcome is expected to be bigger than the sum of its components’;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Urges the Commission to address the governance deficit identified by ECA Special Report 26/2025 and repeatedly stressed by Parliament: the absence of system-level accountability, the lack of measurable outcomes, and the missing overview of individual components' strategies and priorities; stresses that recovery is the final tangible evidence of the AFA's effectiveness; </w:t>
            </w:r>
            <w:r>
              <w:rPr>
                <w:b/>
                <w:i/>
              </w:rPr>
              <w:t>reiterates</w:t>
            </w:r>
            <w:r>
              <w:t xml:space="preserve"> that the </w:t>
            </w:r>
            <w:r>
              <w:rPr>
                <w:b/>
                <w:i/>
              </w:rPr>
              <w:t>AFA’s outcome is expected to be bigger than the sum of</w:t>
            </w:r>
            <w:r>
              <w:t xml:space="preserve"> its components</w:t>
            </w:r>
            <w:r>
              <w:rPr>
                <w:b/>
                <w:i/>
              </w:rPr>
              <w:t>’</w:t>
            </w:r>
            <w:r>
              <w:t>;</w:t>
            </w:r>
          </w:p>
        </w:tc>
        <w:tc>
          <w:tcPr>
            <w:tcW w:w="4876" w:type="dxa"/>
            <w:tcBorders>
              <w:top w:val="nil"/>
              <w:left w:val="nil"/>
              <w:bottom w:val="nil"/>
              <w:right w:val="nil"/>
            </w:tcBorders>
          </w:tcPr>
          <w:p>
            <w:pPr>
              <w:pStyle w:val="Normal6a"/>
            </w:pPr>
            <w:r>
              <w:t>3.</w:t>
            </w:r>
            <w:r>
              <w:tab/>
            </w:r>
            <w:r>
              <w:t xml:space="preserve">Urges the Commission to address the governance deficit identified by ECA Special Report 26/2025 and repeatedly stressed by Parliament: the absence of system-level accountability, the lack of measurable outcomes, and the missing overview of individual components' strategies and priorities; stresses that recovery is the final tangible evidence of the AFA's effectiveness; </w:t>
            </w:r>
            <w:r>
              <w:rPr>
                <w:b/>
                <w:i/>
              </w:rPr>
              <w:t>considers</w:t>
            </w:r>
            <w:r>
              <w:t xml:space="preserve"> that the </w:t>
            </w:r>
            <w:r>
              <w:rPr>
                <w:b/>
                <w:i/>
              </w:rPr>
              <w:t>AFA should deliver greater collective added value through stronger coordination and complementarity between</w:t>
            </w:r>
            <w:r>
              <w:t xml:space="preserve"> its components;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Maintains that </w:t>
            </w:r>
            <w:r>
              <w:rPr>
                <w:b/>
                <w:i/>
              </w:rPr>
              <w:t>no</w:t>
            </w:r>
            <w:r>
              <w:t xml:space="preserve"> AFA component shall </w:t>
            </w:r>
            <w:r>
              <w:rPr>
                <w:b/>
                <w:i/>
              </w:rPr>
              <w:t>receive instructions from any political authority</w:t>
            </w:r>
            <w:r>
              <w:t xml:space="preserve"> regarding the opening, conduct</w:t>
            </w:r>
            <w:r>
              <w:rPr>
                <w:b/>
                <w:i/>
              </w:rPr>
              <w:t>, or</w:t>
            </w:r>
            <w:r>
              <w:t xml:space="preserve"> closure of </w:t>
            </w:r>
            <w:r>
              <w:rPr>
                <w:b/>
                <w:i/>
              </w:rPr>
              <w:t>an</w:t>
            </w:r>
            <w:r>
              <w:t xml:space="preserve"> individual </w:t>
            </w:r>
            <w:r>
              <w:rPr>
                <w:b/>
                <w:i/>
              </w:rPr>
              <w:t>investigation</w:t>
            </w:r>
            <w:r>
              <w:t xml:space="preserve">; underlines that </w:t>
            </w:r>
            <w:r>
              <w:rPr>
                <w:b/>
                <w:i/>
              </w:rPr>
              <w:t>this foundational principle of</w:t>
            </w:r>
            <w:r>
              <w:t xml:space="preserve"> independence is essential and must be safeguarded for all AFA components;</w:t>
            </w:r>
          </w:p>
        </w:tc>
        <w:tc>
          <w:tcPr>
            <w:tcW w:w="4876" w:type="dxa"/>
            <w:tcBorders>
              <w:top w:val="nil"/>
              <w:left w:val="nil"/>
              <w:bottom w:val="nil"/>
              <w:right w:val="nil"/>
            </w:tcBorders>
          </w:tcPr>
          <w:p>
            <w:pPr>
              <w:pStyle w:val="Normal6a"/>
            </w:pPr>
            <w:r>
              <w:t>4.</w:t>
            </w:r>
            <w:r>
              <w:tab/>
            </w:r>
            <w:r>
              <w:t xml:space="preserve">Maintains that </w:t>
            </w:r>
            <w:r>
              <w:rPr>
                <w:b/>
                <w:i/>
              </w:rPr>
              <w:t>every</w:t>
            </w:r>
            <w:r>
              <w:t xml:space="preserve"> AFA component shall </w:t>
            </w:r>
            <w:r>
              <w:rPr>
                <w:b/>
                <w:i/>
              </w:rPr>
              <w:t>respect all principles of the rule of law</w:t>
            </w:r>
            <w:r>
              <w:t xml:space="preserve"> regarding the opening, conduct </w:t>
            </w:r>
            <w:r>
              <w:rPr>
                <w:b/>
                <w:i/>
              </w:rPr>
              <w:t>and</w:t>
            </w:r>
            <w:r>
              <w:t xml:space="preserve"> closure of individual </w:t>
            </w:r>
            <w:r>
              <w:rPr>
                <w:b/>
                <w:i/>
              </w:rPr>
              <w:t>investigations</w:t>
            </w:r>
            <w:r>
              <w:t xml:space="preserve">; </w:t>
            </w:r>
            <w:r>
              <w:rPr>
                <w:b/>
                <w:i/>
              </w:rPr>
              <w:t>stresses that AFA components are independent in the exercise of their investigative functions and</w:t>
            </w:r>
            <w:r>
              <w:t xml:space="preserve"> underlines that </w:t>
            </w:r>
            <w:r>
              <w:rPr>
                <w:b/>
                <w:i/>
              </w:rPr>
              <w:t>such</w:t>
            </w:r>
            <w:r>
              <w:t xml:space="preserve"> independence is essential and must be safeguarded for all AFA components; </w:t>
            </w:r>
            <w:r>
              <w:rPr>
                <w:b/>
                <w:i/>
              </w:rPr>
              <w:t>clarifies that this is without prejudice to the lawful exercise of powers by competent authorities under applicable Union or national law, provided that such powers are exercised in accordance with clear and transparent rule-of-law standards, traceable procedures, appropriate safeguards against misuse and effective democratic scrutiny, and without interference in individual investigations.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Considers that AFA independence comprises two dimensions: (A) operational and investigative independence, which must be safeguarded, where investigative confidentiality is a corollary protecting proceedings from interference and political exploitation; and (B) administrative and institutional independence, including adequate resources and staffing, which should be ensured within the applicable governance and budgetary frameworks, in a manner that supports the effective exercise of the respective mandates;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Considers that AFA independence comprises two dimensions: (A) operational and investigative independence, which must be safeguarded, where investigative confidentiality is a corollary protecting proceedings from interference and political exploitation; and (B) administrative and institutional independence, including adequate resources and staffing, which should be ensured within the applicable governance and budgetary frameworks, in a manner that supports the effective exercise of the respective mandates;</w:t>
            </w:r>
          </w:p>
        </w:tc>
        <w:tc>
          <w:tcPr>
            <w:tcW w:w="4876" w:type="dxa"/>
            <w:tcBorders>
              <w:top w:val="nil"/>
              <w:left w:val="nil"/>
              <w:bottom w:val="nil"/>
              <w:right w:val="nil"/>
            </w:tcBorders>
          </w:tcPr>
          <w:p>
            <w:pPr>
              <w:pStyle w:val="Normal6a"/>
            </w:pPr>
            <w:r>
              <w:t>5.</w:t>
            </w:r>
            <w:r>
              <w:tab/>
            </w:r>
            <w:r>
              <w:t xml:space="preserve">Considers that AFA independence comprises two dimensions: (A) operational and investigative independence, which must be safeguarded, where investigative confidentiality is a corollary protecting proceedings from interference and political exploitation; and (B) administrative and institutional independence, including adequate resources and staffing, which should be ensured within the applicable governance and budgetary frameworks, in a manner that supports the effective exercise of the respective mandates; </w:t>
            </w:r>
            <w:r>
              <w:rPr>
                <w:b/>
                <w:i/>
              </w:rPr>
              <w:t>clarifies that this distinction does not apply equally to all AFA components; stresses, in particular, that for the EPPO, as an independent prosecution office, operational and investigative independence cannot be separated from its institutional and administrative independence;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Calls on the Commission, to review the adequacy of the appointment procedure under Article 17 of Regulation (EU, Euratom) 883/2013 of OLAF’s Director-General; recalls, that such appointment takes place upon a final decision taken by the Commission, with Parliament and Council holding merely consultative and advisory roles; notes, that this appointment procedure is in dissonance with the appointment procedure of the EPPO's Chief Prosecutor, appointed jointly by Parliament and Council under Article 14 of Council Regulation (EU) 2017/1939; calls on the Commission to consider, with a view to ensure the operational and institutional independence of OLAF as well as in light of the Director-General's essential role in opening, carrying out and drafting of reports following investigations, to amend said appointment procedure as to grant Parliament a binding vote;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Clarifies that non-investigative functions -including intake and routing of information, recovery monitoring, policy coordination, and inter-institutional reporting- are not covered by the operational independence principle; calls on the Commission to make the functional distinction of OLAF investigative and non-investigative tasks explicit in the revised OLAF Regulation;</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Clarifies that non-investigative functions -including intake and routing of information, recovery monitoring, policy coordination, and inter-institutional reporting- are not covered by the</w:t>
            </w:r>
            <w:r>
              <w:t xml:space="preserve"> operational independence </w:t>
            </w:r>
            <w:r>
              <w:rPr>
                <w:b/>
                <w:i/>
              </w:rPr>
              <w:t>principle</w:t>
            </w:r>
            <w:r>
              <w:t xml:space="preserve">; calls on the Commission to </w:t>
            </w:r>
            <w:r>
              <w:rPr>
                <w:b/>
                <w:i/>
              </w:rPr>
              <w:t>make the functional distinction of OLAF investigative and non-investigative tasks explicit</w:t>
            </w:r>
            <w:r>
              <w:t xml:space="preserve"> in the </w:t>
            </w:r>
            <w:r>
              <w:rPr>
                <w:b/>
                <w:i/>
              </w:rPr>
              <w:t>revised OLAF Regulation</w:t>
            </w:r>
            <w:r>
              <w:t>;</w:t>
            </w:r>
          </w:p>
        </w:tc>
        <w:tc>
          <w:tcPr>
            <w:tcW w:w="4876" w:type="dxa"/>
            <w:tcBorders>
              <w:top w:val="nil"/>
              <w:left w:val="nil"/>
              <w:bottom w:val="nil"/>
              <w:right w:val="nil"/>
            </w:tcBorders>
          </w:tcPr>
          <w:p>
            <w:pPr>
              <w:pStyle w:val="Normal6a"/>
            </w:pPr>
            <w:r>
              <w:t>6.</w:t>
            </w:r>
            <w:r>
              <w:tab/>
            </w:r>
            <w:r>
              <w:rPr>
                <w:b/>
                <w:i/>
              </w:rPr>
              <w:t>Recalls the principle of</w:t>
            </w:r>
            <w:r>
              <w:t xml:space="preserve"> operational independence</w:t>
            </w:r>
            <w:r>
              <w:rPr>
                <w:b/>
                <w:i/>
              </w:rPr>
              <w:t>; stresses the need for an early and effective information-sharing mechanism to enable the Commission and OLAF, where appropriate, to take precautionary measures to protect the Union’s financial interests without compromising ongoing EPPO investigations; considers that a joint intake register could facilitate such exchanges, with differenciated access according to mandate and on a need-to-know basis, subject to applicable confidentiality and data protection requirements</w:t>
            </w:r>
            <w:r>
              <w:t xml:space="preserve">; calls on the Commission to </w:t>
            </w:r>
            <w:r>
              <w:rPr>
                <w:b/>
                <w:i/>
              </w:rPr>
              <w:t>assess,</w:t>
            </w:r>
            <w:r>
              <w:t xml:space="preserve"> in the </w:t>
            </w:r>
            <w:r>
              <w:rPr>
                <w:b/>
                <w:i/>
              </w:rPr>
              <w:t>context of the revision of the relevant legal frameworks, how to further facilitate effective cooperation between AFA actors while fully respecting their respective mandates and operational independence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Ondřej Knotek,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Clarifies that non-investigative functions -including intake and routing of information, recovery monitoring, policy coordination, and inter-institutional reporting- are not covered by the operational independence principle; calls on the Commission to make the functional distinction of OLAF investigative and non-investigative tasks explicit in the revised OLAF Regulation;</w:t>
            </w:r>
          </w:p>
        </w:tc>
        <w:tc>
          <w:tcPr>
            <w:tcW w:w="4876" w:type="dxa"/>
            <w:tcBorders>
              <w:top w:val="nil"/>
              <w:left w:val="nil"/>
              <w:bottom w:val="nil"/>
              <w:right w:val="nil"/>
            </w:tcBorders>
          </w:tcPr>
          <w:p>
            <w:pPr>
              <w:pStyle w:val="Normal6a"/>
            </w:pPr>
            <w:r>
              <w:t>6.</w:t>
            </w:r>
            <w:r>
              <w:tab/>
            </w:r>
            <w:r>
              <w:t xml:space="preserve">Clarifies that non-investigative functions -including intake and routing of information, recovery monitoring, policy coordination, and inter-institutional reporting- are not covered by the operational independence principle </w:t>
            </w:r>
            <w:r>
              <w:rPr>
                <w:b/>
                <w:i/>
              </w:rPr>
              <w:t>but must under no circumstances direct or predetermine decisions in individual investigations</w:t>
            </w:r>
            <w:r>
              <w:t>; calls on the Commission to make the functional distinction of OLAF investigative and non-investigative tasks explicit in the revised OLAF Regulation;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Clarifies that non-investigative functions -including </w:t>
            </w:r>
            <w:r>
              <w:rPr>
                <w:b/>
                <w:i/>
              </w:rPr>
              <w:t>intake and routing of information,</w:t>
            </w:r>
            <w:r>
              <w:t xml:space="preserve"> recovery monitoring, policy coordination, and inter-institutional reporting- are not covered by the operational independence principle; calls on the Commission to make the functional distinction of OLAF investigative and non-investigative tasks explicit in the revised OLAF Regulation;</w:t>
            </w:r>
          </w:p>
        </w:tc>
        <w:tc>
          <w:tcPr>
            <w:tcW w:w="4876" w:type="dxa"/>
            <w:tcBorders>
              <w:top w:val="nil"/>
              <w:left w:val="nil"/>
              <w:bottom w:val="nil"/>
              <w:right w:val="nil"/>
            </w:tcBorders>
          </w:tcPr>
          <w:p>
            <w:pPr>
              <w:pStyle w:val="Normal6a"/>
            </w:pPr>
            <w:r>
              <w:t>6.</w:t>
            </w:r>
            <w:r>
              <w:tab/>
            </w:r>
            <w:r>
              <w:t>Clarifies that non-investigative functions -including recovery monitoring, policy coordination, and inter-institutional reporting- are not covered by the operational independence principle; calls on the Commission to make the functional distinction of OLAF investigative and non-investigative tasks explicit in the revised OLAF Regulation;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Considers that coordination between AFA components is essential to protecting the Union’s financial interests and should be ensured; underlines that operational independence does not preclude any component from: (A) timely exchanging relevant information with other components, (B) ensuring appropriate referral and cooperation between competent authorities, including </w:t>
            </w:r>
            <w:r>
              <w:rPr>
                <w:b/>
                <w:i/>
              </w:rPr>
              <w:t>the simultaneous notification of</w:t>
            </w:r>
            <w:r>
              <w:t xml:space="preserve"> competent components </w:t>
            </w:r>
            <w:r>
              <w:rPr>
                <w:b/>
                <w:i/>
              </w:rPr>
              <w:t>in the intake and routing process</w:t>
            </w:r>
            <w:r>
              <w:t>, (C) facilitating coordination between administrative and criminal investigations; (D) contributing with structured data to the Consolidated AFA Annual Report; calls for appropriate mechanisms to facilitate such coordination;</w:t>
            </w:r>
          </w:p>
        </w:tc>
        <w:tc>
          <w:tcPr>
            <w:tcW w:w="4876" w:type="dxa"/>
            <w:tcBorders>
              <w:top w:val="nil"/>
              <w:left w:val="nil"/>
              <w:bottom w:val="nil"/>
              <w:right w:val="nil"/>
            </w:tcBorders>
          </w:tcPr>
          <w:p>
            <w:pPr>
              <w:pStyle w:val="Normal6a"/>
            </w:pPr>
            <w:r>
              <w:t>7.</w:t>
            </w:r>
            <w:r>
              <w:tab/>
            </w:r>
            <w:r>
              <w:t xml:space="preserve">Considers that coordination between AFA components is essential to protecting the Union’s financial interests and should be ensured; underlines that operational independence does not preclude any component from: (A) timely exchanging relevant information with other components, </w:t>
            </w:r>
            <w:r>
              <w:rPr>
                <w:b/>
                <w:i/>
              </w:rPr>
              <w:t>without prejudice to the confidentiality of criminal investigations and the responsibility of the competent judicial authority to determine when information may be shared</w:t>
            </w:r>
            <w:r>
              <w:t xml:space="preserve"> (B) ensuring appropriate referral and cooperation between competent authorities, including </w:t>
            </w:r>
            <w:r>
              <w:rPr>
                <w:b/>
                <w:i/>
              </w:rPr>
              <w:t>through mechanisms allowing</w:t>
            </w:r>
            <w:r>
              <w:t xml:space="preserve"> competent </w:t>
            </w:r>
            <w:r>
              <w:rPr>
                <w:b/>
                <w:i/>
              </w:rPr>
              <w:t>AFA</w:t>
            </w:r>
            <w:r>
              <w:t xml:space="preserve"> components </w:t>
            </w:r>
            <w:r>
              <w:rPr>
                <w:b/>
                <w:i/>
              </w:rPr>
              <w:t>to identify potential overlaps between investigations at an early stage</w:t>
            </w:r>
            <w:r>
              <w:t xml:space="preserve">, </w:t>
            </w:r>
            <w:r>
              <w:rPr>
                <w:b/>
                <w:i/>
              </w:rPr>
              <w:t>while respecting applicable confidentiality requirements</w:t>
            </w:r>
            <w:r>
              <w:t xml:space="preserve"> (C) facilitating coordination between administrative and criminal investigations; (D) contributing with structured data to the Consolidated AFA Annual Report; calls for appropriate mechanisms to facilitate such coordination;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Considers that coordination between AFA components is essential to protecting the Union’s financial interests and should be </w:t>
            </w:r>
            <w:r>
              <w:rPr>
                <w:b/>
                <w:i/>
              </w:rPr>
              <w:t>ensured</w:t>
            </w:r>
            <w:r>
              <w:t xml:space="preserve">; underlines that operational independence does not preclude any component from: (A) timely exchanging relevant information with other components, (B) ensuring appropriate </w:t>
            </w:r>
            <w:r>
              <w:rPr>
                <w:b/>
                <w:i/>
              </w:rPr>
              <w:t>referral and</w:t>
            </w:r>
            <w:r>
              <w:t xml:space="preserve"> cooperation between competent authorities</w:t>
            </w:r>
            <w:r>
              <w:rPr>
                <w:b/>
                <w:i/>
              </w:rPr>
              <w:t>, including the simultaneous notification of competent components in the intake and routing process</w:t>
            </w:r>
            <w:r>
              <w:t xml:space="preserve">, (C) facilitating coordination between administrative and criminal investigations; (D) contributing with structured data to the Consolidated AFA Annual Report; calls </w:t>
            </w:r>
            <w:r>
              <w:rPr>
                <w:b/>
                <w:i/>
              </w:rPr>
              <w:t>for</w:t>
            </w:r>
            <w:r>
              <w:t xml:space="preserve"> appropriate mechanisms to facilitate such coordination;</w:t>
            </w:r>
          </w:p>
        </w:tc>
        <w:tc>
          <w:tcPr>
            <w:tcW w:w="4876" w:type="dxa"/>
            <w:tcBorders>
              <w:top w:val="nil"/>
              <w:left w:val="nil"/>
              <w:bottom w:val="nil"/>
              <w:right w:val="nil"/>
            </w:tcBorders>
          </w:tcPr>
          <w:p>
            <w:pPr>
              <w:pStyle w:val="Normal6a"/>
            </w:pPr>
            <w:r>
              <w:t>7.</w:t>
            </w:r>
            <w:r>
              <w:tab/>
            </w:r>
            <w:r>
              <w:t xml:space="preserve">Considers that coordination between AFA components is essential to protecting the Union’s financial interests and should be </w:t>
            </w:r>
            <w:r>
              <w:rPr>
                <w:b/>
                <w:i/>
              </w:rPr>
              <w:t>improved to the extent possible in accordance with the principle of judicial independence</w:t>
            </w:r>
            <w:r>
              <w:t>; underlines that operational independence does not preclude any component from: (A) timely exchanging relevant information with other components, (B) ensuring</w:t>
            </w:r>
            <w:r>
              <w:rPr>
                <w:b/>
                <w:i/>
              </w:rPr>
              <w:t>, where possible and without prejudice to the principle of confidentiality of criminal investigations,</w:t>
            </w:r>
            <w:r>
              <w:t xml:space="preserve"> appropriate cooperation between competent authorities, (C) facilitating coordination between administrative and criminal investigations; (D) contributing with structured data to the Consolidated AFA Annual Report; calls </w:t>
            </w:r>
            <w:r>
              <w:rPr>
                <w:b/>
                <w:i/>
              </w:rPr>
              <w:t>on the Commission to assess</w:t>
            </w:r>
            <w:r>
              <w:t xml:space="preserve"> appropriate mechanisms to facilitate such coordination;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Considers that coordination between AFA components is essential to protecting the Union’s financial interests and should be ensured; underlines that operational independence does not preclude any component from: (A) timely exchanging relevant information with other components, (B) ensuring appropriate referral and cooperation between competent authorities, including the simultaneous notification of </w:t>
            </w:r>
            <w:r>
              <w:rPr>
                <w:b/>
                <w:i/>
              </w:rPr>
              <w:t>competent components in the</w:t>
            </w:r>
            <w:r>
              <w:t xml:space="preserve"> intake and routing process, (C) facilitating coordination between administrative and criminal investigations; (D) contributing with structured data to </w:t>
            </w:r>
            <w:r>
              <w:rPr>
                <w:b/>
                <w:i/>
              </w:rPr>
              <w:t>the</w:t>
            </w:r>
            <w:r>
              <w:t xml:space="preserve"> Consolidated AFA Annual Report; calls for appropriate mechanisms to facilitate such coordination;</w:t>
            </w:r>
          </w:p>
        </w:tc>
        <w:tc>
          <w:tcPr>
            <w:tcW w:w="4876" w:type="dxa"/>
            <w:tcBorders>
              <w:top w:val="nil"/>
              <w:left w:val="nil"/>
              <w:bottom w:val="nil"/>
              <w:right w:val="nil"/>
            </w:tcBorders>
          </w:tcPr>
          <w:p>
            <w:pPr>
              <w:pStyle w:val="Normal6a"/>
            </w:pPr>
            <w:r>
              <w:t>7.</w:t>
            </w:r>
            <w:r>
              <w:tab/>
            </w:r>
            <w:r>
              <w:t xml:space="preserve">Considers that coordination between AFA components is essential to protecting the Union’s financial interests and should be ensured; underlines that operational independence does not preclude any component from: (A) timely exchanging relevant information with other components, (B) ensuring appropriate referral and cooperation between competent authorities, including the simultaneous notification of </w:t>
            </w:r>
            <w:r>
              <w:rPr>
                <w:b/>
                <w:i/>
              </w:rPr>
              <w:t>OLAF and EPPO as part of a coordinated</w:t>
            </w:r>
            <w:r>
              <w:t xml:space="preserve"> intake and routing process, (C) facilitating coordination between administrative and criminal investigations; (D) contributing with structured data to </w:t>
            </w:r>
            <w:r>
              <w:rPr>
                <w:b/>
                <w:i/>
              </w:rPr>
              <w:t>a</w:t>
            </w:r>
            <w:r>
              <w:t xml:space="preserve"> Consolidated AFA Annual Report; calls for appropriate mechanisms to facilitate such coordination;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Considers that coordination between AFA components is essential to protecting the Union’s financial interests and </w:t>
            </w:r>
            <w:r>
              <w:rPr>
                <w:b/>
                <w:i/>
              </w:rPr>
              <w:t>should</w:t>
            </w:r>
            <w:r>
              <w:t xml:space="preserve"> be ensured; underlines that operational independence does not preclude any component from: (A) timely exchanging relevant information with other components, (B) ensuring appropriate referral and cooperation between competent authorities, including the simultaneous notification </w:t>
            </w:r>
            <w:r>
              <w:rPr>
                <w:b/>
                <w:i/>
              </w:rPr>
              <w:t>of</w:t>
            </w:r>
            <w:r>
              <w:t xml:space="preserve"> competent components in the intake and routing process, (C) facilitating coordination between administrative and criminal investigations; (D) contributing with structured data to the Consolidated AFA Annual Report; calls for </w:t>
            </w:r>
            <w:r>
              <w:rPr>
                <w:b/>
                <w:i/>
              </w:rPr>
              <w:t>appropriate</w:t>
            </w:r>
            <w:r>
              <w:t xml:space="preserve"> mechanisms to </w:t>
            </w:r>
            <w:r>
              <w:rPr>
                <w:b/>
                <w:i/>
              </w:rPr>
              <w:t>facilitate</w:t>
            </w:r>
            <w:r>
              <w:t xml:space="preserve"> such coordination;</w:t>
            </w:r>
          </w:p>
        </w:tc>
        <w:tc>
          <w:tcPr>
            <w:tcW w:w="4876" w:type="dxa"/>
            <w:tcBorders>
              <w:top w:val="nil"/>
              <w:left w:val="nil"/>
              <w:bottom w:val="nil"/>
              <w:right w:val="nil"/>
            </w:tcBorders>
          </w:tcPr>
          <w:p>
            <w:pPr>
              <w:pStyle w:val="Normal6a"/>
            </w:pPr>
            <w:r>
              <w:t>7.</w:t>
            </w:r>
            <w:r>
              <w:tab/>
            </w:r>
            <w:r>
              <w:t xml:space="preserve">Considers that coordination between AFA components is essential to protecting the Union’s financial interests and </w:t>
            </w:r>
            <w:r>
              <w:rPr>
                <w:b/>
                <w:i/>
              </w:rPr>
              <w:t>must</w:t>
            </w:r>
            <w:r>
              <w:t xml:space="preserve"> be ensured; underlines that operational independence does not preclude any component from: (A) timely exchanging relevant information with other components, (B) ensuring appropriate referral and cooperation between competent authorities, including the simultaneous notification </w:t>
            </w:r>
            <w:r>
              <w:rPr>
                <w:b/>
                <w:i/>
              </w:rPr>
              <w:t>to</w:t>
            </w:r>
            <w:r>
              <w:t xml:space="preserve"> competent components in the intake and routing process, (C) facilitating coordination between administrative and criminal investigations; (D) contributing with structured data to the Consolidated AFA Annual Report; calls for </w:t>
            </w:r>
            <w:r>
              <w:rPr>
                <w:b/>
                <w:i/>
              </w:rPr>
              <w:t>enforceable</w:t>
            </w:r>
            <w:r>
              <w:t xml:space="preserve"> mechanisms to </w:t>
            </w:r>
            <w:r>
              <w:rPr>
                <w:b/>
                <w:i/>
              </w:rPr>
              <w:t>implement</w:t>
            </w:r>
            <w:r>
              <w:t xml:space="preserve"> such coordination;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Stresses that the duty of sincere cooperation requires all EU institutions to cooperate effectively with competent AFA components and to provide relevant information, documents and testimony necessary for the fulfilment of their respective mandates; recalls, in this context, the judgment of the General Court of 10 June 2026 in Case T-99/25 concerning the refusal of the European Court of Auditors to release staff from professional confidentiality for the purpose of EPPO testimony; calls on the Commission, in the context of the revision of the AFA architecture, to establish clear duties, procedures and timelines for such cooperation, including appropriate mechanisms for resolving unjustified refusals or delays;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Stresses that independence does not entail opacity; calls for aggregate reporting by AFA components to the budgetary authority</w:t>
            </w:r>
            <w:r>
              <w:rPr>
                <w:b/>
                <w:i/>
              </w:rPr>
              <w:t>,</w:t>
            </w:r>
            <w:r>
              <w:t xml:space="preserve"> on case volumes, outcomes, recovery results and follow-up rates, while respecting applicable confidentiality and data protection rules and without identifying individual cases or disclosing investigative content; considers that an adequate level of transparency is essential to </w:t>
            </w:r>
            <w:r>
              <w:rPr>
                <w:b/>
                <w:i/>
              </w:rPr>
              <w:t>an</w:t>
            </w:r>
            <w:r>
              <w:t xml:space="preserve"> effective </w:t>
            </w:r>
            <w:r>
              <w:rPr>
                <w:b/>
                <w:i/>
              </w:rPr>
              <w:t>accountability;</w:t>
            </w:r>
          </w:p>
        </w:tc>
        <w:tc>
          <w:tcPr>
            <w:tcW w:w="4876" w:type="dxa"/>
            <w:tcBorders>
              <w:top w:val="nil"/>
              <w:left w:val="nil"/>
              <w:bottom w:val="nil"/>
              <w:right w:val="nil"/>
            </w:tcBorders>
          </w:tcPr>
          <w:p>
            <w:pPr>
              <w:pStyle w:val="Normal6a"/>
            </w:pPr>
            <w:r>
              <w:t>8.</w:t>
            </w:r>
            <w:r>
              <w:tab/>
            </w:r>
            <w:r>
              <w:t>Stresses that independence does not entail opacity</w:t>
            </w:r>
            <w:r>
              <w:rPr>
                <w:b/>
                <w:i/>
              </w:rPr>
              <w:t>; calls for transparent and traceable procedures, the application of the four-eyes principle where appropriate, and adequate internal and external control mechanisms, including effective democratic scrutiny</w:t>
            </w:r>
            <w:r>
              <w:t xml:space="preserve">; calls for aggregate reporting by AFA components to the budgetary authority on case volumes, outcomes, recovery results and follow-up rates, while respecting applicable confidentiality and data protection rules and without identifying individual cases or disclosing investigative content; considers that an adequate level of transparency </w:t>
            </w:r>
            <w:r>
              <w:rPr>
                <w:b/>
                <w:i/>
              </w:rPr>
              <w:t>and accountability</w:t>
            </w:r>
            <w:r>
              <w:t xml:space="preserve"> is essential to </w:t>
            </w:r>
            <w:r>
              <w:rPr>
                <w:b/>
                <w:i/>
              </w:rPr>
              <w:t>ensuring</w:t>
            </w:r>
            <w:r>
              <w:t xml:space="preserve"> effective </w:t>
            </w:r>
            <w:r>
              <w:rPr>
                <w:b/>
                <w:i/>
              </w:rPr>
              <w:t>oversight and preventing misuse.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Virginie Joron, Ondřej Knotek,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Notes that the ECA concluded that it was impossible for the auditors to know with certainty who had ultimately received EU funds;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Virginie Joron,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Believes that Members of the European Parliament, elected by European citizens to exercise their power of scrutiny, should be given unrestricted access to all contracts above EUR 1 million in value concluded by the Commission;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Recognises non-prejudice to on-going investigations as important safeguard for effective coordination, information-sharing and accountability within the AFA; underlines that the timing and scope of information-sharing and other actions should be managed in a manner that protects ongoing investigations; while ensuring that this principle does not prevent competent authorities from taking appropriate measures to protect the Union budget;</w:t>
            </w:r>
          </w:p>
        </w:tc>
        <w:tc>
          <w:tcPr>
            <w:tcW w:w="4876" w:type="dxa"/>
            <w:tcBorders>
              <w:top w:val="nil"/>
              <w:left w:val="nil"/>
              <w:bottom w:val="nil"/>
              <w:right w:val="nil"/>
            </w:tcBorders>
          </w:tcPr>
          <w:p>
            <w:pPr>
              <w:pStyle w:val="Normal6a"/>
            </w:pPr>
            <w:r>
              <w:t>9.</w:t>
            </w:r>
            <w:r>
              <w:tab/>
            </w:r>
            <w:r>
              <w:t xml:space="preserve">Recognises non-prejudice to on-going investigations as important </w:t>
            </w:r>
            <w:r>
              <w:rPr>
                <w:b/>
                <w:i/>
              </w:rPr>
              <w:t>principle and</w:t>
            </w:r>
            <w:r>
              <w:t xml:space="preserve"> safeguard for effective coordination, information-sharing and accountability within the AFA; underlines that the timing and scope of information-sharing and other actions should be </w:t>
            </w:r>
            <w:r>
              <w:rPr>
                <w:b/>
                <w:i/>
              </w:rPr>
              <w:t>carefully</w:t>
            </w:r>
            <w:r>
              <w:t xml:space="preserve"> managed in a manner that protects ongoing investigations; while ensuring that </w:t>
            </w:r>
            <w:r>
              <w:rPr>
                <w:b/>
                <w:i/>
              </w:rPr>
              <w:t>the application of</w:t>
            </w:r>
            <w:r>
              <w:t xml:space="preserve"> this principle does not prevent competent authorities from taking appropriate measures to protect the Union budget;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Recognises non-prejudice to on-going investigations as </w:t>
            </w:r>
            <w:r>
              <w:rPr>
                <w:b/>
                <w:i/>
              </w:rPr>
              <w:t>important safeguard</w:t>
            </w:r>
            <w:r>
              <w:t xml:space="preserve"> for effective coordination, information-sharing and accountability within the AFA; underlines that the timing and scope of information-sharing and other actions should be managed in a manner that protects ongoing investigations; while ensuring that this principle does not prevent competent authorities from taking appropriate measures to protect the Union budget;</w:t>
            </w:r>
          </w:p>
        </w:tc>
        <w:tc>
          <w:tcPr>
            <w:tcW w:w="4876" w:type="dxa"/>
            <w:tcBorders>
              <w:top w:val="nil"/>
              <w:left w:val="nil"/>
              <w:bottom w:val="nil"/>
              <w:right w:val="nil"/>
            </w:tcBorders>
          </w:tcPr>
          <w:p>
            <w:pPr>
              <w:pStyle w:val="Normal6a"/>
            </w:pPr>
            <w:r>
              <w:t>9.</w:t>
            </w:r>
            <w:r>
              <w:tab/>
            </w:r>
            <w:r>
              <w:t xml:space="preserve">Recognises non-prejudice to on-going investigations as </w:t>
            </w:r>
            <w:r>
              <w:rPr>
                <w:b/>
                <w:i/>
              </w:rPr>
              <w:t>a fundamental principle of criminal procedural law</w:t>
            </w:r>
            <w:r>
              <w:t xml:space="preserve"> for effective coordination, information-sharing and accountability within the AFA; underlines that the timing and scope of information-sharing and other actions should be managed in a manner that protects ongoing investigations; while ensuring that this principle does not prevent competent authorities from taking appropriate measures to protect the Union budget;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Recognises non-prejudice to on-going investigations </w:t>
            </w:r>
            <w:r>
              <w:rPr>
                <w:b/>
                <w:i/>
              </w:rPr>
              <w:t>as important safeguard for effective coordination, information-sharing and accountability within</w:t>
            </w:r>
            <w:r>
              <w:t xml:space="preserve"> the AFA; underlines that the timing and scope of information-sharing and other actions should be managed in a manner that protects ongoing investigations</w:t>
            </w:r>
            <w:r>
              <w:rPr>
                <w:b/>
                <w:i/>
              </w:rPr>
              <w:t>;</w:t>
            </w:r>
            <w:r>
              <w:t xml:space="preserve"> while ensuring that this principle does not prevent competent authorities from taking appropriate measures to protect the Union budget;</w:t>
            </w:r>
          </w:p>
        </w:tc>
        <w:tc>
          <w:tcPr>
            <w:tcW w:w="4876" w:type="dxa"/>
            <w:tcBorders>
              <w:top w:val="nil"/>
              <w:left w:val="nil"/>
              <w:bottom w:val="nil"/>
              <w:right w:val="nil"/>
            </w:tcBorders>
          </w:tcPr>
          <w:p>
            <w:pPr>
              <w:pStyle w:val="Normal6a"/>
            </w:pPr>
            <w:r>
              <w:t>9.</w:t>
            </w:r>
            <w:r>
              <w:tab/>
            </w:r>
            <w:r>
              <w:t xml:space="preserve">Recognises non-prejudice to on-going investigations </w:t>
            </w:r>
            <w:r>
              <w:rPr>
                <w:b/>
                <w:i/>
              </w:rPr>
              <w:t>and confidentiality of criminal investigations as essential principles of</w:t>
            </w:r>
            <w:r>
              <w:t xml:space="preserve"> the AFA; underlines that the timing and scope of information-sharing and other actions should be managed in a manner that protects ongoing investigations</w:t>
            </w:r>
            <w:r>
              <w:rPr>
                <w:b/>
                <w:i/>
              </w:rPr>
              <w:t>,</w:t>
            </w:r>
            <w:r>
              <w:t xml:space="preserve"> while ensuring that this principle does not prevent competent authorities from taking appropriate measures to protect the Union budget;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Calls on the Commission, when revising the legislative instruments governing an AFA components, to assess the need for an explicit definition of non-prejudice and appropriate procedural mechanisms for invoking and managing deferrals and to consider appropriate safeguards to ensure that non-prejudice is not used to withhold information necessary for another component to assess budget-protective precautionary measures or to prevent appropriate simultaneous notification;</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Calls on the Commission, when revising the legislative instruments governing an AFA components, to assess the need for an explicit definition of non-prejudice and appropriate procedural mechanisms for invoking and managing deferrals and to consider appropriate safeguards to ensure that non-prejudice is not used to withhold information necessary for another component to assess budget-protective precautionary measures or to prevent appropriate simultaneous notification;</w:t>
            </w:r>
          </w:p>
        </w:tc>
        <w:tc>
          <w:tcPr>
            <w:tcW w:w="4876" w:type="dxa"/>
            <w:tcBorders>
              <w:top w:val="nil"/>
              <w:left w:val="nil"/>
              <w:bottom w:val="nil"/>
              <w:right w:val="nil"/>
            </w:tcBorders>
          </w:tcPr>
          <w:p>
            <w:pPr>
              <w:pStyle w:val="Normal6a"/>
            </w:pPr>
            <w:r>
              <w:t>10.</w:t>
            </w:r>
            <w:r>
              <w:tab/>
            </w:r>
            <w:r>
              <w:t>Calls on the Commission, when revising the legislative instruments governing an AFA components, to assess the need for an explicit definition of non-prejudice and appropriate procedural mechanisms for invoking and managing deferrals</w:t>
            </w:r>
            <w:r>
              <w:rPr>
                <w:b/>
                <w:i/>
              </w:rPr>
              <w:t>, including, where appropriate, clear rules on the timing, scope and modalities of information-sharing,</w:t>
            </w:r>
            <w:r>
              <w:t xml:space="preserve"> and to consider appropriate safeguards to ensure that non-prejudice is not used to withhold information necessary for another component to assess budget-protective precautionary measures or to prevent appropriate simultaneous notification;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Calls on the Commission, in the context of the revision of the OLAF Regulation, to rename the European Anti-Fraud Office (OLAF) to better reflect the seriousness of its mandate and its central role in protecting the Union’s financial interests; considers that possible names could include the 'Anti-corruption, Prevention and European Examination Service' (APEX) or the 'EU Financial Oversight and Recovery Taskforce' (FORT);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Recalls, that OLAF is competent to conduct internal administrative investigations within the Union institutions, bodies, offices and agencies to detect serious misconduct by EU officials and other servants; calls on the Commission, in the context of the revision of the OLAF Regulation, to clarify that this competence extends to breaches of rules based on the competence of self-organisation, such as the Codes of Conduct;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Recalls, that parliamentary immunity exists to safeguard the independence of Members in the exercise of their mandate; recalls also, that OLAF, in conducting internal investigations under Article 4 of Regulation (EU, Euratom) 883/2013, has the right of immediate and unannounced access to the premises of the Union Institutions and the information they hold; notes, that the extent to which that right applies to Members’ offices is an unresolved legal matter; calls on the Commission, in the context of the revision of the OLAF Regulation, to clarify the procedural rules governing OLAF’s access to Members’ offices; considers that the procedure for lifting parliamentary immunity could provide guidance for designing such a procedure, including its necessary safeguards;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Virginie Joron,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Notes that in two thirds of cases, EPPO does not open an investigation in response to a report;</w:t>
            </w:r>
            <w:r>
              <w:t xml:space="preserve"> </w:t>
            </w:r>
            <w:r>
              <w:rPr>
                <w:b/>
                <w:i/>
              </w:rPr>
              <w:t>calls on EPPO to authorise opposition members elected to the European Parliament to observe the internal decision-making procedure to open or dismiss investigations and to monitor unusual delays in investigations;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Virginie Joron,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Points out that EPPO's role is not to slow down or suppress major investigations into possible fraud against the EU budget, as some observers have noted in the case of the investigation into the purchase of COVID-19 vaccines;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Virginie Joron,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Is concerned that the announcement more than four years ago, on 14 October 2022, of the opening of an investigation into the purchase of COVID-19 vaccines, under the biggest contracts in the history of the Union, involving over-ordering amounting to 10 doses for every inhabitant plus a considerable waste of public money (EUR 71 billion for over 4 billion doses), has not been followed by any significant investigative activity or any communication explaining EPPO's inaction to the public;</w:t>
            </w:r>
            <w:r>
              <w:t xml:space="preserve"> </w:t>
            </w:r>
            <w:r>
              <w:rPr>
                <w:b/>
                <w:i/>
              </w:rPr>
              <w:t>considers that this delay undermines EPPO's perceived impartiality.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Calls on the Commission, as part of the AFA revision, to assess the feasibility and added value of establishing </w:t>
            </w:r>
            <w:r>
              <w:rPr>
                <w:b/>
                <w:i/>
              </w:rPr>
              <w:t>a common intake</w:t>
            </w:r>
            <w:r>
              <w:t xml:space="preserve"> mechanism</w:t>
            </w:r>
            <w:r>
              <w:rPr>
                <w:b/>
                <w:i/>
              </w:rPr>
              <w:t>, in the form of a Joint Intake AFA Register</w:t>
            </w:r>
            <w:r>
              <w:t xml:space="preserve">, applicable across the relevant AFA components, with a view to </w:t>
            </w:r>
            <w:r>
              <w:rPr>
                <w:b/>
                <w:i/>
              </w:rPr>
              <w:t>ensuring the timely receipt, assessment and appropriate routing of relevant information to</w:t>
            </w:r>
            <w:r>
              <w:t xml:space="preserve"> the competent AFA components, while avoiding unnecessary delays and lengthy discretionary processes;</w:t>
            </w:r>
          </w:p>
        </w:tc>
        <w:tc>
          <w:tcPr>
            <w:tcW w:w="4876" w:type="dxa"/>
            <w:tcBorders>
              <w:top w:val="nil"/>
              <w:left w:val="nil"/>
              <w:bottom w:val="nil"/>
              <w:right w:val="nil"/>
            </w:tcBorders>
          </w:tcPr>
          <w:p>
            <w:pPr>
              <w:pStyle w:val="Normal6a"/>
            </w:pPr>
            <w:r>
              <w:t>12.</w:t>
            </w:r>
            <w:r>
              <w:tab/>
            </w:r>
            <w:r>
              <w:t xml:space="preserve">Calls on the Commission, as part of the AFA revision, to assess the feasibility and added value of establishing </w:t>
            </w:r>
            <w:r>
              <w:rPr>
                <w:b/>
                <w:i/>
              </w:rPr>
              <w:t>an automated hit/no-hit</w:t>
            </w:r>
            <w:r>
              <w:t xml:space="preserve"> mechanism </w:t>
            </w:r>
            <w:r>
              <w:rPr>
                <w:b/>
                <w:i/>
              </w:rPr>
              <w:t>with differentiated access rights and appropriate logging and security safeguards</w:t>
            </w:r>
            <w:r>
              <w:t xml:space="preserve">, applicable across the relevant AFA components, with a view to </w:t>
            </w:r>
            <w:r>
              <w:rPr>
                <w:b/>
                <w:i/>
              </w:rPr>
              <w:t>enabling</w:t>
            </w:r>
            <w:r>
              <w:t xml:space="preserve"> the competent AFA components </w:t>
            </w:r>
            <w:r>
              <w:rPr>
                <w:b/>
                <w:i/>
              </w:rPr>
              <w:t>to identify whether potentially relevant information is held by another component</w:t>
            </w:r>
            <w:r>
              <w:t xml:space="preserve">, while avoiding unnecessary delays and lengthy discretionary processes; </w:t>
            </w:r>
            <w:r>
              <w:rPr>
                <w:b/>
                <w:i/>
              </w:rPr>
              <w:t>stresses in this context that exchange of information must remain subject to the respective mandates, applicable confidentiality and data protection requirements and the protection of ongoing criminal investigations;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Ondřej Knotek, Virginie Joron,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Calls on the Commission, as part of the AFA revision, to assess the feasibility and added value of establishing a common intake mechanism, in the form of a Joint Intake AFA Register, applicable across the relevant AFA components, with a view to ensuring the timely receipt, assessment and appropriate routing of relevant information to the competent AFA components, while avoiding unnecessary delays and lengthy discretionary processes;</w:t>
            </w:r>
          </w:p>
        </w:tc>
        <w:tc>
          <w:tcPr>
            <w:tcW w:w="4876" w:type="dxa"/>
            <w:tcBorders>
              <w:top w:val="nil"/>
              <w:left w:val="nil"/>
              <w:bottom w:val="nil"/>
              <w:right w:val="nil"/>
            </w:tcBorders>
          </w:tcPr>
          <w:p>
            <w:pPr>
              <w:pStyle w:val="Normal6a"/>
            </w:pPr>
            <w:r>
              <w:t>12.</w:t>
            </w:r>
            <w:r>
              <w:tab/>
            </w:r>
            <w:r>
              <w:t xml:space="preserve">Calls on the Commission, as part of the AFA revision, to assess the feasibility and added value of establishing a common intake mechanism, in the form of a Joint Intake AFA Register, applicable across the relevant AFA components, with a view to ensuring the timely receipt, assessment and appropriate routing of relevant information to the competent AFA components, while avoiding unnecessary delays and lengthy discretionary processes; </w:t>
            </w:r>
            <w:r>
              <w:rPr>
                <w:b/>
                <w:i/>
              </w:rPr>
              <w:t>calls, in that respect, to examine the practical governance, staffing and technical requirements of such a mechanism before any decision on its establishment is taken;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Calls on the Commission, as part of the AFA revision, </w:t>
            </w:r>
            <w:r>
              <w:rPr>
                <w:b/>
                <w:i/>
              </w:rPr>
              <w:t>to assess the feasibility and added value of establishing a common intake mechanism, in the form of a Joint Intake AFA Register, applicable across the relevant AFA components</w:t>
            </w:r>
            <w:r>
              <w:t>, with a view to ensuring the timely receipt</w:t>
            </w:r>
            <w:r>
              <w:rPr>
                <w:b/>
                <w:i/>
              </w:rPr>
              <w:t>, assessment and appropriate routing</w:t>
            </w:r>
            <w:r>
              <w:t xml:space="preserve"> of relevant information </w:t>
            </w:r>
            <w:r>
              <w:rPr>
                <w:b/>
                <w:i/>
              </w:rPr>
              <w:t>to</w:t>
            </w:r>
            <w:r>
              <w:t xml:space="preserve"> the competent AFA components, while avoiding unnecessary delays and lengthy discretionary processes;</w:t>
            </w:r>
          </w:p>
        </w:tc>
        <w:tc>
          <w:tcPr>
            <w:tcW w:w="4876" w:type="dxa"/>
            <w:tcBorders>
              <w:top w:val="nil"/>
              <w:left w:val="nil"/>
              <w:bottom w:val="nil"/>
              <w:right w:val="nil"/>
            </w:tcBorders>
          </w:tcPr>
          <w:p>
            <w:pPr>
              <w:pStyle w:val="Normal6a"/>
            </w:pPr>
            <w:r>
              <w:t>12.</w:t>
            </w:r>
            <w:r>
              <w:tab/>
            </w:r>
            <w:r>
              <w:t xml:space="preserve">Calls on the Commission, as part of the AFA revision, </w:t>
            </w:r>
            <w:r>
              <w:rPr>
                <w:b/>
                <w:i/>
              </w:rPr>
              <w:t>and in consultation with both OLAF and EPPO, to upgrade the system of information-sharing and coordination between EPPO and OLAF</w:t>
            </w:r>
            <w:r>
              <w:t xml:space="preserve">, with a view to ensuring the timely receipt of relevant information </w:t>
            </w:r>
            <w:r>
              <w:rPr>
                <w:b/>
                <w:i/>
              </w:rPr>
              <w:t>by</w:t>
            </w:r>
            <w:r>
              <w:t xml:space="preserve"> the competent AFA components, while avoiding unnecessary delays and lengthy discretionary processes; </w:t>
            </w:r>
            <w:r>
              <w:rPr>
                <w:b/>
                <w:i/>
              </w:rPr>
              <w:t>stresses that any such system must ensure the protection of personal data, confidentiality and procedural rights;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Calls on the Commission, as part of the AFA revision, </w:t>
            </w:r>
            <w:r>
              <w:rPr>
                <w:b/>
                <w:i/>
              </w:rPr>
              <w:t>to assess the feasibility and added value of establishing</w:t>
            </w:r>
            <w:r>
              <w:t xml:space="preserve"> a common intake mechanism, in the form of a Joint Intake AFA Register, applicable across the relevant AFA components, with a view to ensuring the timely receipt, assessment and appropriate routing of relevant information to the competent AFA components, while avoiding unnecessary delays and lengthy discretionary processes;</w:t>
            </w:r>
          </w:p>
        </w:tc>
        <w:tc>
          <w:tcPr>
            <w:tcW w:w="4876" w:type="dxa"/>
            <w:tcBorders>
              <w:top w:val="nil"/>
              <w:left w:val="nil"/>
              <w:bottom w:val="nil"/>
              <w:right w:val="nil"/>
            </w:tcBorders>
          </w:tcPr>
          <w:p>
            <w:pPr>
              <w:pStyle w:val="Normal6a"/>
            </w:pPr>
            <w:r>
              <w:t>12.</w:t>
            </w:r>
            <w:r>
              <w:tab/>
            </w:r>
            <w:r>
              <w:t xml:space="preserve">Calls on the Commission, as part of the AFA revision, </w:t>
            </w:r>
            <w:r>
              <w:rPr>
                <w:b/>
                <w:i/>
              </w:rPr>
              <w:t>establish</w:t>
            </w:r>
            <w:r>
              <w:t xml:space="preserve"> a common intake mechanism, in the form of a Joint Intake AFA Register, applicable across the relevant AFA components, with a view to ensuring the timely receipt, assessment and appropriate routing of relevant information to the competent AFA components, while avoiding unnecessary delays and lengthy discretionary processes;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Considers that there is considerable room to improve the existing hit/no-hit system provided for in Article 101(5) of Regulation (EU) 2017/1939; calls for its upgrade into a common, compulsory and fully digitalised interface for managing relevant information flows between EPPO and OLAF; calls, furthermore, for reciprocal postings of EPPO and OLAF experts to strengthen mutual understanding and reduce the risk of cases being misclassified or not referred to the competent authority in a timely manner;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Considers that a common intake mechanism should facilitate the timely and coordinated initial assessment of relevant information and, where appropriate, enable its parallel notification to the competent AFA components, allowing EPPO and OLAF to assess the information independently and within their respective mandates, without one assessment prejudging or preventing the other's assessment;</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Considers that a common intake mechanism should facilitate the timely and coordinated initial assessment of relevant information and, where appropriate, enable its parallel notification to the competent AFA components, allowing EPPO and OLAF to assess the information independently and within their respective mandates, without one assessment prejudging or preventing the other's assessment;</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Ondřej Knotek,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Considers that a common intake mechanism should facilitate the timely and coordinated initial assessment of relevant information and, where appropriate, enable its parallel notification to the competent AFA components, allowing EPPO and OLAF to assess the information independently and within their respective mandates, without one assessment prejudging or preventing the other's assessment;</w:t>
            </w:r>
          </w:p>
        </w:tc>
        <w:tc>
          <w:tcPr>
            <w:tcW w:w="4876" w:type="dxa"/>
            <w:tcBorders>
              <w:top w:val="nil"/>
              <w:left w:val="nil"/>
              <w:bottom w:val="nil"/>
              <w:right w:val="nil"/>
            </w:tcBorders>
          </w:tcPr>
          <w:p>
            <w:pPr>
              <w:pStyle w:val="Normal6a"/>
            </w:pPr>
            <w:r>
              <w:t>13.</w:t>
            </w:r>
            <w:r>
              <w:tab/>
            </w:r>
            <w:r>
              <w:t xml:space="preserve">Considers that a common intake mechanism should facilitate the timely and coordinated initial assessment of relevant information and, where appropriate, enable its parallel notification to the competent AFA components, allowing EPPO and OLAF to assess the information independently and within their respective mandates, without one assessment prejudging or preventing the other's assessment; </w:t>
            </w:r>
            <w:r>
              <w:rPr>
                <w:b/>
                <w:i/>
              </w:rPr>
              <w:t>considers that clear procedures are needed where those assessments diverge, while ensuring that the intake mechanism neither determines competence nor overrides the decisions of either body;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Considers that a common intake mechanism should </w:t>
            </w:r>
            <w:r>
              <w:rPr>
                <w:b/>
                <w:i/>
              </w:rPr>
              <w:t>facilitate</w:t>
            </w:r>
            <w:r>
              <w:t xml:space="preserve"> the timely and coordinated initial assessment of relevant information and, where </w:t>
            </w:r>
            <w:r>
              <w:rPr>
                <w:b/>
                <w:i/>
              </w:rPr>
              <w:t>appropriate</w:t>
            </w:r>
            <w:r>
              <w:t xml:space="preserve">, enable its parallel notification to the </w:t>
            </w:r>
            <w:r>
              <w:rPr>
                <w:b/>
                <w:i/>
              </w:rPr>
              <w:t>competent</w:t>
            </w:r>
            <w:r>
              <w:t xml:space="preserve"> AFA components, allowing EPPO and OLAF to assess the information independently and within their respective mandates, without one assessment prejudging or preventing the other's assessment;</w:t>
            </w:r>
          </w:p>
        </w:tc>
        <w:tc>
          <w:tcPr>
            <w:tcW w:w="4876" w:type="dxa"/>
            <w:tcBorders>
              <w:top w:val="nil"/>
              <w:left w:val="nil"/>
              <w:bottom w:val="nil"/>
              <w:right w:val="nil"/>
            </w:tcBorders>
          </w:tcPr>
          <w:p>
            <w:pPr>
              <w:pStyle w:val="Normal6a"/>
            </w:pPr>
            <w:r>
              <w:t>13.</w:t>
            </w:r>
            <w:r>
              <w:tab/>
            </w:r>
            <w:r>
              <w:t>Considers that a common intake mechanism should </w:t>
            </w:r>
            <w:r>
              <w:rPr>
                <w:b/>
                <w:i/>
              </w:rPr>
              <w:t>operate as a single point of entry for all information, enabling</w:t>
            </w:r>
            <w:r>
              <w:t xml:space="preserve"> the timely and coordinated initial assessment of relevant information and, where </w:t>
            </w:r>
            <w:r>
              <w:rPr>
                <w:b/>
                <w:i/>
              </w:rPr>
              <w:t>sufficient suspicions are identified</w:t>
            </w:r>
            <w:r>
              <w:t xml:space="preserve">, enable its parallel </w:t>
            </w:r>
            <w:r>
              <w:rPr>
                <w:b/>
                <w:i/>
              </w:rPr>
              <w:t>and simultaneous</w:t>
            </w:r>
            <w:r>
              <w:t xml:space="preserve"> notification to the AFA components, allowing EPPO and OLAF to assess the information independently and within their respective mandates, without one assessment prejudging or preventing the other's assessment;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Underlines that the Intake Register and its function should be administrative, and not investigative; calls on the Commission to explore, in consultation with EPPO and OLAF, appropriate institutional and operational options for a joint and coordinated intake function within the existing AFA architecture, including arrangements allowing of EPPO and OLAF to contribute jointly to the initial handling of relevant information; emphasises such a function should not determine competence, conduct investigations or issue recommendations, and should facilitate the timely and coordinated assessment and appropriate notification of relevant information to competent AFA components, in accordance with their respective mandates and without prejudice to their operational independence, with a view to addressing gaps in the current anti-fraud architecture;</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Underlines that the Intake Register and its function should be administrative, and not investigative;</w:t>
            </w:r>
            <w:r>
              <w:t xml:space="preserve"> calls on the Commission to explore, in consultation with </w:t>
            </w:r>
            <w:r>
              <w:rPr>
                <w:b/>
                <w:i/>
              </w:rPr>
              <w:t>EPPO and OLAF</w:t>
            </w:r>
            <w:r>
              <w:t xml:space="preserve">, appropriate institutional and operational options for </w:t>
            </w:r>
            <w:r>
              <w:rPr>
                <w:b/>
                <w:i/>
              </w:rPr>
              <w:t>a joint and coordinated intake function</w:t>
            </w:r>
            <w:r>
              <w:t xml:space="preserve"> within the existing AFA architecture</w:t>
            </w:r>
            <w:r>
              <w:rPr>
                <w:b/>
                <w:i/>
              </w:rPr>
              <w:t>, including arrangements allowing of EPPO and OLAF to contribute jointly to the initial handling of relevant information</w:t>
            </w:r>
            <w:r>
              <w:t xml:space="preserve">; emphasises such a function should not determine competence, conduct investigations or issue recommendations, and should facilitate the </w:t>
            </w:r>
            <w:r>
              <w:rPr>
                <w:b/>
                <w:i/>
              </w:rPr>
              <w:t>timely and coordinated assessment and appropriate notification</w:t>
            </w:r>
            <w:r>
              <w:t xml:space="preserve"> of relevant information </w:t>
            </w:r>
            <w:r>
              <w:rPr>
                <w:b/>
                <w:i/>
              </w:rPr>
              <w:t>to competent AFA components</w:t>
            </w:r>
            <w:r>
              <w:t xml:space="preserve">, in accordance with their respective mandates and </w:t>
            </w:r>
            <w:r>
              <w:rPr>
                <w:b/>
                <w:i/>
              </w:rPr>
              <w:t>without prejudice to</w:t>
            </w:r>
            <w:r>
              <w:t xml:space="preserve"> their operational independence</w:t>
            </w:r>
            <w:r>
              <w:rPr>
                <w:b/>
                <w:i/>
              </w:rPr>
              <w:t>, with a view to addressing gaps in the current anti-fraud architecture</w:t>
            </w:r>
            <w:r>
              <w:t>;</w:t>
            </w:r>
          </w:p>
        </w:tc>
        <w:tc>
          <w:tcPr>
            <w:tcW w:w="4876" w:type="dxa"/>
            <w:tcBorders>
              <w:top w:val="nil"/>
              <w:left w:val="nil"/>
              <w:bottom w:val="nil"/>
              <w:right w:val="nil"/>
            </w:tcBorders>
          </w:tcPr>
          <w:p>
            <w:pPr>
              <w:pStyle w:val="Normal6a"/>
            </w:pPr>
            <w:r>
              <w:t>14.</w:t>
            </w:r>
            <w:r>
              <w:tab/>
            </w:r>
            <w:r>
              <w:t xml:space="preserve">calls on the Commission to explore, in consultation with </w:t>
            </w:r>
            <w:r>
              <w:rPr>
                <w:b/>
                <w:i/>
              </w:rPr>
              <w:t>all AFA components</w:t>
            </w:r>
            <w:r>
              <w:t xml:space="preserve">, appropriate institutional and operational options for </w:t>
            </w:r>
            <w:r>
              <w:rPr>
                <w:b/>
                <w:i/>
              </w:rPr>
              <w:t>secure and interoperable digital infrastructure supporting an automated hit/no-hit mechanism</w:t>
            </w:r>
            <w:r>
              <w:t xml:space="preserve"> within the existing AFA architecture; emphasises such a function should not determine competence, conduct investigations or issue recommendations, and should facilitate the </w:t>
            </w:r>
            <w:r>
              <w:rPr>
                <w:b/>
                <w:i/>
              </w:rPr>
              <w:t>exchange</w:t>
            </w:r>
            <w:r>
              <w:t xml:space="preserve"> of relevant information, in </w:t>
            </w:r>
            <w:r>
              <w:rPr>
                <w:b/>
                <w:i/>
              </w:rPr>
              <w:t>strict</w:t>
            </w:r>
            <w:r>
              <w:t xml:space="preserve"> accordance with their respective mandates and their operational independence;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Underlines that the Intake Register and its function should be administrative, and not</w:t>
            </w:r>
            <w:r>
              <w:t xml:space="preserve"> investigative; calls on the Commission to explore, in consultation with EPPO and OLAF, appropriate institutional and operational options for a joint and coordinated intake function within the existing AFA architecture, including arrangements allowing of EPPO and OLAF to contribute jointly to the initial handling of relevant information; emphasises such a function should </w:t>
            </w:r>
            <w:r>
              <w:rPr>
                <w:b/>
                <w:i/>
              </w:rPr>
              <w:t>not determine competence, conduct investigations or issue recommendations, and should</w:t>
            </w:r>
            <w:r>
              <w:t xml:space="preserve"> facilitate the timely and coordinated assessment and appropriate notification of relevant information to competent AFA components, in accordance with their respective mandates and without prejudice to their operational independence, with a view to addressing gaps in the current anti-fraud architecture;</w:t>
            </w:r>
          </w:p>
        </w:tc>
        <w:tc>
          <w:tcPr>
            <w:tcW w:w="4876" w:type="dxa"/>
            <w:tcBorders>
              <w:top w:val="nil"/>
              <w:left w:val="nil"/>
              <w:bottom w:val="nil"/>
              <w:right w:val="nil"/>
            </w:tcBorders>
          </w:tcPr>
          <w:p>
            <w:pPr>
              <w:pStyle w:val="Normal6a"/>
            </w:pPr>
            <w:r>
              <w:t>14.</w:t>
            </w:r>
            <w:r>
              <w:tab/>
            </w:r>
            <w:r>
              <w:rPr>
                <w:b/>
                <w:i/>
              </w:rPr>
              <w:t>Stresses that differences between the respective</w:t>
            </w:r>
            <w:r>
              <w:t xml:space="preserve"> investigative </w:t>
            </w:r>
            <w:r>
              <w:rPr>
                <w:b/>
                <w:i/>
              </w:rPr>
              <w:t>mandates and procedures of EPPO and OLAF, including the procedural treatment of information upon receipt, should not, in themselves, prevent early cooperation and the sharing of relevant information between EPPO and OLAF from the moment it is received by either of them</w:t>
            </w:r>
            <w:r>
              <w:t xml:space="preserve">; calls </w:t>
            </w:r>
            <w:r>
              <w:rPr>
                <w:b/>
                <w:i/>
              </w:rPr>
              <w:t>for this principle to be duly reflected in future revisions of the relevant legal frameworks; calls therefore</w:t>
            </w:r>
            <w:r>
              <w:t xml:space="preserve"> on the Commission to explore, in consultation with EPPO and OLAF, appropriate institutional and operational options for a joint and coordinated intake function within the existing AFA architecture, including arrangements allowing of EPPO and OLAF to contribute jointly to the initial handling of relevant information; emphasises such a function should facilitate the timely and coordinated assessment and appropriate notification of relevant information to competent AFA components, in accordance with their respective mandates and without prejudice to their operational independence, with a view to addressing gaps in the current anti-fraud architecture;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Underlines that the Intake Register and its function </w:t>
            </w:r>
            <w:r>
              <w:rPr>
                <w:b/>
                <w:i/>
              </w:rPr>
              <w:t>should</w:t>
            </w:r>
            <w:r>
              <w:t xml:space="preserve"> be administrative, and not investigative; calls on the Commission to explore, in consultation with EPPO and OLAF, appropriate institutional and operational options for a joint and coordinated intake function within the existing AFA architecture, including arrangements allowing of EPPO and OLAF to contribute jointly to the initial handling of relevant information; emphasises such a function should not determine competence, conduct investigations or issue recommendations, and should facilitate the timely and coordinated assessment and </w:t>
            </w:r>
            <w:r>
              <w:rPr>
                <w:b/>
                <w:i/>
              </w:rPr>
              <w:t>appropriate</w:t>
            </w:r>
            <w:r>
              <w:t xml:space="preserve"> notification of relevant information to competent AFA components, in accordance with their respective mandates and without prejudice to their operational independence, with a view to addressing gaps in the current anti-fraud architecture;</w:t>
            </w:r>
          </w:p>
        </w:tc>
        <w:tc>
          <w:tcPr>
            <w:tcW w:w="4876" w:type="dxa"/>
            <w:tcBorders>
              <w:top w:val="nil"/>
              <w:left w:val="nil"/>
              <w:bottom w:val="nil"/>
              <w:right w:val="nil"/>
            </w:tcBorders>
          </w:tcPr>
          <w:p>
            <w:pPr>
              <w:pStyle w:val="Normal6a"/>
            </w:pPr>
            <w:r>
              <w:t>14.</w:t>
            </w:r>
            <w:r>
              <w:tab/>
            </w:r>
            <w:r>
              <w:t xml:space="preserve">Underlines that </w:t>
            </w:r>
            <w:r>
              <w:rPr>
                <w:b/>
                <w:i/>
              </w:rPr>
              <w:t>such centralised intake function within</w:t>
            </w:r>
            <w:r>
              <w:t xml:space="preserve"> the Intake Register and its function </w:t>
            </w:r>
            <w:r>
              <w:rPr>
                <w:b/>
                <w:i/>
              </w:rPr>
              <w:t>is to</w:t>
            </w:r>
            <w:r>
              <w:t xml:space="preserve"> be administrative, and not investigative</w:t>
            </w:r>
            <w:r>
              <w:rPr>
                <w:b/>
                <w:i/>
              </w:rPr>
              <w:t>, and therefore could be located within the Commission services but composed of only relevant staff from the AFA relevant components</w:t>
            </w:r>
            <w:r>
              <w:t xml:space="preserve">; calls on the Commission to explore, in consultation with EPPO and OLAF, appropriate institutional and operational options for a joint and coordinated intake function within the existing AFA architecture, including arrangements allowing of EPPO and OLAF to contribute jointly to the initial handling of relevant information; emphasises such a function should not determine competence, conduct investigations or issue recommendations, and should facilitate the timely and coordinated assessment and </w:t>
            </w:r>
            <w:r>
              <w:rPr>
                <w:b/>
                <w:i/>
              </w:rPr>
              <w:t>simultaneous</w:t>
            </w:r>
            <w:r>
              <w:t xml:space="preserve"> notification of relevant information to competent AFA components, in accordance with their respective mandates and without prejudice to their operational independence, with a view to addressing gaps in the current anti-fraud architecture;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Recalls the role and responsibilities of EPPO in investigating and prosecuting PIF offences within its competence; underlines that arrangements for the intake and routing of information should not prevent EPPO from carrying out its own assessment of information relevant to its mandate without undue delay; clarifies that, simultaneous notification to EPPO and OLAF is intended to facilitate their respective assessments and does not affect their respective mandates or EPPO's competence under the applicable legal framework;</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Recalls the role and responsibilities of EPPO in investigating and prosecuting PIF offences within its competence; underlines that arrangements for the intake and routing of information should not prevent EPPO from carrying out its own assessment of information relevant to its mandate without undue delay; clarifies that, simultaneous notification to EPPO and OLAF is intended to facilitate their respective assessments and does not affect their respective mandates or EPPO's competence under the applicable legal framework;</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Recalls the role and responsibilities of EPPO in investigating and prosecuting PIF offences within its competence; underlines that arrangements for the intake and routing of information should </w:t>
            </w:r>
            <w:r>
              <w:rPr>
                <w:b/>
                <w:i/>
              </w:rPr>
              <w:t>not prevent EPPO from carrying</w:t>
            </w:r>
            <w:r>
              <w:t xml:space="preserve"> out its own assessment of information relevant to its mandate without undue delay; clarifies that</w:t>
            </w:r>
            <w:r>
              <w:rPr>
                <w:b/>
                <w:i/>
              </w:rPr>
              <w:t>,</w:t>
            </w:r>
            <w:r>
              <w:t xml:space="preserve"> simultaneous notification to EPPO and OLAF </w:t>
            </w:r>
            <w:r>
              <w:rPr>
                <w:b/>
                <w:i/>
              </w:rPr>
              <w:t>is intended to</w:t>
            </w:r>
            <w:r>
              <w:t xml:space="preserve"> facilitate their respective assessments and does not affect their respective mandates or EPPO's competence under the applicable legal framework</w:t>
            </w:r>
            <w:r>
              <w:rPr>
                <w:b/>
                <w:i/>
              </w:rPr>
              <w:t>;</w:t>
            </w:r>
          </w:p>
        </w:tc>
        <w:tc>
          <w:tcPr>
            <w:tcW w:w="4876" w:type="dxa"/>
            <w:tcBorders>
              <w:top w:val="nil"/>
              <w:left w:val="nil"/>
              <w:bottom w:val="nil"/>
              <w:right w:val="nil"/>
            </w:tcBorders>
          </w:tcPr>
          <w:p>
            <w:pPr>
              <w:pStyle w:val="Normal6a"/>
            </w:pPr>
            <w:r>
              <w:t>15.</w:t>
            </w:r>
            <w:r>
              <w:tab/>
            </w:r>
            <w:r>
              <w:t xml:space="preserve">Recalls the role and responsibilities of EPPO in investigating and prosecuting PIF offences within its competence; </w:t>
            </w:r>
            <w:r>
              <w:rPr>
                <w:b/>
                <w:i/>
              </w:rPr>
              <w:t>stresses the need for a clear and effective division of responsibilities between EPPO and OLAF in order to avoid duplication of work, parallel investigative activities and overlapping procedures;</w:t>
            </w:r>
            <w:r>
              <w:t xml:space="preserve"> underlines </w:t>
            </w:r>
            <w:r>
              <w:rPr>
                <w:b/>
                <w:i/>
              </w:rPr>
              <w:t>that the respective competences of EPPO and OLAF must be clearly defined and respected at all stages; considers</w:t>
            </w:r>
            <w:r>
              <w:t xml:space="preserve"> that arrangements for the intake</w:t>
            </w:r>
            <w:r>
              <w:rPr>
                <w:b/>
                <w:i/>
              </w:rPr>
              <w:t>, notification</w:t>
            </w:r>
            <w:r>
              <w:t xml:space="preserve"> and routing of information should </w:t>
            </w:r>
            <w:r>
              <w:rPr>
                <w:b/>
                <w:i/>
              </w:rPr>
              <w:t>ensure timely coordination and allow EPPO to carry</w:t>
            </w:r>
            <w:r>
              <w:t xml:space="preserve"> out its own assessment of information relevant to its mandate without undue delay; clarifies that simultaneous notification to EPPO and OLAF </w:t>
            </w:r>
            <w:r>
              <w:rPr>
                <w:b/>
                <w:i/>
              </w:rPr>
              <w:t>may</w:t>
            </w:r>
            <w:r>
              <w:t xml:space="preserve"> facilitate their respective assessments</w:t>
            </w:r>
            <w:r>
              <w:rPr>
                <w:b/>
                <w:i/>
              </w:rPr>
              <w:t>, provided that it does not lead to duplication of investigative work or uncertainty as to the competent authority</w:t>
            </w:r>
            <w:r>
              <w:t xml:space="preserve"> and does not affect their respective mandates or EPPO's competence under the applicable legal framework</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Calls for the establishment of a single, secure digital reporting channel for information relevant to the AFA, enabling its automatic receipt, recording and appropriate routing to the competent AFA components, with standardised procedures and appropriate safeguards for whistleblower protection from first submission; calls on the Commission to ensure that relevant information received through this channel can be securely recorded and shared between the competent AFA components, in accordance with their respective mandates and confidentiality requirements;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Calls for the establishment of a single, secure digital reporting channel for information relevant to the AFA, enabling its automatic receipt, recording and appropriate routing to the competent AFA components, with standardised procedures and appropriate safeguards for whistleblower protection from first submission; calls on the Commission to ensure that relevant information received through this channel can be securely recorded and shared between the competent AFA components, in accordance with their respective mandates and confidentiality requirements;</w:t>
            </w:r>
          </w:p>
        </w:tc>
        <w:tc>
          <w:tcPr>
            <w:tcW w:w="4876" w:type="dxa"/>
            <w:tcBorders>
              <w:top w:val="nil"/>
              <w:left w:val="nil"/>
              <w:bottom w:val="nil"/>
              <w:right w:val="nil"/>
            </w:tcBorders>
          </w:tcPr>
          <w:p>
            <w:pPr>
              <w:pStyle w:val="Normal6a"/>
            </w:pPr>
            <w:r>
              <w:t>16.</w:t>
            </w:r>
            <w:r>
              <w:tab/>
            </w:r>
            <w:r>
              <w:t>Calls for the establishment of a single, secure digital reporting channel for information relevant to the AFA, enabling its automatic receipt, recording and appropriate routing to the competent AFA components, with standardised procedures and appropriate safeguards for whistleblower protection from first submission; calls on the Commission</w:t>
            </w:r>
            <w:r>
              <w:rPr>
                <w:b/>
                <w:i/>
              </w:rPr>
              <w:t>, in cooperation with the relevant AFA components and Member States, to assess the appropriate governance arrangements for such a channel and the possibility of integrating a structured early-warning function for information indicating an immediate or significant risk to the Union’s financial interests; calls on the Commission</w:t>
            </w:r>
            <w:r>
              <w:t xml:space="preserve"> to ensure that relevant information received through this channel can be securely recorded and shared between the competent AFA components, in accordance with their respective mandates and confidentiality requirements;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Calls for the establishment of a single, secure digital reporting channel for information relevant to the AFA</w:t>
            </w:r>
            <w:r>
              <w:rPr>
                <w:b/>
                <w:i/>
              </w:rPr>
              <w:t>, enabling its automatic receipt, recording and appropriate routing to the competent AFA components</w:t>
            </w:r>
            <w:r>
              <w:t>, with standardised procedures and appropriate safeguards for whistleblower protection from first submission; calls on the Commission to ensure that relevant information received through this channel can be securely recorded and shared between the competent AFA components, in accordance with their respective mandates and confidentiality requirements;</w:t>
            </w:r>
          </w:p>
        </w:tc>
        <w:tc>
          <w:tcPr>
            <w:tcW w:w="4876" w:type="dxa"/>
            <w:tcBorders>
              <w:top w:val="nil"/>
              <w:left w:val="nil"/>
              <w:bottom w:val="nil"/>
              <w:right w:val="nil"/>
            </w:tcBorders>
          </w:tcPr>
          <w:p>
            <w:pPr>
              <w:pStyle w:val="Normal6a"/>
            </w:pPr>
            <w:r>
              <w:t>16.</w:t>
            </w:r>
            <w:r>
              <w:tab/>
            </w:r>
            <w:r>
              <w:t>Calls for the establishment of a single, secure digital reporting channel for information relevant to the AFA, with standardised procedures and appropriate safeguards for whistleblower protection from first submission; calls on the Commission to ensure that relevant information received through this channel can be securely recorded and</w:t>
            </w:r>
            <w:r>
              <w:rPr>
                <w:b/>
                <w:i/>
              </w:rPr>
              <w:t>, where necessary,</w:t>
            </w:r>
            <w:r>
              <w:t xml:space="preserve"> shared between the competent AFA components, in accordance with their respective mandates and confidentiality requirements;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Considers that systematic identification of connections between cases, persons, operations and networks would benefit from improved interoperability and secure information-sharing between AFA components</w:t>
            </w:r>
            <w:r>
              <w:rPr>
                <w:b/>
                <w:i/>
              </w:rPr>
              <w:t>, including through the use of common entity identifiers and appropriate query</w:t>
            </w:r>
            <w:r>
              <w:t xml:space="preserve"> mechanisms, </w:t>
            </w:r>
            <w:r>
              <w:rPr>
                <w:b/>
                <w:i/>
              </w:rPr>
              <w:t>building where</w:t>
            </w:r>
            <w:r>
              <w:t xml:space="preserve"> relevant on existing tools and practices </w:t>
            </w:r>
            <w:r>
              <w:rPr>
                <w:b/>
                <w:i/>
              </w:rPr>
              <w:t>such as</w:t>
            </w:r>
            <w:r>
              <w:t xml:space="preserve"> Eurofisc’s Transaction Network Analysis; stresses that any such arrangements should be limited to what is necessary for identifying relevant connections and should respect applicable confidentiality and data protection requirements;</w:t>
            </w:r>
          </w:p>
        </w:tc>
        <w:tc>
          <w:tcPr>
            <w:tcW w:w="4876" w:type="dxa"/>
            <w:tcBorders>
              <w:top w:val="nil"/>
              <w:left w:val="nil"/>
              <w:bottom w:val="nil"/>
              <w:right w:val="nil"/>
            </w:tcBorders>
          </w:tcPr>
          <w:p>
            <w:pPr>
              <w:pStyle w:val="Normal6a"/>
            </w:pPr>
            <w:r>
              <w:t>17.</w:t>
            </w:r>
            <w:r>
              <w:tab/>
            </w:r>
            <w:r>
              <w:t xml:space="preserve">Considers that </w:t>
            </w:r>
            <w:r>
              <w:rPr>
                <w:b/>
                <w:i/>
              </w:rPr>
              <w:t>the</w:t>
            </w:r>
            <w:r>
              <w:t xml:space="preserve"> systematic identification of connections between cases, persons, operations and networks would benefit from improved interoperability and secure information-sharing between AFA components</w:t>
            </w:r>
            <w:r>
              <w:rPr>
                <w:b/>
                <w:i/>
              </w:rPr>
              <w:t>; calls in particular for the digitalisation and automation of existing hit/no-hit</w:t>
            </w:r>
            <w:r>
              <w:t xml:space="preserve"> mechanisms, </w:t>
            </w:r>
            <w:r>
              <w:rPr>
                <w:b/>
                <w:i/>
              </w:rPr>
              <w:t>allowing for systematic cross-checking at different points in time, and for greater interoperability between</w:t>
            </w:r>
            <w:r>
              <w:t xml:space="preserve"> relevant </w:t>
            </w:r>
            <w:r>
              <w:rPr>
                <w:b/>
                <w:i/>
              </w:rPr>
              <w:t>case management and information systems, with a view to avoiding information gaps and strengthening mutual trust among AFA actors; considers that information-sharing mechanisms should draw</w:t>
            </w:r>
            <w:r>
              <w:t xml:space="preserve"> on existing tools and practices</w:t>
            </w:r>
            <w:r>
              <w:rPr>
                <w:b/>
                <w:i/>
              </w:rPr>
              <w:t>, including the experience gained with</w:t>
            </w:r>
            <w:r>
              <w:t xml:space="preserve"> Eurofisc’s Transaction Network Analysis; stresses that any such arrangements should be limited to what is necessary for identifying relevant connections and should respect applicable confidentiality and data protection requirements;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Ondřej Knotek,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Considers that systematic identification of connections between cases, persons, operations and networks would benefit from improved interoperability and secure information-sharing between AFA components, including through the use of common entity identifiers and appropriate query mechanisms, building where relevant on existing tools and practices such as Eurofisc’s Transaction Network Analysis; stresses that any such arrangements should be limited to what is necessary for identifying relevant connections and should respect applicable confidentiality and data protection requirements;</w:t>
            </w:r>
          </w:p>
        </w:tc>
        <w:tc>
          <w:tcPr>
            <w:tcW w:w="4876" w:type="dxa"/>
            <w:tcBorders>
              <w:top w:val="nil"/>
              <w:left w:val="nil"/>
              <w:bottom w:val="nil"/>
              <w:right w:val="nil"/>
            </w:tcBorders>
          </w:tcPr>
          <w:p>
            <w:pPr>
              <w:pStyle w:val="Normal6a"/>
            </w:pPr>
            <w:r>
              <w:t>17.</w:t>
            </w:r>
            <w:r>
              <w:tab/>
            </w:r>
            <w:r>
              <w:t xml:space="preserve">Considers that systematic identification of connections between cases, persons, operations and networks would benefit from improved interoperability and secure information-sharing between AFA components, including through the use of common entity identifiers and appropriate query mechanisms, building where relevant on existing tools and practices such as Eurofisc’s Transaction Network Analysis; stresses that any such arrangements should be limited to what is necessary for identifying relevant connections and should respect applicable confidentiality and data protection requirements; </w:t>
            </w:r>
            <w:r>
              <w:rPr>
                <w:b/>
                <w:i/>
              </w:rPr>
              <w:t>calls, in particular, for clearly defined access rights, appropriate cybersecurity measures, retention limits and audit trails, so that interoperability does not lead to the unnecessary collection of information or administrative burden;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Considers that systematic identification of connections between cases, persons, operations and networks would benefit from improved interoperability and secure information-sharing between AFA components, including through the use of common entity identifiers and appropriate query mechanisms, building where relevant on existing tools and practices such as Eurofisc’s Transaction Network Analysis; stresses that any such arrangements should be limited to what is necessary for identifying relevant connections and should respect applicable confidentiality and data protection requirements;</w:t>
            </w:r>
          </w:p>
        </w:tc>
        <w:tc>
          <w:tcPr>
            <w:tcW w:w="4876" w:type="dxa"/>
            <w:tcBorders>
              <w:top w:val="nil"/>
              <w:left w:val="nil"/>
              <w:bottom w:val="nil"/>
              <w:right w:val="nil"/>
            </w:tcBorders>
          </w:tcPr>
          <w:p>
            <w:pPr>
              <w:pStyle w:val="Normal6a"/>
            </w:pPr>
            <w:r>
              <w:t>17.</w:t>
            </w:r>
            <w:r>
              <w:tab/>
            </w:r>
            <w:r>
              <w:t xml:space="preserve">Considers that systematic identification of connections between cases, persons, operations and networks would benefit from improved interoperability and secure information-sharing between AFA components, including through the use of common entity identifiers and appropriate query mechanisms, building where relevant on existing tools and practices such as Eurofisc’s Transaction Network Analysis </w:t>
            </w:r>
            <w:r>
              <w:rPr>
                <w:b/>
                <w:i/>
              </w:rPr>
              <w:t>and, where legally relevant, on sector-specific information held by other Union bodies, including ESMA</w:t>
            </w:r>
            <w:r>
              <w:t>; stresses that any such arrangements should be limited to what is necessary for identifying relevant connections and should respect applicable confidentiality and data protection requirements;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Considers that systematic identification of connections between cases, persons, operations and networks </w:t>
            </w:r>
            <w:r>
              <w:rPr>
                <w:b/>
                <w:i/>
              </w:rPr>
              <w:t>would benefit from</w:t>
            </w:r>
            <w:r>
              <w:t xml:space="preserve"> improved interoperability and secure information-sharing between AFA components, including through the use of common entity identifiers and appropriate query mechanisms, building where relevant on existing tools and practices such as Eurofisc’s Transaction Network Analysis; stresses that any such arrangements should be limited to what is necessary for identifying relevant connections and should respect applicable confidentiality and data protection requirements;</w:t>
            </w:r>
          </w:p>
        </w:tc>
        <w:tc>
          <w:tcPr>
            <w:tcW w:w="4876" w:type="dxa"/>
            <w:tcBorders>
              <w:top w:val="nil"/>
              <w:left w:val="nil"/>
              <w:bottom w:val="nil"/>
              <w:right w:val="nil"/>
            </w:tcBorders>
          </w:tcPr>
          <w:p>
            <w:pPr>
              <w:pStyle w:val="Normal6a"/>
            </w:pPr>
            <w:r>
              <w:t>17.</w:t>
            </w:r>
            <w:r>
              <w:tab/>
            </w:r>
            <w:r>
              <w:t xml:space="preserve">Considers that </w:t>
            </w:r>
            <w:r>
              <w:rPr>
                <w:b/>
                <w:i/>
              </w:rPr>
              <w:t>the upgraded information sharing system should facilitate the</w:t>
            </w:r>
            <w:r>
              <w:t xml:space="preserve"> systematic identification of connections between cases, persons, operations and networks </w:t>
            </w:r>
            <w:r>
              <w:rPr>
                <w:b/>
                <w:i/>
              </w:rPr>
              <w:t>through</w:t>
            </w:r>
            <w:r>
              <w:t xml:space="preserve"> improved interoperability and secure information-sharing between AFA components, including through the use of common entity identifiers and appropriate query mechanisms, building where relevant on existing tools and practices such as Eurofisc’s Transaction Network Analysis; stresses that any such arrangements should be limited to what is necessary for identifying relevant connections and should respect applicable confidentiality and data protection requirements;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IV. EPPO-OLAF cooperation</w:t>
            </w:r>
            <w:r>
              <w:rPr>
                <w:b/>
                <w:i/>
              </w:rPr>
              <w:t>: the graduated suspension rule</w:t>
            </w:r>
          </w:p>
        </w:tc>
        <w:tc>
          <w:tcPr>
            <w:tcW w:w="4876" w:type="dxa"/>
            <w:tcBorders>
              <w:top w:val="nil"/>
              <w:left w:val="nil"/>
              <w:bottom w:val="nil"/>
              <w:right w:val="nil"/>
            </w:tcBorders>
          </w:tcPr>
          <w:p>
            <w:pPr>
              <w:pStyle w:val="Normal6a"/>
            </w:pPr>
            <w:r>
              <w:t>IV. EPPO-OLAF cooperation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Recalls that the Commission's 2011 Communication on criminal law and administrative investigations recognised criminal and administrative investigations as complementary instruments for the protection of the Union’s financial interests; </w:t>
            </w:r>
            <w:r>
              <w:rPr>
                <w:b/>
                <w:i/>
              </w:rPr>
              <w:t>notes that the current framework governing parallel administrative investigations following the involvement of EPPO limits the ability of administrative authorities to take complementary measures to protect</w:t>
            </w:r>
            <w:r>
              <w:t xml:space="preserve"> the Union budget;</w:t>
            </w:r>
          </w:p>
        </w:tc>
        <w:tc>
          <w:tcPr>
            <w:tcW w:w="4876" w:type="dxa"/>
            <w:tcBorders>
              <w:top w:val="nil"/>
              <w:left w:val="nil"/>
              <w:bottom w:val="nil"/>
              <w:right w:val="nil"/>
            </w:tcBorders>
          </w:tcPr>
          <w:p>
            <w:pPr>
              <w:pStyle w:val="Normal6a"/>
            </w:pPr>
            <w:r>
              <w:t>18.</w:t>
            </w:r>
            <w:r>
              <w:tab/>
            </w:r>
            <w:r>
              <w:t xml:space="preserve">Recalls that the Commission's 2011 Communication on criminal law and administrative investigations recognised criminal and administrative investigations as complementary instruments for the protection of the Union’s financial interests; </w:t>
            </w:r>
            <w:r>
              <w:rPr>
                <w:b/>
                <w:i/>
              </w:rPr>
              <w:t>calls on the Commission to assess areas where this complementarity could be better enabled to improve the protection of</w:t>
            </w:r>
            <w:r>
              <w:t xml:space="preserve"> the Union budget;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Recalls that the Commission's 2011 Communication on criminal law and administrative investigations recognised criminal and administrative investigations as complementary instruments for the protection of the Union’s financial interests; </w:t>
            </w:r>
            <w:r>
              <w:rPr>
                <w:b/>
                <w:i/>
              </w:rPr>
              <w:t>notes that the current framework governing parallel administrative investigations following the involvement of EPPO limits the ability of</w:t>
            </w:r>
            <w:r>
              <w:t xml:space="preserve"> administrative </w:t>
            </w:r>
            <w:r>
              <w:rPr>
                <w:b/>
                <w:i/>
              </w:rPr>
              <w:t>authorities to take</w:t>
            </w:r>
            <w:r>
              <w:t xml:space="preserve"> complementary measures to protect the Union budget;</w:t>
            </w:r>
          </w:p>
        </w:tc>
        <w:tc>
          <w:tcPr>
            <w:tcW w:w="4876" w:type="dxa"/>
            <w:tcBorders>
              <w:top w:val="nil"/>
              <w:left w:val="nil"/>
              <w:bottom w:val="nil"/>
              <w:right w:val="nil"/>
            </w:tcBorders>
          </w:tcPr>
          <w:p>
            <w:pPr>
              <w:pStyle w:val="Normal6a"/>
            </w:pPr>
            <w:r>
              <w:t>18.</w:t>
            </w:r>
            <w:r>
              <w:tab/>
            </w:r>
            <w:r>
              <w:t xml:space="preserve">Recalls that the Commission's 2011 Communication on criminal law and administrative investigations recognised criminal and administrative investigations as complementary instruments for the protection of the Union’s financial interests; </w:t>
            </w:r>
            <w:r>
              <w:rPr>
                <w:b/>
                <w:i/>
              </w:rPr>
              <w:t>recalls that, under Article 101(2) of Regulation (EU) 2017/1939, OLAF does not open an</w:t>
            </w:r>
            <w:r>
              <w:t xml:space="preserve"> administrative </w:t>
            </w:r>
            <w:r>
              <w:rPr>
                <w:b/>
                <w:i/>
              </w:rPr>
              <w:t>investigation parallel to an EPPO investigation into the same facts and that</w:t>
            </w:r>
            <w:r>
              <w:t xml:space="preserve"> complementary measures to protect the Union budget </w:t>
            </w:r>
            <w:r>
              <w:rPr>
                <w:b/>
                <w:i/>
              </w:rPr>
              <w:t>remain possible in coordination with EPPO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Notes that the current legal framework provides for different forms of interaction between EPPO and OLAF that should be clearly distinguished and appropriately reflected in the forthcoming revisions of the relevant legal frameworks, including: (i) OLAF investigations carried out in support of EPPO at EPPO's request, where OLAF may decline to provide such support on stated grounds; (ii) OLAF complementary investigations initiated on OLAF's own initiative, subject to EPPO’s right to object, currently governed by working arrangement; and (iii) the transfer of cases from EPPO to OLAF following a decision not to open or to dismiss a case;</w:t>
            </w:r>
          </w:p>
        </w:tc>
        <w:tc>
          <w:tcPr>
            <w:tcW w:w="4876" w:type="dxa"/>
            <w:tcBorders>
              <w:top w:val="nil"/>
              <w:left w:val="nil"/>
              <w:bottom w:val="nil"/>
              <w:right w:val="nil"/>
            </w:tcBorders>
          </w:tcPr>
          <w:p>
            <w:pPr>
              <w:pStyle w:val="Normal6a"/>
            </w:pPr>
            <w:r>
              <w:t>19.</w:t>
            </w:r>
            <w:r>
              <w:tab/>
            </w:r>
            <w:r>
              <w:t xml:space="preserve">Notes that the current legal framework provides for different forms of interaction between EPPO and OLAF that should be clearly distinguished and appropriately reflected in the forthcoming revisions of the relevant legal frameworks, including: (i) OLAF investigations carried out in support of EPPO at EPPO's request, where OLAF may decline to provide such support on stated grounds; (ii) OLAF complementary investigations initiated on OLAF's own initiative, subject to EPPO’s right to object, currently governed by working arrangement; and (iii) the transfer of cases from EPPO to OLAF following a decision not to open or to dismiss a case; </w:t>
            </w:r>
            <w:r>
              <w:rPr>
                <w:b/>
                <w:i/>
              </w:rPr>
              <w:t>considers that the current legal system has not been able to overcome conflicts and disputes among in particular OLAF and EPPO that must be avoided with a new clarified framework;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Considers that the ne bis in idem rationale (“not twice for the same principle”) invoked by the Court of Justice in relation to the prohibition of parallel investigations -in particular the distinction between punitive and non-punitive administrative measures- and is therefore over-inclusive; considers further that the two legitimate operational concerns -evidence integrity and procedural rights protection- are time-limited and case-specific and justify a graduated, time-bound suspension of OLAF's formal investigative measures, rather than a permanent prohibition;</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Considers that the ne bis in idem rationale (“not twice for the same principle”) invoked by the Court of Justice in relation to the prohibition of parallel investigations -in particular the distinction between punitive and non-punitive administrative measures- and is therefore over-inclusive; considers further that the two legitimate operational concerns -evidence integrity and procedural rights protection- are time-limited and case-specific and justify a graduated, time-bound suspension of OLAF's formal investigative measures, rather than a permanent prohibition;</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Considers that the ne bis in idem </w:t>
            </w:r>
            <w:r>
              <w:rPr>
                <w:b/>
                <w:i/>
              </w:rPr>
              <w:t>rationale</w:t>
            </w:r>
            <w:r>
              <w:t xml:space="preserve"> (“not twice for the same </w:t>
            </w:r>
            <w:r>
              <w:rPr>
                <w:b/>
                <w:i/>
              </w:rPr>
              <w:t>principle</w:t>
            </w:r>
            <w:r>
              <w:t xml:space="preserve">”) invoked by the Court of Justice </w:t>
            </w:r>
            <w:r>
              <w:rPr>
                <w:b/>
                <w:i/>
              </w:rPr>
              <w:t>in relation to the</w:t>
            </w:r>
            <w:r>
              <w:t xml:space="preserve"> prohibition of parallel </w:t>
            </w:r>
            <w:r>
              <w:rPr>
                <w:b/>
                <w:i/>
              </w:rPr>
              <w:t>investigations -in particular the distinction between punitive</w:t>
            </w:r>
            <w:r>
              <w:t xml:space="preserve"> and non-punitive administrative </w:t>
            </w:r>
            <w:r>
              <w:rPr>
                <w:b/>
                <w:i/>
              </w:rPr>
              <w:t>measures- and is therefore over-inclusive</w:t>
            </w:r>
            <w:r>
              <w:t xml:space="preserve">; considers further that </w:t>
            </w:r>
            <w:r>
              <w:rPr>
                <w:b/>
                <w:i/>
              </w:rPr>
              <w:t>the two</w:t>
            </w:r>
            <w:r>
              <w:t xml:space="preserve"> legitimate operational concerns </w:t>
            </w:r>
            <w:r>
              <w:rPr>
                <w:b/>
                <w:i/>
              </w:rPr>
              <w:t>-</w:t>
            </w:r>
            <w:r>
              <w:t>evidence integrity and procedural rights protection</w:t>
            </w:r>
            <w:r>
              <w:rPr>
                <w:b/>
                <w:i/>
              </w:rPr>
              <w:t>- are time-limited and</w:t>
            </w:r>
            <w:r>
              <w:t xml:space="preserve"> case-specific and justify a graduated, time-bound suspension of OLAF's formal investigative measures</w:t>
            </w:r>
            <w:r>
              <w:rPr>
                <w:b/>
                <w:i/>
              </w:rPr>
              <w:t>,</w:t>
            </w:r>
            <w:r>
              <w:t xml:space="preserve"> rather than a permanent prohibition;</w:t>
            </w:r>
          </w:p>
        </w:tc>
        <w:tc>
          <w:tcPr>
            <w:tcW w:w="4876" w:type="dxa"/>
            <w:tcBorders>
              <w:top w:val="nil"/>
              <w:left w:val="nil"/>
              <w:bottom w:val="nil"/>
              <w:right w:val="nil"/>
            </w:tcBorders>
          </w:tcPr>
          <w:p>
            <w:pPr>
              <w:pStyle w:val="Normal6a"/>
            </w:pPr>
            <w:r>
              <w:t>20.</w:t>
            </w:r>
            <w:r>
              <w:tab/>
            </w:r>
            <w:r>
              <w:t xml:space="preserve">Considers that the </w:t>
            </w:r>
            <w:r>
              <w:rPr>
                <w:b/>
                <w:i/>
              </w:rPr>
              <w:t>principle</w:t>
            </w:r>
            <w:r>
              <w:t xml:space="preserve"> ne bis in idem (“not twice for the same </w:t>
            </w:r>
            <w:r>
              <w:rPr>
                <w:b/>
                <w:i/>
              </w:rPr>
              <w:t>offense</w:t>
            </w:r>
            <w:r>
              <w:t xml:space="preserve">”) invoked by the Court of Justice </w:t>
            </w:r>
            <w:r>
              <w:rPr>
                <w:b/>
                <w:i/>
              </w:rPr>
              <w:t>does not in itself lead to a general</w:t>
            </w:r>
            <w:r>
              <w:t xml:space="preserve"> prohibition of parallel </w:t>
            </w:r>
            <w:r>
              <w:rPr>
                <w:b/>
                <w:i/>
              </w:rPr>
              <w:t>criminal</w:t>
            </w:r>
            <w:r>
              <w:t xml:space="preserve"> and non-punitive administrative </w:t>
            </w:r>
            <w:r>
              <w:rPr>
                <w:b/>
                <w:i/>
              </w:rPr>
              <w:t>investigations</w:t>
            </w:r>
            <w:r>
              <w:t xml:space="preserve">; considers further that </w:t>
            </w:r>
            <w:r>
              <w:rPr>
                <w:b/>
                <w:i/>
              </w:rPr>
              <w:t>EPPO's</w:t>
            </w:r>
            <w:r>
              <w:t xml:space="preserve"> legitimate operational concerns </w:t>
            </w:r>
            <w:r>
              <w:rPr>
                <w:b/>
                <w:i/>
              </w:rPr>
              <w:t>related to</w:t>
            </w:r>
            <w:r>
              <w:t xml:space="preserve"> evidence integrity and procedural rights protection </w:t>
            </w:r>
            <w:r>
              <w:rPr>
                <w:b/>
                <w:i/>
              </w:rPr>
              <w:t>are</w:t>
            </w:r>
            <w:r>
              <w:t xml:space="preserve"> case-specific and </w:t>
            </w:r>
            <w:r>
              <w:rPr>
                <w:b/>
                <w:i/>
              </w:rPr>
              <w:t>may</w:t>
            </w:r>
            <w:r>
              <w:t xml:space="preserve"> justify a graduated, time-bound suspension of OLAF's formal investigative measures rather than a permanent prohibition; </w:t>
            </w:r>
            <w:r>
              <w:rPr>
                <w:b/>
                <w:i/>
              </w:rPr>
              <w:t>considers that the continued necessity of such suspension should be periodically reassessed and that OLAF should be able to request the resumption of parallel investigative measures if needed, as long as it would no longer jeopardise the criminal investigation or the rights of the persons concerned;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Considers that the ne bis in idem rationale (“not twice for the same principle”) invoked </w:t>
            </w:r>
            <w:r>
              <w:rPr>
                <w:b/>
                <w:i/>
              </w:rPr>
              <w:t>by the Court of Justice in relation to</w:t>
            </w:r>
            <w:r>
              <w:t xml:space="preserve"> the prohibition of parallel investigations </w:t>
            </w:r>
            <w:r>
              <w:rPr>
                <w:b/>
                <w:i/>
              </w:rPr>
              <w:t>-in particular the distinction between punitive and non-punitive administrative measures- and is</w:t>
            </w:r>
            <w:r>
              <w:t xml:space="preserve"> therefore over-inclusive; considers further that the two legitimate operational concerns -evidence integrity and procedural rights protection- are time-limited and case-specific and justify a graduated, time-bound suspension of OLAF's formal investigative measures, rather than a permanent prohibition;</w:t>
            </w:r>
          </w:p>
        </w:tc>
        <w:tc>
          <w:tcPr>
            <w:tcW w:w="4876" w:type="dxa"/>
            <w:tcBorders>
              <w:top w:val="nil"/>
              <w:left w:val="nil"/>
              <w:bottom w:val="nil"/>
              <w:right w:val="nil"/>
            </w:tcBorders>
          </w:tcPr>
          <w:p>
            <w:pPr>
              <w:pStyle w:val="Normal6a"/>
            </w:pPr>
            <w:r>
              <w:t>20.</w:t>
            </w:r>
            <w:r>
              <w:tab/>
            </w:r>
            <w:r>
              <w:t xml:space="preserve">Considers that the ne bis in idem rationale (“not twice for the same principle”) invoked </w:t>
            </w:r>
            <w:r>
              <w:rPr>
                <w:b/>
                <w:i/>
              </w:rPr>
              <w:t>for</w:t>
            </w:r>
            <w:r>
              <w:t xml:space="preserve"> the prohibition of parallel investigations </w:t>
            </w:r>
            <w:r>
              <w:rPr>
                <w:b/>
                <w:i/>
              </w:rPr>
              <w:t>is to be applied according to Court of Justice's case law and</w:t>
            </w:r>
            <w:r>
              <w:t xml:space="preserve"> therefore </w:t>
            </w:r>
            <w:r>
              <w:rPr>
                <w:b/>
                <w:i/>
              </w:rPr>
              <w:t>not to be</w:t>
            </w:r>
            <w:r>
              <w:t xml:space="preserve"> over-inclusive; considers further that the two legitimate operational concerns -evidence integrity and procedural rights protection- are time-limited and case-specific and justify a graduated, time-bound suspension of OLAF's formal investigative measures, rather than a permanent prohibition;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Considers that the rule against parallel administrative investigations into facts under EPPO investigation is an essential safeguard that protects the procedural rights of suspects, prevents the risk of double punishment for the same offence, prevents suspects from being alerted and preserves the admissibility of evidence; recalls that whether an administrative measure is punitive in nature is assessed by the courts on a case-by-case basis;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Calls on the Commission to replace the current prohibition with a view to establishing a graduated and time-bound framework for interaction between EPPO investigations and OLAF investigative measures, providing for appropriate arrangements on the suspension and the reactivation of OLAF’s investigative capacity, while ensuring that necessary budget-protective measures remain possible throughout, subject to the non-prejudice principle; calls for such a framework to address, in particular, simultaneous notification, complementary investigations and the respective roles and responsibilities of EPPO and OLAF;</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Calls on the Commission to </w:t>
            </w:r>
            <w:r>
              <w:rPr>
                <w:b/>
                <w:i/>
              </w:rPr>
              <w:t>replace the current prohibition with a view to establishing a graduated and time-bound framework for interaction between EPPO investigations and OLAF investigative measures, providing for appropriate arrangements on the suspension and the reactivation of OLAF’s investigative capacity, while ensuring that necessary budget-protective measures remain possible throughout, subject to the non-prejudice principle; calls for such a framework to</w:t>
            </w:r>
            <w:r>
              <w:t xml:space="preserve"> address</w:t>
            </w:r>
            <w:r>
              <w:rPr>
                <w:b/>
                <w:i/>
              </w:rPr>
              <w:t>, in particular, simultaneous notification,</w:t>
            </w:r>
            <w:r>
              <w:t xml:space="preserve"> complementary investigations </w:t>
            </w:r>
            <w:r>
              <w:rPr>
                <w:b/>
                <w:i/>
              </w:rPr>
              <w:t>and</w:t>
            </w:r>
            <w:r>
              <w:t xml:space="preserve"> the respective roles and responsibilities of </w:t>
            </w:r>
            <w:r>
              <w:rPr>
                <w:b/>
                <w:i/>
              </w:rPr>
              <w:t>EPPO and OLAF</w:t>
            </w:r>
            <w:r>
              <w:t>;</w:t>
            </w:r>
          </w:p>
        </w:tc>
        <w:tc>
          <w:tcPr>
            <w:tcW w:w="4876" w:type="dxa"/>
            <w:tcBorders>
              <w:top w:val="nil"/>
              <w:left w:val="nil"/>
              <w:bottom w:val="nil"/>
              <w:right w:val="nil"/>
            </w:tcBorders>
          </w:tcPr>
          <w:p>
            <w:pPr>
              <w:pStyle w:val="Normal6a"/>
            </w:pPr>
            <w:r>
              <w:t>21.</w:t>
            </w:r>
            <w:r>
              <w:tab/>
            </w:r>
            <w:r>
              <w:t xml:space="preserve">Calls on the Commission to address </w:t>
            </w:r>
            <w:r>
              <w:rPr>
                <w:b/>
                <w:i/>
              </w:rPr>
              <w:t>the conduct of</w:t>
            </w:r>
            <w:r>
              <w:t xml:space="preserve"> complementary investigations </w:t>
            </w:r>
            <w:r>
              <w:rPr>
                <w:b/>
                <w:i/>
              </w:rPr>
              <w:t>in strict accordance with the respective mandates and in full respect of the confidentiality of criminal investigations and of</w:t>
            </w:r>
            <w:r>
              <w:t xml:space="preserve"> the respective roles and responsibilities of </w:t>
            </w:r>
            <w:r>
              <w:rPr>
                <w:b/>
                <w:i/>
              </w:rPr>
              <w:t>all AFA components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Ondřej Knotek,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Calls on the Commission to replace the current prohibition with a view to establishing a graduated and time-bound framework for interaction between EPPO investigations and OLAF investigative measures, providing for appropriate arrangements on the suspension and the reactivation of OLAF’s investigative capacity, while ensuring that necessary budget-protective measures remain possible throughout, subject to the non-prejudice principle; calls for such a framework to address, in particular, simultaneous notification, complementary investigations and the respective roles and responsibilities of EPPO and OLAF;</w:t>
            </w:r>
          </w:p>
        </w:tc>
        <w:tc>
          <w:tcPr>
            <w:tcW w:w="4876" w:type="dxa"/>
            <w:tcBorders>
              <w:top w:val="nil"/>
              <w:left w:val="nil"/>
              <w:bottom w:val="nil"/>
              <w:right w:val="nil"/>
            </w:tcBorders>
          </w:tcPr>
          <w:p>
            <w:pPr>
              <w:pStyle w:val="Normal6a"/>
            </w:pPr>
            <w:r>
              <w:t>21.</w:t>
            </w:r>
            <w:r>
              <w:tab/>
            </w:r>
            <w:r>
              <w:t xml:space="preserve">Calls on the Commission to replace the current prohibition with a view to establishing a graduated and time-bound framework for interaction between EPPO investigations and OLAF investigative measures, providing for appropriate arrangements on the suspension and the reactivation of OLAF’s investigative capacity, while ensuring that necessary budget-protective measures remain possible throughout, subject to the non-prejudice principle; calls for such a framework to address, in particular, simultaneous notification, complementary investigations and the respective roles and responsibilities of EPPO and OLAF; </w:t>
            </w:r>
            <w:r>
              <w:rPr>
                <w:b/>
                <w:i/>
              </w:rPr>
              <w:t>stresses that its application must respect applicable national procedural rules and the rights of the persons concerned, and must not jeopardise national criminal proceedings;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Calls on the Commission to maintain the prohibition of parallel investigations in the revised EPPO and OLAF Regulations; calls on the Commission to report on the use made of complementary investigations under Article 12f of Regulation (EU, Euratom) no 883/2013 and of OLAF support to EPPO under Article 101(3) of Regulation (EU) 2017/1939 and to address any obstacles identified;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Calls on the Commission </w:t>
            </w:r>
            <w:r>
              <w:rPr>
                <w:b/>
                <w:i/>
              </w:rPr>
              <w:t>to reflect this graduated suspension framework in the revised EPPO and OLAF Regulations, and</w:t>
            </w:r>
            <w:r>
              <w:t xml:space="preserve"> to clarify in its proposals that</w:t>
            </w:r>
            <w:r>
              <w:rPr>
                <w:b/>
                <w:i/>
              </w:rPr>
              <w:t>: necessary non-punitive budget-protective measures should remain possible throughout the different stages; punitive administrative sanctions should not be imposed in parallel with criminal proceedings or circumstances giving rise to concerns of double punishment for the same persons and facts: and,</w:t>
            </w:r>
            <w:r>
              <w:t xml:space="preserve"> where EPPO's investigation is closed without indictment, OLAF should be able to open or continue an administrative investigation within its mandate;</w:t>
            </w:r>
          </w:p>
        </w:tc>
        <w:tc>
          <w:tcPr>
            <w:tcW w:w="4876" w:type="dxa"/>
            <w:tcBorders>
              <w:top w:val="nil"/>
              <w:left w:val="nil"/>
              <w:bottom w:val="nil"/>
              <w:right w:val="nil"/>
            </w:tcBorders>
          </w:tcPr>
          <w:p>
            <w:pPr>
              <w:pStyle w:val="Normal6a"/>
            </w:pPr>
            <w:r>
              <w:t>22.</w:t>
            </w:r>
            <w:r>
              <w:tab/>
            </w:r>
            <w:r>
              <w:t>Calls on the Commission to clarify in its proposals that where EPPO's investigation is closed without indictment, OLAF should be able to open or continue an administrative investigation within its mandate;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Calls on the Commission to </w:t>
            </w:r>
            <w:r>
              <w:rPr>
                <w:b/>
                <w:i/>
              </w:rPr>
              <w:t>reflect this graduated suspension framework</w:t>
            </w:r>
            <w:r>
              <w:t xml:space="preserve"> in the revised EPPO and OLAF Regulations</w:t>
            </w:r>
            <w:r>
              <w:rPr>
                <w:b/>
                <w:i/>
              </w:rPr>
              <w:t>, and to clarify in its proposals</w:t>
            </w:r>
            <w:r>
              <w:t xml:space="preserve"> that: necessary non-punitive budget-protective measures should remain possible throughout the different stages; punitive administrative sanctions should not be imposed in parallel with criminal proceedings or circumstances giving rise to concerns of double punishment for the same persons and facts: and</w:t>
            </w:r>
            <w:r>
              <w:rPr>
                <w:b/>
                <w:i/>
              </w:rPr>
              <w:t>, where EPPO's</w:t>
            </w:r>
            <w:r>
              <w:t xml:space="preserve"> investigation </w:t>
            </w:r>
            <w:r>
              <w:rPr>
                <w:b/>
                <w:i/>
              </w:rPr>
              <w:t>is closed without indictment</w:t>
            </w:r>
            <w:r>
              <w:t xml:space="preserve">, </w:t>
            </w:r>
            <w:r>
              <w:rPr>
                <w:b/>
                <w:i/>
              </w:rPr>
              <w:t>OLAF should be able to</w:t>
            </w:r>
            <w:r>
              <w:t xml:space="preserve"> open or continue an administrative investigation </w:t>
            </w:r>
            <w:r>
              <w:rPr>
                <w:b/>
                <w:i/>
              </w:rPr>
              <w:t>within its mandate</w:t>
            </w:r>
            <w:r>
              <w:t>;</w:t>
            </w:r>
          </w:p>
        </w:tc>
        <w:tc>
          <w:tcPr>
            <w:tcW w:w="4876" w:type="dxa"/>
            <w:tcBorders>
              <w:top w:val="nil"/>
              <w:left w:val="nil"/>
              <w:bottom w:val="nil"/>
              <w:right w:val="nil"/>
            </w:tcBorders>
          </w:tcPr>
          <w:p>
            <w:pPr>
              <w:pStyle w:val="Normal6a"/>
            </w:pPr>
            <w:r>
              <w:t>22.</w:t>
            </w:r>
            <w:r>
              <w:tab/>
            </w:r>
            <w:r>
              <w:t xml:space="preserve">Calls on the Commission to </w:t>
            </w:r>
            <w:r>
              <w:rPr>
                <w:b/>
                <w:i/>
              </w:rPr>
              <w:t>clarify</w:t>
            </w:r>
            <w:r>
              <w:t xml:space="preserve"> in the revised EPPO and OLAF Regulations that: necessary non-punitive budget-protective measures should remain possible throughout the different stages </w:t>
            </w:r>
            <w:r>
              <w:rPr>
                <w:b/>
                <w:i/>
              </w:rPr>
              <w:t>of investigations, in coordination with EPPO</w:t>
            </w:r>
            <w:r>
              <w:t xml:space="preserve">; punitive administrative sanctions should not be imposed in parallel with criminal proceedings or circumstances giving rise to concerns of double punishment for the same persons and facts: and </w:t>
            </w:r>
            <w:r>
              <w:rPr>
                <w:b/>
                <w:i/>
              </w:rPr>
              <w:t>EPPO informs OLAF and the Commission without delay of any decision not to open an</w:t>
            </w:r>
            <w:r>
              <w:t xml:space="preserve"> investigation </w:t>
            </w:r>
            <w:r>
              <w:rPr>
                <w:b/>
                <w:i/>
              </w:rPr>
              <w:t>or to dismiss a case and of the final outcome of each case</w:t>
            </w:r>
            <w:r>
              <w:t xml:space="preserve">, </w:t>
            </w:r>
            <w:r>
              <w:rPr>
                <w:b/>
                <w:i/>
              </w:rPr>
              <w:t>so that OLAF can</w:t>
            </w:r>
            <w:r>
              <w:t xml:space="preserve"> open or continue an administrative investigation </w:t>
            </w:r>
            <w:r>
              <w:rPr>
                <w:b/>
                <w:i/>
              </w:rPr>
              <w:t>and the Commission can ensure recovery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Ondřej Knotek, Virginie Joron,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Calls on the Commission to reflect this graduated suspension framework in the revised EPPO and OLAF Regulations, and to clarify in its proposals that: necessary non-punitive budget-protective measures should remain possible throughout the different stages; punitive administrative sanctions should not be imposed in parallel with criminal proceedings or circumstances giving rise to concerns of double punishment for the same persons and facts: and, where EPPO's investigation is closed without indictment, OLAF should be able to open or continue an administrative investigation within its mandate;</w:t>
            </w:r>
          </w:p>
        </w:tc>
        <w:tc>
          <w:tcPr>
            <w:tcW w:w="4876" w:type="dxa"/>
            <w:tcBorders>
              <w:top w:val="nil"/>
              <w:left w:val="nil"/>
              <w:bottom w:val="nil"/>
              <w:right w:val="nil"/>
            </w:tcBorders>
          </w:tcPr>
          <w:p>
            <w:pPr>
              <w:pStyle w:val="Normal6a"/>
            </w:pPr>
            <w:r>
              <w:t>22.</w:t>
            </w:r>
            <w:r>
              <w:tab/>
            </w:r>
            <w:r>
              <w:t xml:space="preserve">Calls on the Commission to reflect this graduated suspension framework in the revised EPPO and OLAF Regulations, and to clarify in its proposals that: necessary non-punitive budget-protective measures should remain possible throughout the different stages; punitive administrative sanctions should not be imposed in parallel with criminal proceedings or circumstances giving rise to concerns of double punishment for the same persons and facts: and, where EPPO's investigation is closed without indictment, OLAF should be able to open or continue an administrative investigation within its mandate </w:t>
            </w:r>
            <w:r>
              <w:rPr>
                <w:b/>
                <w:i/>
              </w:rPr>
              <w:t>subject to clearly defined competence and procedural safeguards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Is concerned that information </w:t>
            </w:r>
            <w:r>
              <w:rPr>
                <w:b/>
                <w:i/>
              </w:rPr>
              <w:t>from EPPO</w:t>
            </w:r>
            <w:r>
              <w:t xml:space="preserve"> relevant </w:t>
            </w:r>
            <w:r>
              <w:rPr>
                <w:b/>
                <w:i/>
              </w:rPr>
              <w:t>to enabling</w:t>
            </w:r>
            <w:r>
              <w:t xml:space="preserve"> budget-protective measures </w:t>
            </w:r>
            <w:r>
              <w:rPr>
                <w:b/>
                <w:i/>
              </w:rPr>
              <w:t>reaches</w:t>
            </w:r>
            <w:r>
              <w:t xml:space="preserve"> the Commission </w:t>
            </w:r>
            <w:r>
              <w:rPr>
                <w:b/>
                <w:i/>
              </w:rPr>
              <w:t>and OLAF only at or near indictment</w:t>
            </w:r>
            <w:r>
              <w:t xml:space="preserve">, </w:t>
            </w:r>
            <w:r>
              <w:rPr>
                <w:b/>
                <w:i/>
              </w:rPr>
              <w:t>potentially</w:t>
            </w:r>
            <w:r>
              <w:t xml:space="preserve"> limiting the scope for timely precautionary action; calls on the Commission to ensure </w:t>
            </w:r>
            <w:r>
              <w:rPr>
                <w:b/>
                <w:i/>
              </w:rPr>
              <w:t>that OLAF receives</w:t>
            </w:r>
            <w:r>
              <w:t xml:space="preserve"> timely information </w:t>
            </w:r>
            <w:r>
              <w:rPr>
                <w:b/>
                <w:i/>
              </w:rPr>
              <w:t>on cases within EPPO investigation that it is</w:t>
            </w:r>
            <w:r>
              <w:t xml:space="preserve"> necessary to assess appropriate budget-protection measures, while respecting applicable confidentiality requirements and without prejudice to EPPO’s investigative independence; </w:t>
            </w:r>
            <w:r>
              <w:rPr>
                <w:b/>
                <w:i/>
              </w:rPr>
              <w:t>reiterates that the availability of the appropriate administrative budget-protective measures should not be unduly restricted by the non-prejudice principle and</w:t>
            </w:r>
            <w:r>
              <w:t xml:space="preserve"> calls on the Commission to ensure that the revised legal framework </w:t>
            </w:r>
            <w:r>
              <w:rPr>
                <w:b/>
                <w:i/>
              </w:rPr>
              <w:t>do</w:t>
            </w:r>
            <w:r>
              <w:t xml:space="preserve"> not unnecessarily restrict such measures beyond what is required to protect ongoing investigations;</w:t>
            </w:r>
          </w:p>
        </w:tc>
        <w:tc>
          <w:tcPr>
            <w:tcW w:w="4876" w:type="dxa"/>
            <w:tcBorders>
              <w:top w:val="nil"/>
              <w:left w:val="nil"/>
              <w:bottom w:val="nil"/>
              <w:right w:val="nil"/>
            </w:tcBorders>
          </w:tcPr>
          <w:p>
            <w:pPr>
              <w:pStyle w:val="Normal6a"/>
            </w:pPr>
            <w:r>
              <w:t>23.</w:t>
            </w:r>
            <w:r>
              <w:tab/>
            </w:r>
            <w:r>
              <w:t xml:space="preserve">Is concerned that information </w:t>
            </w:r>
            <w:r>
              <w:rPr>
                <w:b/>
                <w:i/>
              </w:rPr>
              <w:t>held by EPPO which is</w:t>
            </w:r>
            <w:r>
              <w:t xml:space="preserve"> relevant </w:t>
            </w:r>
            <w:r>
              <w:rPr>
                <w:b/>
                <w:i/>
              </w:rPr>
              <w:t>for</w:t>
            </w:r>
            <w:r>
              <w:t xml:space="preserve"> budget-protective measures </w:t>
            </w:r>
            <w:r>
              <w:rPr>
                <w:b/>
                <w:i/>
              </w:rPr>
              <w:t>may not reach</w:t>
            </w:r>
            <w:r>
              <w:t xml:space="preserve"> the Commission </w:t>
            </w:r>
            <w:r>
              <w:rPr>
                <w:b/>
                <w:i/>
              </w:rPr>
              <w:t>or OLAF sufficiently early</w:t>
            </w:r>
            <w:r>
              <w:t>, limiting the scope for timely precautionary action; calls on the Commission to ensure</w:t>
            </w:r>
            <w:r>
              <w:rPr>
                <w:b/>
                <w:i/>
              </w:rPr>
              <w:t>, in the revised legal framework, that Commission services or OLAF, where applicable, receive in a</w:t>
            </w:r>
            <w:r>
              <w:t xml:space="preserve"> timely </w:t>
            </w:r>
            <w:r>
              <w:rPr>
                <w:b/>
                <w:i/>
              </w:rPr>
              <w:t>manner the</w:t>
            </w:r>
            <w:r>
              <w:t xml:space="preserve"> information necessary to assess </w:t>
            </w:r>
            <w:r>
              <w:rPr>
                <w:b/>
                <w:i/>
              </w:rPr>
              <w:t>and take</w:t>
            </w:r>
            <w:r>
              <w:t xml:space="preserve"> appropriate budget-protection measures </w:t>
            </w:r>
            <w:r>
              <w:rPr>
                <w:b/>
                <w:i/>
              </w:rPr>
              <w:t>in cases under EPPO investigation</w:t>
            </w:r>
            <w:r>
              <w:t xml:space="preserve">, while respecting applicable confidentiality requirements and without prejudice to EPPO’s investigative independence; </w:t>
            </w:r>
            <w:r>
              <w:rPr>
                <w:b/>
                <w:i/>
              </w:rPr>
              <w:t>stresses, in this regard, the role of European Delegated Prosecutors in ensuring timely information-sharing and effective cooperation;</w:t>
            </w:r>
            <w:r>
              <w:t xml:space="preserve"> calls on the Commission to ensure that the revised legal framework </w:t>
            </w:r>
            <w:r>
              <w:rPr>
                <w:b/>
                <w:i/>
              </w:rPr>
              <w:t>does</w:t>
            </w:r>
            <w:r>
              <w:t xml:space="preserve"> not unnecessarily restrict such measures beyond what is required to protect ongoing investigations;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Is concerned that information from EPPO relevant to enabling budget-protective measures reaches the Commission and OLAF only at or near indictment, potentially limiting the scope for timely precautionary action;</w:t>
            </w:r>
            <w:r>
              <w:t xml:space="preserve"> calls on the Commission to ensure that OLAF receives timely information on cases </w:t>
            </w:r>
            <w:r>
              <w:rPr>
                <w:b/>
                <w:i/>
              </w:rPr>
              <w:t>within</w:t>
            </w:r>
            <w:r>
              <w:t xml:space="preserve"> EPPO investigation </w:t>
            </w:r>
            <w:r>
              <w:rPr>
                <w:b/>
                <w:i/>
              </w:rPr>
              <w:t>that it is necessary</w:t>
            </w:r>
            <w:r>
              <w:t xml:space="preserve"> to assess appropriate budget-protection measures, while respecting applicable confidentiality requirements and </w:t>
            </w:r>
            <w:r>
              <w:rPr>
                <w:b/>
                <w:i/>
              </w:rPr>
              <w:t>without prejudice to</w:t>
            </w:r>
            <w:r>
              <w:t xml:space="preserve"> EPPO’s investigative independence</w:t>
            </w:r>
            <w:r>
              <w:rPr>
                <w:b/>
                <w:i/>
              </w:rPr>
              <w:t>; reiterates that the availability of the appropriate administrative budget-protective measures should not be unduly restricted by the non-prejudice principle and</w:t>
            </w:r>
            <w:r>
              <w:t xml:space="preserve"> calls on the Commission to ensure that the revised legal framework </w:t>
            </w:r>
            <w:r>
              <w:rPr>
                <w:b/>
                <w:i/>
              </w:rPr>
              <w:t>do</w:t>
            </w:r>
            <w:r>
              <w:t xml:space="preserve"> not unnecessarily restrict such measures beyond what is required to protect ongoing investigations;</w:t>
            </w:r>
          </w:p>
        </w:tc>
        <w:tc>
          <w:tcPr>
            <w:tcW w:w="4876" w:type="dxa"/>
            <w:tcBorders>
              <w:top w:val="nil"/>
              <w:left w:val="nil"/>
              <w:bottom w:val="nil"/>
              <w:right w:val="nil"/>
            </w:tcBorders>
          </w:tcPr>
          <w:p>
            <w:pPr>
              <w:pStyle w:val="Normal6a"/>
            </w:pPr>
            <w:r>
              <w:t>23.</w:t>
            </w:r>
            <w:r>
              <w:tab/>
            </w:r>
            <w:r>
              <w:t xml:space="preserve">Calls on the Commission to ensure that OLAF receives timely information on cases </w:t>
            </w:r>
            <w:r>
              <w:rPr>
                <w:b/>
                <w:i/>
              </w:rPr>
              <w:t>under</w:t>
            </w:r>
            <w:r>
              <w:t xml:space="preserve"> EPPO investigation</w:t>
            </w:r>
            <w:r>
              <w:rPr>
                <w:b/>
                <w:i/>
              </w:rPr>
              <w:t>, where possible,</w:t>
            </w:r>
            <w:r>
              <w:t xml:space="preserve"> to assess appropriate budget-protection measures, while respecting applicable confidentiality requirements and EPPO’s investigative independence </w:t>
            </w:r>
            <w:r>
              <w:rPr>
                <w:b/>
                <w:i/>
              </w:rPr>
              <w:t>and confidentiality of criminal investigations;</w:t>
            </w:r>
            <w:r>
              <w:t xml:space="preserve"> calls on the Commission to ensure that the revised legal framework </w:t>
            </w:r>
            <w:r>
              <w:rPr>
                <w:b/>
                <w:i/>
              </w:rPr>
              <w:t>does</w:t>
            </w:r>
            <w:r>
              <w:t xml:space="preserve"> not unnecessarily restrict such measures beyond what is required to protect ongoing investigations;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Is concerned that information from EPPO relevant to enabling budget-protective measures reaches the Commission and OLAF only at or near indictment, potentially limiting the scope for timely precautionary action;</w:t>
            </w:r>
            <w:r>
              <w:t xml:space="preserve"> calls on the Commission to ensure that OLAF receives timely information on cases within EPPO investigation that it is necessary to assess appropriate budget-protection measures, while respecting applicable confidentiality requirements and without prejudice to EPPO’s investigative independence; reiterates that the availability of the appropriate administrative budget-protective measures should not be unduly restricted by the non-prejudice principle and calls on the Commission to ensure that the revised legal framework do not unnecessarily restrict such measures beyond what is required to protect ongoing investigations;</w:t>
            </w:r>
          </w:p>
        </w:tc>
        <w:tc>
          <w:tcPr>
            <w:tcW w:w="4876" w:type="dxa"/>
            <w:tcBorders>
              <w:top w:val="nil"/>
              <w:left w:val="nil"/>
              <w:bottom w:val="nil"/>
              <w:right w:val="nil"/>
            </w:tcBorders>
          </w:tcPr>
          <w:p>
            <w:pPr>
              <w:pStyle w:val="Normal6a"/>
            </w:pPr>
            <w:r>
              <w:t>23.</w:t>
            </w:r>
            <w:r>
              <w:tab/>
            </w:r>
            <w:r>
              <w:t>Calls on the Commission to ensure that OLAF receives timely information on cases within EPPO investigation that it is necessary to assess appropriate budget-protection measures, while respecting applicable confidentiality requirements and without prejudice to EPPO’s investigative independence; reiterates that the availability of the appropriate administrative budget-protective measures should not be unduly restricted by the non-prejudice principle and calls on the Commission to ensure that the revised legal framework do not unnecessarily restrict such measures beyond what is required to protect ongoing investigations;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Notes the revised cooperation framework between the EPPO and the Commission, established in December 2024, which aims to improve the flow of information relevant for administrative, precautionary and corrective measures; calls on the Commission, in the context of the AFA review, to assess the follow-up given to EPPO's notifications to the Commission in 2025, including the measures taken, and to identify any obstacles limiting their effective administrative follow-up; calls on the Commission, in cooperation with the EPPO and, where relevant, OLAF, to identify how the content and format of such notifications could be further improved and standardised to ensure that the information transmitted is sufficiently actionable for the competent Commission services to take appropriate administrative or budget-protective measures;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Calls on the Commission to assess how the role of the Anti-Money Laundering Authority (AMLA) in coordinating national Financial Intelligence Units (FIUs) could further support timely asset recovery in criminal investigations through immediate, synchronised intelligence sharing that enables simultaneous multi-jurisdictional tracing and timely securing of assets linked to cross-border crimes affecting the Union's financial interests;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Notes that EPPO informs the Commission of cases relevant to the protection of the Union budget under Article 103(2) of Regulation (EU) 2017/1939; calls on the Commission to report annually to the budgetary authority on the follow-up given to those notifications, including the precautionary and recovery measures taken and the time needed to take them;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Calls on EPPO and OLAF to establish, as an interim measure, a joint operational protocol formalising notification </w:t>
            </w:r>
            <w:r>
              <w:rPr>
                <w:b/>
                <w:i/>
              </w:rPr>
              <w:t>procedure</w:t>
            </w:r>
            <w:r>
              <w:t>, applicable deadlines, categories of information shareable at each phase, and the escalation mechanism for disputes;</w:t>
            </w:r>
          </w:p>
        </w:tc>
        <w:tc>
          <w:tcPr>
            <w:tcW w:w="4876" w:type="dxa"/>
            <w:tcBorders>
              <w:top w:val="nil"/>
              <w:left w:val="nil"/>
              <w:bottom w:val="nil"/>
              <w:right w:val="nil"/>
            </w:tcBorders>
          </w:tcPr>
          <w:p>
            <w:pPr>
              <w:pStyle w:val="Normal6a"/>
            </w:pPr>
            <w:r>
              <w:t>24.</w:t>
            </w:r>
            <w:r>
              <w:tab/>
            </w:r>
            <w:r>
              <w:t xml:space="preserve">Calls on EPPO and OLAF to establish, as an interim measure </w:t>
            </w:r>
            <w:r>
              <w:rPr>
                <w:b/>
                <w:i/>
              </w:rPr>
              <w:t>and without prejudice to the forthcoming revision of the relevant legislative framework</w:t>
            </w:r>
            <w:r>
              <w:t xml:space="preserve">, a joint operational protocol formalising notification </w:t>
            </w:r>
            <w:r>
              <w:rPr>
                <w:b/>
                <w:i/>
              </w:rPr>
              <w:t>procedures</w:t>
            </w:r>
            <w:r>
              <w:t xml:space="preserve">, applicable deadlines, categories of information shareable at each phase, and the escalation mechanism for disputes; </w:t>
            </w:r>
            <w:r>
              <w:rPr>
                <w:b/>
                <w:i/>
              </w:rPr>
              <w:t>stresses that such an interim protocol must remain within the mandates and competences established by Union law and must not prejudge the outcome of the legislative procedure;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Calls on EPPO and OLAF to establish</w:t>
            </w:r>
            <w:r>
              <w:rPr>
                <w:b/>
                <w:i/>
              </w:rPr>
              <w:t>, as an interim measure,</w:t>
            </w:r>
            <w:r>
              <w:t xml:space="preserve"> a joint operational protocol formalising notification procedure, applicable deadlines, categories of information shareable at each phase, and the escalation mechanism for disputes;</w:t>
            </w:r>
          </w:p>
        </w:tc>
        <w:tc>
          <w:tcPr>
            <w:tcW w:w="4876" w:type="dxa"/>
            <w:tcBorders>
              <w:top w:val="nil"/>
              <w:left w:val="nil"/>
              <w:bottom w:val="nil"/>
              <w:right w:val="nil"/>
            </w:tcBorders>
          </w:tcPr>
          <w:p>
            <w:pPr>
              <w:pStyle w:val="Normal6a"/>
            </w:pPr>
            <w:r>
              <w:t>24.</w:t>
            </w:r>
            <w:r>
              <w:tab/>
            </w:r>
            <w:r>
              <w:t>Calls on EPPO and OLAF to establish a joint operational protocol formalising notification procedure, applicable deadlines, categories of information shareable at each phase, and the escalation mechanism for disputes;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Ondřej Knotek, Virginie Joron,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Recalls that effective protection of the Union's financial interests requires action across the full anti-fraud cycle and that prevention and early detection are among its most cost-effective stages; underlines that responsibility for prevention and first-line detection </w:t>
            </w:r>
            <w:r>
              <w:rPr>
                <w:b/>
                <w:i/>
              </w:rPr>
              <w:t>rests primarily with Member States</w:t>
            </w:r>
            <w:r>
              <w:t>, and that the role of AFA components is to support, reinforce and where necessary complement national systems;</w:t>
            </w:r>
          </w:p>
        </w:tc>
        <w:tc>
          <w:tcPr>
            <w:tcW w:w="4876" w:type="dxa"/>
            <w:tcBorders>
              <w:top w:val="nil"/>
              <w:left w:val="nil"/>
              <w:bottom w:val="nil"/>
              <w:right w:val="nil"/>
            </w:tcBorders>
          </w:tcPr>
          <w:p>
            <w:pPr>
              <w:pStyle w:val="Normal6a"/>
            </w:pPr>
            <w:r>
              <w:t>25.</w:t>
            </w:r>
            <w:r>
              <w:tab/>
            </w:r>
            <w:r>
              <w:t xml:space="preserve">Recalls that effective protection of the Union's financial interests requires action across the full anti-fraud cycle and that prevention and early detection are among its most cost-effective stages; underlines that responsibility for prevention and first-line detection </w:t>
            </w:r>
            <w:r>
              <w:rPr>
                <w:b/>
                <w:i/>
              </w:rPr>
              <w:t>lies with the competent Union and national authorities in accordance with their respective mandates and the applicable rules for budget implementation</w:t>
            </w:r>
            <w:r>
              <w:t xml:space="preserve">, and that the role of AFA components is </w:t>
            </w:r>
            <w:r>
              <w:rPr>
                <w:b/>
                <w:i/>
              </w:rPr>
              <w:t>to work with Member States</w:t>
            </w:r>
            <w:r>
              <w:t xml:space="preserve"> to support, reinforce and where necessary complement national systems;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Recalls that effective protection of the Union's financial interests requires action across the full anti-fraud cycle and that prevention and early detection are among its most cost-effective stages; underlines that responsibility for prevention and first-line detection rests primarily with Member States, and that the role of AFA components is to support, reinforce and where necessary complement national systems;</w:t>
            </w:r>
          </w:p>
        </w:tc>
        <w:tc>
          <w:tcPr>
            <w:tcW w:w="4876" w:type="dxa"/>
            <w:tcBorders>
              <w:top w:val="nil"/>
              <w:left w:val="nil"/>
              <w:bottom w:val="nil"/>
              <w:right w:val="nil"/>
            </w:tcBorders>
          </w:tcPr>
          <w:p>
            <w:pPr>
              <w:pStyle w:val="Normal6a"/>
            </w:pPr>
            <w:r>
              <w:t>25.</w:t>
            </w:r>
            <w:r>
              <w:tab/>
            </w:r>
            <w:r>
              <w:t xml:space="preserve">Recalls that effective protection of the Union's financial interests requires action across the full anti-fraud cycle and that prevention and early detection are among its most cost-effective stages; underlines that responsibility for prevention and first-line detection rests primarily with Member States, and that the role of AFA components is to support, reinforce and where necessary complement national systems; </w:t>
            </w:r>
            <w:r>
              <w:rPr>
                <w:b/>
                <w:i/>
              </w:rPr>
              <w:t>stresses that the effectiveness of such national systems depends on respect for the rule of law and the proper functioning and independence of authorities responsible for budget implementation, control and audit, investigation and prosecution, as well as independent courts, and that deficiencies in these areas can increase fraud risks and undermine the effective protection and recovery of Union funds; calls on the Commission to address such deficiencies and to act without delay where they prevent or seriously impair the effective protection of the Union’s financial interests at national level.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Recalls that effective protection of the Union's financial interests requires action across the full anti-fraud cycle </w:t>
            </w:r>
            <w:r>
              <w:rPr>
                <w:b/>
                <w:i/>
              </w:rPr>
              <w:t>and</w:t>
            </w:r>
            <w:r>
              <w:t xml:space="preserve"> that prevention and early detection are among its most cost-effective stages; underlines that responsibility for prevention and first-line detection rests primarily with Member States, and that the role of AFA components is to support, reinforce and where necessary complement national systems;</w:t>
            </w:r>
          </w:p>
        </w:tc>
        <w:tc>
          <w:tcPr>
            <w:tcW w:w="4876" w:type="dxa"/>
            <w:tcBorders>
              <w:top w:val="nil"/>
              <w:left w:val="nil"/>
              <w:bottom w:val="nil"/>
              <w:right w:val="nil"/>
            </w:tcBorders>
          </w:tcPr>
          <w:p>
            <w:pPr>
              <w:pStyle w:val="Normal6a"/>
            </w:pPr>
            <w:r>
              <w:t>25.</w:t>
            </w:r>
            <w:r>
              <w:tab/>
            </w:r>
            <w:r>
              <w:t>Recalls that effective protection of the Union's financial interests requires action across the full anti-fraud cycle</w:t>
            </w:r>
            <w:r>
              <w:rPr>
                <w:b/>
                <w:i/>
              </w:rPr>
              <w:t>; stresses</w:t>
            </w:r>
            <w:r>
              <w:t xml:space="preserve"> that prevention and early detection are among its most cost-effective stages; underlines that responsibility for prevention and first-line detection rests primarily with Member States, and that the role of AFA components is to support, reinforce and where necessary complement national systems;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Ondřej Knotek,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Observes that prevention and detection operate through diverse modalities, including: (i) structural fraud-risk prevention, ex ante conditionality, procurement rules and financial management requirements; and (ii) real-time and near-real-time detection through data-driven tools, including Arachne+, IMS, EDES and Eurofisc’s Transaction Network Analysis; calls on the Commission to ensure the availability, standardisation and interoperability of information of all recipients of Union funds across all management modes, and to strengthen, in the context of the 2028–2034 MFF sectoral regulations, transparency and publication requirements for recipients, including contractors and subcontractors, with a view to improving fraud detection a public accountability;</w:t>
            </w:r>
          </w:p>
        </w:tc>
        <w:tc>
          <w:tcPr>
            <w:tcW w:w="4876" w:type="dxa"/>
            <w:tcBorders>
              <w:top w:val="nil"/>
              <w:left w:val="nil"/>
              <w:bottom w:val="nil"/>
              <w:right w:val="nil"/>
            </w:tcBorders>
          </w:tcPr>
          <w:p>
            <w:pPr>
              <w:pStyle w:val="Normal6a"/>
            </w:pPr>
            <w:r>
              <w:t>26.</w:t>
            </w:r>
            <w:r>
              <w:tab/>
            </w:r>
            <w:r>
              <w:t xml:space="preserve">Observes that prevention and detection operate through diverse modalities, including: (i) structural fraud-risk prevention, ex ante conditionality, procurement rules and financial management requirements; and (ii) real-time and near-real-time detection through data-driven tools, including Arachne+, IMS, EDES and Eurofisc’s Transaction Network Analysis; calls on the Commission to ensure the availability, standardisation and interoperability of information of all recipients of Union funds across all management modes, </w:t>
            </w:r>
            <w:r>
              <w:rPr>
                <w:b/>
                <w:i/>
              </w:rPr>
              <w:t>based on a common set of essential, standardised and interoperable information, building on existing systems and taking account of technical feasibility, data protection, fraud risks and administrative burden;</w:t>
            </w:r>
            <w:r>
              <w:t xml:space="preserve"> and to strengthen, in the context of the 2028–2034 MFF sectoral regulations, transparency and publication requirements for recipients, including contractors and subcontractors, with a view to improving fraud detection a public accountability;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Stresses that complaint - and intelligence-triggered detection </w:t>
            </w:r>
            <w:r>
              <w:rPr>
                <w:b/>
                <w:i/>
              </w:rPr>
              <w:t>-</w:t>
            </w:r>
            <w:r>
              <w:t xml:space="preserve"> depends on two structural conditions: first, that persons who report suspected fraud to AFA components are effectively protected against retaliation from the first submission; second, that information on recipients of Union funds is sufficiently standardised and accessible to facilitate scrutiny; reiterates, therefore, its call on the Commission to take action, including infringement proceedings where necessary, in </w:t>
            </w:r>
            <w:r>
              <w:rPr>
                <w:b/>
                <w:i/>
              </w:rPr>
              <w:t>case of fail of implementation of whistleblower protection</w:t>
            </w:r>
            <w:r>
              <w:t xml:space="preserve"> Directive (EU) 2019/1937</w:t>
            </w:r>
            <w:r>
              <w:rPr>
                <w:b/>
                <w:i/>
              </w:rPr>
              <w:t>,</w:t>
            </w:r>
            <w:r>
              <w:t xml:space="preserve"> recalls the important role of whistleblowers and investigative journalists in bringing suspected complex fraud to light;</w:t>
            </w:r>
          </w:p>
        </w:tc>
        <w:tc>
          <w:tcPr>
            <w:tcW w:w="4876" w:type="dxa"/>
            <w:tcBorders>
              <w:top w:val="nil"/>
              <w:left w:val="nil"/>
              <w:bottom w:val="nil"/>
              <w:right w:val="nil"/>
            </w:tcBorders>
          </w:tcPr>
          <w:p>
            <w:pPr>
              <w:pStyle w:val="Normal6a"/>
            </w:pPr>
            <w:r>
              <w:t>27.</w:t>
            </w:r>
            <w:r>
              <w:tab/>
            </w:r>
            <w:r>
              <w:t xml:space="preserve">Stresses that complaint- and intelligence-triggered detection depends on two structural conditions: first, that persons who report suspected fraud to AFA components are effectively protected against retaliation from the </w:t>
            </w:r>
            <w:r>
              <w:rPr>
                <w:b/>
                <w:i/>
              </w:rPr>
              <w:t>moment of their</w:t>
            </w:r>
            <w:r>
              <w:t xml:space="preserve"> first submission; second, that information on recipients of Union funds is sufficiently standardised and accessible to facilitate </w:t>
            </w:r>
            <w:r>
              <w:rPr>
                <w:b/>
                <w:i/>
              </w:rPr>
              <w:t>effective</w:t>
            </w:r>
            <w:r>
              <w:t xml:space="preserve"> scrutiny; reiterates, therefore, its call on the Commission to take </w:t>
            </w:r>
            <w:r>
              <w:rPr>
                <w:b/>
                <w:i/>
              </w:rPr>
              <w:t>appropriate</w:t>
            </w:r>
            <w:r>
              <w:t xml:space="preserve"> action, including infringement proceedings where necessary, in </w:t>
            </w:r>
            <w:r>
              <w:rPr>
                <w:b/>
                <w:i/>
              </w:rPr>
              <w:t>cases of failure to correctly implement</w:t>
            </w:r>
            <w:r>
              <w:t xml:space="preserve"> Directive (EU) 2019/1937 </w:t>
            </w:r>
            <w:r>
              <w:rPr>
                <w:b/>
                <w:i/>
              </w:rPr>
              <w:t>on the protection of persons who report breaches of Union law;</w:t>
            </w:r>
            <w:r>
              <w:t xml:space="preserve"> recalls the important role of whistleblowers and investigative journalists in bringing suspected complex fraud to light; </w:t>
            </w:r>
            <w:r>
              <w:rPr>
                <w:b/>
                <w:i/>
              </w:rPr>
              <w:t>calls on the Commission, at the same time, to ensure that appropriate safeguards and procedures are in place to prevent the deliberate misuse of whistleblower protection for malicious, knowingly false or abusive denunciations; emphasises that the presumption of innocence must be fully respected and that any reported allegation must be subject to a thorough, impartial and evidence-based assessment, in full compliance with rule-of-law standards, due process and procedural safeguards at all stages of the procedure.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Stresses </w:t>
            </w:r>
            <w:r>
              <w:rPr>
                <w:b/>
                <w:i/>
              </w:rPr>
              <w:t>that complaint - and intelligence-triggered</w:t>
            </w:r>
            <w:r>
              <w:t xml:space="preserve"> detection </w:t>
            </w:r>
            <w:r>
              <w:rPr>
                <w:b/>
                <w:i/>
              </w:rPr>
              <w:t>- depends on two structural conditions: first,</w:t>
            </w:r>
            <w:r>
              <w:t xml:space="preserve"> that persons </w:t>
            </w:r>
            <w:r>
              <w:rPr>
                <w:b/>
                <w:i/>
              </w:rPr>
              <w:t>who report</w:t>
            </w:r>
            <w:r>
              <w:t xml:space="preserve"> suspected fraud to AFA components </w:t>
            </w:r>
            <w:r>
              <w:rPr>
                <w:b/>
                <w:i/>
              </w:rPr>
              <w:t>are</w:t>
            </w:r>
            <w:r>
              <w:t xml:space="preserve"> effectively protected against retaliation from the first submission</w:t>
            </w:r>
            <w:r>
              <w:rPr>
                <w:b/>
                <w:i/>
              </w:rPr>
              <w:t>; second, that information on recipients of Union funds is sufficiently standardised and accessible to facilitate scrutiny;</w:t>
            </w:r>
            <w:r>
              <w:t xml:space="preserve"> reiterates</w:t>
            </w:r>
            <w:r>
              <w:rPr>
                <w:b/>
                <w:i/>
              </w:rPr>
              <w:t>, therefore</w:t>
            </w:r>
            <w:r>
              <w:t xml:space="preserve">, its call on the Commission to </w:t>
            </w:r>
            <w:r>
              <w:rPr>
                <w:b/>
                <w:i/>
              </w:rPr>
              <w:t>take action, including infringement proceedings where necessary, in case of fail of</w:t>
            </w:r>
            <w:r>
              <w:t xml:space="preserve"> implementation of whistleblower protection Directive (EU) 2019/1937, </w:t>
            </w:r>
            <w:r>
              <w:rPr>
                <w:b/>
                <w:i/>
              </w:rPr>
              <w:t>recalls the important role of whistleblowers and investigative journalists in bringing suspected complex fraud to light</w:t>
            </w:r>
            <w:r>
              <w:t>;</w:t>
            </w:r>
          </w:p>
        </w:tc>
        <w:tc>
          <w:tcPr>
            <w:tcW w:w="4876" w:type="dxa"/>
            <w:tcBorders>
              <w:top w:val="nil"/>
              <w:left w:val="nil"/>
              <w:bottom w:val="nil"/>
              <w:right w:val="nil"/>
            </w:tcBorders>
          </w:tcPr>
          <w:p>
            <w:pPr>
              <w:pStyle w:val="Normal6a"/>
            </w:pPr>
            <w:r>
              <w:t>27.</w:t>
            </w:r>
            <w:r>
              <w:tab/>
            </w:r>
            <w:r>
              <w:t xml:space="preserve">Stresses </w:t>
            </w:r>
            <w:r>
              <w:rPr>
                <w:b/>
                <w:i/>
              </w:rPr>
              <w:t>the essential contribution of whistleblowers and investigative journalists to the</w:t>
            </w:r>
            <w:r>
              <w:t xml:space="preserve"> detection </w:t>
            </w:r>
            <w:r>
              <w:rPr>
                <w:b/>
                <w:i/>
              </w:rPr>
              <w:t>of suspected fraud; considers</w:t>
            </w:r>
            <w:r>
              <w:t xml:space="preserve"> that persons </w:t>
            </w:r>
            <w:r>
              <w:rPr>
                <w:b/>
                <w:i/>
              </w:rPr>
              <w:t>reporting</w:t>
            </w:r>
            <w:r>
              <w:t xml:space="preserve"> suspected fraud to AFA components </w:t>
            </w:r>
            <w:r>
              <w:rPr>
                <w:b/>
                <w:i/>
              </w:rPr>
              <w:t>should be</w:t>
            </w:r>
            <w:r>
              <w:t xml:space="preserve"> effectively protected against retaliation from the first submission reiterates, its call on the Commission to </w:t>
            </w:r>
            <w:r>
              <w:rPr>
                <w:b/>
                <w:i/>
              </w:rPr>
              <w:t>ensure the effective</w:t>
            </w:r>
            <w:r>
              <w:t xml:space="preserve"> implementation </w:t>
            </w:r>
            <w:r>
              <w:rPr>
                <w:b/>
                <w:i/>
              </w:rPr>
              <w:t>and enforcement</w:t>
            </w:r>
            <w:r>
              <w:t xml:space="preserve"> of whistleblower protection Directive (EU) 2019/1937, </w:t>
            </w:r>
            <w:r>
              <w:rPr>
                <w:b/>
                <w:i/>
              </w:rPr>
              <w:t>including through infringements procedures where necessary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Stresses that complaint - and intelligence-triggered detection - depends on two structural conditions: first, that persons who report suspected fraud to AFA components are effectively protected against retaliation from the first submission; second, that information on recipients of Union funds is sufficiently standardised and accessible to facilitate scrutiny; reiterates, therefore, its call on the Commission to take action, including infringement proceedings where necessary, in case of fail of implementation of whistleblower protection Directive (EU) 2019/1937, recalls the important role of whistleblowers and investigative journalists in bringing suspected complex fraud to light;</w:t>
            </w:r>
          </w:p>
        </w:tc>
        <w:tc>
          <w:tcPr>
            <w:tcW w:w="4876" w:type="dxa"/>
            <w:tcBorders>
              <w:top w:val="nil"/>
              <w:left w:val="nil"/>
              <w:bottom w:val="nil"/>
              <w:right w:val="nil"/>
            </w:tcBorders>
          </w:tcPr>
          <w:p>
            <w:pPr>
              <w:pStyle w:val="Normal6a"/>
            </w:pPr>
            <w:r>
              <w:t>27.</w:t>
            </w:r>
            <w:r>
              <w:tab/>
            </w:r>
            <w:r>
              <w:t>Stresses that complaint - and intelligence-triggered detection - depends on two structural conditions: first, that persons who report suspected fraud to AFA components are effectively protected against retaliation from the first submission; second, that information on recipients of Union funds is sufficiently standardised and accessible to facilitate scrutiny; reiterates, therefore, its call on the Commission to take action, including infringement proceedings where necessary, in case of fail of implementation of whistleblower protection Directive (EU) 2019/1937</w:t>
            </w:r>
            <w:r>
              <w:rPr>
                <w:b/>
                <w:i/>
              </w:rPr>
              <w:t>; underlines</w:t>
            </w:r>
            <w:r>
              <w:t xml:space="preserve">, </w:t>
            </w:r>
            <w:r>
              <w:rPr>
                <w:b/>
                <w:i/>
              </w:rPr>
              <w:t>in this regard, the obligation of staff members of the EU institutions to report corruption, fraud and other serious irregularities discovered in the line of duty, but regrets that the institutions’ whistleblowing rules, in particular those of the European Parliament, are still not aligned to Directive (EU) 2019/1937;</w:t>
            </w:r>
            <w:r>
              <w:t xml:space="preserve"> recalls the important role of whistleblowers and investigative journalists in bringing suspected complex fraud to light;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Stresses that complaint - and intelligence-triggered detection - depends on two structural conditions: first, that persons who report suspected fraud to AFA components are effectively protected against retaliation from the first submission; second, that information on recipients of Union funds is sufficiently standardised and accessible to facilitate scrutiny; reiterates, therefore, its call on the Commission to take action, including infringement proceedings where necessary, in case of </w:t>
            </w:r>
            <w:r>
              <w:rPr>
                <w:b/>
                <w:i/>
              </w:rPr>
              <w:t>fail of implementation of whistleblower protection</w:t>
            </w:r>
            <w:r>
              <w:t xml:space="preserve"> Directive (EU) 2019/1937</w:t>
            </w:r>
            <w:r>
              <w:rPr>
                <w:b/>
                <w:i/>
              </w:rPr>
              <w:t>,</w:t>
            </w:r>
            <w:r>
              <w:t xml:space="preserve"> recalls the important role of whistleblowers and investigative journalists in bringing suspected complex fraud to light;</w:t>
            </w:r>
          </w:p>
        </w:tc>
        <w:tc>
          <w:tcPr>
            <w:tcW w:w="4876" w:type="dxa"/>
            <w:tcBorders>
              <w:top w:val="nil"/>
              <w:left w:val="nil"/>
              <w:bottom w:val="nil"/>
              <w:right w:val="nil"/>
            </w:tcBorders>
          </w:tcPr>
          <w:p>
            <w:pPr>
              <w:pStyle w:val="Normal6a"/>
            </w:pPr>
            <w:r>
              <w:t>27.</w:t>
            </w:r>
            <w:r>
              <w:tab/>
            </w:r>
            <w:r>
              <w:t xml:space="preserve">Stresses that complaint - and intelligence-triggered detection - depends on two structural conditions: first, that persons who report suspected fraud to AFA components are effectively protected against retaliation from the first submission; second, that information on recipients of Union funds is sufficiently standardised and accessible to facilitate scrutiny; reiterates, therefore, its call on the Commission to take action, including infringement proceedings where necessary, in case of </w:t>
            </w:r>
            <w:r>
              <w:rPr>
                <w:b/>
                <w:i/>
              </w:rPr>
              <w:t>failure to implement</w:t>
            </w:r>
            <w:r>
              <w:t xml:space="preserve"> Directive (EU) 2019/1937 </w:t>
            </w:r>
            <w:r>
              <w:rPr>
                <w:b/>
                <w:i/>
              </w:rPr>
              <w:t>on whistleblower protection;</w:t>
            </w:r>
            <w:r>
              <w:t xml:space="preserve"> recalls the important role of </w:t>
            </w:r>
            <w:r>
              <w:rPr>
                <w:b/>
                <w:i/>
              </w:rPr>
              <w:t>civil society organisations,</w:t>
            </w:r>
            <w:r>
              <w:t xml:space="preserve"> whistleblowers and </w:t>
            </w:r>
            <w:r>
              <w:rPr>
                <w:b/>
                <w:i/>
              </w:rPr>
              <w:t>free, pluralistic and independent media and press, including</w:t>
            </w:r>
            <w:r>
              <w:t xml:space="preserve"> investigative journalists</w:t>
            </w:r>
            <w:r>
              <w:rPr>
                <w:b/>
                <w:i/>
              </w:rPr>
              <w:t>,</w:t>
            </w:r>
            <w:r>
              <w:t xml:space="preserve"> in bringing suspected complex fraud to light;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Ondřej Knotek, Virginie Joron,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Stresses that complaint - and intelligence-triggered detection - depends on two structural conditions: first, that persons who report suspected fraud to AFA components are effectively protected against retaliation from the first submission; second, that information on recipients of Union funds is sufficiently standardised and accessible to facilitate scrutiny; reiterates, therefore, its call on the Commission to take action, including infringement proceedings where necessary, in case of fail of implementation of whistleblower protection Directive (EU) 2019/1937, recalls the important role of whistleblowers and investigative journalists in bringing suspected complex fraud to light;</w:t>
            </w:r>
          </w:p>
        </w:tc>
        <w:tc>
          <w:tcPr>
            <w:tcW w:w="4876" w:type="dxa"/>
            <w:tcBorders>
              <w:top w:val="nil"/>
              <w:left w:val="nil"/>
              <w:bottom w:val="nil"/>
              <w:right w:val="nil"/>
            </w:tcBorders>
          </w:tcPr>
          <w:p>
            <w:pPr>
              <w:pStyle w:val="Normal6a"/>
            </w:pPr>
            <w:r>
              <w:t>27.</w:t>
            </w:r>
            <w:r>
              <w:tab/>
            </w:r>
            <w:r>
              <w:t xml:space="preserve">Stresses that complaint - and intelligence-triggered detection - depends on two structural conditions: first, that persons who report suspected fraud to AFA components are effectively protected against retaliation from the first submission; second, that information on recipients of Union funds is sufficiently standardised and accessible to facilitate scrutiny; reiterates, therefore, its call on the Commission to take action, including infringement proceedings where necessary, in case of fail of implementation of whistleblower protection Directive (EU) 2019/1937, recalls the important role of whistleblowers and investigative journalists </w:t>
            </w:r>
            <w:r>
              <w:rPr>
                <w:b/>
                <w:i/>
              </w:rPr>
              <w:t>as well as auditors</w:t>
            </w:r>
            <w:r>
              <w:t xml:space="preserve"> in bringing suspected complex fraud to light;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 – subparagraph 1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Stresses that protection should apply from the moment a report is submitted, irrespective of whether the information subsequently leads to an investigation, referral or dismissal; calls for secure reporting channels to preserve confidentiality and, where legally possible, the identity of the reporting person throughout the handling of the information;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Calls on the Commission to analyse significant disparities in the levels of fraud reported across the Union and, where under-reporting is identified, to investigate its causes and provide guidance to Member States and Union bodies on reporting practices;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rPr>
                <w:b/>
                <w:i/>
              </w:rPr>
              <w:t>Calls on</w:t>
            </w:r>
            <w:r>
              <w:t xml:space="preserve"> all Member States that have not yet done so to adopt a comprehensive National Anti-Fraud Strategy (NAFS); calls on the Commission to promote and incentivise the adoption and regular updating of NAFSs;</w:t>
            </w:r>
          </w:p>
        </w:tc>
        <w:tc>
          <w:tcPr>
            <w:tcW w:w="4876" w:type="dxa"/>
            <w:tcBorders>
              <w:top w:val="nil"/>
              <w:left w:val="nil"/>
              <w:bottom w:val="nil"/>
              <w:right w:val="nil"/>
            </w:tcBorders>
          </w:tcPr>
          <w:p>
            <w:pPr>
              <w:pStyle w:val="Normal6a"/>
            </w:pPr>
            <w:r>
              <w:t>28.</w:t>
            </w:r>
            <w:r>
              <w:tab/>
            </w:r>
            <w:r>
              <w:rPr>
                <w:b/>
                <w:i/>
              </w:rPr>
              <w:t>Urges</w:t>
            </w:r>
            <w:r>
              <w:t xml:space="preserve"> all Member States that have not yet done so</w:t>
            </w:r>
            <w:r>
              <w:rPr>
                <w:b/>
                <w:i/>
              </w:rPr>
              <w:t>,</w:t>
            </w:r>
            <w:r>
              <w:t xml:space="preserve"> to adopt a comprehensive National Anti-Fraud Strategy (NAFS) </w:t>
            </w:r>
            <w:r>
              <w:rPr>
                <w:b/>
                <w:i/>
              </w:rPr>
              <w:t>covering both the expenditure and revenue sides of the Union Budget and the full anti-fraud cycle</w:t>
            </w:r>
            <w:r>
              <w:t>; calls on the Commission to promote and incentivise the adoption and regular updating of NAFSs</w:t>
            </w:r>
            <w:r>
              <w:rPr>
                <w:b/>
                <w:i/>
              </w:rPr>
              <w:t>, ensuring that they include periodic fraud-risk assessments, clear objectives, a clear allocation of responsibilities among the competent authorities, timelines and measurable indicators to assess their implementation and effectiveness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Calls on all Member States that have not yet done so to adopt a comprehensive National Anti-Fraud Strategy (NAFS); calls on the Commission to promote and incentivise the adoption and regular updating of NAFSs;</w:t>
            </w:r>
          </w:p>
        </w:tc>
        <w:tc>
          <w:tcPr>
            <w:tcW w:w="4876" w:type="dxa"/>
            <w:tcBorders>
              <w:top w:val="nil"/>
              <w:left w:val="nil"/>
              <w:bottom w:val="nil"/>
              <w:right w:val="nil"/>
            </w:tcBorders>
          </w:tcPr>
          <w:p>
            <w:pPr>
              <w:pStyle w:val="Normal6a"/>
            </w:pPr>
            <w:r>
              <w:t>28.</w:t>
            </w:r>
            <w:r>
              <w:tab/>
            </w:r>
            <w:r>
              <w:t>Calls on all Member States that have not yet done so to adopt a comprehensive National Anti-Fraud Strategy (NAFS); calls on the Commission to promote and incentivise the adoption and regular updating of NAFSs</w:t>
            </w:r>
            <w:r>
              <w:rPr>
                <w:b/>
                <w:i/>
              </w:rPr>
              <w:t>, providing a definition and clear guidelines on how NAFS should be drafted and established</w:t>
            </w:r>
            <w:r>
              <w:t xml:space="preserve">; </w:t>
            </w:r>
            <w:r>
              <w:rPr>
                <w:b/>
                <w:i/>
              </w:rPr>
              <w:t>invites to explore the possibility to make the establishment of NAFS as a precondition for Members States to receive any type of fund in the next MFF;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rPr>
                <w:b/>
                <w:i/>
              </w:rPr>
              <w:t>Calls on all Member States that have not yet done so to adopt</w:t>
            </w:r>
            <w:r>
              <w:t xml:space="preserve"> a comprehensive National Anti-Fraud Strategy (NAFS); calls on the Commission to promote and incentivise the adoption and regular updating of NAFSs;</w:t>
            </w:r>
          </w:p>
        </w:tc>
        <w:tc>
          <w:tcPr>
            <w:tcW w:w="4876" w:type="dxa"/>
            <w:tcBorders>
              <w:top w:val="nil"/>
              <w:left w:val="nil"/>
              <w:bottom w:val="nil"/>
              <w:right w:val="nil"/>
            </w:tcBorders>
          </w:tcPr>
          <w:p>
            <w:pPr>
              <w:pStyle w:val="Normal6a"/>
            </w:pPr>
            <w:r>
              <w:t>28.</w:t>
            </w:r>
            <w:r>
              <w:tab/>
            </w:r>
            <w:r>
              <w:rPr>
                <w:b/>
                <w:i/>
              </w:rPr>
              <w:t>Reiterates that access to EU funding should be made conditional on the full transposition and correct application of the EU acquis on the protection of the Union’s financial interests; considers that</w:t>
            </w:r>
            <w:r>
              <w:t xml:space="preserve"> a comprehensive National Anti-Fraud Strategy (NAFS) </w:t>
            </w:r>
            <w:r>
              <w:rPr>
                <w:b/>
                <w:i/>
              </w:rPr>
              <w:t>should form an integral part of the national and regional partnership plans</w:t>
            </w:r>
            <w:r>
              <w:t>; calls on the Commission to promote and incentivise the adoption and regular updating of NAFSs;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28 – subparagraph 1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Calls on the Commission and the Member States to strengthen the prevention, detection and management of conflicts of interest affecting Union-funded programmes, including through appropriate risk-based checks, declarations of interests, beneficial ownership information and data-driven cross-checks, while ensuring proportionality and respect for applicable data-protection rules;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Considers that the AFA requires, in addition to operational components, a dedicated intelligence and strategic analysis layer producing aggregated threat assessments, fraud typologies, risk indicators and pattern intelligence; notes that Eurofisc, the AMLA/FIU network and AFIS fulfil this function without a legally formalised coordination mechanism; calls on the Commission to strengthen coordination within this layer, </w:t>
            </w:r>
            <w:r>
              <w:rPr>
                <w:b/>
                <w:i/>
              </w:rPr>
              <w:t>including</w:t>
            </w:r>
            <w:r>
              <w:t xml:space="preserve"> appropriate mechanisms for sharing strategic intelligence relevant to PIF offences;</w:t>
            </w:r>
          </w:p>
        </w:tc>
        <w:tc>
          <w:tcPr>
            <w:tcW w:w="4876" w:type="dxa"/>
            <w:tcBorders>
              <w:top w:val="nil"/>
              <w:left w:val="nil"/>
              <w:bottom w:val="nil"/>
              <w:right w:val="nil"/>
            </w:tcBorders>
          </w:tcPr>
          <w:p>
            <w:pPr>
              <w:pStyle w:val="Normal6a"/>
            </w:pPr>
            <w:r>
              <w:t>29.</w:t>
            </w:r>
            <w:r>
              <w:tab/>
            </w:r>
            <w:r>
              <w:t xml:space="preserve">Considers that the AFA requires, in addition to operational components, a dedicated intelligence and strategic analysis layer producing aggregated threat assessments, fraud typologies, risk indicators and pattern intelligence; notes that </w:t>
            </w:r>
            <w:r>
              <w:rPr>
                <w:b/>
                <w:i/>
              </w:rPr>
              <w:t>relevant intelligence is currently dispersed across different actors and systems; notes that</w:t>
            </w:r>
            <w:r>
              <w:t xml:space="preserve"> Eurofisc, the AMLA/FIU network and AFIS fulfil this function without a legally formalised coordination mechanism; calls on the Commission to strengthen coordination within this layer, </w:t>
            </w:r>
            <w:r>
              <w:rPr>
                <w:b/>
                <w:i/>
              </w:rPr>
              <w:t>and establish</w:t>
            </w:r>
            <w:r>
              <w:t xml:space="preserve"> appropriate mechanisms for sharing strategic intelligence relevant to PIF offences; </w:t>
            </w:r>
            <w:r>
              <w:rPr>
                <w:b/>
                <w:i/>
              </w:rPr>
              <w:t>stresses the important role of the AFCOS in this strategic intelligence layer, within their respective mandates, by contributing information on emerging fraud risks and systemic vulnerabilities identified at national level;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Considers that the AFA requires, in addition to operational components, a dedicated intelligence and strategic analysis layer producing aggregated threat assessments, fraud typologies, risk indicators and pattern intelligence; notes that Eurofisc, the AMLA/FIU network and AFIS fulfil this function without a legally formalised coordination mechanism; calls on the Commission to strengthen coordination within this layer, including appropriate mechanisms for sharing strategic intelligence relevant to PIF offences;</w:t>
            </w:r>
          </w:p>
        </w:tc>
        <w:tc>
          <w:tcPr>
            <w:tcW w:w="4876" w:type="dxa"/>
            <w:tcBorders>
              <w:top w:val="nil"/>
              <w:left w:val="nil"/>
              <w:bottom w:val="nil"/>
              <w:right w:val="nil"/>
            </w:tcBorders>
          </w:tcPr>
          <w:p>
            <w:pPr>
              <w:pStyle w:val="Normal6a"/>
            </w:pPr>
            <w:r>
              <w:t>29.</w:t>
            </w:r>
            <w:r>
              <w:tab/>
            </w:r>
            <w:r>
              <w:t xml:space="preserve">Considers that the AFA requires, in addition to operational components, a dedicated intelligence and strategic analysis layer producing aggregated threat assessments, fraud typologies, risk indicators and pattern intelligence; notes that Eurofisc, the AMLA/FIU network and AFIS fulfil this function without a legally formalised coordination mechanism; calls on the Commission to strengthen coordination within this layer, including appropriate mechanisms for sharing strategic intelligence relevant to PIF offences; </w:t>
            </w:r>
            <w:r>
              <w:rPr>
                <w:b/>
                <w:i/>
              </w:rPr>
              <w:t>calls, in this context, for appropriate mechanisms for the timely exchange of relevant financial intelligence between OLAF, EPPO, FIUs and AMLA, within their respective mandates;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Reiterates that all procedures should respect the principle of proportionality; calls on the Commission to clarify appropriate minimum thresholds and establish mechanisms to ensure that investigative tools and staff resources are used effectively and proportionately, with priority given to serious offences involving significant financial damage to the Union budget.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Underlines the role of Europol and Eurojust in cross-border PIF cases, in particular VAT fraud involving organised crime; calls for full use of EPPO's cooperation with both bodies under Articles 100 and 102 of Regulation (EU) 2017/1939, including joint investigation teams and Europol's analytical support;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29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29b.</w:t>
            </w:r>
            <w:r>
              <w:tab/>
            </w:r>
            <w:r>
              <w:rPr>
                <w:b/>
                <w:i/>
              </w:rPr>
              <w:t>Welcomes the establishment of AMLA; calls for structured cooperation between AMLA, the financial intelligence units, EPPO and OLAF, so that financial intelligence relevant to PIF offences, including on beneficial ownership, reaches the competent AFA components without delay;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Calls on the Commission to establish a common AI governance framework for AFA tools, comprising mandatory human oversight of AI-generated alerts before investigative or administrative consequences follow, explainability requirements, bias auditing, alignment with the AI Act for high-risk systems, and automatic event-logging for retrospective audit;</w:t>
            </w:r>
          </w:p>
        </w:tc>
        <w:tc>
          <w:tcPr>
            <w:tcW w:w="4876" w:type="dxa"/>
            <w:tcBorders>
              <w:top w:val="nil"/>
              <w:left w:val="nil"/>
              <w:bottom w:val="nil"/>
              <w:right w:val="nil"/>
            </w:tcBorders>
          </w:tcPr>
          <w:p>
            <w:pPr>
              <w:pStyle w:val="Normal6a"/>
            </w:pPr>
            <w:r>
              <w:t>30.</w:t>
            </w:r>
            <w:r>
              <w:tab/>
            </w:r>
            <w:r>
              <w:t xml:space="preserve">Calls on the Commission to establish a common AI governance framework for AFA tools, comprising mandatory human oversight of AI-generated alerts before investigative or administrative consequences follow, explainability requirements, bias auditing, alignment with the AI Act for high-risk systems, and automatic event-logging for retrospective audit; </w:t>
            </w:r>
            <w:r>
              <w:rPr>
                <w:b/>
                <w:i/>
              </w:rPr>
              <w:t>calls on the Commission to assess whether the ARACHNE system should be adapted or replaced by a modern AI-based system, where appropriate.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Calls on the Commission to </w:t>
            </w:r>
            <w:r>
              <w:rPr>
                <w:b/>
                <w:i/>
              </w:rPr>
              <w:t>establish a common AI governance framework for</w:t>
            </w:r>
            <w:r>
              <w:t xml:space="preserve"> AFA tools</w:t>
            </w:r>
            <w:r>
              <w:rPr>
                <w:b/>
                <w:i/>
              </w:rPr>
              <w:t>, comprising</w:t>
            </w:r>
            <w:r>
              <w:t xml:space="preserve"> mandatory human oversight </w:t>
            </w:r>
            <w:r>
              <w:rPr>
                <w:b/>
                <w:i/>
              </w:rPr>
              <w:t>of</w:t>
            </w:r>
            <w:r>
              <w:t xml:space="preserve"> AI-generated alerts </w:t>
            </w:r>
            <w:r>
              <w:rPr>
                <w:b/>
                <w:i/>
              </w:rPr>
              <w:t>before</w:t>
            </w:r>
            <w:r>
              <w:t xml:space="preserve"> investigative or administrative </w:t>
            </w:r>
            <w:r>
              <w:rPr>
                <w:b/>
                <w:i/>
              </w:rPr>
              <w:t>consequences follow, explainability requirements</w:t>
            </w:r>
            <w:r>
              <w:t xml:space="preserve">, </w:t>
            </w:r>
            <w:r>
              <w:rPr>
                <w:b/>
                <w:i/>
              </w:rPr>
              <w:t>bias auditing, alignment</w:t>
            </w:r>
            <w:r>
              <w:t xml:space="preserve"> with the AI Act </w:t>
            </w:r>
            <w:r>
              <w:rPr>
                <w:b/>
                <w:i/>
              </w:rPr>
              <w:t>for high-risk systems, and automatic event-logging for retrospective audit</w:t>
            </w:r>
            <w:r>
              <w:t>;</w:t>
            </w:r>
          </w:p>
        </w:tc>
        <w:tc>
          <w:tcPr>
            <w:tcW w:w="4876" w:type="dxa"/>
            <w:tcBorders>
              <w:top w:val="nil"/>
              <w:left w:val="nil"/>
              <w:bottom w:val="nil"/>
              <w:right w:val="nil"/>
            </w:tcBorders>
          </w:tcPr>
          <w:p>
            <w:pPr>
              <w:pStyle w:val="Normal6a"/>
            </w:pPr>
            <w:r>
              <w:t>30.</w:t>
            </w:r>
            <w:r>
              <w:tab/>
            </w:r>
            <w:r>
              <w:t xml:space="preserve">Calls on the Commission to </w:t>
            </w:r>
            <w:r>
              <w:rPr>
                <w:b/>
                <w:i/>
              </w:rPr>
              <w:t>ensure that the use of AI within</w:t>
            </w:r>
            <w:r>
              <w:t xml:space="preserve"> AFA tools </w:t>
            </w:r>
            <w:r>
              <w:rPr>
                <w:b/>
                <w:i/>
              </w:rPr>
              <w:t>is subject to appropriate safeguards, including</w:t>
            </w:r>
            <w:r>
              <w:t xml:space="preserve"> mandatory human oversight </w:t>
            </w:r>
            <w:r>
              <w:rPr>
                <w:b/>
                <w:i/>
              </w:rPr>
              <w:t>before</w:t>
            </w:r>
            <w:r>
              <w:t xml:space="preserve"> AI-generated alerts </w:t>
            </w:r>
            <w:r>
              <w:rPr>
                <w:b/>
                <w:i/>
              </w:rPr>
              <w:t>lead to</w:t>
            </w:r>
            <w:r>
              <w:t xml:space="preserve"> investigative or administrative </w:t>
            </w:r>
            <w:r>
              <w:rPr>
                <w:b/>
                <w:i/>
              </w:rPr>
              <w:t>actions, as well as transparency on how such alerts are generated</w:t>
            </w:r>
            <w:r>
              <w:t xml:space="preserve">, </w:t>
            </w:r>
            <w:r>
              <w:rPr>
                <w:b/>
                <w:i/>
              </w:rPr>
              <w:t>and the measures in place to prevent bias and ensure traceability, in accordance</w:t>
            </w:r>
            <w:r>
              <w:t xml:space="preserve"> with the AI Act;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30 – subparagraph 1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Calls on the Commission and the relevant AFA components to explore and develop, in a safe, responsible and risk-based manner, innovative applications of artificial intelligence and advanced analytical tools for the evaluation and analysis of information relevant to the protection of the Union’s financial interests, including the identification of patterns, anomalies, links between entities and transactions, emerging fraud typologies and potential risks; stresses that such tools should support, and not replace, human assessment and decision-making, and should be developed and deployed in accordance with applicable Union law, including requirements concerning data protection, fundamental rights, confidentiality, cybersecurity and human oversight;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Maintains that Member States share responsibility to counter fraud at all stages, and that the AFA’s relationship with Member States must be framed as a structured partnership, not supervision; recalls that strengthening AFCOS is important to enhance national anti-fraud capacity and cooperation with the relevant the AFA components;</w:t>
            </w:r>
          </w:p>
        </w:tc>
        <w:tc>
          <w:tcPr>
            <w:tcW w:w="4876" w:type="dxa"/>
            <w:tcBorders>
              <w:top w:val="nil"/>
              <w:left w:val="nil"/>
              <w:bottom w:val="nil"/>
              <w:right w:val="nil"/>
            </w:tcBorders>
          </w:tcPr>
          <w:p>
            <w:pPr>
              <w:pStyle w:val="Normal6a"/>
            </w:pPr>
            <w:r>
              <w:t>31.</w:t>
            </w:r>
            <w:r>
              <w:tab/>
            </w:r>
            <w:r>
              <w:t xml:space="preserve">Maintains that Member States share responsibility to counter fraud at all stages, and that the AFA’s relationship with Member States must be framed as a structured partnership, not supervision; recalls that strengthening AFCOS is important to enhance national anti-fraud capacity and cooperation with the relevant the AFA components; </w:t>
            </w:r>
            <w:r>
              <w:rPr>
                <w:b/>
                <w:i/>
              </w:rPr>
              <w:t>stresses the disparities between Member States regarding AFCOS’ mandates, resources and operational capacities; calls on the Commission, in the context of the revision of the OLAF Regulation, to clarify and strengthen their coordination role; calls on Member States to ensure that AFCOS have a clear mandate and adequate resources to effectively perform their tasks; considers that AFCOS should facilitate cooperation between national authorities involved in protecting the Union’s financial interests; encourages Member States to strengthen national anti-fraud networks involving AFCOS, in order to improve information-sharing and coordination throughout the anti-fraud cycle;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Maintains that Member States share responsibility to counter fraud at all stages, and that the AFA’s relationship with Member States must be framed as a structured partnership, not supervision; recalls that strengthening AFCOS is important to enhance national anti-fraud capacity and cooperation with the relevant </w:t>
            </w:r>
            <w:r>
              <w:rPr>
                <w:b/>
                <w:i/>
              </w:rPr>
              <w:t>the</w:t>
            </w:r>
            <w:r>
              <w:t xml:space="preserve"> AFA components;</w:t>
            </w:r>
          </w:p>
        </w:tc>
        <w:tc>
          <w:tcPr>
            <w:tcW w:w="4876" w:type="dxa"/>
            <w:tcBorders>
              <w:top w:val="nil"/>
              <w:left w:val="nil"/>
              <w:bottom w:val="nil"/>
              <w:right w:val="nil"/>
            </w:tcBorders>
          </w:tcPr>
          <w:p>
            <w:pPr>
              <w:pStyle w:val="Normal6a"/>
            </w:pPr>
            <w:r>
              <w:t>31.</w:t>
            </w:r>
            <w:r>
              <w:tab/>
            </w:r>
            <w:r>
              <w:t>Maintains that Member States share responsibility to counter fraud at all stages, and that the AFA’s relationship with Member States must be framed as a structured partnership, not supervision</w:t>
            </w:r>
            <w:r>
              <w:rPr>
                <w:b/>
                <w:i/>
              </w:rPr>
              <w:t>, based on reinforced cooperation, timely and reciprocal information-sharing and appropriate coordination between the competent national authorities and relevant AFA components, while fully respecting national competences and responsibilities for enforcement</w:t>
            </w:r>
            <w:r>
              <w:t>; recalls that strengthening AFCOS is important to enhance national anti-fraud capacity and cooperation with the relevant AFA components;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Ondřej Knotek,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Maintains that Member States share responsibility to counter fraud at all stages, and that the AFA’s relationship with Member States must be framed as a structured partnership, not supervision; recalls that strengthening AFCOS is important to enhance national anti-fraud capacity and cooperation with the relevant the AFA components;</w:t>
            </w:r>
          </w:p>
        </w:tc>
        <w:tc>
          <w:tcPr>
            <w:tcW w:w="4876" w:type="dxa"/>
            <w:tcBorders>
              <w:top w:val="nil"/>
              <w:left w:val="nil"/>
              <w:bottom w:val="nil"/>
              <w:right w:val="nil"/>
            </w:tcBorders>
          </w:tcPr>
          <w:p>
            <w:pPr>
              <w:pStyle w:val="Normal6a"/>
            </w:pPr>
            <w:r>
              <w:t>31.</w:t>
            </w:r>
            <w:r>
              <w:tab/>
            </w:r>
            <w:r>
              <w:t xml:space="preserve">Maintains that Member States share responsibility to counter fraud at all stages, and that the AFA’s relationship with Member States must be framed as a structured partnership, </w:t>
            </w:r>
            <w:r>
              <w:rPr>
                <w:b/>
                <w:i/>
              </w:rPr>
              <w:t>reflecting their respective responsibilities and the Commission’s responsibilities for budget implementation and oversight under applicable Union law;</w:t>
            </w:r>
            <w:r>
              <w:t xml:space="preserve"> not supervision; recalls that strengthening AFCOS is important to enhance national anti-fraud capacity and cooperation with the relevant the AFA components;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31 – subparagraph 1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Stresses that AFCOS should have sufficient operational capacity, expertise, access to relevant information and appropriate safeguards for functional independence to fulfil their coordination and anti-fraud responsibilities effectively; calls on the Commission to develop minimum standards for AFCOS, while respecting the institutional arrangements of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Ondřej Knotek,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Notes that EU funds are increasingly implemented in or through third countries; calls on the Commission to ensure that appropriate anti-fraud safeguards, including effective access to information and cooperation for relevant AFA components are incorporated into external funding instruments; calls for effective cooperation with EPPO to further developed with candidate countries in the context of accession negotiations;</w:t>
            </w:r>
          </w:p>
        </w:tc>
        <w:tc>
          <w:tcPr>
            <w:tcW w:w="4876" w:type="dxa"/>
            <w:tcBorders>
              <w:top w:val="nil"/>
              <w:left w:val="nil"/>
              <w:bottom w:val="nil"/>
              <w:right w:val="nil"/>
            </w:tcBorders>
          </w:tcPr>
          <w:p>
            <w:pPr>
              <w:pStyle w:val="Normal6a"/>
            </w:pPr>
            <w:r>
              <w:t>32.</w:t>
            </w:r>
            <w:r>
              <w:tab/>
            </w:r>
            <w:r>
              <w:t xml:space="preserve">Notes that EU funds are increasingly implemented in or through third countries; calls on the Commission to ensure that appropriate anti-fraud safeguards, including effective access to information and cooperation for relevant AFA components are incorporated into external funding instruments; </w:t>
            </w:r>
            <w:r>
              <w:rPr>
                <w:b/>
                <w:i/>
              </w:rPr>
              <w:t>stresses that such cooperation must include robust confidentiality and information-security safeguards;</w:t>
            </w:r>
            <w:r>
              <w:t xml:space="preserve"> calls for effective cooperation with EPPO to further developed with candidate countries in the context of accession negotiations;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rPr>
                <w:b/>
                <w:i/>
              </w:rPr>
              <w:t>Affirms</w:t>
            </w:r>
            <w:r>
              <w:t xml:space="preserve"> that recovery of funds lost to fraud or irregularity is a </w:t>
            </w:r>
            <w:r>
              <w:rPr>
                <w:b/>
                <w:i/>
              </w:rPr>
              <w:t>key measure of AFA's effectiveness and should be assessed against the amounts recovered relative to the amounts at risk; stresses that recovery</w:t>
            </w:r>
            <w:r>
              <w:t xml:space="preserve"> outcomes must be considered alongside other indicators of effectiveness, </w:t>
            </w:r>
            <w:r>
              <w:rPr>
                <w:b/>
                <w:i/>
              </w:rPr>
              <w:t>including</w:t>
            </w:r>
            <w:r>
              <w:t xml:space="preserve"> prevention, detection, investigations and prosecutions</w:t>
            </w:r>
            <w:r>
              <w:rPr>
                <w:b/>
                <w:i/>
              </w:rPr>
              <w:t>, rather than relying on process indicators alone, such as the number of investigations opened or indictments issued</w:t>
            </w:r>
            <w:r>
              <w:t>;</w:t>
            </w:r>
          </w:p>
        </w:tc>
        <w:tc>
          <w:tcPr>
            <w:tcW w:w="4876" w:type="dxa"/>
            <w:tcBorders>
              <w:top w:val="nil"/>
              <w:left w:val="nil"/>
              <w:bottom w:val="nil"/>
              <w:right w:val="nil"/>
            </w:tcBorders>
          </w:tcPr>
          <w:p>
            <w:pPr>
              <w:pStyle w:val="Normal6a"/>
            </w:pPr>
            <w:r>
              <w:t>33.</w:t>
            </w:r>
            <w:r>
              <w:tab/>
            </w:r>
            <w:r>
              <w:rPr>
                <w:b/>
                <w:i/>
              </w:rPr>
              <w:t>Stresses</w:t>
            </w:r>
            <w:r>
              <w:t xml:space="preserve"> that recovery of funds lost to fraud or irregularity is a </w:t>
            </w:r>
            <w:r>
              <w:rPr>
                <w:b/>
                <w:i/>
              </w:rPr>
              <w:t>vital fiscal objective and</w:t>
            </w:r>
            <w:r>
              <w:t xml:space="preserve"> outcomes must be considered alongside other indicators of effectiveness, </w:t>
            </w:r>
            <w:r>
              <w:rPr>
                <w:b/>
                <w:i/>
              </w:rPr>
              <w:t>such as</w:t>
            </w:r>
            <w:r>
              <w:t xml:space="preserve"> prevention, detection, investigations and prosecutions</w:t>
            </w:r>
            <w:r>
              <w:rPr>
                <w:b/>
                <w:i/>
              </w:rPr>
              <w:t>; warns, however, that the recovery rate should never be considered the primary metric for measuring the AFA's effectiveness, since this could distort prosecutorial incentives as well as undermine long-term protection of the EU budget by undervaluing prevention and other outcomes not captured by recovery rates, including the long-term value of disrupting the business models of organised crime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rPr>
                <w:b/>
                <w:i/>
              </w:rPr>
              <w:t>Affirms</w:t>
            </w:r>
            <w:r>
              <w:t xml:space="preserve"> that recovery of funds lost to fraud or irregularity is a key measure of AFA's effectiveness and should be assessed against the amounts recovered relative to the amounts at risk; stresses that recovery outcomes must be considered alongside other indicators of effectiveness, including prevention, detection, investigations and prosecutions, rather than relying on process indicators alone, such as the number of investigations opened or indictments issued;</w:t>
            </w:r>
          </w:p>
        </w:tc>
        <w:tc>
          <w:tcPr>
            <w:tcW w:w="4876" w:type="dxa"/>
            <w:tcBorders>
              <w:top w:val="nil"/>
              <w:left w:val="nil"/>
              <w:bottom w:val="nil"/>
              <w:right w:val="nil"/>
            </w:tcBorders>
          </w:tcPr>
          <w:p>
            <w:pPr>
              <w:pStyle w:val="Normal6a"/>
            </w:pPr>
            <w:r>
              <w:t>33.</w:t>
            </w:r>
            <w:r>
              <w:tab/>
            </w:r>
            <w:r>
              <w:rPr>
                <w:b/>
                <w:i/>
              </w:rPr>
              <w:t>Considers</w:t>
            </w:r>
            <w:r>
              <w:t xml:space="preserve"> that recovery of funds lost to fraud or irregularity is a key measure of </w:t>
            </w:r>
            <w:r>
              <w:rPr>
                <w:b/>
                <w:i/>
              </w:rPr>
              <w:t>the</w:t>
            </w:r>
            <w:r>
              <w:t xml:space="preserve"> AFA's effectiveness and should be assessed against the amounts recovered relative to the amounts at risk</w:t>
            </w:r>
            <w:r>
              <w:rPr>
                <w:b/>
                <w:i/>
              </w:rPr>
              <w:t>, while factoring in the central role of national authorities and the Commission in the recovery of funds</w:t>
            </w:r>
            <w:r>
              <w:t>; stresses that recovery outcomes must be considered alongside other indicators of effectiveness, including prevention, detection, investigations and prosecutions, rather than relying on process indicators alone, such as the number of investigations opened or indictments issued;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Affirms that recovery of funds lost to fraud or irregularity is a key measure of </w:t>
            </w:r>
            <w:r>
              <w:rPr>
                <w:b/>
                <w:i/>
              </w:rPr>
              <w:t>AFA's</w:t>
            </w:r>
            <w:r>
              <w:t xml:space="preserve"> effectiveness and should be assessed against the amounts recovered relative to the amounts at risk; stresses that recovery outcomes must be considered alongside other indicators of effectiveness, including prevention, detection, investigations and prosecutions, rather than relying on process indicators alone, such as the number of investigations opened or indictments issued;</w:t>
            </w:r>
          </w:p>
        </w:tc>
        <w:tc>
          <w:tcPr>
            <w:tcW w:w="4876" w:type="dxa"/>
            <w:tcBorders>
              <w:top w:val="nil"/>
              <w:left w:val="nil"/>
              <w:bottom w:val="nil"/>
              <w:right w:val="nil"/>
            </w:tcBorders>
          </w:tcPr>
          <w:p>
            <w:pPr>
              <w:pStyle w:val="Normal6a"/>
            </w:pPr>
            <w:r>
              <w:t>33.</w:t>
            </w:r>
            <w:r>
              <w:tab/>
            </w:r>
            <w:r>
              <w:t xml:space="preserve">Affirms that recovery of funds lost to fraud or irregularity is a key measure of </w:t>
            </w:r>
            <w:r>
              <w:rPr>
                <w:b/>
                <w:i/>
              </w:rPr>
              <w:t>the</w:t>
            </w:r>
            <w:r>
              <w:t xml:space="preserve"> effectiveness </w:t>
            </w:r>
            <w:r>
              <w:rPr>
                <w:b/>
                <w:i/>
              </w:rPr>
              <w:t>of the overall protection of the Union’s financial interests, to which the AFA contributes,</w:t>
            </w:r>
            <w:r>
              <w:t xml:space="preserve"> and should be assessed against the amounts recovered relative to the amounts at risk; stresses that recovery outcomes must be considered alongside other indicators of effectiveness, including prevention, detection, investigations and prosecutions, rather than relying on process indicators alone, such as the number of investigations opened or indictments issued;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Affirms that recovery of funds lost to fraud or irregularity is a key measure of AFA's effectiveness and should be assessed against the amounts recovered relative to the amounts at risk; stresses that recovery outcomes must be considered </w:t>
            </w:r>
            <w:r>
              <w:rPr>
                <w:b/>
                <w:i/>
              </w:rPr>
              <w:t>alongside other</w:t>
            </w:r>
            <w:r>
              <w:t xml:space="preserve"> indicators of effectiveness, </w:t>
            </w:r>
            <w:r>
              <w:rPr>
                <w:b/>
                <w:i/>
              </w:rPr>
              <w:t>including</w:t>
            </w:r>
            <w:r>
              <w:t xml:space="preserve"> prevention, detection, investigations and prosecutions, rather than relying on process indicators alone, such as the number of investigations opened or indictments issued;</w:t>
            </w:r>
          </w:p>
        </w:tc>
        <w:tc>
          <w:tcPr>
            <w:tcW w:w="4876" w:type="dxa"/>
            <w:tcBorders>
              <w:top w:val="nil"/>
              <w:left w:val="nil"/>
              <w:bottom w:val="nil"/>
              <w:right w:val="nil"/>
            </w:tcBorders>
          </w:tcPr>
          <w:p>
            <w:pPr>
              <w:pStyle w:val="Normal6a"/>
            </w:pPr>
            <w:r>
              <w:t>33.</w:t>
            </w:r>
            <w:r>
              <w:tab/>
            </w:r>
            <w:r>
              <w:t xml:space="preserve">Affirms that recovery of funds lost to fraud or irregularity is a key measure of AFA's effectiveness and should be assessed against the amounts recovered relative to the amounts at risk; stresses that recovery outcomes must be considered </w:t>
            </w:r>
            <w:r>
              <w:rPr>
                <w:b/>
                <w:i/>
              </w:rPr>
              <w:t>as a key</w:t>
            </w:r>
            <w:r>
              <w:t xml:space="preserve"> indicators of effectiveness, </w:t>
            </w:r>
            <w:r>
              <w:rPr>
                <w:b/>
                <w:i/>
              </w:rPr>
              <w:t>beyond</w:t>
            </w:r>
            <w:r>
              <w:t xml:space="preserve"> prevention, detection, investigations and prosecutions, rather than relying on process indicators alone, such as the number of investigations opened or indictments issued;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Calls on the Commission to strengthen the centralised recovery monitoring and reporting of the follow-up and recovery of amounts identified following the OLAF financial recommendations and judicial decisions where an EPPO indictment has resulted in a national court judgment with financial consequences for the Union budget; calls for regular reporting to the budgetary authority on amounts identified, recovered, written off and time elapsed between identification and recovery, analysing the reasons for success and failure in recovery, identifying patterns and trends; calls for appropriate and disaggregated data on recovery rates at Member State and programme level;</w:t>
            </w:r>
          </w:p>
        </w:tc>
        <w:tc>
          <w:tcPr>
            <w:tcW w:w="4876" w:type="dxa"/>
            <w:tcBorders>
              <w:top w:val="nil"/>
              <w:left w:val="nil"/>
              <w:bottom w:val="nil"/>
              <w:right w:val="nil"/>
            </w:tcBorders>
          </w:tcPr>
          <w:p>
            <w:pPr>
              <w:pStyle w:val="Normal6a"/>
            </w:pPr>
            <w:r>
              <w:t>34.</w:t>
            </w:r>
            <w:r>
              <w:tab/>
            </w:r>
            <w:r>
              <w:t>Calls on the Commission to strengthen the centralised recovery monitoring and reporting of the follow-up and recovery of amounts identified following the OLAF financial recommendations and judicial decisions where an EPPO indictment has resulted in a national court judgment with financial consequences for the Union budget</w:t>
            </w:r>
            <w:r>
              <w:rPr>
                <w:b/>
                <w:i/>
              </w:rPr>
              <w:t>; considers that this new recovery centre should be located within OLAF, as part of its new and clarified monitoring mandate; considers that also EPPO should be provided with a monitoring role within the recovery process allowing European Delegated Prosecutors (EDPs)to follow the national proceedings till the final judgments and allowing relevant reporting</w:t>
            </w:r>
            <w:r>
              <w:t>; calls for regular reporting to the budgetary authority on amounts identified, recovered, written off and time elapsed between identification and recovery, analysing the reasons for success and failure in recovery, identifying patterns and trends; calls for appropriate and disaggregated data on recovery rates at Member State and programme level;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Calls on the Commission to strengthen the centralised recovery monitoring and reporting of the follow-up and recovery of amounts identified following the OLAF financial recommendations and judicial decisions where an EPPO indictment has resulted in a national court judgment with financial consequences for the Union budget; calls for regular reporting to the budgetary authority on amounts identified, recovered, written off and time elapsed between identification and recovery, analysing the reasons for success and failure in recovery, identifying patterns and trends; calls for appropriate and disaggregated data on recovery rates at Member State and programme level;</w:t>
            </w:r>
          </w:p>
        </w:tc>
        <w:tc>
          <w:tcPr>
            <w:tcW w:w="4876" w:type="dxa"/>
            <w:tcBorders>
              <w:top w:val="nil"/>
              <w:left w:val="nil"/>
              <w:bottom w:val="nil"/>
              <w:right w:val="nil"/>
            </w:tcBorders>
          </w:tcPr>
          <w:p>
            <w:pPr>
              <w:pStyle w:val="Normal6a"/>
            </w:pPr>
            <w:r>
              <w:t>34.</w:t>
            </w:r>
            <w:r>
              <w:tab/>
            </w:r>
            <w:r>
              <w:t xml:space="preserve">Calls on the Commission to strengthen the centralised recovery monitoring and reporting of the follow-up and recovery of amounts identified following the OLAF financial recommendations and judicial decisions where an EPPO indictment has resulted in a national court judgment with financial consequences for the Union budget; calls for regular reporting to the budgetary authority on amounts identified, recovered, written off and time elapsed between identification and recovery, analysing the reasons for success and failure in recovery, identifying patterns and trends; calls for appropriate and disaggregated data on recovery rates at Member State and programme level; </w:t>
            </w:r>
            <w:r>
              <w:rPr>
                <w:b/>
                <w:i/>
              </w:rPr>
              <w:t>further calls on the Commission, beyond strengthening centralised monitoring, to consider establishing a centralised service for recovery and financial corrections, which could be integrated into OLAF;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Ondřej Knotek, Virginie Joron,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Calls on the Commission to strengthen the centralised recovery monitoring and reporting of the follow-up and recovery of amounts identified following the OLAF financial recommendations and judicial decisions where an EPPO indictment has resulted in a national court judgment with financial consequences for the Union budget; calls for regular reporting to the budgetary authority on amounts identified, recovered, written off and time elapsed between identification and recovery, analysing the reasons for success and failure in recovery, identifying patterns and trends; calls for appropriate and disaggregated data on recovery rates at Member State and programme level;</w:t>
            </w:r>
          </w:p>
        </w:tc>
        <w:tc>
          <w:tcPr>
            <w:tcW w:w="4876" w:type="dxa"/>
            <w:tcBorders>
              <w:top w:val="nil"/>
              <w:left w:val="nil"/>
              <w:bottom w:val="nil"/>
              <w:right w:val="nil"/>
            </w:tcBorders>
          </w:tcPr>
          <w:p>
            <w:pPr>
              <w:pStyle w:val="Normal6a"/>
            </w:pPr>
            <w:r>
              <w:t>34.</w:t>
            </w:r>
            <w:r>
              <w:tab/>
            </w:r>
            <w:r>
              <w:t>Calls on the Commission</w:t>
            </w:r>
            <w:r>
              <w:rPr>
                <w:b/>
                <w:i/>
              </w:rPr>
              <w:t>, in cooperation with Member States and the relevant AFA components,</w:t>
            </w:r>
            <w:r>
              <w:t xml:space="preserve"> to strengthen the centralised recovery monitoring and reporting of the follow-up and recovery of amounts identified following the OLAF financial recommendations and judicial decisions where an EPPO indictment has resulted in a national court judgment with financial consequences for the Union budget; calls for regular reporting to the budgetary authority on amounts identified, recovered, written off and time elapsed between identification and recovery, analysing the reasons for success and failure in recovery, </w:t>
            </w:r>
            <w:r>
              <w:rPr>
                <w:b/>
                <w:i/>
              </w:rPr>
              <w:t>including legal and practical obstacles,</w:t>
            </w:r>
            <w:r>
              <w:t xml:space="preserve"> identifying patterns and trends; calls for appropriate and disaggregated data on recovery rates at Member State and programme level </w:t>
            </w:r>
            <w:r>
              <w:rPr>
                <w:b/>
                <w:i/>
              </w:rPr>
              <w:t>where data are available, taking account of differences in national enforcement procedures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Calls on the Commission to strengthen the centralised </w:t>
            </w:r>
            <w:r>
              <w:rPr>
                <w:b/>
                <w:i/>
              </w:rPr>
              <w:t>recovery</w:t>
            </w:r>
            <w:r>
              <w:t xml:space="preserve"> monitoring and reporting of </w:t>
            </w:r>
            <w:r>
              <w:rPr>
                <w:b/>
                <w:i/>
              </w:rPr>
              <w:t>the follow-up and recovery of</w:t>
            </w:r>
            <w:r>
              <w:t xml:space="preserve"> amounts identified following </w:t>
            </w:r>
            <w:r>
              <w:rPr>
                <w:b/>
                <w:i/>
              </w:rPr>
              <w:t>the</w:t>
            </w:r>
            <w:r>
              <w:t xml:space="preserve"> OLAF financial recommendations and </w:t>
            </w:r>
            <w:r>
              <w:rPr>
                <w:b/>
                <w:i/>
              </w:rPr>
              <w:t>judicial decisions where an EPPO indictment has resulted in a</w:t>
            </w:r>
            <w:r>
              <w:t xml:space="preserve"> national court </w:t>
            </w:r>
            <w:r>
              <w:rPr>
                <w:b/>
                <w:i/>
              </w:rPr>
              <w:t>judgment with</w:t>
            </w:r>
            <w:r>
              <w:t xml:space="preserve"> financial </w:t>
            </w:r>
            <w:r>
              <w:rPr>
                <w:b/>
                <w:i/>
              </w:rPr>
              <w:t>consequences for the Union budget</w:t>
            </w:r>
            <w:r>
              <w:t>; calls for regular reporting to the budgetary authority on amounts identified, recovered</w:t>
            </w:r>
            <w:r>
              <w:rPr>
                <w:b/>
                <w:i/>
              </w:rPr>
              <w:t>,</w:t>
            </w:r>
            <w:r>
              <w:t xml:space="preserve"> written off </w:t>
            </w:r>
            <w:r>
              <w:rPr>
                <w:b/>
                <w:i/>
              </w:rPr>
              <w:t>and</w:t>
            </w:r>
            <w:r>
              <w:t xml:space="preserve"> time elapsed between identification and recovery, analysing the reasons for </w:t>
            </w:r>
            <w:r>
              <w:rPr>
                <w:b/>
                <w:i/>
              </w:rPr>
              <w:t>success and failure in</w:t>
            </w:r>
            <w:r>
              <w:t xml:space="preserve"> recovery</w:t>
            </w:r>
            <w:r>
              <w:rPr>
                <w:b/>
                <w:i/>
              </w:rPr>
              <w:t>,</w:t>
            </w:r>
            <w:r>
              <w:t xml:space="preserve"> identifying patterns and trends; calls for appropriate and disaggregated data on recovery rates at Member State and programme level;</w:t>
            </w:r>
          </w:p>
        </w:tc>
        <w:tc>
          <w:tcPr>
            <w:tcW w:w="4876" w:type="dxa"/>
            <w:tcBorders>
              <w:top w:val="nil"/>
              <w:left w:val="nil"/>
              <w:bottom w:val="nil"/>
              <w:right w:val="nil"/>
            </w:tcBorders>
          </w:tcPr>
          <w:p>
            <w:pPr>
              <w:pStyle w:val="Normal6a"/>
            </w:pPr>
            <w:r>
              <w:t>34.</w:t>
            </w:r>
            <w:r>
              <w:tab/>
            </w:r>
            <w:r>
              <w:t xml:space="preserve">Calls on the Commission to strengthen the centralised monitoring and reporting of amounts identified </w:t>
            </w:r>
            <w:r>
              <w:rPr>
                <w:b/>
                <w:i/>
              </w:rPr>
              <w:t>and recovered</w:t>
            </w:r>
            <w:r>
              <w:t xml:space="preserve"> following OLAF financial recommendations and national court </w:t>
            </w:r>
            <w:r>
              <w:rPr>
                <w:b/>
                <w:i/>
              </w:rPr>
              <w:t>judgments resulting from EPPO cases; calls on the Commission to assess the added value of a more centralised recovery and</w:t>
            </w:r>
            <w:r>
              <w:t xml:space="preserve"> financial </w:t>
            </w:r>
            <w:r>
              <w:rPr>
                <w:b/>
                <w:i/>
              </w:rPr>
              <w:t>correction function at Commission level, aiming to ensure consistent follow-up and accountability throughout the recovery process</w:t>
            </w:r>
            <w:r>
              <w:t xml:space="preserve">; calls for regular reporting to the budgetary authority on amounts identified, recovered </w:t>
            </w:r>
            <w:r>
              <w:rPr>
                <w:b/>
                <w:i/>
              </w:rPr>
              <w:t>and</w:t>
            </w:r>
            <w:r>
              <w:t xml:space="preserve"> written off</w:t>
            </w:r>
            <w:r>
              <w:rPr>
                <w:b/>
                <w:i/>
              </w:rPr>
              <w:t>, and on the</w:t>
            </w:r>
            <w:r>
              <w:t xml:space="preserve"> time elapsed between identification and recovery, analysing the reasons for </w:t>
            </w:r>
            <w:r>
              <w:rPr>
                <w:b/>
                <w:i/>
              </w:rPr>
              <w:t>successful and unsuccessful</w:t>
            </w:r>
            <w:r>
              <w:t xml:space="preserve"> recovery </w:t>
            </w:r>
            <w:r>
              <w:rPr>
                <w:b/>
                <w:i/>
              </w:rPr>
              <w:t>and</w:t>
            </w:r>
            <w:r>
              <w:t xml:space="preserve"> identifying patterns and trends; calls for appropriate and disaggregated data on recovery rates at Member State and programme level;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Notes the particular difficulty of recovery in the revenue area, where VAT and customs losses </w:t>
            </w:r>
            <w:r>
              <w:rPr>
                <w:b/>
                <w:i/>
              </w:rPr>
              <w:t>cannot in most cases be recovered</w:t>
            </w:r>
            <w:r>
              <w:t xml:space="preserve"> even after conviction; reminds that EPPO does not obtain directly enforceable EU decisions and that </w:t>
            </w:r>
            <w:r>
              <w:rPr>
                <w:b/>
                <w:i/>
              </w:rPr>
              <w:t>its role currently concludes with the submission of indictments to national courts, whose</w:t>
            </w:r>
            <w:r>
              <w:t xml:space="preserve"> final judgments </w:t>
            </w:r>
            <w:r>
              <w:rPr>
                <w:b/>
                <w:i/>
              </w:rPr>
              <w:t>are enforced exclusively</w:t>
            </w:r>
            <w:r>
              <w:t xml:space="preserve"> under national law </w:t>
            </w:r>
            <w:r>
              <w:rPr>
                <w:b/>
                <w:i/>
              </w:rPr>
              <w:t>by national enforcement authorities</w:t>
            </w:r>
            <w:r>
              <w:t xml:space="preserve">; stresses that action in this area </w:t>
            </w:r>
            <w:r>
              <w:rPr>
                <w:b/>
                <w:i/>
              </w:rPr>
              <w:t>must</w:t>
            </w:r>
            <w:r>
              <w:t xml:space="preserve"> focus predominantly on early detection and precautionary measures </w:t>
            </w:r>
            <w:r>
              <w:rPr>
                <w:b/>
                <w:i/>
              </w:rPr>
              <w:t>rather than post-fraud</w:t>
            </w:r>
            <w:r>
              <w:t xml:space="preserve"> recovery;</w:t>
            </w:r>
          </w:p>
        </w:tc>
        <w:tc>
          <w:tcPr>
            <w:tcW w:w="4876" w:type="dxa"/>
            <w:tcBorders>
              <w:top w:val="nil"/>
              <w:left w:val="nil"/>
              <w:bottom w:val="nil"/>
              <w:right w:val="nil"/>
            </w:tcBorders>
          </w:tcPr>
          <w:p>
            <w:pPr>
              <w:pStyle w:val="Normal6a"/>
            </w:pPr>
            <w:r>
              <w:t>36.</w:t>
            </w:r>
            <w:r>
              <w:tab/>
            </w:r>
            <w:r>
              <w:t xml:space="preserve">Notes the particular difficulty of recovery in the revenue area, where </w:t>
            </w:r>
            <w:r>
              <w:rPr>
                <w:b/>
                <w:i/>
              </w:rPr>
              <w:t>significant</w:t>
            </w:r>
            <w:r>
              <w:t xml:space="preserve"> VAT and customs losses </w:t>
            </w:r>
            <w:r>
              <w:rPr>
                <w:b/>
                <w:i/>
              </w:rPr>
              <w:t>may remain unrecovered</w:t>
            </w:r>
            <w:r>
              <w:t xml:space="preserve"> even after conviction; reminds that EPPO does not obtain directly enforceable EU decisions and that </w:t>
            </w:r>
            <w:r>
              <w:rPr>
                <w:b/>
                <w:i/>
              </w:rPr>
              <w:t>the enforcement of</w:t>
            </w:r>
            <w:r>
              <w:t xml:space="preserve"> final judgments </w:t>
            </w:r>
            <w:r>
              <w:rPr>
                <w:b/>
                <w:i/>
              </w:rPr>
              <w:t>and the recovery of amounts due are primarily carried out by the competent national authorities</w:t>
            </w:r>
            <w:r>
              <w:t xml:space="preserve"> under national law; stresses </w:t>
            </w:r>
            <w:r>
              <w:rPr>
                <w:b/>
                <w:i/>
              </w:rPr>
              <w:t>therefore</w:t>
            </w:r>
            <w:r>
              <w:t xml:space="preserve"> that action in this area </w:t>
            </w:r>
            <w:r>
              <w:rPr>
                <w:b/>
                <w:i/>
              </w:rPr>
              <w:t>should</w:t>
            </w:r>
            <w:r>
              <w:t xml:space="preserve"> focus predominantly on early detection and precautionary measures</w:t>
            </w:r>
            <w:r>
              <w:rPr>
                <w:b/>
                <w:i/>
              </w:rPr>
              <w:t>, also through stronger data-sharing and the revision of relevant VAT and customs rules where needed, as amounts are often dissipated by the time fraud is detected; stresses nevertheless the need to continue pursuing the effective</w:t>
            </w:r>
            <w:r>
              <w:t xml:space="preserve"> recovery </w:t>
            </w:r>
            <w:r>
              <w:rPr>
                <w:b/>
                <w:i/>
              </w:rPr>
              <w:t>of lost revenues wherever possible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Notes the particular difficulty of recovery in the revenue area, where VAT and customs losses cannot in most cases be recovered even after conviction; reminds that EPPO does not obtain directly enforceable EU decisions and that its role currently concludes with the submission of indictments to national courts, whose final judgments are enforced exclusively under national law by national enforcement authorities; stresses that action in this area must focus predominantly on early detection and precautionary measures rather than post-fraud recovery;</w:t>
            </w:r>
          </w:p>
        </w:tc>
        <w:tc>
          <w:tcPr>
            <w:tcW w:w="4876" w:type="dxa"/>
            <w:tcBorders>
              <w:top w:val="nil"/>
              <w:left w:val="nil"/>
              <w:bottom w:val="nil"/>
              <w:right w:val="nil"/>
            </w:tcBorders>
          </w:tcPr>
          <w:p>
            <w:pPr>
              <w:pStyle w:val="Normal6a"/>
            </w:pPr>
            <w:r>
              <w:t>36.</w:t>
            </w:r>
            <w:r>
              <w:tab/>
            </w:r>
            <w:r>
              <w:t>Notes the particular difficulty of recovery in the revenue area, where VAT and customs losses cannot in most cases be recovered even after conviction; reminds that EPPO does not obtain directly enforceable EU decisions and that its role currently concludes with the submission of indictments to national courts, whose final judgments are enforced exclusively under national law by national enforcement authorities; stresses that action in this area must focus predominantly on early detection and precautionary measures rather than post-fraud recovery</w:t>
            </w:r>
            <w:r>
              <w:rPr>
                <w:b/>
                <w:i/>
              </w:rPr>
              <w:t>, supported by reinforced and timely cooperation and reciprocal information-sharing between Member States, the Commission and relevant AFA components, with a view to identifying cross-border and recurring fraud patterns at an early stage while fully respecting national competences and responsibilities for enforcement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Notes the particular </w:t>
            </w:r>
            <w:r>
              <w:rPr>
                <w:b/>
                <w:i/>
              </w:rPr>
              <w:t>difficulty</w:t>
            </w:r>
            <w:r>
              <w:t xml:space="preserve"> of recovery in the revenue area, </w:t>
            </w:r>
            <w:r>
              <w:rPr>
                <w:b/>
                <w:i/>
              </w:rPr>
              <w:t>where</w:t>
            </w:r>
            <w:r>
              <w:t xml:space="preserve"> VAT and customs losses </w:t>
            </w:r>
            <w:r>
              <w:rPr>
                <w:b/>
                <w:i/>
              </w:rPr>
              <w:t>cannot in most cases be recovered even after conviction; reminds that EPPO does not obtain directly enforceable EU decisions and that its role currently concludes with the submission of indictments to</w:t>
            </w:r>
            <w:r>
              <w:t xml:space="preserve"> national </w:t>
            </w:r>
            <w:r>
              <w:rPr>
                <w:b/>
                <w:i/>
              </w:rPr>
              <w:t>courts, whose final judgments are enforced exclusively under national law by national enforcement authorities; stresses that action in this area must focus predominantly on early detection and precautionary measures rather than post-fraud</w:t>
            </w:r>
            <w:r>
              <w:t xml:space="preserve"> recovery;</w:t>
            </w:r>
          </w:p>
        </w:tc>
        <w:tc>
          <w:tcPr>
            <w:tcW w:w="4876" w:type="dxa"/>
            <w:tcBorders>
              <w:top w:val="nil"/>
              <w:left w:val="nil"/>
              <w:bottom w:val="nil"/>
              <w:right w:val="nil"/>
            </w:tcBorders>
          </w:tcPr>
          <w:p>
            <w:pPr>
              <w:pStyle w:val="Normal6a"/>
            </w:pPr>
            <w:r>
              <w:t>36.</w:t>
            </w:r>
            <w:r>
              <w:tab/>
            </w:r>
            <w:r>
              <w:t xml:space="preserve">Notes the particular </w:t>
            </w:r>
            <w:r>
              <w:rPr>
                <w:b/>
                <w:i/>
              </w:rPr>
              <w:t>difficulties</w:t>
            </w:r>
            <w:r>
              <w:t xml:space="preserve"> of recovery in the revenue area, </w:t>
            </w:r>
            <w:r>
              <w:rPr>
                <w:b/>
                <w:i/>
              </w:rPr>
              <w:t>including in cases involving</w:t>
            </w:r>
            <w:r>
              <w:t xml:space="preserve"> VAT and customs losses</w:t>
            </w:r>
            <w:r>
              <w:rPr>
                <w:b/>
                <w:i/>
              </w:rPr>
              <w:t>; reiterates its call on the Commission to assess how AMLA’s role in coordinating</w:t>
            </w:r>
            <w:r>
              <w:t xml:space="preserve"> national </w:t>
            </w:r>
            <w:r>
              <w:rPr>
                <w:b/>
                <w:i/>
              </w:rPr>
              <w:t>Financial Intelligence Units (FIUs) could further support timely asset</w:t>
            </w:r>
            <w:r>
              <w:t xml:space="preserve"> recovery;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Notes the particular difficulty of recovery in the revenue area, where VAT and customs losses cannot in most cases be recovered even after conviction; reminds that EPPO does not obtain directly enforceable EU decisions and that its role currently concludes with the submission of indictments to national courts, whose final judgments are enforced exclusively under national law by national enforcement authorities; stresses that action in </w:t>
            </w:r>
            <w:r>
              <w:rPr>
                <w:b/>
                <w:i/>
              </w:rPr>
              <w:t>this</w:t>
            </w:r>
            <w:r>
              <w:t xml:space="preserve"> area must focus predominantly on early detection and precautionary measures rather than post-fraud recovery;</w:t>
            </w:r>
          </w:p>
        </w:tc>
        <w:tc>
          <w:tcPr>
            <w:tcW w:w="4876" w:type="dxa"/>
            <w:tcBorders>
              <w:top w:val="nil"/>
              <w:left w:val="nil"/>
              <w:bottom w:val="nil"/>
              <w:right w:val="nil"/>
            </w:tcBorders>
          </w:tcPr>
          <w:p>
            <w:pPr>
              <w:pStyle w:val="Normal6a"/>
            </w:pPr>
            <w:r>
              <w:t>36.</w:t>
            </w:r>
            <w:r>
              <w:tab/>
            </w:r>
            <w:r>
              <w:t xml:space="preserve">Notes the particular difficulty of recovery in the revenue area, where VAT and customs losses cannot in most cases be recovered even after conviction; reminds that EPPO does not obtain directly enforceable EU decisions and that its role currently concludes with the submission of indictments to national courts, whose final judgments are enforced exclusively under national law by national enforcement authorities; </w:t>
            </w:r>
            <w:r>
              <w:rPr>
                <w:b/>
                <w:i/>
              </w:rPr>
              <w:t>therefore invites to reconsider EPPO role in post-prosecution stage with EDPs extended monitoring function;</w:t>
            </w:r>
            <w:r>
              <w:t xml:space="preserve"> stresses </w:t>
            </w:r>
            <w:r>
              <w:rPr>
                <w:b/>
                <w:i/>
              </w:rPr>
              <w:t>furthemore</w:t>
            </w:r>
            <w:r>
              <w:t xml:space="preserve"> that action in </w:t>
            </w:r>
            <w:r>
              <w:rPr>
                <w:b/>
                <w:i/>
              </w:rPr>
              <w:t>the revenue</w:t>
            </w:r>
            <w:r>
              <w:t xml:space="preserve"> area must focus predominantly on early detection and precautionary measures rather than post-fraud recovery;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Notes the particular difficulty of recovery in the revenue area, where VAT and customs losses cannot in most cases be recovered even after conviction; reminds that </w:t>
            </w:r>
            <w:r>
              <w:rPr>
                <w:b/>
                <w:i/>
              </w:rPr>
              <w:t>EPPO does not obtain directly enforceable EU decisions and that its role currently concludes with the submission of indictments to</w:t>
            </w:r>
            <w:r>
              <w:t xml:space="preserve"> national courts</w:t>
            </w:r>
            <w:r>
              <w:rPr>
                <w:b/>
                <w:i/>
              </w:rPr>
              <w:t>, whose final judgments</w:t>
            </w:r>
            <w:r>
              <w:t xml:space="preserve"> are enforced exclusively under national law by national enforcement authorities; stresses that action in this area must focus </w:t>
            </w:r>
            <w:r>
              <w:rPr>
                <w:b/>
                <w:i/>
              </w:rPr>
              <w:t>predominantly</w:t>
            </w:r>
            <w:r>
              <w:t xml:space="preserve"> on early detection and precautionary measures </w:t>
            </w:r>
            <w:r>
              <w:rPr>
                <w:b/>
                <w:i/>
              </w:rPr>
              <w:t>rather than post-fraud recovery</w:t>
            </w:r>
            <w:r>
              <w:t>;</w:t>
            </w:r>
          </w:p>
        </w:tc>
        <w:tc>
          <w:tcPr>
            <w:tcW w:w="4876" w:type="dxa"/>
            <w:tcBorders>
              <w:top w:val="nil"/>
              <w:left w:val="nil"/>
              <w:bottom w:val="nil"/>
              <w:right w:val="nil"/>
            </w:tcBorders>
          </w:tcPr>
          <w:p>
            <w:pPr>
              <w:pStyle w:val="Normal6a"/>
            </w:pPr>
            <w:r>
              <w:t>36.</w:t>
            </w:r>
            <w:r>
              <w:tab/>
            </w:r>
            <w:r>
              <w:t xml:space="preserve">Notes the particular difficulty of recovery in the revenue area, where VAT and customs losses cannot in most cases be recovered even after conviction; reminds that </w:t>
            </w:r>
            <w:r>
              <w:rPr>
                <w:b/>
                <w:i/>
              </w:rPr>
              <w:t>final judgments of</w:t>
            </w:r>
            <w:r>
              <w:t xml:space="preserve"> national courts are enforced exclusively under national law by national enforcement authorities; </w:t>
            </w:r>
            <w:r>
              <w:rPr>
                <w:b/>
                <w:i/>
              </w:rPr>
              <w:t>recalls that revenue lost and due as a result of VAT and customs fraud is to be recovered by the Commission from Member States through financial corrections;</w:t>
            </w:r>
            <w:r>
              <w:t xml:space="preserve"> stresses that action in this area must </w:t>
            </w:r>
            <w:r>
              <w:rPr>
                <w:b/>
                <w:i/>
              </w:rPr>
              <w:t>also</w:t>
            </w:r>
            <w:r>
              <w:t xml:space="preserve"> focus on early detection and precautionary measures;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Ondřej Knotek, Virginie Joron,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Notes the particular difficulty of recovery in the revenue area, where VAT and customs losses cannot in most cases be recovered even after conviction; reminds that EPPO does not obtain directly enforceable EU decisions and that its role currently concludes with the submission of indictments to national courts, whose final judgments are enforced exclusively under national law by national enforcement authorities; stresses that action in this area must focus predominantly on early detection and precautionary measures </w:t>
            </w:r>
            <w:r>
              <w:rPr>
                <w:b/>
                <w:i/>
              </w:rPr>
              <w:t>rather than post-fraud</w:t>
            </w:r>
            <w:r>
              <w:t xml:space="preserve"> recovery;</w:t>
            </w:r>
          </w:p>
        </w:tc>
        <w:tc>
          <w:tcPr>
            <w:tcW w:w="4876" w:type="dxa"/>
            <w:tcBorders>
              <w:top w:val="nil"/>
              <w:left w:val="nil"/>
              <w:bottom w:val="nil"/>
              <w:right w:val="nil"/>
            </w:tcBorders>
          </w:tcPr>
          <w:p>
            <w:pPr>
              <w:pStyle w:val="Normal6a"/>
            </w:pPr>
            <w:r>
              <w:t>36.</w:t>
            </w:r>
            <w:r>
              <w:tab/>
            </w:r>
            <w:r>
              <w:t xml:space="preserve">Notes the particular difficulty of recovery in the revenue area, where VAT and customs losses cannot in most cases be recovered even after conviction; reminds that EPPO does not obtain directly enforceable EU decisions and that its role currently concludes with the submission of indictments to national courts, whose final judgments are enforced exclusively under national law by national enforcement authorities; stresses that action in this area must focus predominantly on early detection and precautionary measures </w:t>
            </w:r>
            <w:r>
              <w:rPr>
                <w:b/>
                <w:i/>
              </w:rPr>
              <w:t>alongside effective enforcement and</w:t>
            </w:r>
            <w:r>
              <w:t xml:space="preserve"> recovery;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Welcomes the establishment of the European Union Customs Authority under Regulation (EU) 2026/2108; considers the Authority and the EU Customs Data Hub essential for the early detection of fraud on the revenue side, including undervaluation and fraud in e-commerce; calls for structured cooperation and information exchange between the Authority, OLAF and EPPO from the start of its operations, and for the Authority to receive the staff and resources needed for its tasks;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Calls on the Commission to clarify in the context of its legislative proposals the interaction between criminal confiscation proceedings and administrative financial corrections, with a view to ensuring that </w:t>
            </w:r>
            <w:r>
              <w:rPr>
                <w:b/>
                <w:i/>
              </w:rPr>
              <w:t>opening or continuation of</w:t>
            </w:r>
            <w:r>
              <w:t xml:space="preserve"> criminal proceedings </w:t>
            </w:r>
            <w:r>
              <w:rPr>
                <w:b/>
                <w:i/>
              </w:rPr>
              <w:t>does</w:t>
            </w:r>
            <w:r>
              <w:t xml:space="preserve"> not unduly prevent or delay appropriate measures to protect the Union budget; </w:t>
            </w:r>
            <w:r>
              <w:rPr>
                <w:b/>
                <w:i/>
              </w:rPr>
              <w:t>calls for appropriate mechanisms to ensure that criminal proceeding do not jeopardise recovery and</w:t>
            </w:r>
            <w:r>
              <w:t xml:space="preserve"> that, where confiscation proceedings </w:t>
            </w:r>
            <w:r>
              <w:rPr>
                <w:b/>
                <w:i/>
              </w:rPr>
              <w:t>have been open for more than a defined</w:t>
            </w:r>
            <w:r>
              <w:t xml:space="preserve"> period without effective recovery, administrative </w:t>
            </w:r>
            <w:r>
              <w:rPr>
                <w:b/>
                <w:i/>
              </w:rPr>
              <w:t>correction procedures shall be activated</w:t>
            </w:r>
            <w:r>
              <w:t xml:space="preserve"> without delay;</w:t>
            </w:r>
          </w:p>
        </w:tc>
        <w:tc>
          <w:tcPr>
            <w:tcW w:w="4876" w:type="dxa"/>
            <w:tcBorders>
              <w:top w:val="nil"/>
              <w:left w:val="nil"/>
              <w:bottom w:val="nil"/>
              <w:right w:val="nil"/>
            </w:tcBorders>
          </w:tcPr>
          <w:p>
            <w:pPr>
              <w:pStyle w:val="Normal6a"/>
            </w:pPr>
            <w:r>
              <w:t>37.</w:t>
            </w:r>
            <w:r>
              <w:tab/>
            </w:r>
            <w:r>
              <w:t xml:space="preserve">Calls on the Commission to clarify in the context of its legislative proposals the interaction between criminal confiscation proceedings and administrative financial corrections, with a view to ensuring that criminal proceedings </w:t>
            </w:r>
            <w:r>
              <w:rPr>
                <w:b/>
                <w:i/>
              </w:rPr>
              <w:t>do</w:t>
            </w:r>
            <w:r>
              <w:t xml:space="preserve"> not unduly prevent or delay appropriate measures to protect the Union budget; </w:t>
            </w:r>
            <w:r>
              <w:rPr>
                <w:b/>
                <w:i/>
              </w:rPr>
              <w:t>stresses</w:t>
            </w:r>
            <w:r>
              <w:t xml:space="preserve"> that, where confiscation proceedings </w:t>
            </w:r>
            <w:r>
              <w:rPr>
                <w:b/>
                <w:i/>
              </w:rPr>
              <w:t>remain pending for a prolonged</w:t>
            </w:r>
            <w:r>
              <w:t xml:space="preserve"> period without effective recovery, </w:t>
            </w:r>
            <w:r>
              <w:rPr>
                <w:b/>
                <w:i/>
              </w:rPr>
              <w:t>the availability of appropriate</w:t>
            </w:r>
            <w:r>
              <w:t xml:space="preserve"> administrative </w:t>
            </w:r>
            <w:r>
              <w:rPr>
                <w:b/>
                <w:i/>
              </w:rPr>
              <w:t>or budget-protective measures should be reassessed</w:t>
            </w:r>
            <w:r>
              <w:t xml:space="preserve"> without delay </w:t>
            </w:r>
            <w:r>
              <w:rPr>
                <w:b/>
                <w:i/>
              </w:rPr>
              <w:t>and without prejudice to ongoing criminal proceedings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Ondřej Knotek,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Calls on the Commission to clarify in the context of its legislative proposals the interaction between criminal confiscation proceedings and administrative financial corrections, with a view to ensuring that opening or continuation of criminal proceedings does not unduly prevent or delay appropriate measures to </w:t>
            </w:r>
            <w:r>
              <w:rPr>
                <w:b/>
                <w:i/>
              </w:rPr>
              <w:t>protect the Union budget; calls for appropriate mechanisms to ensure that criminal proceeding do not jeopardise recovery and that,</w:t>
            </w:r>
            <w:r>
              <w:t xml:space="preserve"> where confiscation proceedings have </w:t>
            </w:r>
            <w:r>
              <w:rPr>
                <w:b/>
                <w:i/>
              </w:rPr>
              <w:t>been open for more than a defined period without effective</w:t>
            </w:r>
            <w:r>
              <w:t xml:space="preserve"> recovery, administrative </w:t>
            </w:r>
            <w:r>
              <w:rPr>
                <w:b/>
                <w:i/>
              </w:rPr>
              <w:t>correction procedures shall be activated without delay</w:t>
            </w:r>
            <w:r>
              <w:t>;</w:t>
            </w:r>
          </w:p>
        </w:tc>
        <w:tc>
          <w:tcPr>
            <w:tcW w:w="4876" w:type="dxa"/>
            <w:tcBorders>
              <w:top w:val="nil"/>
              <w:left w:val="nil"/>
              <w:bottom w:val="nil"/>
              <w:right w:val="nil"/>
            </w:tcBorders>
          </w:tcPr>
          <w:p>
            <w:pPr>
              <w:pStyle w:val="Normal6a"/>
            </w:pPr>
            <w:r>
              <w:t>37.</w:t>
            </w:r>
            <w:r>
              <w:tab/>
            </w:r>
            <w:r>
              <w:t xml:space="preserve">Calls on the Commission to clarify in the context of its legislative proposals </w:t>
            </w:r>
            <w:r>
              <w:rPr>
                <w:b/>
                <w:i/>
              </w:rPr>
              <w:t>and within the relevant Union competences,</w:t>
            </w:r>
            <w:r>
              <w:t xml:space="preserve"> the interaction between criminal confiscation proceedings and administrative financial corrections, with a view to ensuring that opening or continuation of criminal proceedings does not unduly prevent or delay appropriate measures to </w:t>
            </w:r>
            <w:r>
              <w:rPr>
                <w:b/>
                <w:i/>
              </w:rPr>
              <w:t>coordinate the competent judicial and administrative authorities;</w:t>
            </w:r>
            <w:r>
              <w:t xml:space="preserve"> where confiscation proceedings have </w:t>
            </w:r>
            <w:r>
              <w:rPr>
                <w:b/>
                <w:i/>
              </w:rPr>
              <w:t>not led to timely</w:t>
            </w:r>
            <w:r>
              <w:t xml:space="preserve"> recovery, </w:t>
            </w:r>
            <w:r>
              <w:rPr>
                <w:b/>
                <w:i/>
              </w:rPr>
              <w:t>calls for the competent authority to activate</w:t>
            </w:r>
            <w:r>
              <w:t xml:space="preserve"> administrative </w:t>
            </w:r>
            <w:r>
              <w:rPr>
                <w:b/>
                <w:i/>
              </w:rPr>
              <w:t>financial corrections or other budget-protective measures, if available and appropriate, while safeguarding the criminal proceedings and procedural rights and preventing double recovery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Calls on the Commission to clarify in the context of its legislative proposals the interaction between criminal confiscation proceedings and administrative financial corrections, with a view to ensuring that opening or continuation of criminal proceedings does not unduly prevent or delay appropriate measures to protect the Union budget; </w:t>
            </w:r>
            <w:r>
              <w:rPr>
                <w:b/>
                <w:i/>
              </w:rPr>
              <w:t>calls for appropriate mechanisms to ensure that criminal proceeding do not jeopardise recovery and that, where confiscation proceedings have been open for more than a defined period without effective recovery, administrative correction procedures shall be activated without delay;</w:t>
            </w:r>
          </w:p>
        </w:tc>
        <w:tc>
          <w:tcPr>
            <w:tcW w:w="4876" w:type="dxa"/>
            <w:tcBorders>
              <w:top w:val="nil"/>
              <w:left w:val="nil"/>
              <w:bottom w:val="nil"/>
              <w:right w:val="nil"/>
            </w:tcBorders>
          </w:tcPr>
          <w:p>
            <w:pPr>
              <w:pStyle w:val="Normal6a"/>
            </w:pPr>
            <w:r>
              <w:t>37.</w:t>
            </w:r>
            <w:r>
              <w:tab/>
            </w:r>
            <w:r>
              <w:t>Calls on the Commission to clarify in the context of its legislative proposals the interaction between criminal confiscation proceedings and administrative financial corrections, with a view to ensuring that opening or continuation of criminal proceedings does not unduly prevent or delay appropriate measures to protect the Union budget;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38.</w:t>
            </w:r>
            <w:r>
              <w:tab/>
            </w:r>
            <w:r>
              <w:rPr>
                <w:b/>
                <w:i/>
              </w:rPr>
              <w:t>Calls on the Commission to consider whether voluntary cooperation and an early-closure mechanism could be further developed, where the person concerned acknowledges responsibility and ensures full restitution, with a view to improving recovery and procedural efficiency; stresses that such mechanisms should not prejudice the effective investigation and prosecution of serious or organised fraud or cases requiring full investigative scrutiny;</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38.</w:t>
            </w:r>
            <w:r>
              <w:tab/>
            </w:r>
            <w:r>
              <w:rPr>
                <w:b/>
                <w:i/>
              </w:rPr>
              <w:t>Calls on the Commission to consider whether voluntary cooperation and an early-closure mechanism could be further developed, where the person concerned acknowledges responsibility and ensures full restitution, with a view to improving recovery and procedural efficiency; stresses that such mechanisms should not prejudice the effective investigation and prosecution of serious or organised fraud or cases requiring full investigative scrutiny;</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Calls on the Commission to consider whether voluntary cooperation and </w:t>
            </w:r>
            <w:r>
              <w:rPr>
                <w:b/>
                <w:i/>
              </w:rPr>
              <w:t>an early-closure mechanism</w:t>
            </w:r>
            <w:r>
              <w:t xml:space="preserve"> could be further developed, where the person concerned acknowledges responsibility and ensures full restitution, with a view to improving recovery and procedural efficiency; stresses that such </w:t>
            </w:r>
            <w:r>
              <w:rPr>
                <w:b/>
                <w:i/>
              </w:rPr>
              <w:t>mechanisms</w:t>
            </w:r>
            <w:r>
              <w:t xml:space="preserve"> should not prejudice </w:t>
            </w:r>
            <w:r>
              <w:rPr>
                <w:b/>
                <w:i/>
              </w:rPr>
              <w:t>the</w:t>
            </w:r>
            <w:r>
              <w:t xml:space="preserve"> effective </w:t>
            </w:r>
            <w:r>
              <w:rPr>
                <w:b/>
                <w:i/>
              </w:rPr>
              <w:t>investigation and prosecution of</w:t>
            </w:r>
            <w:r>
              <w:t xml:space="preserve"> serious or organised fraud or cases requiring full investigative scrutiny;</w:t>
            </w:r>
          </w:p>
        </w:tc>
        <w:tc>
          <w:tcPr>
            <w:tcW w:w="4876" w:type="dxa"/>
            <w:tcBorders>
              <w:top w:val="nil"/>
              <w:left w:val="nil"/>
              <w:bottom w:val="nil"/>
              <w:right w:val="nil"/>
            </w:tcBorders>
          </w:tcPr>
          <w:p>
            <w:pPr>
              <w:pStyle w:val="Normal6a"/>
            </w:pPr>
            <w:r>
              <w:t>38.</w:t>
            </w:r>
            <w:r>
              <w:tab/>
            </w:r>
            <w:r>
              <w:t xml:space="preserve">Calls on the Commission to consider whether </w:t>
            </w:r>
            <w:r>
              <w:rPr>
                <w:b/>
                <w:i/>
              </w:rPr>
              <w:t>appropriate incentives for</w:t>
            </w:r>
            <w:r>
              <w:t xml:space="preserve"> voluntary cooperation and </w:t>
            </w:r>
            <w:r>
              <w:rPr>
                <w:b/>
                <w:i/>
              </w:rPr>
              <w:t>early restitution</w:t>
            </w:r>
            <w:r>
              <w:t xml:space="preserve"> could be further developed, where the person concerned acknowledges responsibility and ensures full restitution, with a view to improving recovery and procedural efficiency; stresses that such </w:t>
            </w:r>
            <w:r>
              <w:rPr>
                <w:b/>
                <w:i/>
              </w:rPr>
              <w:t>cooperation or restitution</w:t>
            </w:r>
            <w:r>
              <w:t xml:space="preserve"> should not </w:t>
            </w:r>
            <w:r>
              <w:rPr>
                <w:b/>
                <w:i/>
              </w:rPr>
              <w:t>automatically result in the closure of criminal proceedings or exemption from criminal liability and should be without</w:t>
            </w:r>
            <w:r>
              <w:t xml:space="preserve"> prejudice </w:t>
            </w:r>
            <w:r>
              <w:rPr>
                <w:b/>
                <w:i/>
              </w:rPr>
              <w:t>to</w:t>
            </w:r>
            <w:r>
              <w:t xml:space="preserve"> effective</w:t>
            </w:r>
            <w:r>
              <w:rPr>
                <w:b/>
                <w:i/>
              </w:rPr>
              <w:t>, proportionate and dissuasive sanctions; stresses that additional safeguards should apply in cases involving</w:t>
            </w:r>
            <w:r>
              <w:t xml:space="preserve"> serious or organised fraud or cases requiring full investigative scrutiny;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Ondřej Knotek,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Calls on the Commission to consider whether voluntary cooperation and an early-closure mechanism could be further developed, where the person concerned acknowledges responsibility and ensures full restitution, with a view to improving recovery and procedural efficiency; stresses that such mechanisms should not prejudice the effective investigation and prosecution of serious or organised fraud or cases requiring full investigative scrutiny;</w:t>
            </w:r>
          </w:p>
        </w:tc>
        <w:tc>
          <w:tcPr>
            <w:tcW w:w="4876" w:type="dxa"/>
            <w:tcBorders>
              <w:top w:val="nil"/>
              <w:left w:val="nil"/>
              <w:bottom w:val="nil"/>
              <w:right w:val="nil"/>
            </w:tcBorders>
          </w:tcPr>
          <w:p>
            <w:pPr>
              <w:pStyle w:val="Normal6a"/>
            </w:pPr>
            <w:r>
              <w:t>38.</w:t>
            </w:r>
            <w:r>
              <w:tab/>
            </w:r>
            <w:r>
              <w:t>Calls on the Commission</w:t>
            </w:r>
            <w:r>
              <w:rPr>
                <w:b/>
                <w:i/>
              </w:rPr>
              <w:t>, in consultation with the EPPO and Member States,</w:t>
            </w:r>
            <w:r>
              <w:t xml:space="preserve"> to consider whether voluntary cooperation and an early-closure mechanism could be further developed, where the person concerned acknowledges responsibility and ensures full restitution, with a view to improving recovery and procedural efficiency; stresses that such mechanisms should </w:t>
            </w:r>
            <w:r>
              <w:rPr>
                <w:b/>
                <w:i/>
              </w:rPr>
              <w:t>respect the applicable national procedural rules and rights of defence and</w:t>
            </w:r>
            <w:r>
              <w:t xml:space="preserve"> not prejudice the effective investigation and prosecution of serious or organised fraud or cases requiring full investigative scrutiny;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Calls on the Commission to consider whether voluntary cooperation and an early-closure mechanism could be further developed, where the person concerned acknowledges responsibility and ensures full restitution, with a view to improving recovery and procedural efficiency; stresses that such mechanisms should not prejudice the effective investigation and prosecution of serious or organised fraud or cases requiring full investigative scrutiny;</w:t>
            </w:r>
          </w:p>
        </w:tc>
        <w:tc>
          <w:tcPr>
            <w:tcW w:w="4876" w:type="dxa"/>
            <w:tcBorders>
              <w:top w:val="nil"/>
              <w:left w:val="nil"/>
              <w:bottom w:val="nil"/>
              <w:right w:val="nil"/>
            </w:tcBorders>
          </w:tcPr>
          <w:p>
            <w:pPr>
              <w:pStyle w:val="Normal6a"/>
            </w:pPr>
            <w:r>
              <w:t>38.</w:t>
            </w:r>
            <w:r>
              <w:tab/>
            </w:r>
            <w:r>
              <w:t xml:space="preserve">Calls on the Commission to consider whether voluntary cooperation and an early-closure mechanism </w:t>
            </w:r>
            <w:r>
              <w:rPr>
                <w:b/>
                <w:i/>
              </w:rPr>
              <w:t>of OLAF and EPPO cases</w:t>
            </w:r>
            <w:r>
              <w:t xml:space="preserve"> could be further developed, where the person concerned acknowledges responsibility and ensures full restitution, with a view to improving recovery and procedural efficiency; stresses that such mechanisms should not prejudice the effective investigation and prosecution of serious or organised fraud or cases requiring full investigative scrutiny;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38a.</w:t>
            </w:r>
            <w:r>
              <w:tab/>
            </w:r>
            <w:r>
              <w:rPr>
                <w:b/>
                <w:i/>
              </w:rPr>
              <w:t>Reaffirms its position that respect for the rule of law must be a sine qua non condition for access to Union funds under the upcoming Multiannual Financial Framework (2028-2034), due to its foundational role in enabling national authorities and AFA components to effectively protect the Union’s financial interests;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Calls for the establishment of a once-a-year AFA Plenary – a structured meeting of high-level representatives of all AFA components, with an observer function for the budgetary authority and the Council Presidency; calls for a public joint statement and a confidential operational report to Parliament and the Council at each session, covering at least the overall state of the AFA, the strategic priorities adopted, </w:t>
            </w:r>
            <w:r>
              <w:rPr>
                <w:b/>
                <w:i/>
              </w:rPr>
              <w:t>and</w:t>
            </w:r>
            <w:r>
              <w:t xml:space="preserve"> the follow-up given to commitments made at the preceding session;</w:t>
            </w:r>
          </w:p>
        </w:tc>
        <w:tc>
          <w:tcPr>
            <w:tcW w:w="4876" w:type="dxa"/>
            <w:tcBorders>
              <w:top w:val="nil"/>
              <w:left w:val="nil"/>
              <w:bottom w:val="nil"/>
              <w:right w:val="nil"/>
            </w:tcBorders>
          </w:tcPr>
          <w:p>
            <w:pPr>
              <w:pStyle w:val="Normal6a"/>
            </w:pPr>
            <w:r>
              <w:t>39.</w:t>
            </w:r>
            <w:r>
              <w:tab/>
            </w:r>
            <w:r>
              <w:t xml:space="preserve">Calls for the establishment of a once-a-year AFA Plenary – a structured meeting of high-level representatives of all AFA components, with an observer function for the budgetary authority and the Council Presidency; calls for a public joint statement and a confidential operational report to Parliament and the Council at each session, covering at least the overall state of the AFA, the strategic priorities adopted, </w:t>
            </w:r>
            <w:r>
              <w:rPr>
                <w:b/>
                <w:i/>
              </w:rPr>
              <w:t>the results achieved, identified systemic weaknesses and emerging fraud patterns, as well as</w:t>
            </w:r>
            <w:r>
              <w:t xml:space="preserve"> the follow-up given to commitments made at the preceding session; </w:t>
            </w:r>
            <w:r>
              <w:rPr>
                <w:b/>
                <w:i/>
              </w:rPr>
              <w:t>stresses that the conclusions of the Plenary should identify, where appropriate, concrete follow-up actions, responsible actors and indicative timelines, and should feed into, rather than duplicate, the Consolidated AFA Annual Report;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Reiterates its call for a Consolidated AFA Annual Report (CAAR), produced by the Commission on the basis of comparable and standardised data from the relevant AFA components, covering the full anti-fraud cycle, and including a common set of system-level KPIs covering detection, prosecution, conviction and recovery rates</w:t>
            </w:r>
            <w:r>
              <w:rPr>
                <w:b/>
                <w:i/>
              </w:rPr>
              <w:t>, as well as an assessment of</w:t>
            </w:r>
            <w:r>
              <w:t xml:space="preserve"> the PIF fraud gap </w:t>
            </w:r>
            <w:r>
              <w:rPr>
                <w:b/>
                <w:i/>
              </w:rPr>
              <w:t>estimate and</w:t>
            </w:r>
            <w:r>
              <w:t xml:space="preserve"> the Return on Anti-Fraud Investment;</w:t>
            </w:r>
          </w:p>
        </w:tc>
        <w:tc>
          <w:tcPr>
            <w:tcW w:w="4876" w:type="dxa"/>
            <w:tcBorders>
              <w:top w:val="nil"/>
              <w:left w:val="nil"/>
              <w:bottom w:val="nil"/>
              <w:right w:val="nil"/>
            </w:tcBorders>
          </w:tcPr>
          <w:p>
            <w:pPr>
              <w:pStyle w:val="Normal6a"/>
            </w:pPr>
            <w:r>
              <w:t>40.</w:t>
            </w:r>
            <w:r>
              <w:tab/>
            </w:r>
            <w:r>
              <w:t>Reiterates its call for a Consolidated AFA Annual Report (CAAR), produced by the Commission on the basis of comparable and standardised data from the relevant AFA components, covering the full anti-fraud cycle, and including a common set of system-level KPIs covering detection, prosecution, conviction and recovery rates</w:t>
            </w:r>
            <w:r>
              <w:rPr>
                <w:b/>
                <w:i/>
              </w:rPr>
              <w:t>; calls on the Commission to develop a methodology for estimating</w:t>
            </w:r>
            <w:r>
              <w:t xml:space="preserve"> the PIF fraud gap </w:t>
            </w:r>
            <w:r>
              <w:rPr>
                <w:b/>
                <w:i/>
              </w:rPr>
              <w:t>understood as the estimated difference between the actual overall level of fraud affecting the Union’s financial interests and the fraud detected, and for assessing</w:t>
            </w:r>
            <w:r>
              <w:t xml:space="preserve"> the Return on Anti-Fraud Investment </w:t>
            </w:r>
            <w:r>
              <w:rPr>
                <w:b/>
                <w:i/>
              </w:rPr>
              <w:t>by comparing the resources devoted to the AFA with its measurable financial impact, including the amounts recovered and the losses prevented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Reiterates its call for a Consolidated AFA Annual Report (CAAR), produced by the Commission on the basis of comparable and standardised data from the relevant AFA components, covering the full anti-fraud cycle, and including a common set of system-level KPIs covering detection, prosecution, conviction and recovery rates, as well as an assessment of the PIF fraud gap estimate and the Return on Anti-Fraud Investment;</w:t>
            </w:r>
          </w:p>
        </w:tc>
        <w:tc>
          <w:tcPr>
            <w:tcW w:w="4876" w:type="dxa"/>
            <w:tcBorders>
              <w:top w:val="nil"/>
              <w:left w:val="nil"/>
              <w:bottom w:val="nil"/>
              <w:right w:val="nil"/>
            </w:tcBorders>
          </w:tcPr>
          <w:p>
            <w:pPr>
              <w:pStyle w:val="Normal6a"/>
            </w:pPr>
            <w:r>
              <w:t>40.</w:t>
            </w:r>
            <w:r>
              <w:tab/>
            </w:r>
            <w:r>
              <w:t xml:space="preserve">Reiterates its call for a Consolidated AFA Annual Report (CAAR), produced by the Commission on the basis of comparable and standardised data from the relevant AFA components, covering the full anti-fraud cycle, and including a common set of system-level KPIs covering detection, prosecution, conviction and recovery rates, as well as an assessment of the PIF fraud gap estimate and the Return on Anti-Fraud Investment; </w:t>
            </w:r>
            <w:r>
              <w:rPr>
                <w:b/>
                <w:i/>
              </w:rPr>
              <w:t>calls for the report to include, where appropriate, an analysis of recurring fraud mechanisms and cross-border patterns, obstacles to recovery, the effectiveness of preventive and corrective measures and lessons learned, with a view to improving risk indicators, early-warning mechanisms and future enforcement;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Reiterates its call for a Consolidated AFA Annual Report (CAAR), produced by the Commission on the basis of comparable and standardised data from the relevant AFA components, covering the full anti-fraud cycle, and including a common set of system-level KPIs covering detection, prosecution, conviction and recovery rates, as well as an assessment of the PIF fraud gap estimate and the Return on Anti-Fraud Investment;</w:t>
            </w:r>
          </w:p>
        </w:tc>
        <w:tc>
          <w:tcPr>
            <w:tcW w:w="4876" w:type="dxa"/>
            <w:tcBorders>
              <w:top w:val="nil"/>
              <w:left w:val="nil"/>
              <w:bottom w:val="nil"/>
              <w:right w:val="nil"/>
            </w:tcBorders>
          </w:tcPr>
          <w:p>
            <w:pPr>
              <w:pStyle w:val="Normal6a"/>
            </w:pPr>
            <w:r>
              <w:t>40.</w:t>
            </w:r>
            <w:r>
              <w:tab/>
            </w:r>
            <w:r>
              <w:t xml:space="preserve">Reiterates its call for a Consolidated AFA Annual Report (CAAR) </w:t>
            </w:r>
            <w:r>
              <w:rPr>
                <w:b/>
                <w:i/>
              </w:rPr>
              <w:t>in addition to existing reporting, in particular the PIF Report, while building on it and avoiding unnecessary duplication</w:t>
            </w:r>
            <w:r>
              <w:t>, produced by the Commission on the basis of comparable and standardised data from the relevant AFA components, covering the full anti-fraud cycle, and including a common set of system-level KPIs covering detection, prosecution, conviction and recovery rates, as well as an assessment of the PIF fraud gap estimate and the Return on Anti-Fraud Investment;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Reiterates its call for a Consolidated AFA Annual Report (CAAR), produced by the Commission on the basis of comparable and standardised data from the relevant AFA components, covering the full anti-fraud cycle, and including a common set of system-level KPIs covering detection, prosecution, conviction and recovery rates, as well as an assessment of the PIF fraud gap estimate and the Return on Anti-Fraud Investment;</w:t>
            </w:r>
          </w:p>
        </w:tc>
        <w:tc>
          <w:tcPr>
            <w:tcW w:w="4876" w:type="dxa"/>
            <w:tcBorders>
              <w:top w:val="nil"/>
              <w:left w:val="nil"/>
              <w:bottom w:val="nil"/>
              <w:right w:val="nil"/>
            </w:tcBorders>
          </w:tcPr>
          <w:p>
            <w:pPr>
              <w:pStyle w:val="Normal6a"/>
            </w:pPr>
            <w:r>
              <w:t>40.</w:t>
            </w:r>
            <w:r>
              <w:tab/>
            </w:r>
            <w:r>
              <w:t xml:space="preserve">Reiterates its call for a Consolidated AFA Annual Report (CAAR), produced by the Commission on the basis of comparable and standardised data from the relevant AFA components, covering the full anti-fraud cycle, and including a common set of system-level KPIs covering </w:t>
            </w:r>
            <w:r>
              <w:rPr>
                <w:b/>
                <w:i/>
              </w:rPr>
              <w:t>prevention,</w:t>
            </w:r>
            <w:r>
              <w:t xml:space="preserve"> detection, prosecution, conviction and recovery rates, as well as an assessment of the PIF fraud gap estimate and the Return on Anti-Fraud Investment </w:t>
            </w:r>
            <w:r>
              <w:rPr>
                <w:b/>
                <w:i/>
              </w:rPr>
              <w:t>with indicators on the effectiveness of cooperation and information exchange between relevant AFA components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41.</w:t>
            </w:r>
            <w:r>
              <w:tab/>
            </w:r>
            <w:r>
              <w:t>Calls on the Commission to ensure that the CAAR is timed to feed directly into Parliament's annual discharge procedure; calls for an appropriate and structured link between the AFA reporting cycle and the discharge procedure, so that CAAR and other relevant AFA monitoring and reporting information are made available to European Parliament as standard discharge documentation in sufficient time to support its discharge work;</w:t>
            </w:r>
          </w:p>
        </w:tc>
        <w:tc>
          <w:tcPr>
            <w:tcW w:w="4876" w:type="dxa"/>
            <w:tcBorders>
              <w:top w:val="nil"/>
              <w:left w:val="nil"/>
              <w:bottom w:val="nil"/>
              <w:right w:val="nil"/>
            </w:tcBorders>
          </w:tcPr>
          <w:p>
            <w:pPr>
              <w:pStyle w:val="Normal6a"/>
            </w:pPr>
            <w:r>
              <w:t>41.</w:t>
            </w:r>
            <w:r>
              <w:tab/>
            </w:r>
            <w:r>
              <w:t xml:space="preserve">Calls on the Commission to ensure that the CAAR is timed to feed directly into Parliament's annual </w:t>
            </w:r>
            <w:r>
              <w:rPr>
                <w:b/>
                <w:i/>
              </w:rPr>
              <w:t>PIF resolution and, through it, into the</w:t>
            </w:r>
            <w:r>
              <w:t xml:space="preserve"> discharge procedure; calls for an appropriate and structured link between the AFA reporting cycle and the discharge procedure, so that </w:t>
            </w:r>
            <w:r>
              <w:rPr>
                <w:b/>
                <w:i/>
              </w:rPr>
              <w:t>the</w:t>
            </w:r>
            <w:r>
              <w:t xml:space="preserve"> CAAR and other relevant AFA monitoring and reporting information are made available to </w:t>
            </w:r>
            <w:r>
              <w:rPr>
                <w:b/>
                <w:i/>
              </w:rPr>
              <w:t>the</w:t>
            </w:r>
            <w:r>
              <w:t xml:space="preserve"> European Parliament as standard discharge documentation in sufficient time to support its discharge work;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 xml:space="preserve">Acknowledges that the AFA is under-resourced relative to the scale of its mandate; calls on the Commission to ensure that resources allocated to AFA components are proportionate </w:t>
            </w:r>
            <w:r>
              <w:rPr>
                <w:b/>
                <w:i/>
              </w:rPr>
              <w:t>to the PIF</w:t>
            </w:r>
            <w:r>
              <w:t xml:space="preserve"> fraud </w:t>
            </w:r>
            <w:r>
              <w:rPr>
                <w:b/>
                <w:i/>
              </w:rPr>
              <w:t>gap estimate and sufficient to contribute to a positive return on</w:t>
            </w:r>
            <w:r>
              <w:t xml:space="preserve"> anti-fraud </w:t>
            </w:r>
            <w:r>
              <w:rPr>
                <w:b/>
                <w:i/>
              </w:rPr>
              <w:t>investment</w:t>
            </w:r>
            <w:r>
              <w:t>;</w:t>
            </w:r>
          </w:p>
        </w:tc>
        <w:tc>
          <w:tcPr>
            <w:tcW w:w="4876" w:type="dxa"/>
            <w:tcBorders>
              <w:top w:val="nil"/>
              <w:left w:val="nil"/>
              <w:bottom w:val="nil"/>
              <w:right w:val="nil"/>
            </w:tcBorders>
          </w:tcPr>
          <w:p>
            <w:pPr>
              <w:pStyle w:val="Normal6a"/>
            </w:pPr>
            <w:r>
              <w:t>43.</w:t>
            </w:r>
            <w:r>
              <w:tab/>
            </w:r>
            <w:r>
              <w:t xml:space="preserve">Acknowledges that the AFA is under-resourced relative to the scale of its mandate </w:t>
            </w:r>
            <w:r>
              <w:rPr>
                <w:b/>
                <w:i/>
              </w:rPr>
              <w:t>and complexity of the fraud affecting the Union’s financial interests</w:t>
            </w:r>
            <w:r>
              <w:t xml:space="preserve">; calls on the Commission to ensure that resources allocated to AFA components are proportionate </w:t>
            </w:r>
            <w:r>
              <w:rPr>
                <w:b/>
                <w:i/>
              </w:rPr>
              <w:t>with their mandate, workload and identified</w:t>
            </w:r>
            <w:r>
              <w:t xml:space="preserve"> fraud </w:t>
            </w:r>
            <w:r>
              <w:rPr>
                <w:b/>
                <w:i/>
              </w:rPr>
              <w:t>risks, taking into account the measurable financial impact of</w:t>
            </w:r>
            <w:r>
              <w:t xml:space="preserve"> anti-fraud </w:t>
            </w:r>
            <w:r>
              <w:rPr>
                <w:b/>
                <w:i/>
              </w:rPr>
              <w:t>action, including the amounts recovered and the losses prevented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Ondřej Knotek, Virginie Joron,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rPr>
                <w:b/>
                <w:i/>
              </w:rPr>
              <w:t>Acknowledges</w:t>
            </w:r>
            <w:r>
              <w:t xml:space="preserve"> that the AFA is under-resourced relative to the scale of its mandate; calls on the Commission to </w:t>
            </w:r>
            <w:r>
              <w:rPr>
                <w:b/>
                <w:i/>
              </w:rPr>
              <w:t>ensure</w:t>
            </w:r>
            <w:r>
              <w:t xml:space="preserve"> that resources allocated to AFA components are proportionate to the PIF fraud gap estimate and sufficient to contribute to a positive return on anti-fraud investment;</w:t>
            </w:r>
          </w:p>
        </w:tc>
        <w:tc>
          <w:tcPr>
            <w:tcW w:w="4876" w:type="dxa"/>
            <w:tcBorders>
              <w:top w:val="nil"/>
              <w:left w:val="nil"/>
              <w:bottom w:val="nil"/>
              <w:right w:val="nil"/>
            </w:tcBorders>
          </w:tcPr>
          <w:p>
            <w:pPr>
              <w:pStyle w:val="Normal6a"/>
            </w:pPr>
            <w:r>
              <w:t>43.</w:t>
            </w:r>
            <w:r>
              <w:tab/>
            </w:r>
            <w:r>
              <w:rPr>
                <w:b/>
                <w:i/>
              </w:rPr>
              <w:t>Notes</w:t>
            </w:r>
            <w:r>
              <w:t xml:space="preserve"> that the AFA is under-resourced relative to the scale of its mandate; calls on the Commission to </w:t>
            </w:r>
            <w:r>
              <w:rPr>
                <w:b/>
                <w:i/>
              </w:rPr>
              <w:t>consider proposing adequate resources, taking into account, as a first step, opportunities to make better use of existing capacities or reallocate them, where appropriate, with a view to ensuring</w:t>
            </w:r>
            <w:r>
              <w:t xml:space="preserve"> that resources allocated to AFA components are proportionate to the PIF fraud gap estimate and sufficient to contribute to a positive return on anti-fraud investment;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Acknowledges that the AFA is under-resourced relative to the scale of its mandate; calls on the Commission to ensure that resources allocated to AFA components are proportionate to the PIF fraud gap estimate and sufficient to contribute to a positive return on anti-fraud investment;</w:t>
            </w:r>
          </w:p>
        </w:tc>
        <w:tc>
          <w:tcPr>
            <w:tcW w:w="4876" w:type="dxa"/>
            <w:tcBorders>
              <w:top w:val="nil"/>
              <w:left w:val="nil"/>
              <w:bottom w:val="nil"/>
              <w:right w:val="nil"/>
            </w:tcBorders>
          </w:tcPr>
          <w:p>
            <w:pPr>
              <w:pStyle w:val="Normal6a"/>
            </w:pPr>
            <w:r>
              <w:t>43.</w:t>
            </w:r>
            <w:r>
              <w:tab/>
            </w:r>
            <w:r>
              <w:t xml:space="preserve">Acknowledges that the AFA is under-resourced relative to the scale of its mandate; calls on the Commission to ensure that resources allocated to AFA components are proportionate to the PIF fraud gap estimate and sufficient to contribute to a positive return on anti-fraud investment; </w:t>
            </w:r>
            <w:r>
              <w:rPr>
                <w:b/>
                <w:i/>
              </w:rPr>
              <w:t>insists that any new tasks assigned to AFA components in the forthcoming legislative proposals be matched by additional staff and budget, and that AFA components not be subject to horizontal staff reductions;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43 – point 1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Calls on the Commission to ensure that the AFA participating actors are provided with adequate, stable and appropriately skilled staffing commensurate with their respective mandates, workload and operational needs; stresses the importance of maintaining sufficient levels of investigative, prosecutorial, analytical, legal, financial, IT and data expertise, including expertise in emerging fraud risks and digital investigations; calls for appropriate workforce planning and timely recruitment to avoid persistent vacancies and capacity gaps, while ensuring that the staffing of AFA components enables them to fulfil their mandates effectively and independently;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43 – point 2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ab/>
            </w:r>
            <w:r>
              <w:rPr>
                <w:b/>
                <w:i/>
              </w:rPr>
              <w:t>Stresses the importance of continuous training, professional development and structured knowledge transfer among staff working within the AFA; calls on the Commission and the relevant AFA participating actors to develop appropriate training and knowledge-sharing programmes, including on emerging fraud typologies, investigative methodologies, financial and digital investigations, data analysis, artificial intelligence and asset tracing and recovery; encourages the systematic exchange of expertise, good practices and lessons learned between AFA components and, where appropriate, with national competent authorities, in order to strengthen institutional knowledge, avoid the loss of specialised expertise and ensure continuity and consistency in the protection of the Union’s financial interests;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43 – point 3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ab/>
            </w:r>
            <w:r>
              <w:rPr>
                <w:b/>
                <w:i/>
              </w:rPr>
              <w:t>Calls on the Commission and the relevant AFA participating actors to establish and facilitate structured mobility opportunities for staff, including secondments and temporary exchanges between Union anti-fraud bodies and, where appropriate, national competent authorities, with a view to developing cross-institutional expertise, strengthening operational cooperation and coordination, and facilitating the transfer of specialised knowledge and good practices; encourages the development of common frameworks for such mobility, including appropriate arrangements concerning training, confidentiality, conflicts of interest, data protection and recognition of acquired expertise, while fully safeguarding the operational and investigative independence of the respective bodies;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43a.</w:t>
            </w:r>
            <w:r>
              <w:tab/>
            </w:r>
            <w:r>
              <w:rPr>
                <w:b/>
                <w:i/>
              </w:rPr>
              <w:t>Calls on the Commission, in the context of the broader review of the AFA, to assess whether the Union requires stronger operational investigative capacity to combat serious cross-border and organised fraud affecting its financial interests, including the feasibility of a European investigative authority able to act effectively where fragmented national enforcement hampers the detection and investigation of such offences, while fully respecting the mandates of EPPO, OLAF, Europol and Eurojust.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43a.</w:t>
            </w:r>
            <w:r>
              <w:tab/>
            </w:r>
            <w:r>
              <w:rPr>
                <w:b/>
                <w:i/>
              </w:rPr>
              <w:t>Calls on the Commission to assess the feasibility of introducing a mechanism whereby 10% of revenue generated through recoveries resulting from EPPO and OLAF investigations is allocated as additional resources to EPPO and OLAF, with a view to ensuring that successful anti-fraud action contributes to strengthening the Union’s capacity to investigate and prosecute fraud;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Calls on the Commission to take full account of the orientations, principles and specific requests set out in this Resolution in its forthcoming AFA review Communication, expected before the end of 2026, and in any legislative proposals accompanying or following that Communication;</w:t>
            </w:r>
          </w:p>
        </w:tc>
        <w:tc>
          <w:tcPr>
            <w:tcW w:w="4876" w:type="dxa"/>
            <w:tcBorders>
              <w:top w:val="nil"/>
              <w:left w:val="nil"/>
              <w:bottom w:val="nil"/>
              <w:right w:val="nil"/>
            </w:tcBorders>
          </w:tcPr>
          <w:p>
            <w:pPr>
              <w:pStyle w:val="Normal6a"/>
            </w:pPr>
            <w:r>
              <w:t>44.</w:t>
            </w:r>
            <w:r>
              <w:tab/>
            </w:r>
            <w:r>
              <w:t xml:space="preserve">Calls on the Commission to take full account of the orientations, principles and specific requests set out in this Resolution in its forthcoming AFA review Communication, expected before the end of 2026, and in any legislative proposals accompanying or following that Communication; </w:t>
            </w:r>
            <w:r>
              <w:rPr>
                <w:b/>
                <w:i/>
              </w:rPr>
              <w:t>underlines that this Resolution does not request the establishment of any new authority or body, rather urges effective cooperation and coordination among all AFA components;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796.366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94</w:t>
    </w:r>
    <w:r>
      <w:fldChar w:fldCharType="end"/>
    </w:r>
    <w:r>
      <w:t>/</w:t>
    </w:r>
    <w:r>
      <w:fldChar w:fldCharType="begin"/>
    </w:r>
    <w:r>
      <w:instrText xml:space="preserve"> NUMPAGES </w:instrText>
    </w:r>
    <w:r>
      <w:fldChar w:fldCharType="separate"/>
    </w:r>
    <w:r>
      <w:t>95</w:t>
    </w:r>
    <w:r>
      <w:fldChar w:fldCharType="end"/>
    </w:r>
    <w:r>
      <w:tab/>
    </w:r>
    <w:r>
      <w:rPr>
        <w:rStyle w:val="HideTWBExt"/>
      </w:rPr>
      <w:t>&lt;PathFdR&gt;</w:t>
    </w:r>
    <w:r>
      <w:t>AM\1352138EN.docx</w:t>
    </w:r>
    <w:r>
      <w:rPr>
        <w:rStyle w:val="HideTWBExt"/>
      </w:rPr>
      <w:t>&lt;/PathFdR&gt;</w:t>
    </w:r>
  </w:p>
  <w:p>
    <w:pPr>
      <w:pStyle w:val="EPFooter2"/>
    </w:pPr>
    <w: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AM\1352138EN.docx</w:t>
    </w:r>
    <w:r>
      <w:rPr>
        <w:rStyle w:val="HideTWBExt"/>
      </w:rPr>
      <w:t>&lt;/PathFdR&gt;</w:t>
    </w:r>
    <w:r>
      <w:tab/>
    </w:r>
    <w:r>
      <w:fldChar w:fldCharType="begin"/>
    </w:r>
    <w:r>
      <w:instrText xml:space="preserve"> PAGE </w:instrText>
    </w:r>
    <w:r>
      <w:fldChar w:fldCharType="separate"/>
    </w:r>
    <w:r>
      <w:t>95</w:t>
    </w:r>
    <w:r>
      <w:fldChar w:fldCharType="end"/>
    </w:r>
    <w:r>
      <w:t>/</w:t>
    </w:r>
    <w:r>
      <w:fldChar w:fldCharType="begin"/>
    </w:r>
    <w:r>
      <w:instrText xml:space="preserve"> NUMPAGES </w:instrText>
    </w:r>
    <w:r>
      <w:fldChar w:fldCharType="separate"/>
    </w:r>
    <w:r>
      <w:t>95</w:t>
    </w:r>
    <w:r>
      <w:fldChar w:fldCharType="end"/>
    </w:r>
    <w:r>
      <w:tab/>
    </w:r>
    <w:r>
      <w:t>PE</w:t>
    </w:r>
    <w:r>
      <w:rPr>
        <w:rStyle w:val="HideTWBExt"/>
      </w:rPr>
      <w:t>&lt;NoPE&gt;</w:t>
    </w:r>
    <w:r>
      <w:t>796.366</w:t>
    </w:r>
    <w:r>
      <w:rPr>
        <w:rStyle w:val="HideTWBExt"/>
      </w:rPr>
      <w:t>&lt;/NoPE&gt;</w:t>
    </w:r>
    <w:r>
      <w:rPr>
        <w:rStyle w:val="HideTWBExt"/>
      </w:rPr>
      <w:t>&lt;Version&gt;</w:t>
    </w:r>
    <w:r>
      <w:t>v01-00</w:t>
    </w:r>
    <w:r>
      <w:rPr>
        <w:rStyle w:val="HideTWBExt"/>
      </w:rPr>
      <w:t>&lt;/Version&gt;</w:t>
    </w:r>
  </w:p>
  <w:p>
    <w:pPr>
      <w:pStyle w:val="EPFooter2"/>
    </w:pPr>
    <w:r>
      <w:tab/>
    </w:r>
    <w:r>
      <w:tab/>
    </w:r>
    <w: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AM\1352138EN.docx</w:t>
    </w:r>
    <w:r>
      <w:rPr>
        <w:rStyle w:val="HideTWBExt"/>
      </w:rPr>
      <w:t>&lt;/PathFdR&gt;</w:t>
    </w:r>
    <w:r>
      <w:tab/>
    </w:r>
    <w:r>
      <w:tab/>
    </w:r>
    <w:r>
      <w:t>PE</w:t>
    </w:r>
    <w:r>
      <w:rPr>
        <w:rStyle w:val="HideTWBExt"/>
      </w:rPr>
      <w:t>&lt;NoPE&gt;</w:t>
    </w:r>
    <w:r>
      <w:t>796.366</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AmColumnHeading">
    <w:name w:val="AmColumnHeading"/>
    <w:basedOn w:val="Normal"/>
    <w:pPr>
      <w:widowControl/>
      <w:spacing w:after="240"/>
      <w:jc w:val="center"/>
    </w:pPr>
    <w:rPr>
      <w:i/>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95</Pages>
  <Words>23037</Words>
  <Characters>140111</Characters>
  <Application>Microsoft Office Word</Application>
  <DocSecurity>0</DocSecurity>
  <Lines>1</Lines>
  <Paragraphs>1447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1352138</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651703</vt:lpwstr>
  </property>
  <property fmtid="{D5CDD505-2E9C-101B-9397-08002B2CF9AE}" pid="7" name="dmxml.render.traceId">
    <vt:lpwstr>6acc87161530a9b9b65757168d3a1e64</vt:lpwstr>
  </property>
  <property fmtid="{D5CDD505-2E9C-101B-9397-08002B2CF9AE}" pid="8" name="FooterPath">
    <vt:lpwstr>AM\1352138EN.docx</vt:lpwstr>
  </property>
  <property fmtid="{D5CDD505-2E9C-101B-9397-08002B2CF9AE}" pid="9" name="PE Number">
    <vt:lpwstr>796.366</vt:lpwstr>
  </property>
  <property fmtid="{D5CDD505-2E9C-101B-9397-08002B2CF9AE}" pid="10" name="UID">
    <vt:lpwstr>eu.europa.europarl-DIN1-2026-0000268503_01.00-en-01.00_text-xml</vt:lpwstr>
  </property>
</Properties>
</file>