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{CULT}</w:t>
      </w:r>
      <w:r>
        <w:t>Ausschuss für Kultur und Bildung</w:t>
      </w:r>
      <w:r>
        <w:rPr>
          <w:rStyle w:val="HideTWBExt"/>
        </w:rPr>
        <w:t>&lt;/Commission&gt;</w:t>
      </w:r>
    </w:p>
    <w:p>
      <w:pPr>
        <w:pStyle w:val="LineBottom"/>
      </w:pPr>
      <w:r>
        <w:t xml:space="preserve"> </w:t>
      </w:r>
    </w:p>
    <w:p>
      <w:pPr>
        <w:pStyle w:val="CoverReference"/>
      </w:pPr>
      <w:r>
        <w:rPr>
          <w:rStyle w:val="HideTWBExt"/>
        </w:rPr>
        <w:t>&lt;RefProc&gt;</w:t>
      </w:r>
      <w:r>
        <w:t>2025/2035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{26/05/2025}</w:t>
      </w:r>
      <w:r>
        <w:t>26.5.2025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173</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Bogdan Andrzej Zdrojewski</w:t>
      </w:r>
      <w:r>
        <w:rPr>
          <w:rStyle w:val="HideTWBExt"/>
        </w:rPr>
        <w:t>&lt;/Rapporteur&gt;</w:t>
      </w:r>
    </w:p>
    <w:p>
      <w:pPr>
        <w:pStyle w:val="CoverNormal24a"/>
      </w:pPr>
      <w:r>
        <w:rPr>
          <w:rStyle w:val="HideTWBExt"/>
        </w:rPr>
        <w:t>&lt;DocRefPE&gt;</w:t>
      </w:r>
      <w:r>
        <w:t>(PE772.146v01-00)</w:t>
      </w:r>
      <w:r>
        <w:rPr>
          <w:rStyle w:val="HideTWBExt"/>
        </w:rPr>
        <w:t>&lt;/DocRefPE&gt;</w:t>
      </w:r>
    </w:p>
    <w:p>
      <w:pPr>
        <w:pStyle w:val="CoverNormal"/>
      </w:pPr>
      <w:r>
        <w:rPr>
          <w:rStyle w:val="HideTWBExt"/>
        </w:rPr>
        <w:t>&lt;Titre&gt;</w:t>
      </w:r>
      <w:r>
        <w:t>Rolle der EU-Politik bei der Gestaltung des europäischen Sportmodells</w:t>
      </w:r>
      <w:r>
        <w:rPr>
          <w:rStyle w:val="HideTWBExt"/>
        </w:rPr>
        <w:t>&lt;/Titre&gt;</w:t>
      </w:r>
    </w:p>
    <w:p>
      <w:pPr>
        <w:pStyle w:val="CoverNormal24a"/>
      </w:pPr>
      <w:r>
        <w:rPr>
          <w:rStyle w:val="HideTWBExt"/>
        </w:rPr>
        <w:t>&lt;DocRef&gt;</w:t>
      </w:r>
      <w:r>
        <w:t>(2025/2035(INI))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gestützt auf die Artikel 6 und 165 des Vertrags über die Arbeitsweise der Europäischen Union (AEUV), in denen die Zuständigkeiten und die Tätigkeit der Union im Bereich des Sports, insbesondere die Förderung der europäischen Dimension des Sports unter Berücksichtigung seiner besonderen Merkmale, seiner auf freiwilligem Engagement basierenden Strukturen sowie seiner sozialen und pädagogischen Funktion, festgelegt werden,</w:t>
            </w:r>
          </w:p>
        </w:tc>
        <w:tc>
          <w:tcPr>
            <w:tcW w:w="4876" w:type="dxa"/>
            <w:tcBorders>
              <w:top w:val="nil"/>
              <w:left w:val="nil"/>
              <w:bottom w:val="nil"/>
              <w:right w:val="nil"/>
            </w:tcBorders>
          </w:tcPr>
          <w:p>
            <w:pPr>
              <w:pStyle w:val="Normal6a"/>
            </w:pPr>
            <w:r>
              <w:t>–</w:t>
            </w:r>
            <w:r>
              <w:tab/>
            </w:r>
            <w:r>
              <w:t xml:space="preserve">gestützt auf die Artikel 6 und 165 des Vertrags über die Arbeitsweise der Europäischen Union (AEUV), in denen die </w:t>
            </w:r>
            <w:r>
              <w:rPr>
                <w:b/>
                <w:i/>
              </w:rPr>
              <w:t>unterstützenden</w:t>
            </w:r>
            <w:r>
              <w:t xml:space="preserve"> Zuständigkeiten und die Tätigkeit der Union im Bereich des Sports, insbesondere die Förderung der europäischen Dimension des Sports unter Berücksichtigung seiner besonderen Merkmale, seiner auf freiwilligem Engagement basierenden Strukturen sowie seiner sozialen und pädagogischen Funktion, festgelegt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Artikel 26 und 114 des Vertrags über die Arbeitsweise der Europäischen Union (AEUV), in denen die Zuständigkeiten der Union in Bezug auf ihren Binnenmarkt festgelegt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Artikel 26 und 114 des Vertrags über die Arbeitsweise der Europäischen Union, in denen die Zuständigkeiten der Union in Bezug auf ihren Binnenmarkt festgelegt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überarbeitete Unesco-Charta für Leibeserziehung, körperliche Aktivität und Sport von 2015,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der Sport </w:t>
            </w:r>
            <w:r>
              <w:rPr>
                <w:b/>
                <w:i/>
              </w:rPr>
              <w:t>ein europäisches öffentliches Gut und</w:t>
            </w:r>
            <w:r>
              <w:t xml:space="preserve"> einen zunehmend wertvollen </w:t>
            </w:r>
            <w:r>
              <w:rPr>
                <w:b/>
                <w:i/>
              </w:rPr>
              <w:t>europäischen</w:t>
            </w:r>
            <w:r>
              <w:t xml:space="preserve"> Aktivposten – sowohl in sozialer, wirtschaftlicher, politischer als auch in kultureller Hinsicht – darstellt;</w:t>
            </w:r>
          </w:p>
        </w:tc>
        <w:tc>
          <w:tcPr>
            <w:tcW w:w="4876" w:type="dxa"/>
            <w:tcBorders>
              <w:top w:val="nil"/>
              <w:left w:val="nil"/>
              <w:bottom w:val="nil"/>
              <w:right w:val="nil"/>
            </w:tcBorders>
          </w:tcPr>
          <w:p>
            <w:pPr>
              <w:pStyle w:val="Normal6a"/>
            </w:pPr>
            <w:r>
              <w:t>A.</w:t>
            </w:r>
            <w:r>
              <w:tab/>
            </w:r>
            <w:r>
              <w:t>in der Erwägung, dass der Sport einen zunehmend wertvollen Aktivposten – sowohl in sozialer, wirtschaftlicher, politischer als auch in kultureller Hinsicht – darstellt;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Sport und körperliche Aktivität für die Bildung junger Europäer auf allen Bildungsebenen, einschließlich des lebenslangen Lernens, von zentraler Bedeutung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der Sport als Triebkraft für die </w:t>
            </w:r>
            <w:r>
              <w:rPr>
                <w:b/>
                <w:i/>
              </w:rPr>
              <w:t>Integration</w:t>
            </w:r>
            <w:r>
              <w:t>, insbesondere in Bezug auf Menschen mit geringeren Chancen, dient;</w:t>
            </w:r>
          </w:p>
        </w:tc>
        <w:tc>
          <w:tcPr>
            <w:tcW w:w="4876" w:type="dxa"/>
            <w:tcBorders>
              <w:top w:val="nil"/>
              <w:left w:val="nil"/>
              <w:bottom w:val="nil"/>
              <w:right w:val="nil"/>
            </w:tcBorders>
          </w:tcPr>
          <w:p>
            <w:pPr>
              <w:pStyle w:val="Normal6a"/>
            </w:pPr>
            <w:r>
              <w:t>C.</w:t>
            </w:r>
            <w:r>
              <w:tab/>
            </w:r>
            <w:r>
              <w:t xml:space="preserve">in der Erwägung, dass der Sport als Triebkraft für die </w:t>
            </w:r>
            <w:r>
              <w:rPr>
                <w:b/>
                <w:i/>
              </w:rPr>
              <w:t>demokratische Resilienz und Inklusion</w:t>
            </w:r>
            <w:r>
              <w:t>, insbesondere in Bezug auf Menschen mit geringeren Chancen, dient;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w:t>
            </w:r>
            <w:r>
              <w:rPr>
                <w:b/>
                <w:i/>
              </w:rPr>
              <w:t>der</w:t>
            </w:r>
            <w:r>
              <w:t xml:space="preserve"> Sport </w:t>
            </w:r>
            <w:r>
              <w:rPr>
                <w:b/>
                <w:i/>
              </w:rPr>
              <w:t>als Triebkraft</w:t>
            </w:r>
            <w:r>
              <w:t xml:space="preserve"> für die Integration, insbesondere in Bezug auf Menschen mit geringeren Chancen, </w:t>
            </w:r>
            <w:r>
              <w:rPr>
                <w:b/>
                <w:i/>
              </w:rPr>
              <w:t>dient</w:t>
            </w:r>
            <w:r>
              <w:t>;</w:t>
            </w:r>
          </w:p>
        </w:tc>
        <w:tc>
          <w:tcPr>
            <w:tcW w:w="4876" w:type="dxa"/>
            <w:tcBorders>
              <w:top w:val="nil"/>
              <w:left w:val="nil"/>
              <w:bottom w:val="nil"/>
              <w:right w:val="nil"/>
            </w:tcBorders>
          </w:tcPr>
          <w:p>
            <w:pPr>
              <w:pStyle w:val="Normal6a"/>
            </w:pPr>
            <w:r>
              <w:t>C.</w:t>
            </w:r>
            <w:r>
              <w:tab/>
            </w:r>
            <w:r>
              <w:t xml:space="preserve">in der Erwägung, dass Sport </w:t>
            </w:r>
            <w:r>
              <w:rPr>
                <w:b/>
                <w:i/>
              </w:rPr>
              <w:t>und körperliche Aktivität als Triebkräfte</w:t>
            </w:r>
            <w:r>
              <w:t xml:space="preserve"> für die Integration, insbesondere in Bezug auf Menschen mit geringeren Chancen, </w:t>
            </w:r>
            <w:r>
              <w:rPr>
                <w:b/>
                <w:i/>
              </w:rPr>
              <w:t>dienen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dem Sport eine entscheidende Rolle bei der Förderung der Werte der EU wie etwa Demokratie, Respekt, Solidarität, Vielfalt und Gleichheit zukommt;</w:t>
            </w:r>
          </w:p>
        </w:tc>
        <w:tc>
          <w:tcPr>
            <w:tcW w:w="4876" w:type="dxa"/>
            <w:tcBorders>
              <w:top w:val="nil"/>
              <w:left w:val="nil"/>
              <w:bottom w:val="nil"/>
              <w:right w:val="nil"/>
            </w:tcBorders>
          </w:tcPr>
          <w:p>
            <w:pPr>
              <w:pStyle w:val="Normal6a"/>
            </w:pPr>
            <w:r>
              <w:t>D.</w:t>
            </w:r>
            <w:r>
              <w:tab/>
            </w:r>
            <w:r>
              <w:t xml:space="preserve">in der Erwägung, dass dem Sport </w:t>
            </w:r>
            <w:r>
              <w:rPr>
                <w:b/>
                <w:i/>
              </w:rPr>
              <w:t>und der körperlichen Aktivität</w:t>
            </w:r>
            <w:r>
              <w:t xml:space="preserve"> eine entscheidende Rolle bei der Förderung der Werte der EU wie etwa Demokratie, Respekt, Solidarität, Vielfalt und Gleichheit zukommt;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dem Sport eine entscheidende Rolle bei der Förderung </w:t>
            </w:r>
            <w:r>
              <w:rPr>
                <w:b/>
                <w:i/>
              </w:rPr>
              <w:t>der Werte der EU</w:t>
            </w:r>
            <w:r>
              <w:t xml:space="preserve"> wie etwa Demokratie, Respekt, Solidarität, </w:t>
            </w:r>
            <w:r>
              <w:rPr>
                <w:b/>
                <w:i/>
              </w:rPr>
              <w:t>Vielfalt</w:t>
            </w:r>
            <w:r>
              <w:t xml:space="preserve"> und Gleichheit zukommt;</w:t>
            </w:r>
          </w:p>
        </w:tc>
        <w:tc>
          <w:tcPr>
            <w:tcW w:w="4876" w:type="dxa"/>
            <w:tcBorders>
              <w:top w:val="nil"/>
              <w:left w:val="nil"/>
              <w:bottom w:val="nil"/>
              <w:right w:val="nil"/>
            </w:tcBorders>
          </w:tcPr>
          <w:p>
            <w:pPr>
              <w:pStyle w:val="Normal6a"/>
            </w:pPr>
            <w:r>
              <w:t>D.</w:t>
            </w:r>
            <w:r>
              <w:tab/>
            </w:r>
            <w:r>
              <w:t xml:space="preserve">in der Erwägung, dass dem Sport eine entscheidende Rolle bei der Förderung </w:t>
            </w:r>
            <w:r>
              <w:rPr>
                <w:b/>
                <w:i/>
              </w:rPr>
              <w:t>von Werten</w:t>
            </w:r>
            <w:r>
              <w:t xml:space="preserve"> wie etwa Demokratie, Respekt, Solidarität, </w:t>
            </w:r>
            <w:r>
              <w:rPr>
                <w:b/>
                <w:i/>
              </w:rPr>
              <w:t>soziale Durchmischung</w:t>
            </w:r>
            <w:r>
              <w:t xml:space="preserve"> und Gleichheit zukommt;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europäische Sportmodell durch Schlüsselmerkmale wie die Grundsätze der Solidarität, der Nachhaltigkeit, der Integrität, der Inklusion, des offenen Wettstreits und des sportlichen Verdienstes untermauert wird;</w:t>
            </w:r>
          </w:p>
        </w:tc>
        <w:tc>
          <w:tcPr>
            <w:tcW w:w="4876" w:type="dxa"/>
            <w:tcBorders>
              <w:top w:val="nil"/>
              <w:left w:val="nil"/>
              <w:bottom w:val="nil"/>
              <w:right w:val="nil"/>
            </w:tcBorders>
          </w:tcPr>
          <w:p>
            <w:pPr>
              <w:pStyle w:val="Normal6a"/>
            </w:pPr>
            <w:r>
              <w:t>E.</w:t>
            </w:r>
            <w:r>
              <w:tab/>
            </w:r>
            <w:r>
              <w:t>in der Erwägung, dass das europäische Sportmodell durch Schlüsselmerkmale wie die Grundsätze der Solidarität, der Nachhaltigkeit, der Integrität, der Inklusion, des offenen Wettstreits und des sportlichen Verdienstes untermauert wird</w:t>
            </w:r>
            <w:r>
              <w:rPr>
                <w:b/>
                <w:i/>
              </w:rPr>
              <w:t> und gegenüber Initiativen zur Förderung einer übermäßigen Kommerzialisierung verteidigt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europäische Sportmodell durch Schlüsselmerkmale wie die Grundsätze der Solidarität, der Nachhaltigkeit, der Integrität, der Inklusion, des offenen Wettstreits und des sportlichen Verdienstes untermauert wird;</w:t>
            </w:r>
          </w:p>
        </w:tc>
        <w:tc>
          <w:tcPr>
            <w:tcW w:w="4876" w:type="dxa"/>
            <w:tcBorders>
              <w:top w:val="nil"/>
              <w:left w:val="nil"/>
              <w:bottom w:val="nil"/>
              <w:right w:val="nil"/>
            </w:tcBorders>
          </w:tcPr>
          <w:p>
            <w:pPr>
              <w:pStyle w:val="Normal6a"/>
            </w:pPr>
            <w:r>
              <w:t>E.</w:t>
            </w:r>
            <w:r>
              <w:tab/>
            </w:r>
            <w:r>
              <w:t xml:space="preserve">in der Erwägung, dass das europäische Sportmodell durch Schlüsselmerkmale wie die Grundsätze der Solidarität, der Nachhaltigkeit, der Integrität, der Inklusion, </w:t>
            </w:r>
            <w:r>
              <w:rPr>
                <w:b/>
                <w:i/>
              </w:rPr>
              <w:t>der Vereinigungsfreiheit, der Territorialität,</w:t>
            </w:r>
            <w:r>
              <w:t xml:space="preserve"> des offenen Wettstreits und des sportlichen Verdienstes untermauert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ein gesundes Gleichgewicht zwischen Wettbewerben der Nationalmannschaften und Vereinswettbewerben gewahrt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das europäische Sportmodell sowohl den Spitzen- als auch den Breitensport umfasst;</w:t>
            </w:r>
          </w:p>
        </w:tc>
        <w:tc>
          <w:tcPr>
            <w:tcW w:w="4876" w:type="dxa"/>
            <w:tcBorders>
              <w:top w:val="nil"/>
              <w:left w:val="nil"/>
              <w:bottom w:val="nil"/>
              <w:right w:val="nil"/>
            </w:tcBorders>
          </w:tcPr>
          <w:p>
            <w:pPr>
              <w:pStyle w:val="Normal6a"/>
            </w:pPr>
            <w:r>
              <w:t>F.</w:t>
            </w:r>
            <w:r>
              <w:tab/>
            </w:r>
            <w:r>
              <w:t xml:space="preserve">in der Erwägung, dass das europäische Sportmodell sowohl den Spitzen- als auch den Breitensport </w:t>
            </w:r>
            <w:r>
              <w:rPr>
                <w:b/>
                <w:i/>
              </w:rPr>
              <w:t>und darüber hinaus alle Formen der Bewegung, der gesundheitsfördernden körperlichen Aktivität und des nicht organisierten Sports</w:t>
            </w:r>
            <w:r>
              <w:t xml:space="preserve"> umfasst</w:t>
            </w:r>
            <w:r>
              <w:rPr>
                <w:b/>
                <w:i/>
              </w:rPr>
              <w:t>, deren Beliebtheit ebenso kontinuierlich zunimmt wie die Beteiligung daran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das europäische Sportmodell </w:t>
            </w:r>
            <w:r>
              <w:rPr>
                <w:b/>
                <w:i/>
              </w:rPr>
              <w:t>sowohl</w:t>
            </w:r>
            <w:r>
              <w:t xml:space="preserve"> den Spitzen- </w:t>
            </w:r>
            <w:r>
              <w:rPr>
                <w:b/>
                <w:i/>
              </w:rPr>
              <w:t>als auch den</w:t>
            </w:r>
            <w:r>
              <w:t xml:space="preserve"> Breitensport umfasst;</w:t>
            </w:r>
          </w:p>
        </w:tc>
        <w:tc>
          <w:tcPr>
            <w:tcW w:w="4876" w:type="dxa"/>
            <w:tcBorders>
              <w:top w:val="nil"/>
              <w:left w:val="nil"/>
              <w:bottom w:val="nil"/>
              <w:right w:val="nil"/>
            </w:tcBorders>
          </w:tcPr>
          <w:p>
            <w:pPr>
              <w:pStyle w:val="Normal6a"/>
            </w:pPr>
            <w:r>
              <w:t>F.</w:t>
            </w:r>
            <w:r>
              <w:tab/>
            </w:r>
            <w:r>
              <w:t>in der Erwägung, dass das europäische Sportmodell den Spitzen-</w:t>
            </w:r>
            <w:r>
              <w:rPr>
                <w:b/>
                <w:i/>
              </w:rPr>
              <w:t>, Profi- und</w:t>
            </w:r>
            <w:r>
              <w:t xml:space="preserve"> Breitensport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das europäische Sportmodell </w:t>
            </w:r>
            <w:r>
              <w:rPr>
                <w:b/>
                <w:i/>
              </w:rPr>
              <w:t>sowohl den Spitzen- als auch den Breitensport</w:t>
            </w:r>
            <w:r>
              <w:t xml:space="preserve"> umfasst;</w:t>
            </w:r>
          </w:p>
        </w:tc>
        <w:tc>
          <w:tcPr>
            <w:tcW w:w="4876" w:type="dxa"/>
            <w:tcBorders>
              <w:top w:val="nil"/>
              <w:left w:val="nil"/>
              <w:bottom w:val="nil"/>
              <w:right w:val="nil"/>
            </w:tcBorders>
          </w:tcPr>
          <w:p>
            <w:pPr>
              <w:pStyle w:val="Normal6a"/>
            </w:pPr>
            <w:r>
              <w:t>F.</w:t>
            </w:r>
            <w:r>
              <w:tab/>
            </w:r>
            <w:r>
              <w:t xml:space="preserve">in der Erwägung, dass das europäische Sportmodell </w:t>
            </w:r>
            <w:r>
              <w:rPr>
                <w:b/>
                <w:i/>
              </w:rPr>
              <w:t>den Sport auf allen Ebenen</w:t>
            </w:r>
            <w:r>
              <w:t xml:space="preserve">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der Großteil der Einnahmen im Breitensport auf den eigenen Zahlungen der Bürger, der unbezahlten Arbeit Freiwilliger, der Unterstützung durch örtliche Unternehmen und Zuschüssen von Gemeinden beruht;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das europäische Sportmodell die Entwicklung des Frauensports und die Förderung der Gleichstellung der Geschlechter im Sport umfasst;</w:t>
            </w:r>
          </w:p>
        </w:tc>
        <w:tc>
          <w:tcPr>
            <w:tcW w:w="4876" w:type="dxa"/>
            <w:tcBorders>
              <w:top w:val="nil"/>
              <w:left w:val="nil"/>
              <w:bottom w:val="nil"/>
              <w:right w:val="nil"/>
            </w:tcBorders>
          </w:tcPr>
          <w:p>
            <w:pPr>
              <w:pStyle w:val="Normal6a"/>
            </w:pPr>
            <w:r>
              <w:t>G.</w:t>
            </w:r>
            <w:r>
              <w:tab/>
            </w:r>
            <w:r>
              <w:t xml:space="preserve">in der Erwägung, dass das europäische Sportmodell die Entwicklung des Frauensports und die Förderung der Gleichstellung der Geschlechter im Sport umfasst </w:t>
            </w:r>
            <w:r>
              <w:rPr>
                <w:b/>
                <w:i/>
              </w:rPr>
              <w:t>und im Hinblick auf die LGBTIQ+-Gemeinschaft inklusiv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das europäische Sportmodell die Entwicklung des </w:t>
            </w:r>
            <w:r>
              <w:rPr>
                <w:b/>
                <w:i/>
              </w:rPr>
              <w:t>Frauensports</w:t>
            </w:r>
            <w:r>
              <w:t xml:space="preserve"> und die Förderung der Gleichstellung der Geschlechter </w:t>
            </w:r>
            <w:r>
              <w:rPr>
                <w:b/>
                <w:i/>
              </w:rPr>
              <w:t>im Sport</w:t>
            </w:r>
            <w:r>
              <w:t xml:space="preserve"> umfasst;</w:t>
            </w:r>
          </w:p>
        </w:tc>
        <w:tc>
          <w:tcPr>
            <w:tcW w:w="4876" w:type="dxa"/>
            <w:tcBorders>
              <w:top w:val="nil"/>
              <w:left w:val="nil"/>
              <w:bottom w:val="nil"/>
              <w:right w:val="nil"/>
            </w:tcBorders>
          </w:tcPr>
          <w:p>
            <w:pPr>
              <w:pStyle w:val="Normal6a"/>
            </w:pPr>
            <w:r>
              <w:t>G.</w:t>
            </w:r>
            <w:r>
              <w:tab/>
            </w:r>
            <w:r>
              <w:t xml:space="preserve">in der Erwägung, dass das europäische Sportmodell die Entwicklung des </w:t>
            </w:r>
            <w:r>
              <w:rPr>
                <w:b/>
                <w:i/>
              </w:rPr>
              <w:t>Sports</w:t>
            </w:r>
            <w:r>
              <w:t xml:space="preserve"> und die Förderung der Gleichstellung der Geschlechter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der Sportkalender immer anspruchsvoller geworden ist, was sowohl auf die zunehmende Intensität des Sports selbst als auch auf die gestiegene Zahl der Spielteilnahmen zurückzuführen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die jüngsten Urteile des Gerichtshofs der Europäischen Union eine Gelegenheit für die EU-Politik darstellen, das europäische Sportmodell </w:t>
            </w:r>
            <w:r>
              <w:rPr>
                <w:b/>
                <w:i/>
              </w:rPr>
              <w:t>weiter zu verbessern</w:t>
            </w:r>
            <w:r>
              <w:t>;</w:t>
            </w:r>
          </w:p>
        </w:tc>
        <w:tc>
          <w:tcPr>
            <w:tcW w:w="4876" w:type="dxa"/>
            <w:tcBorders>
              <w:top w:val="nil"/>
              <w:left w:val="nil"/>
              <w:bottom w:val="nil"/>
              <w:right w:val="nil"/>
            </w:tcBorders>
          </w:tcPr>
          <w:p>
            <w:pPr>
              <w:pStyle w:val="Normal6a"/>
            </w:pPr>
            <w:r>
              <w:t>I.</w:t>
            </w:r>
            <w:r>
              <w:tab/>
            </w:r>
            <w:r>
              <w:t xml:space="preserve">in der Erwägung, dass die jüngsten Urteile des Gerichtshofs der Europäischen Union eine Gelegenheit für die EU-Politik darstellen, das europäische Sportmodell </w:t>
            </w:r>
            <w:r>
              <w:rPr>
                <w:b/>
                <w:i/>
              </w:rPr>
              <w:t>zu präzisieren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der Sport vor zahlreichen Herausforderungen steht, darunter Probleme in Bezug auf Governance, Korruption, Spielabsprachen, Doping, Piraterie und Diskriminierung;</w:t>
            </w:r>
          </w:p>
        </w:tc>
        <w:tc>
          <w:tcPr>
            <w:tcW w:w="4876" w:type="dxa"/>
            <w:tcBorders>
              <w:top w:val="nil"/>
              <w:left w:val="nil"/>
              <w:bottom w:val="nil"/>
              <w:right w:val="nil"/>
            </w:tcBorders>
          </w:tcPr>
          <w:p>
            <w:pPr>
              <w:pStyle w:val="Normal6a"/>
            </w:pPr>
            <w:r>
              <w:t>J.</w:t>
            </w:r>
            <w:r>
              <w:tab/>
            </w:r>
            <w:r>
              <w:t xml:space="preserve">in der Erwägung, dass der Sport vor zahlreichen Herausforderungen steht, darunter Probleme in Bezug auf Governance, </w:t>
            </w:r>
            <w:r>
              <w:rPr>
                <w:b/>
                <w:i/>
              </w:rPr>
              <w:t>unlauteren Wettbewerb,</w:t>
            </w:r>
            <w:r>
              <w:t xml:space="preserve"> Korruption, Spielabsprachen, Doping, Piraterie und Diskriminierung;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der Sport vor zahlreichen Herausforderungen steht, darunter Probleme in Bezug auf Governance, Korruption, Spielabsprachen, Doping</w:t>
            </w:r>
            <w:r>
              <w:rPr>
                <w:b/>
                <w:i/>
              </w:rPr>
              <w:t>,</w:t>
            </w:r>
            <w:r>
              <w:t xml:space="preserve"> Piraterie </w:t>
            </w:r>
            <w:r>
              <w:rPr>
                <w:b/>
                <w:i/>
              </w:rPr>
              <w:t>und Diskriminierung</w:t>
            </w:r>
            <w:r>
              <w:t>;</w:t>
            </w:r>
          </w:p>
        </w:tc>
        <w:tc>
          <w:tcPr>
            <w:tcW w:w="4876" w:type="dxa"/>
            <w:tcBorders>
              <w:top w:val="nil"/>
              <w:left w:val="nil"/>
              <w:bottom w:val="nil"/>
              <w:right w:val="nil"/>
            </w:tcBorders>
          </w:tcPr>
          <w:p>
            <w:pPr>
              <w:pStyle w:val="Normal6a"/>
            </w:pPr>
            <w:r>
              <w:t>J.</w:t>
            </w:r>
            <w:r>
              <w:tab/>
            </w:r>
            <w:r>
              <w:t xml:space="preserve">in der Erwägung, dass der Sport vor zahlreichen Herausforderungen steht, darunter Probleme in Bezug auf Governance, Korruption, Spielabsprachen, Doping </w:t>
            </w:r>
            <w:r>
              <w:rPr>
                <w:b/>
                <w:i/>
              </w:rPr>
              <w:t>und</w:t>
            </w:r>
            <w:r>
              <w:t xml:space="preserve"> Piraterie;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der Wert der Übertragung einer Sportveranstaltung hauptsächlich darin besteht, dass es eine Live-Veranstaltung ist, und dass sie ihren Wert verliert, wenn die Veranstaltung endet;</w:t>
            </w:r>
            <w:r>
              <w:t xml:space="preserve"> </w:t>
            </w:r>
            <w:r>
              <w:rPr>
                <w:b/>
                <w:i/>
              </w:rPr>
              <w:t>in der Erwägung, dass Maßnahmen zur Entfernung rechtswidriger Online-Inhalte, die allgemein als schnell betrachtet werden können, im Falle des Streamings von Live-Inhalten zu spät kommen können, sodass hierbei ein dynamischerer Ansatz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der Verlass auf Selbstregulierung allein nicht angemessen zu einer verantwortungsvollen Governance geführt hat und den Bedenken in Bezug auf Fairness, die Einbeziehung der Interessenträger, Transparenz und Rechenschaftspflicht damit nicht hinreichend Rechnung getragen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Sportler häufig mit prekären Arbeitsbedingungen konfrontiert sind, bei denen die soziale Absicherung während Schwangerschaft, Mutterschaft, Verletzungen oder Übergängen in der beruflichen Laufbahn unzureichend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in der Erwägung, dass das Ende einer Sportlaufbahn Sportler in eine aus sozialer und wirtschaftlicher Sicht äußerst schutzbedürftige Lage versetzen kann, wenn keine angemessenen Maßnahmen zur Wiedereingliederung und beruflichen Förderung vorliegen;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es </w:t>
            </w:r>
            <w:r>
              <w:rPr>
                <w:b/>
                <w:i/>
              </w:rPr>
              <w:t>eine steigende Tendenz zu</w:t>
            </w:r>
            <w:r>
              <w:t xml:space="preserve"> Auslandsinvestitionen </w:t>
            </w:r>
            <w:r>
              <w:rPr>
                <w:b/>
                <w:i/>
              </w:rPr>
              <w:t>und ausländischer Beteiligung, Bedrohungen durch rein gewinnorientierte Unterhaltungsmodelle und Risiken für die Ausgeglichenheit des Wettbewerbs im Profisport gibt</w:t>
            </w:r>
            <w:r>
              <w:t>;</w:t>
            </w:r>
          </w:p>
        </w:tc>
        <w:tc>
          <w:tcPr>
            <w:tcW w:w="4876" w:type="dxa"/>
            <w:tcBorders>
              <w:top w:val="nil"/>
              <w:left w:val="nil"/>
              <w:bottom w:val="nil"/>
              <w:right w:val="nil"/>
            </w:tcBorders>
          </w:tcPr>
          <w:p>
            <w:pPr>
              <w:pStyle w:val="Normal6a"/>
            </w:pPr>
            <w:r>
              <w:t>K.</w:t>
            </w:r>
            <w:r>
              <w:tab/>
            </w:r>
            <w:r>
              <w:t xml:space="preserve">in der Erwägung, dass es </w:t>
            </w:r>
            <w:r>
              <w:rPr>
                <w:b/>
                <w:i/>
              </w:rPr>
              <w:t>neue und sich wandelnde Tendenzen in Bezug auf die Eigentumsverhältnisse im Sport gibt, darunter eine Zunahme von</w:t>
            </w:r>
            <w:r>
              <w:t xml:space="preserve"> Auslandsinvestitionen;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in der Erwägung, dass es eine steigende Tendenz zu Auslandsinvestitionen und ausländischer Beteiligung, Bedrohungen durch rein gewinnorientierte Unterhaltungsmodelle und Risiken für die Ausgeglichenheit des Wettbewerbs im Profisport gibt;</w:t>
            </w:r>
          </w:p>
        </w:tc>
        <w:tc>
          <w:tcPr>
            <w:tcW w:w="4876" w:type="dxa"/>
            <w:tcBorders>
              <w:top w:val="nil"/>
              <w:left w:val="nil"/>
              <w:bottom w:val="nil"/>
              <w:right w:val="nil"/>
            </w:tcBorders>
          </w:tcPr>
          <w:p>
            <w:pPr>
              <w:pStyle w:val="Normal6a"/>
            </w:pPr>
            <w:r>
              <w:t>K.</w:t>
            </w:r>
            <w:r>
              <w:tab/>
            </w:r>
            <w:r>
              <w:t>in der Erwägung, dass es eine steigende Tendenz zu Auslandsinvestitionen und ausländischer Beteiligung, Bedrohungen durch rein gewinnorientierte Unterhaltungsmodelle</w:t>
            </w:r>
            <w:r>
              <w:rPr>
                <w:b/>
                <w:i/>
              </w:rPr>
              <w:t>, Eigentum an mehreren Vereinen</w:t>
            </w:r>
            <w:r>
              <w:t xml:space="preserve"> und Risiken für die Ausgeglichenheit des Wettbewerbs im Profisport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immer mehr Sportvereine und -verbände eine Regulierung fordern, um das europäische Sportmodell und den fairen Wettbewerb zu schützen, Probleme wie Korruption und finanzielle Instabilität in der Branche anzugehen und eine nachhaltige und inklusive Sportlandschaft in ganz Europa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von rein gewinnorientierten Eigentumsmodellen im Unterhaltungsbereich und von Wettkämpfen, durch die die Ausgeglichenheit des Wettbewerbs und die Integrität des Profisports gefährdet werden, eine Bedrohung ausgeht;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in der Erwägung, dass die Beteiligung an Sport und körperlicher Aktivität Frauen, transsexuelle und intersexuelle Personen sowie andere marginalisierte Gruppen stärkt, für ihre Gesundheit und ihr Wohlbefinden von wesentlicher Bedeutung ist und ein Gemeinschaftsgefühl vermittelt;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bekräftigt sein unerschütterliches Engagement für die Verteidigung des europäischen Sportmodells, bei dem </w:t>
            </w:r>
            <w:r>
              <w:rPr>
                <w:b/>
                <w:i/>
              </w:rPr>
              <w:t>der</w:t>
            </w:r>
            <w:r>
              <w:t xml:space="preserve"> Sport gesellschaftlichen Zielen </w:t>
            </w:r>
            <w:r>
              <w:rPr>
                <w:b/>
                <w:i/>
              </w:rPr>
              <w:t>dient</w:t>
            </w:r>
            <w:r>
              <w:t>;</w:t>
            </w:r>
          </w:p>
        </w:tc>
        <w:tc>
          <w:tcPr>
            <w:tcW w:w="4876" w:type="dxa"/>
            <w:tcBorders>
              <w:top w:val="nil"/>
              <w:left w:val="nil"/>
              <w:bottom w:val="nil"/>
              <w:right w:val="nil"/>
            </w:tcBorders>
          </w:tcPr>
          <w:p>
            <w:pPr>
              <w:pStyle w:val="Normal6a"/>
            </w:pPr>
            <w:r>
              <w:t>1.</w:t>
            </w:r>
            <w:r>
              <w:tab/>
            </w:r>
            <w:r>
              <w:t xml:space="preserve">bekräftigt sein unerschütterliches Engagement für die Verteidigung des europäischen Sportmodells, bei dem Sport </w:t>
            </w:r>
            <w:r>
              <w:rPr>
                <w:b/>
                <w:i/>
              </w:rPr>
              <w:t>und körperliche Aktivität</w:t>
            </w:r>
            <w:r>
              <w:t xml:space="preserve"> gesellschaftlichen Zielen </w:t>
            </w:r>
            <w:r>
              <w:rPr>
                <w:b/>
                <w:i/>
              </w:rPr>
              <w:t>dienen und zu allen wichtigen Politikbereichen der EU beitragen, unter anderem zur Gesundheitsförderung, zur regionalen Entwicklung, zur städtischen Mobilität, zur sozialen Inklusion und zur ökologischen Nachhaltigkeit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bekräftigt sein unerschütterliches Engagement für die Verteidigung des europäischen Sportmodells, bei dem der Sport gesellschaftlichen Zielen dient;</w:t>
            </w:r>
          </w:p>
        </w:tc>
        <w:tc>
          <w:tcPr>
            <w:tcW w:w="4876" w:type="dxa"/>
            <w:tcBorders>
              <w:top w:val="nil"/>
              <w:left w:val="nil"/>
              <w:bottom w:val="nil"/>
              <w:right w:val="nil"/>
            </w:tcBorders>
          </w:tcPr>
          <w:p>
            <w:pPr>
              <w:pStyle w:val="Normal6a"/>
            </w:pPr>
            <w:r>
              <w:t>1.</w:t>
            </w:r>
            <w:r>
              <w:tab/>
            </w:r>
            <w:r>
              <w:t xml:space="preserve">bekräftigt sein unerschütterliches Engagement für die Verteidigung des europäischen Sportmodells, bei dem der Sport gesellschaftlichen Zielen dient </w:t>
            </w:r>
            <w:r>
              <w:rPr>
                <w:b/>
                <w:i/>
              </w:rPr>
              <w:t>und zu allen wichtigen Politikbereichen der EU beiträgt, unter anderem zur Gesundheitsförderung, zur regionalen Entwicklung, zur städtischen Mobilität, zur sozialen Inklusion und zur ökologischen Nachhaltigkeit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bekräftigt sein unerschütterliches Engagement für die Verteidigung des europäischen Sportmodells</w:t>
            </w:r>
            <w:r>
              <w:rPr>
                <w:b/>
                <w:i/>
              </w:rPr>
              <w:t>, bei dem der Sport gesellschaftlichen Zielen dient</w:t>
            </w:r>
            <w:r>
              <w:t>;</w:t>
            </w:r>
          </w:p>
        </w:tc>
        <w:tc>
          <w:tcPr>
            <w:tcW w:w="4876" w:type="dxa"/>
            <w:tcBorders>
              <w:top w:val="nil"/>
              <w:left w:val="nil"/>
              <w:bottom w:val="nil"/>
              <w:right w:val="nil"/>
            </w:tcBorders>
          </w:tcPr>
          <w:p>
            <w:pPr>
              <w:pStyle w:val="Normal6a"/>
            </w:pPr>
            <w:r>
              <w:t>1.</w:t>
            </w:r>
            <w:r>
              <w:tab/>
            </w:r>
            <w:r>
              <w:t>bekräftigt sein unerschütterliches Engagement für die Verteidigung des europäischen Sportmodells;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fordert die Mitgliedstaaten auf, den Zugang zu Sport und körperlicher Aktivität als soziales Grundrecht anzuerkennen, das für Kinder, Menschen mit Behinderungen, Flüchtlinge und andere strukturell ausgegrenzte Gruppen von besonderer Bedeutung ist, und dieses Recht in die nationalen Rechtsrahmen und Sozialschutzsysteme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nimmt zur Kenntnis, dass das europäische Sportmodell geschützt werden muss, um die kontinuierliche nachhaltige Entwicklung des Sports vom Breitensport bis zum Profisport sowie auf regionaler, nationaler und europäischer Ebene sicherzustellen;</w:t>
            </w:r>
          </w:p>
        </w:tc>
        <w:tc>
          <w:tcPr>
            <w:tcW w:w="4876" w:type="dxa"/>
            <w:tcBorders>
              <w:top w:val="nil"/>
              <w:left w:val="nil"/>
              <w:bottom w:val="nil"/>
              <w:right w:val="nil"/>
            </w:tcBorders>
          </w:tcPr>
          <w:p>
            <w:pPr>
              <w:pStyle w:val="Normal6a"/>
            </w:pPr>
            <w:r>
              <w:t>2.</w:t>
            </w:r>
            <w:r>
              <w:tab/>
            </w:r>
            <w:r>
              <w:t xml:space="preserve">nimmt zur Kenntnis, dass das europäische Sportmodell geschützt werden muss, um die kontinuierliche nachhaltige Entwicklung des Sports </w:t>
            </w:r>
            <w:r>
              <w:rPr>
                <w:b/>
                <w:i/>
              </w:rPr>
              <w:t>und der körperlichen Aktivität</w:t>
            </w:r>
            <w:r>
              <w:t xml:space="preserve"> vom Breitensport bis zum Profisport sowie auf </w:t>
            </w:r>
            <w:r>
              <w:rPr>
                <w:b/>
                <w:i/>
              </w:rPr>
              <w:t>lokaler,</w:t>
            </w:r>
            <w:r>
              <w:t xml:space="preserve"> regionaler, nationaler und europäischer Ebene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nimmt zur Kenntnis, dass das europäische Sportmodell geschützt werden muss, um die kontinuierliche nachhaltige Entwicklung des Sports vom Breitensport bis zum Profisport sowie auf regionaler, nationaler und europäischer Ebene sicherzustellen;</w:t>
            </w:r>
          </w:p>
        </w:tc>
        <w:tc>
          <w:tcPr>
            <w:tcW w:w="4876" w:type="dxa"/>
            <w:tcBorders>
              <w:top w:val="nil"/>
              <w:left w:val="nil"/>
              <w:bottom w:val="nil"/>
              <w:right w:val="nil"/>
            </w:tcBorders>
          </w:tcPr>
          <w:p>
            <w:pPr>
              <w:pStyle w:val="Normal6a"/>
            </w:pPr>
            <w:r>
              <w:t>2.</w:t>
            </w:r>
            <w:r>
              <w:tab/>
            </w:r>
            <w:r>
              <w:t xml:space="preserve">nimmt zur Kenntnis, dass das europäische Sportmodell geschützt werden muss, um die kontinuierliche nachhaltige Entwicklung des Sports vom Breitensport bis zum Profisport sowie auf </w:t>
            </w:r>
            <w:r>
              <w:rPr>
                <w:b/>
                <w:i/>
              </w:rPr>
              <w:t>lokaler,</w:t>
            </w:r>
            <w:r>
              <w:t xml:space="preserve"> regionaler, nationaler und europäischer Ebene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das europäische Sportmodell im Einklang mit den Interessen der Bürgerinnen und Bürger, den Werten und politischen Prioritäten der EU wie etwa Gleichheit, Vielfalt, Inklusion, Gesundheit und Wohlergehen, dem europäischen Sozialmodell sowie der Wettbewerbsfähigkeit der EU weiterentwickelt werden muss;</w:t>
            </w:r>
          </w:p>
        </w:tc>
        <w:tc>
          <w:tcPr>
            <w:tcW w:w="4876" w:type="dxa"/>
            <w:tcBorders>
              <w:top w:val="nil"/>
              <w:left w:val="nil"/>
              <w:bottom w:val="nil"/>
              <w:right w:val="nil"/>
            </w:tcBorders>
          </w:tcPr>
          <w:p>
            <w:pPr>
              <w:pStyle w:val="Normal6a"/>
            </w:pPr>
            <w:r>
              <w:t>3.</w:t>
            </w:r>
            <w:r>
              <w:tab/>
            </w:r>
            <w:r>
              <w:t xml:space="preserve">betont, dass das europäische Sportmodell im Einklang mit den Interessen der Bürgerinnen und Bürger, den Werten und politischen Prioritäten der EU wie etwa Gleichheit, Vielfalt, </w:t>
            </w:r>
            <w:r>
              <w:rPr>
                <w:b/>
                <w:i/>
              </w:rPr>
              <w:t>Nachhaltigkeit,</w:t>
            </w:r>
            <w:r>
              <w:t xml:space="preserve"> Inklusion, Gesundheit und Wohlergehen, dem europäischen Sozialmodell sowie der Wettbewerbsfähigkeit der EU weiterentwickelt </w:t>
            </w:r>
            <w:r>
              <w:rPr>
                <w:b/>
                <w:i/>
              </w:rPr>
              <w:t>und somit gegen jeden Angriff auf diese Werte vorgegangen</w:t>
            </w:r>
            <w:r>
              <w:t xml:space="preserve">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das europäische Sportmodell im Einklang mit den Interessen der Bürgerinnen und Bürger, den Werten und politischen Prioritäten der EU wie etwa Gleichheit, Vielfalt, Inklusion, Gesundheit und Wohlergehen, dem europäischen Sozialmodell sowie der Wettbewerbsfähigkeit der EU weiterentwickelt werden muss;</w:t>
            </w:r>
          </w:p>
        </w:tc>
        <w:tc>
          <w:tcPr>
            <w:tcW w:w="4876" w:type="dxa"/>
            <w:tcBorders>
              <w:top w:val="nil"/>
              <w:left w:val="nil"/>
              <w:bottom w:val="nil"/>
              <w:right w:val="nil"/>
            </w:tcBorders>
          </w:tcPr>
          <w:p>
            <w:pPr>
              <w:pStyle w:val="Normal6a"/>
            </w:pPr>
            <w:r>
              <w:t>3.</w:t>
            </w:r>
            <w:r>
              <w:tab/>
            </w:r>
            <w:r>
              <w:t>betont, dass das europäische Sportmodell im Einklang mit den Interessen der Bürgerinnen und Bürger, den Werten und politischen Prioritäten der EU wie etwa Gleichheit, Vielfalt, Inklusion, Gesundheit</w:t>
            </w:r>
            <w:r>
              <w:rPr>
                <w:b/>
                <w:i/>
              </w:rPr>
              <w:t>, Nachhaltigkeit</w:t>
            </w:r>
            <w:r>
              <w:t xml:space="preserve"> und Wohlergehen, dem europäischen Sozialmodell sowie der Wettbewerbsfähigkeit der EU weiterentwickelt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das europäische Sportmodell im Einklang mit den Interessen der Bürgerinnen und Bürger, den Werten und politischen Prioritäten der EU wie etwa Gleichheit, </w:t>
            </w:r>
            <w:r>
              <w:rPr>
                <w:b/>
                <w:i/>
              </w:rPr>
              <w:t>Vielfalt, Inklusion</w:t>
            </w:r>
            <w:r>
              <w:t>, Gesundheit und Wohlergehen</w:t>
            </w:r>
            <w:r>
              <w:rPr>
                <w:b/>
                <w:i/>
              </w:rPr>
              <w:t>, dem europäischen Sozialmodell</w:t>
            </w:r>
            <w:r>
              <w:t xml:space="preserve"> sowie der Wettbewerbsfähigkeit der EU weiterentwickelt werden muss;</w:t>
            </w:r>
          </w:p>
        </w:tc>
        <w:tc>
          <w:tcPr>
            <w:tcW w:w="4876" w:type="dxa"/>
            <w:tcBorders>
              <w:top w:val="nil"/>
              <w:left w:val="nil"/>
              <w:bottom w:val="nil"/>
              <w:right w:val="nil"/>
            </w:tcBorders>
          </w:tcPr>
          <w:p>
            <w:pPr>
              <w:pStyle w:val="Normal6a"/>
            </w:pPr>
            <w:r>
              <w:t>3.</w:t>
            </w:r>
            <w:r>
              <w:tab/>
            </w:r>
            <w:r>
              <w:t xml:space="preserve">betont, dass das europäische Sportmodell im Einklang mit den Interessen der Bürgerinnen und Bürger, den Werten und politischen Prioritäten der EU wie etwa Gleichheit, </w:t>
            </w:r>
            <w:r>
              <w:rPr>
                <w:b/>
                <w:i/>
              </w:rPr>
              <w:t>soziale Durchmischung</w:t>
            </w:r>
            <w:r>
              <w:t>, Gesundheit und Wohlergehen sowie der Wettbewerbsfähigkeit der EU weiterentwickelt werden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Sportvereinen als sozialen Einrichtungen eine besondere Bedeutung zukommt, insbesondere in ländlichen und abgelegenen Gebieten;</w:t>
            </w:r>
            <w:r>
              <w:t xml:space="preserve"> </w:t>
            </w:r>
            <w:r>
              <w:rPr>
                <w:b/>
                <w:i/>
              </w:rPr>
              <w:t>betont, dass konkret auf die Herausforderungen eingegangen werden muss, mit denen diese Regionen konfrontiert sind, darunter ein unzureichender Zugang zu Sportinfrastruktur, da die Bau- und Instandhaltungskosten die Mittel kleiner Gemeinden mit finanziellen Einschränkungen häufig übersteigen, und die rückläufige Mitgliedschaft in Vereinen infolge der Entvölkerung;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das europäische Sportmodell auf dem Grundsatz beruhen muss, dass der Sport ein öffentliches Gut und ein Instrument des Gemeinwohls ist, damit öffentliche Investitionen in den Sport der Gesellschaft in Form von Inklusion, Gesundheit, Bildung und sozialem Zusammenhalt zugutekommen;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im Sport universelle menschliche Werte vermittelt werden müssen und er weder zu einem Werkzeug einer politischen Ideologie werden noch ihr untergeordnet werden darf;</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hebt hervor, dass das europäische Sportmodell das Potenzial bietet, in allen Altersgruppen eine aktive Lebensweise stärker zu fördern, indem zu regelmäßiger körperlicher Aktivität und aktiver Mobilität, wie Zufußgehen und Radfahren, als Teil des Alltags angeregt wird;</w:t>
            </w:r>
            <w:r>
              <w:t xml:space="preserve"> </w:t>
            </w:r>
            <w:r>
              <w:rPr>
                <w:b/>
                <w:i/>
              </w:rPr>
              <w:t>hebt hervor, dass dieser Ansatz vielfältige Vorteile für die öffentliche Gesundheit, die nachhaltige Stadtentwicklung und die Verbesserung der Lebensqualität bietet und gleichzeitig zur sozialen Inklusion und Zugänglichkeit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betont, dass der Sport eine wichtige Triebkraft für die Kohäsionspolitik der Europäischen Union ist;</w:t>
            </w:r>
            <w:r>
              <w:t xml:space="preserve"> </w:t>
            </w:r>
            <w:r>
              <w:rPr>
                <w:b/>
                <w:i/>
              </w:rPr>
              <w:t>fordert die Mitgliedstaaten auf, die Mittel für die regionale Entwicklung, insbesondere den Europäischen Fonds für regionale Entwicklung (EFRE), stärker zu nutzen, um in Sportinfrastruktur zu investieren;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legt den Mitgliedstaaten und lokalen Behörden nahe, in Infrastruktur und Initiativen zu investieren, mit denen ein aktives Leben für alle Bevölkerungsgruppen besser erreichbar und attraktiver gestaltet wird, und fordert, dass gezielt Mittel für lokale gemeinschaftliche Initiativen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hebt die wichtige Rolle hervor, die Sport und körperliche Aktivität bei der Förderung der Integration von Migranten spielen können, indem sie eine Plattform für soziale Interaktion, kulturellen Austausch und gemeinschaftliches Engagement auf lokaler Ebene bieten, wodurch Neuankömmlinge dabei unterstützt werden, sich leichter in ihre Aufnahmegemeinschaften einzufinden, und ein Gefühl der Zugehörigkeit und Inklusion gefördert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fordert alle Interessenträger auf, ihre Bemühungen zur Förderung eines sicheren, integrativen und gerechten Sports zu verstärken, wobei der Schwerpunkt auf der Förderung der Gleichstellung der Geschlechter, der Bekämpfung aller Formen von Gewalt und Belästigung und der Verbesserung der Zugänglichkeit der Sportinfrastruktur liegt;</w:t>
            </w:r>
          </w:p>
        </w:tc>
        <w:tc>
          <w:tcPr>
            <w:tcW w:w="4876" w:type="dxa"/>
            <w:tcBorders>
              <w:top w:val="nil"/>
              <w:left w:val="nil"/>
              <w:bottom w:val="nil"/>
              <w:right w:val="nil"/>
            </w:tcBorders>
          </w:tcPr>
          <w:p>
            <w:pPr>
              <w:pStyle w:val="Normal6a"/>
            </w:pPr>
            <w:r>
              <w:t>4.</w:t>
            </w:r>
            <w:r>
              <w:tab/>
            </w:r>
            <w:r>
              <w:t>fordert alle Interessenträger auf, ihre Bemühungen zur Förderung eines sicheren, integrativen und gerechten Sports</w:t>
            </w:r>
            <w:r>
              <w:rPr>
                <w:b/>
                <w:i/>
              </w:rPr>
              <w:t>, der für alle zugänglich ist, ungeachtet ihrer Herkunft, ihrer sozioökonomischen Verhältnisse, ihrer Geschlechtsidentität und ihrer sexuellen Ausrichtung,</w:t>
            </w:r>
            <w:r>
              <w:t xml:space="preserve"> zu verstärken, wobei der Schwerpunkt auf der Förderung der Gleichstellung der Geschlechter, der Bekämpfung aller Formen von Gewalt</w:t>
            </w:r>
            <w:r>
              <w:rPr>
                <w:b/>
                <w:i/>
              </w:rPr>
              <w:t>, Diskriminierung</w:t>
            </w:r>
            <w:r>
              <w:t xml:space="preserve"> und Belästigung und der Verbesserung der Zugänglichkeit der Sportinfrastruktur liegt; </w:t>
            </w:r>
            <w:r>
              <w:rPr>
                <w:b/>
                <w:i/>
              </w:rPr>
              <w:t>betont, dass alle Sportler es verdienen, dass ihre Gesundheit, Sicherheit und Würde geachtet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Catherine Griset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fordert alle Interessenträger auf, ihre Bemühungen zur Förderung eines sicheren, integrativen und gerechten Sports zu verstärken, wobei der Schwerpunkt auf der Förderung der Gleichstellung der Geschlechter</w:t>
            </w:r>
            <w:r>
              <w:rPr>
                <w:b/>
                <w:i/>
              </w:rPr>
              <w:t>,</w:t>
            </w:r>
            <w:r>
              <w:t xml:space="preserve"> der Bekämpfung aller Formen von Gewalt und Belästigung </w:t>
            </w:r>
            <w:r>
              <w:rPr>
                <w:b/>
                <w:i/>
              </w:rPr>
              <w:t>und der Verbesserung der Zugänglichkeit der Sportinfrastruktur liegt</w:t>
            </w:r>
            <w:r>
              <w:t>;</w:t>
            </w:r>
          </w:p>
        </w:tc>
        <w:tc>
          <w:tcPr>
            <w:tcW w:w="4876" w:type="dxa"/>
            <w:tcBorders>
              <w:top w:val="nil"/>
              <w:left w:val="nil"/>
              <w:bottom w:val="nil"/>
              <w:right w:val="nil"/>
            </w:tcBorders>
          </w:tcPr>
          <w:p>
            <w:pPr>
              <w:pStyle w:val="Normal6a"/>
            </w:pPr>
            <w:r>
              <w:t>4.</w:t>
            </w:r>
            <w:r>
              <w:tab/>
            </w:r>
            <w:r>
              <w:t xml:space="preserve">fordert alle Interessenträger auf, ihre Bemühungen zur Förderung eines sicheren, integrativen und gerechten Sports zu verstärken, wobei der Schwerpunkt auf der </w:t>
            </w:r>
            <w:r>
              <w:rPr>
                <w:b/>
                <w:i/>
              </w:rPr>
              <w:t>Verbesserung der Zugänglichkeit der Sportinfrastruktur, der</w:t>
            </w:r>
            <w:r>
              <w:t xml:space="preserve"> Förderung der Gleichstellung der Geschlechter </w:t>
            </w:r>
            <w:r>
              <w:rPr>
                <w:b/>
                <w:i/>
              </w:rPr>
              <w:t>und</w:t>
            </w:r>
            <w:r>
              <w:t xml:space="preserve"> der Bekämpfung aller Formen von Gewalt und Belästigung </w:t>
            </w:r>
            <w:r>
              <w:rPr>
                <w:b/>
                <w:i/>
              </w:rPr>
              <w:t>liegt, was insbesondere bedeutet, dass der Zugang zu Sportwettkämpfen von Frauen ausschließlich biologischen Frauen vorbehalten bleiben und Verschleierung bei allen internationalen Sportwettkämpfen verboten werden sollte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fordert alle Interessenträger auf, ihre Bemühungen zur Förderung eines sicheren, integrativen und gerechten Sports zu verstärken, wobei der Schwerpunkt auf der Förderung der Gleichstellung der Geschlechter, der Bekämpfung aller Formen von Gewalt und Belästigung und der Verbesserung der Zugänglichkeit der Sportinfrastruktur liegt;</w:t>
            </w:r>
          </w:p>
        </w:tc>
        <w:tc>
          <w:tcPr>
            <w:tcW w:w="4876" w:type="dxa"/>
            <w:tcBorders>
              <w:top w:val="nil"/>
              <w:left w:val="nil"/>
              <w:bottom w:val="nil"/>
              <w:right w:val="nil"/>
            </w:tcBorders>
          </w:tcPr>
          <w:p>
            <w:pPr>
              <w:pStyle w:val="Normal6a"/>
            </w:pPr>
            <w:r>
              <w:t>4.</w:t>
            </w:r>
            <w:r>
              <w:tab/>
            </w:r>
            <w:r>
              <w:t>fordert alle Interessenträger auf, ihre Bemühungen zur Förderung eines sicheren, integrativen und gerechten Sports zu verstärken, wobei der Schwerpunkt auf der Förderung der Gleichstellung der Geschlechter, der Bekämpfung aller Formen von Gewalt und Belästigung und der Verbesserung der Zugänglichkeit der Sportinfrastruktur liegt</w:t>
            </w:r>
            <w:r>
              <w:rPr>
                <w:b/>
                <w:i/>
              </w:rPr>
              <w:t>, sowie auf der Sicherstellung des gleichberechtigten Zugangs von Menschen mit Behinderungen zu Sporteinrichtungen, -aktivitäten und -ausrüstung, unter anderem durch die Bereitstellung kostenloser oder bezuschusster adaptiver Sportausrüstung, wo diese benötigt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die Zugänglichkeit des Sports über die traditionellen Kontexte hinaus ausgeweitet werden muss, indem in spezielle Sportinfrastruktur und -programme in Gefängnissen, in Aufnahmezentren für Migranten, in Einrichtungen für die psychische Gesundheit und in psychiatrischen Krankenhäusern investiert wird;</w:t>
            </w:r>
            <w:r>
              <w:t xml:space="preserve"> </w:t>
            </w:r>
            <w:r>
              <w:rPr>
                <w:b/>
                <w:i/>
              </w:rPr>
              <w:t>hebt das rehabilitative, integrative und therapeutische Potenzial des Sports in diesen Umgebungen hervor und fordert die Kommission und die Mitgliedstaaten auf, gezielte Projekte im Rahmen von Erasmus+, des ESF+ und der gesundheitsbezogenen EU-Programme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die Kommission auf, größere Investitionen in die Zugänglichkeit der Sportinfrastruktur auf allen Ebenen zu unterstützen, auch durch EU-Mittel, um einen konkreten Beitrag zur Schaffung eines gesünderen Europas zu 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hebt die Rolle des Sports bei der Prävention von Jugendkriminalität, sozialer Isolation und Radikalisierung hervor und fordert, dass Breitensportprogramme unterstützt werden, die auf gefährdete junge Menschen und Menschen mit Behinderungen ausgerichtet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hebt die wesentliche Rolle der körperlichen Aktivität für Kinder und junge Menschen hervor, und betont ihre unmittelbaren und langfristigen Vorteile für die körperliche und geistige Gesundheit </w:t>
            </w:r>
            <w:r>
              <w:rPr>
                <w:b/>
                <w:i/>
              </w:rPr>
              <w:t>sowie ihren Beitrag zur</w:t>
            </w:r>
            <w:r>
              <w:t xml:space="preserve"> Entwicklung </w:t>
            </w:r>
            <w:r>
              <w:rPr>
                <w:b/>
                <w:i/>
              </w:rPr>
              <w:t>der sozialen Kompetenzen und der Lebenskompetenzen junger Menschen</w:t>
            </w:r>
            <w:r>
              <w:t>;</w:t>
            </w:r>
          </w:p>
        </w:tc>
        <w:tc>
          <w:tcPr>
            <w:tcW w:w="4876" w:type="dxa"/>
            <w:tcBorders>
              <w:top w:val="nil"/>
              <w:left w:val="nil"/>
              <w:bottom w:val="nil"/>
              <w:right w:val="nil"/>
            </w:tcBorders>
          </w:tcPr>
          <w:p>
            <w:pPr>
              <w:pStyle w:val="Normal6a"/>
            </w:pPr>
            <w:r>
              <w:t>5.</w:t>
            </w:r>
            <w:r>
              <w:tab/>
            </w:r>
            <w:r>
              <w:t xml:space="preserve">hebt die wesentliche Rolle der körperlichen Aktivität </w:t>
            </w:r>
            <w:r>
              <w:rPr>
                <w:b/>
                <w:i/>
              </w:rPr>
              <w:t>und des strukturierten Schulsports</w:t>
            </w:r>
            <w:r>
              <w:t xml:space="preserve"> für Kinder und junge Menschen hervor, und betont ihre unmittelbaren und langfristigen Vorteile für die körperliche und geistige Gesundheit</w:t>
            </w:r>
            <w:r>
              <w:rPr>
                <w:b/>
                <w:i/>
              </w:rPr>
              <w:t>, die schulische Leistung und die soziale</w:t>
            </w:r>
            <w:r>
              <w:t xml:space="preserve"> Entwicklung</w:t>
            </w:r>
            <w:r>
              <w:rPr>
                <w:b/>
                <w:i/>
              </w:rPr>
              <w:t>;</w:t>
            </w:r>
            <w:r>
              <w:t xml:space="preserve"> </w:t>
            </w:r>
            <w:r>
              <w:rPr>
                <w:b/>
                <w:i/>
              </w:rPr>
              <w:t>fordert verstärkte Investitionen in hochwertigen Sportunterricht und außerschulische Sportprogramme in allen Mitgliedstaaten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hebt die wesentliche Rolle der körperlichen Aktivität für Kinder und junge Menschen hervor, und betont </w:t>
            </w:r>
            <w:r>
              <w:rPr>
                <w:b/>
                <w:i/>
              </w:rPr>
              <w:t>ihre</w:t>
            </w:r>
            <w:r>
              <w:t xml:space="preserve"> unmittelbaren und langfristigen Vorteile für die körperliche und geistige Gesundheit sowie ihren Beitrag zur Entwicklung der sozialen Kompetenzen und der Lebenskompetenzen junger Menschen;</w:t>
            </w:r>
          </w:p>
        </w:tc>
        <w:tc>
          <w:tcPr>
            <w:tcW w:w="4876" w:type="dxa"/>
            <w:tcBorders>
              <w:top w:val="nil"/>
              <w:left w:val="nil"/>
              <w:bottom w:val="nil"/>
              <w:right w:val="nil"/>
            </w:tcBorders>
          </w:tcPr>
          <w:p>
            <w:pPr>
              <w:pStyle w:val="Normal6a"/>
            </w:pPr>
            <w:r>
              <w:t>5.</w:t>
            </w:r>
            <w:r>
              <w:tab/>
            </w:r>
            <w:r>
              <w:t xml:space="preserve">hebt die wesentliche Rolle der körperlichen Aktivität für Kinder und junge Menschen </w:t>
            </w:r>
            <w:r>
              <w:rPr>
                <w:b/>
                <w:i/>
              </w:rPr>
              <w:t>und die Notwendigkeit, sie vor jeder Form des Missbrauchs zu schützen,</w:t>
            </w:r>
            <w:r>
              <w:t xml:space="preserve"> hervor, und betont </w:t>
            </w:r>
            <w:r>
              <w:rPr>
                <w:b/>
                <w:i/>
              </w:rPr>
              <w:t>die</w:t>
            </w:r>
            <w:r>
              <w:t xml:space="preserve"> unmittelbaren und langfristigen Vorteile </w:t>
            </w:r>
            <w:r>
              <w:rPr>
                <w:b/>
                <w:i/>
              </w:rPr>
              <w:t>der körperlichen Aktivität</w:t>
            </w:r>
            <w:r>
              <w:t> für die körperliche und geistige Gesundheit sowie ihren Beitrag zur Entwicklung der sozialen Kompetenzen und der Lebenskompetenzen junger Menschen;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hebt die wesentliche Rolle der körperlichen Aktivität für </w:t>
            </w:r>
            <w:r>
              <w:rPr>
                <w:b/>
                <w:i/>
              </w:rPr>
              <w:t>Kinder und junge Menschen</w:t>
            </w:r>
            <w:r>
              <w:t xml:space="preserve"> hervor, und betont ihre unmittelbaren und langfristigen Vorteile für die körperliche und geistige Gesundheit sowie ihren Beitrag zur Entwicklung der sozialen Kompetenzen und der Lebenskompetenzen junger Menschen;</w:t>
            </w:r>
          </w:p>
        </w:tc>
        <w:tc>
          <w:tcPr>
            <w:tcW w:w="4876" w:type="dxa"/>
            <w:tcBorders>
              <w:top w:val="nil"/>
              <w:left w:val="nil"/>
              <w:bottom w:val="nil"/>
              <w:right w:val="nil"/>
            </w:tcBorders>
          </w:tcPr>
          <w:p>
            <w:pPr>
              <w:pStyle w:val="Normal6a"/>
            </w:pPr>
            <w:r>
              <w:t>5.</w:t>
            </w:r>
            <w:r>
              <w:tab/>
            </w:r>
            <w:r>
              <w:t xml:space="preserve">hebt die wesentliche Rolle der körperlichen Aktivität für </w:t>
            </w:r>
            <w:r>
              <w:rPr>
                <w:b/>
                <w:i/>
              </w:rPr>
              <w:t>Personen jedes Alters</w:t>
            </w:r>
            <w:r>
              <w:t xml:space="preserve"> hervor, und betont ihre unmittelbaren und langfristigen Vorteile für die körperliche und geistige Gesundheit sowie ihren Beitrag zur Entwicklung der sozialen Kompetenzen und der Lebenskompetenzen junger Menschen;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hebt die wesentliche Rolle der körperlichen Aktivität für </w:t>
            </w:r>
            <w:r>
              <w:rPr>
                <w:b/>
                <w:i/>
              </w:rPr>
              <w:t>Kinder und junge Menschen</w:t>
            </w:r>
            <w:r>
              <w:t xml:space="preserve"> hervor, und betont ihre unmittelbaren und langfristigen Vorteile für die körperliche und geistige Gesundheit sowie ihren Beitrag zur Entwicklung der sozialen Kompetenzen und der Lebenskompetenzen </w:t>
            </w:r>
            <w:r>
              <w:rPr>
                <w:b/>
                <w:i/>
              </w:rPr>
              <w:t>junger</w:t>
            </w:r>
            <w:r>
              <w:t xml:space="preserve"> Menschen;</w:t>
            </w:r>
          </w:p>
        </w:tc>
        <w:tc>
          <w:tcPr>
            <w:tcW w:w="4876" w:type="dxa"/>
            <w:tcBorders>
              <w:top w:val="nil"/>
              <w:left w:val="nil"/>
              <w:bottom w:val="nil"/>
              <w:right w:val="nil"/>
            </w:tcBorders>
          </w:tcPr>
          <w:p>
            <w:pPr>
              <w:pStyle w:val="Normal6a"/>
            </w:pPr>
            <w:r>
              <w:t>5.</w:t>
            </w:r>
            <w:r>
              <w:tab/>
            </w:r>
            <w:r>
              <w:t xml:space="preserve">hebt die wesentliche Rolle der körperlichen Aktivität für </w:t>
            </w:r>
            <w:r>
              <w:rPr>
                <w:b/>
                <w:i/>
              </w:rPr>
              <w:t>alle</w:t>
            </w:r>
            <w:r>
              <w:t xml:space="preserve"> hervor, und betont ihre unmittelbaren und langfristigen Vorteile für die körperliche und geistige Gesundheit sowie ihren Beitrag zur Entwicklung </w:t>
            </w:r>
            <w:r>
              <w:rPr>
                <w:b/>
                <w:i/>
              </w:rPr>
              <w:t>und Bewahrung</w:t>
            </w:r>
            <w:r>
              <w:t xml:space="preserve"> der sozialen Kompetenzen und der Lebenskompetenzen </w:t>
            </w:r>
            <w:r>
              <w:rPr>
                <w:b/>
                <w:i/>
              </w:rPr>
              <w:t>der</w:t>
            </w:r>
            <w:r>
              <w:t xml:space="preserve"> Menschen;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hebt die strategische Bedeutung der Schulinfrastruktur als treibende Kraft für die Förderung sportlicher Aktivität unter jungen Menschen hervor und erkennt den doppelten Wert von Schulsporteinrichtungen an, die, wenn sie nach den Kriterien der Barrierefreiheit und Multifunktionalität konzipiert werden, während der Schulzeiten zu schulischen Zwecken genutzt werden und außerhalb der Schulzeiten die Bedürfnisse der lokalen Gemeinschaft decken können;</w:t>
            </w:r>
            <w:r>
              <w:t xml:space="preserve"> </w:t>
            </w:r>
            <w:r>
              <w:rPr>
                <w:b/>
                <w:i/>
              </w:rPr>
              <w:t>fordert die Mitgliedstaaten und die lokalen Behörden daher auf, der Modernisierung und dem Ausbau der schulischen Sportinfrastruktur Vorrang einzuräumen und Vereinbarungen über die gemeinsame Nutzung zwischen Schulen und örtlichen Sportorganisationen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der Schutz von Kindern im Sport äußerst wichtig ist, und fordert die Kommission und die Mitgliedstaaten auf, einen europäischen Zertifizierungs- oder Überprüfungsmechanismus für alle Fachkräfte einzuführen, die eng mit Kindern und Jugendlichen im Sport zusammenarbeiten, einschließlich Trainern, technischem Personal, Physiotherapeuten, Fahrern und Hilfskräften, um sicherzustellen, dass Personen, denen sexueller Missbrauch, Belästigung oder die Ausbeutung von Kindern nachgewiesen wurde, von derartigen Funktionen ausgeschlossen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dass erfolgreiche Sportler stärker in Sportinitiativen auf EU-Ebene einbezogen werden, wobei ihr positiver Einfluss auf die Förderung einer gesunden Lebensweise und als Inspiration junger Menschen zur Beteiligung am Sport anerkannt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erkennt an, dass der Breitensport in Europa durch ein starkes zivilgesellschaftliches Engagement mit in der Gemeinschaft verwurzelten Vereinen und Verbänden gekennzeichnet ist, die auf Freiwilligentätigkeit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Minderjährige davor geschützt werden müssen, von sozialen Medien abhängig zu werden, da dies zu zahlreichen Gesundheitsproblemen führt und weniger Zeit für körperliche Betätigung lässt;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betont, dass finanzielle und strukturelle Hindernisse für die Beteiligung von Menschen mit Behinderungen am Sport beseitigt werden müssen, unter anderem durch spezielle Finanzierungsquellen auf EU-Ebene und nationaler Ebene, um kostenlosen oder kostengünstigen Zugang zu angepasster Sportausrüstung, Transportmitteln und Einrichtungen, die auf ihre Bedürfnisse zugeschnitten sind, zu bieten;</w:t>
            </w:r>
            <w:r>
              <w:t xml:space="preserve"> </w:t>
            </w:r>
            <w:r>
              <w:rPr>
                <w:b/>
                <w:i/>
              </w:rPr>
              <w:t>fordert die Aufnahme von Barrierefreiheitsanforderungen in Projekte zur Planung und Renovierung öffentlicher Sportinfrastruktur;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schlägt vor, dass im Rahmen des Programms Erasmus+ oder als spezielles EU-Pilotprojekt eine Initiative mit dem Titel „European School Champions“ geschaffen wird, um Exzellenz, Inklusion und Fairplay im Schulsport zu fördern;</w:t>
            </w:r>
            <w:r>
              <w:t xml:space="preserve"> </w:t>
            </w:r>
            <w:r>
              <w:rPr>
                <w:b/>
                <w:i/>
              </w:rPr>
              <w:t>weist darauf hin, dass ein solches Programm nationale und grenzüberschreitende Wettbewerbe, die Unterstützung von Schulbreitensportvereinen und eine gezielte Finanzierung von Schulen in benachteiligten Gebieten, einschließlich solcher für Kinder mit Behinderungen, umfassen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hebt die präventive und schützende Rolle hervor, die dem Sport zukommt, wenn es darum geht, gegen Gewalt, Kriminalität und Radikalisierung unter jungen Menschen vorzugehen;</w:t>
            </w:r>
            <w:r>
              <w:t xml:space="preserve"> </w:t>
            </w:r>
            <w:r>
              <w:rPr>
                <w:b/>
                <w:i/>
              </w:rPr>
              <w:t>fordert die Mitgliedstaaten und die lokalen Behörden auf, sportbasierte Maßnahmen in die Strategien zur Jugendarbeit aufzunehmen, insbesondere in benachteiligten oder risikoreichen Gemeinschaften;</w:t>
            </w:r>
            <w:r>
              <w:t xml:space="preserve"> </w:t>
            </w:r>
            <w:r>
              <w:rPr>
                <w:b/>
                <w:i/>
              </w:rPr>
              <w:t>fordert die Kommission auf, Pilotprojekte und grenzüberschreitende Initiativen zu unterstützen, bei denen Sport als Instrument für die soziale Inklusion, Konfliktlösung und Gewaltprävention unter jungen Menschen eingesetzt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die entscheidende Rolle der Freiwilligen im Sport, und fordert die Kommission </w:t>
            </w:r>
            <w:r>
              <w:rPr>
                <w:b/>
                <w:i/>
              </w:rPr>
              <w:t>auf, gemeinsam mit den</w:t>
            </w:r>
            <w:r>
              <w:t xml:space="preserve"> Mitgliedstaaten Empfehlungen </w:t>
            </w:r>
            <w:r>
              <w:rPr>
                <w:b/>
                <w:i/>
              </w:rPr>
              <w:t>für</w:t>
            </w:r>
            <w:r>
              <w:t xml:space="preserve"> die Freiwilligentätigkeit im Sport </w:t>
            </w:r>
            <w:r>
              <w:rPr>
                <w:b/>
                <w:i/>
              </w:rPr>
              <w:t>auszuarbeiten</w:t>
            </w:r>
            <w:r>
              <w:t>;</w:t>
            </w:r>
          </w:p>
        </w:tc>
        <w:tc>
          <w:tcPr>
            <w:tcW w:w="4876" w:type="dxa"/>
            <w:tcBorders>
              <w:top w:val="nil"/>
              <w:left w:val="nil"/>
              <w:bottom w:val="nil"/>
              <w:right w:val="nil"/>
            </w:tcBorders>
          </w:tcPr>
          <w:p>
            <w:pPr>
              <w:pStyle w:val="Normal6a"/>
            </w:pPr>
            <w:r>
              <w:t>6.</w:t>
            </w:r>
            <w:r>
              <w:tab/>
            </w:r>
            <w:r>
              <w:t xml:space="preserve">betont die entscheidende Rolle der Freiwilligen im Sport, und fordert die Kommission </w:t>
            </w:r>
            <w:r>
              <w:rPr>
                <w:b/>
                <w:i/>
              </w:rPr>
              <w:t>und die</w:t>
            </w:r>
            <w:r>
              <w:t xml:space="preserve"> Mitgliedstaaten </w:t>
            </w:r>
            <w:r>
              <w:rPr>
                <w:b/>
                <w:i/>
              </w:rPr>
              <w:t>auf, gemeinsame</w:t>
            </w:r>
            <w:r>
              <w:t xml:space="preserve"> Empfehlungen </w:t>
            </w:r>
            <w:r>
              <w:rPr>
                <w:b/>
                <w:i/>
              </w:rPr>
              <w:t>auszuarbeiten, um</w:t>
            </w:r>
            <w:r>
              <w:t xml:space="preserve"> die Freiwilligentätigkeit im Sport </w:t>
            </w:r>
            <w:r>
              <w:rPr>
                <w:b/>
                <w:i/>
              </w:rPr>
              <w:t>zu unterstützen und zu fördern, unter anderem durch die Stärkung der Rolle des Fonds für das Europäische Solidaritätskorps und anderer einschlägiger EU-Instrumente, insbesondere auf Breitensportebene</w:t>
            </w:r>
            <w:r>
              <w:t xml:space="preserve">; </w:t>
            </w:r>
            <w:r>
              <w:rPr>
                <w:b/>
                <w:i/>
              </w:rPr>
              <w:t>spricht sich dafür aus, die Finanzierung und Sichtbarkeit sportbezogener Freiwilligentätigkeiten zu erhöhen, wobei ein Schwerpunkt auf Inklusion, generationenübergreifender Zusammenarbeit und grenzüberschreitender Mobilität liegen sollte, und betont, dass es wichtig ist, die von Freiwilligen im Sport erworbenen Kompetenzen durch formelle Zertifizierungs- und Ausbildungsmöglichkeiten anzuerkennen und zu validieren;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betont die entscheidende Rolle der Freiwilligen im Sport, und fordert die Kommission auf, gemeinsam mit den Mitgliedstaaten Empfehlungen für die Freiwilligentätigkeit im Sport auszuarbeiten;</w:t>
            </w:r>
          </w:p>
        </w:tc>
        <w:tc>
          <w:tcPr>
            <w:tcW w:w="4876" w:type="dxa"/>
            <w:tcBorders>
              <w:top w:val="nil"/>
              <w:left w:val="nil"/>
              <w:bottom w:val="nil"/>
              <w:right w:val="nil"/>
            </w:tcBorders>
          </w:tcPr>
          <w:p>
            <w:pPr>
              <w:pStyle w:val="Normal6a"/>
            </w:pPr>
            <w:r>
              <w:t>6.</w:t>
            </w:r>
            <w:r>
              <w:tab/>
            </w:r>
            <w:r>
              <w:t xml:space="preserve">betont die entscheidende Rolle der Freiwilligen im Sport </w:t>
            </w:r>
            <w:r>
              <w:rPr>
                <w:b/>
                <w:i/>
              </w:rPr>
              <w:t>(einschließlich Trainern)</w:t>
            </w:r>
            <w:r>
              <w:t>, und fordert die Kommission auf, gemeinsam mit den Mitgliedstaaten Empfehlungen für die Freiwilligentätigkeit im Sport auszuarbeiten</w:t>
            </w:r>
            <w:r>
              <w:rPr>
                <w:b/>
                <w:i/>
              </w:rPr>
              <w:t>, die entweder einen speziellen Fonds oder ein Solidaritätsprogramm zur Umverteilung von Mitteln an den Breitensport für Freiwilligentätigkeiten umfassen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betont die entscheidende Rolle der Freiwilligen im Sport</w:t>
            </w:r>
            <w:r>
              <w:rPr>
                <w:b/>
                <w:i/>
              </w:rPr>
              <w:t>,</w:t>
            </w:r>
            <w:r>
              <w:t xml:space="preserve"> und fordert die Kommission </w:t>
            </w:r>
            <w:r>
              <w:rPr>
                <w:b/>
                <w:i/>
              </w:rPr>
              <w:t>auf, gemeinsam mit den</w:t>
            </w:r>
            <w:r>
              <w:t xml:space="preserve"> Mitgliedstaaten </w:t>
            </w:r>
            <w:r>
              <w:rPr>
                <w:b/>
                <w:i/>
              </w:rPr>
              <w:t>Empfehlungen für</w:t>
            </w:r>
            <w:r>
              <w:t xml:space="preserve"> die Freiwilligentätigkeit im Sport </w:t>
            </w:r>
            <w:r>
              <w:rPr>
                <w:b/>
                <w:i/>
              </w:rPr>
              <w:t>auszuarbeiten</w:t>
            </w:r>
            <w:r>
              <w:t>;</w:t>
            </w:r>
          </w:p>
        </w:tc>
        <w:tc>
          <w:tcPr>
            <w:tcW w:w="4876" w:type="dxa"/>
            <w:tcBorders>
              <w:top w:val="nil"/>
              <w:left w:val="nil"/>
              <w:bottom w:val="nil"/>
              <w:right w:val="nil"/>
            </w:tcBorders>
          </w:tcPr>
          <w:p>
            <w:pPr>
              <w:pStyle w:val="Normal6a"/>
            </w:pPr>
            <w:r>
              <w:t>6.</w:t>
            </w:r>
            <w:r>
              <w:tab/>
            </w:r>
            <w:r>
              <w:t xml:space="preserve">betont die entscheidende Rolle der Freiwilligen im Sport und fordert die Kommission </w:t>
            </w:r>
            <w:r>
              <w:rPr>
                <w:b/>
                <w:i/>
              </w:rPr>
              <w:t>und die</w:t>
            </w:r>
            <w:r>
              <w:t xml:space="preserve"> Mitgliedstaaten </w:t>
            </w:r>
            <w:r>
              <w:rPr>
                <w:b/>
                <w:i/>
              </w:rPr>
              <w:t>auf,</w:t>
            </w:r>
            <w:r>
              <w:t xml:space="preserve"> die Freiwilligentätigkeit im Sport </w:t>
            </w:r>
            <w:r>
              <w:rPr>
                <w:b/>
                <w:i/>
              </w:rPr>
              <w:t>konkret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es wichtig ist, Sport und körperliche Aktivität bei älteren Menschen zu fördern, um die körperliche und geistige Gesundheit zu verbessern, die soziale Isolation zu verringern und ein gesundes Altern zu unterstützen;</w:t>
            </w:r>
            <w:r>
              <w:t xml:space="preserve"> </w:t>
            </w:r>
            <w:r>
              <w:rPr>
                <w:b/>
                <w:i/>
              </w:rPr>
              <w:t>fordert die Kommission und die Mitgliedstaaten auf, altersfreundliche Sportinitiativen zu fördern und Mittel für lokale Programme und angepasste Infrastruktur bereitzustellen, die es älteren Erwachsenen ermöglichen, durch Sport aktiv, vernetzt und in die Gemeinschaft eingebunden zu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und die Mitgliedstaaten auf, die Forschung, Datenerhebung und faktengestützte Politikgestaltung zu unterstützen, um die Rolle des Sports als treibende Kraft für einen positiven sozialen Wandel und als wesentlichen Beitrag zu den politischen Zielen der EU besser zu verstehen und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die Entwicklung von Sportinfrastruktur in europäischen Schulen und Universitäten gefördert werden muss, um eine Sportkultur zu schaffen, die mit jener der Vereinigten Staaten vergleichbar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betont, dass junge talentierte Sportler mehr Anerkennung bekommen und während ihrer gesamten Laufbahn unterstützt sowie eine vielversprechende Zukunft im Sportbereich gefördert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hebt den grundlegenden Stellenwert des Grundsatzes der Solidarität hervor, wenn es darum geht, dafür Sorge zu tragen, dass der Sport den Interessen aller und nicht den Gewinnen einiger weniger dient, und bekräftigt, dass die Verbindung zwischen Profi- und Breitensport durch wirksamere Solidaritätsmechanismen gestärkt werden muss;</w:t>
            </w:r>
          </w:p>
        </w:tc>
        <w:tc>
          <w:tcPr>
            <w:tcW w:w="4876" w:type="dxa"/>
            <w:tcBorders>
              <w:top w:val="nil"/>
              <w:left w:val="nil"/>
              <w:bottom w:val="nil"/>
              <w:right w:val="nil"/>
            </w:tcBorders>
          </w:tcPr>
          <w:p>
            <w:pPr>
              <w:pStyle w:val="Normal6a"/>
            </w:pPr>
            <w:r>
              <w:t>7.</w:t>
            </w:r>
            <w:r>
              <w:tab/>
            </w:r>
            <w:r>
              <w:t>hebt den grundlegenden Stellenwert des Grundsatzes der Solidarität hervor, wenn es darum geht, dafür Sorge zu tragen, dass der Sport den Interessen aller und nicht den Gewinnen einiger weniger dient, und bekräftigt, dass die Verbindung zwischen Profi- und Breitensport durch wirksamere Solidaritätsmechanismen</w:t>
            </w:r>
            <w:r>
              <w:rPr>
                <w:b/>
                <w:i/>
              </w:rPr>
              <w:t>, die strategisch als Mittel zur Optimierung der Entwicklung eingesetzt werden,</w:t>
            </w:r>
            <w:r>
              <w:t xml:space="preserve"> gestärkt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hebt den grundlegenden Stellenwert des Grundsatzes der Solidarität hervor, wenn es darum geht, dafür Sorge zu tragen, dass der Sport den Interessen aller </w:t>
            </w:r>
            <w:r>
              <w:rPr>
                <w:b/>
                <w:i/>
              </w:rPr>
              <w:t>und nicht den Gewinnen einiger weniger</w:t>
            </w:r>
            <w:r>
              <w:t xml:space="preserve"> dient, und bekräftigt, dass die Verbindung zwischen Profi- und Breitensport durch wirksamere Solidaritätsmechanismen gestärkt werden muss;</w:t>
            </w:r>
          </w:p>
        </w:tc>
        <w:tc>
          <w:tcPr>
            <w:tcW w:w="4876" w:type="dxa"/>
            <w:tcBorders>
              <w:top w:val="nil"/>
              <w:left w:val="nil"/>
              <w:bottom w:val="nil"/>
              <w:right w:val="nil"/>
            </w:tcBorders>
          </w:tcPr>
          <w:p>
            <w:pPr>
              <w:pStyle w:val="Normal6a"/>
            </w:pPr>
            <w:r>
              <w:t>7.</w:t>
            </w:r>
            <w:r>
              <w:tab/>
            </w:r>
            <w:r>
              <w:t>hebt den grundlegenden Stellenwert des Grundsatzes der Solidarität hervor, wenn es darum geht, dafür Sorge zu tragen, dass der Sport den Interessen aller dient, und bekräftigt, dass die Verbindung zwischen Profi- und Breitensport durch wirksamere Solidaritätsmechanismen gestärkt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bekräftigt, dass die Teilnahme an europäischen Ligen und Wettbewerben im Einklang mit den zentralen Grundsätzen des europäischen Sportmodells auf sportlichen Leistungen und offenem Wettstreit beruhen sollte;</w:t>
            </w:r>
            <w:r>
              <w:t xml:space="preserve"> </w:t>
            </w:r>
            <w:r>
              <w:rPr>
                <w:b/>
                <w:i/>
              </w:rPr>
              <w:t>spricht sich gegen geschlossene oder abtrünnige Systeme aus, durch die der faire Zugang und die Entwicklung kleinerer Vereine untergraben werden;</w:t>
            </w:r>
            <w:r>
              <w:t xml:space="preserve"> </w:t>
            </w:r>
            <w:r>
              <w:rPr>
                <w:b/>
                <w:i/>
              </w:rPr>
              <w:t>fordert die Leitungsgremien im Sport und die EU-Organe auf, dafür zu sorgen, dass die Kriterien für den Zugang zu Ligen auf Transparenz, Fairness und dem Leistungsprinzip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 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fordert die Kommission in diesem Zusammenhang auf, Leitlinien auszuarbeiten, um Freiwillige im Sport sowohl für den Breitensport als auch für den Profisport zu gewinnen, anzuerkennen und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Kommission in diesem Zusammenhang auf, die Rechtssicherheit für die Leitungsgremien im Sport zu unterstützen und das Erfordernis von Umverteilungsmechanismen zwischen großen und kleinen Ligen oder Wettbewerben und in verschiedenen Disziplinen, einschließlich des Jugendsports, zu prüfen;</w:t>
            </w:r>
          </w:p>
        </w:tc>
        <w:tc>
          <w:tcPr>
            <w:tcW w:w="4876" w:type="dxa"/>
            <w:tcBorders>
              <w:top w:val="nil"/>
              <w:left w:val="nil"/>
              <w:bottom w:val="nil"/>
              <w:right w:val="nil"/>
            </w:tcBorders>
          </w:tcPr>
          <w:p>
            <w:pPr>
              <w:pStyle w:val="Normal6a"/>
            </w:pPr>
            <w:r>
              <w:t>9.</w:t>
            </w:r>
            <w:r>
              <w:tab/>
            </w:r>
            <w:r>
              <w:t xml:space="preserve">fordert die Kommission in diesem Zusammenhang auf, die Rechtssicherheit für die Leitungsgremien im Sport zu unterstützen und das Erfordernis von Umverteilungsmechanismen zwischen großen und kleinen Ligen oder Wettbewerben und in verschiedenen Disziplinen, einschließlich des Jugendsports, zu prüfen; </w:t>
            </w:r>
            <w:r>
              <w:rPr>
                <w:b/>
                <w:i/>
              </w:rPr>
              <w:t>unterstützt ein offenes und inklusives Konsultationsverfahren, auch mit der Kommission, zu den notwendigen Verbesserungen der Transfervorschriften für Leitungsgremien im Sport, um die Regelmäßigkeit, Transparenz und Integrität internationaler Wettbewerbe zu gewährleisten;</w:t>
            </w:r>
            <w:r>
              <w:t xml:space="preserve"> </w:t>
            </w:r>
            <w:r>
              <w:rPr>
                <w:b/>
                <w:i/>
              </w:rPr>
              <w:t>betont, dass solche Reformen mit den jüngsten Urteilen des Europäischen Gerichtshofs im Einklang stehen, die Einhaltung des EU-Rechts sicherstellen und faire Chancen für alle Vereine und Sportler fördern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Kommission in diesem Zusammenhang auf, die Rechtssicherheit für die Leitungsgremien im Sport zu unterstützen und das Erfordernis von Umverteilungsmechanismen zwischen großen und kleinen Ligen oder Wettbewerben und in verschiedenen Disziplinen, einschließlich des Jugendsports, zu prüfen;</w:t>
            </w:r>
          </w:p>
        </w:tc>
        <w:tc>
          <w:tcPr>
            <w:tcW w:w="4876" w:type="dxa"/>
            <w:tcBorders>
              <w:top w:val="nil"/>
              <w:left w:val="nil"/>
              <w:bottom w:val="nil"/>
              <w:right w:val="nil"/>
            </w:tcBorders>
          </w:tcPr>
          <w:p>
            <w:pPr>
              <w:pStyle w:val="Normal6a"/>
            </w:pPr>
            <w:r>
              <w:t>9.</w:t>
            </w:r>
            <w:r>
              <w:tab/>
            </w:r>
            <w:r>
              <w:t xml:space="preserve">fordert die Kommission in diesem Zusammenhang auf, die Rechtssicherheit für die Leitungsgremien im Sport zu unterstützen und das Erfordernis von Umverteilungsmechanismen zwischen großen und kleinen Ligen oder Wettbewerben und </w:t>
            </w:r>
            <w:r>
              <w:rPr>
                <w:b/>
                <w:i/>
              </w:rPr>
              <w:t>Breitensportvereinen und</w:t>
            </w:r>
            <w:r>
              <w:t xml:space="preserve"> in verschiedenen Disziplinen, einschließlich des Jugendsports,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Kommission in diesem Zusammenhang auf, die Rechtssicherheit für die Leitungsgremien im Sport zu unterstützen und das Erfordernis von Umverteilungsmechanismen zwischen großen und kleinen Ligen oder Wettbewerben und in verschiedenen Disziplinen, einschließlich des Jugendsports, zu prüfen;</w:t>
            </w:r>
          </w:p>
        </w:tc>
        <w:tc>
          <w:tcPr>
            <w:tcW w:w="4876" w:type="dxa"/>
            <w:tcBorders>
              <w:top w:val="nil"/>
              <w:left w:val="nil"/>
              <w:bottom w:val="nil"/>
              <w:right w:val="nil"/>
            </w:tcBorders>
          </w:tcPr>
          <w:p>
            <w:pPr>
              <w:pStyle w:val="Normal6a"/>
            </w:pPr>
            <w:r>
              <w:t>9.</w:t>
            </w:r>
            <w:r>
              <w:tab/>
            </w:r>
            <w:r>
              <w:t>fordert die Kommission in diesem Zusammenhang auf, die Rechtssicherheit für die Leitungsgremien im Sport zu unterstützen und das Erfordernis von Umverteilungsmechanismen zwischen großen und kleinen Ligen</w:t>
            </w:r>
            <w:r>
              <w:rPr>
                <w:b/>
                <w:i/>
              </w:rPr>
              <w:t>, Vereinen</w:t>
            </w:r>
            <w:r>
              <w:t xml:space="preserve"> oder Wettbewerben und in verschiedenen Disziplinen, einschließlich des Jugendsports,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Profisportmannschaften und -ligen auf, sich im Rahmen strukturierter Solidaritätsmechanismen zur finanziellen Unterstützung von Jugend- und Breitensportakademien, insbesondere solcher im Rahmen von semiprofessionellen Strukturen oder Amateurstrukturen, zu verpflichten;</w:t>
            </w:r>
            <w:r>
              <w:t xml:space="preserve"> </w:t>
            </w:r>
            <w:r>
              <w:rPr>
                <w:b/>
                <w:i/>
              </w:rPr>
              <w:t>betont, dass die erneute Investition eines Teils der Einnahmen in die Talententwicklung, örtliche Trainingszentren und inklusive Akademien von wesentlicher Bedeutung ist, um die langfristige Wettbewerbsfähigkeit, die soziale Verantwortung und die Chancengleichheit innerhalb des Sportökosystems zu bewahren;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die Mittel für </w:t>
            </w:r>
            <w:r>
              <w:rPr>
                <w:b/>
                <w:i/>
              </w:rPr>
              <w:t>den</w:t>
            </w:r>
            <w:r>
              <w:t xml:space="preserve"> Sport weiter aufgestockt werden müssen, insbesondere im Rahmen des neuen Programms Erasmus+ für den Zeitraum 2028-2034, und dass weitere Synergieeffekte zwischen anderen Programmen und Fonds unterstützt werden müssen;</w:t>
            </w:r>
          </w:p>
        </w:tc>
        <w:tc>
          <w:tcPr>
            <w:tcW w:w="4876" w:type="dxa"/>
            <w:tcBorders>
              <w:top w:val="nil"/>
              <w:left w:val="nil"/>
              <w:bottom w:val="nil"/>
              <w:right w:val="nil"/>
            </w:tcBorders>
          </w:tcPr>
          <w:p>
            <w:pPr>
              <w:pStyle w:val="Normal6a"/>
            </w:pPr>
            <w:r>
              <w:t>10.</w:t>
            </w:r>
            <w:r>
              <w:tab/>
            </w:r>
            <w:r>
              <w:t xml:space="preserve">betont, dass die Mittel für Sport </w:t>
            </w:r>
            <w:r>
              <w:rPr>
                <w:b/>
                <w:i/>
              </w:rPr>
              <w:t>und körperliche Aktivität</w:t>
            </w:r>
            <w:r>
              <w:t xml:space="preserve"> weiter aufgestockt werden müssen, insbesondere im Rahmen des neuen Programms Erasmus+ für den Zeitraum 2028-2034, </w:t>
            </w:r>
            <w:r>
              <w:rPr>
                <w:b/>
                <w:i/>
              </w:rPr>
              <w:t>wobei sicherzustellen ist, dass bei dieser Förderung Initiativen Vorrang eingeräumt wird, die mit den Grundsätzen der sozialen Inklusion, der Gleichstellung der Geschlechter, der ökologischen Nachhaltigkeit und des Zugangs für marginalisierte Gemeinschaften im Einklang stehen,</w:t>
            </w:r>
            <w:r>
              <w:t xml:space="preserve"> und dass weitere Synergieeffekte zwischen anderen Programmen und Fonds unterstützt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die Mittel für den Sport </w:t>
            </w:r>
            <w:r>
              <w:rPr>
                <w:b/>
                <w:i/>
              </w:rPr>
              <w:t>weiter aufgestockt</w:t>
            </w:r>
            <w:r>
              <w:t xml:space="preserve"> werden </w:t>
            </w:r>
            <w:r>
              <w:rPr>
                <w:b/>
                <w:i/>
              </w:rPr>
              <w:t>müssen, insbesondere</w:t>
            </w:r>
            <w:r>
              <w:t xml:space="preserve"> im Rahmen des neuen Programms Erasmus+ für den Zeitraum 2028-2034, und dass weitere Synergieeffekte zwischen anderen Programmen und Fonds unterstützt werden müssen;</w:t>
            </w:r>
          </w:p>
        </w:tc>
        <w:tc>
          <w:tcPr>
            <w:tcW w:w="4876" w:type="dxa"/>
            <w:tcBorders>
              <w:top w:val="nil"/>
              <w:left w:val="nil"/>
              <w:bottom w:val="nil"/>
              <w:right w:val="nil"/>
            </w:tcBorders>
          </w:tcPr>
          <w:p>
            <w:pPr>
              <w:pStyle w:val="Normal6a"/>
            </w:pPr>
            <w:r>
              <w:t>10.</w:t>
            </w:r>
            <w:r>
              <w:tab/>
            </w:r>
            <w:r>
              <w:t xml:space="preserve">betont, dass die </w:t>
            </w:r>
            <w:r>
              <w:rPr>
                <w:b/>
                <w:i/>
              </w:rPr>
              <w:t>wirksame Verwendung der</w:t>
            </w:r>
            <w:r>
              <w:t xml:space="preserve"> Mittel für den Sport </w:t>
            </w:r>
            <w:r>
              <w:rPr>
                <w:b/>
                <w:i/>
              </w:rPr>
              <w:t>besser kontrolliert</w:t>
            </w:r>
            <w:r>
              <w:t xml:space="preserve"> werden </w:t>
            </w:r>
            <w:r>
              <w:rPr>
                <w:b/>
                <w:i/>
              </w:rPr>
              <w:t>muss, wobei die Verwendung transparenter werden muss, einschließlich</w:t>
            </w:r>
            <w:r>
              <w:t xml:space="preserve"> im Rahmen des neuen Programms Erasmus+ für den Zeitraum 2028-2034, und dass weitere Synergieeffekte zwischen anderen Programmen und Fonds unterstützt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die Mittel für den Sport weiter aufgestockt werden müssen, insbesondere im Rahmen des neuen Programms Erasmus+ für den Zeitraum 2028-2034, und dass weitere Synergieeffekte zwischen anderen Programmen und Fonds unterstützt werden müssen;</w:t>
            </w:r>
          </w:p>
        </w:tc>
        <w:tc>
          <w:tcPr>
            <w:tcW w:w="4876" w:type="dxa"/>
            <w:tcBorders>
              <w:top w:val="nil"/>
              <w:left w:val="nil"/>
              <w:bottom w:val="nil"/>
              <w:right w:val="nil"/>
            </w:tcBorders>
          </w:tcPr>
          <w:p>
            <w:pPr>
              <w:pStyle w:val="Normal6a"/>
            </w:pPr>
            <w:r>
              <w:t>10.</w:t>
            </w:r>
            <w:r>
              <w:tab/>
            </w:r>
            <w:r>
              <w:t>betont, dass die Mittel für den Sport weiter aufgestockt werden müssen, insbesondere im Rahmen des neuen Programms Erasmus+ für den Zeitraum 2028-2034, und dass weitere Synergieeffekte zwischen anderen Programmen und Fonds</w:t>
            </w:r>
            <w:r>
              <w:rPr>
                <w:b/>
                <w:i/>
              </w:rPr>
              <w:t>, insbesondere dem ESF+ und den Kohäsionsfonds,</w:t>
            </w:r>
            <w:r>
              <w:t xml:space="preserve"> unterstützt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die Mittel für den Sport </w:t>
            </w:r>
            <w:r>
              <w:rPr>
                <w:b/>
                <w:i/>
              </w:rPr>
              <w:t>weiter</w:t>
            </w:r>
            <w:r>
              <w:t xml:space="preserve"> aufgestockt werden müssen, insbesondere im Rahmen des neuen Programms Erasmus+ für den Zeitraum 2028-2034, und dass weitere Synergieeffekte zwischen anderen Programmen und Fonds unterstützt werden müssen;</w:t>
            </w:r>
          </w:p>
        </w:tc>
        <w:tc>
          <w:tcPr>
            <w:tcW w:w="4876" w:type="dxa"/>
            <w:tcBorders>
              <w:top w:val="nil"/>
              <w:left w:val="nil"/>
              <w:bottom w:val="nil"/>
              <w:right w:val="nil"/>
            </w:tcBorders>
          </w:tcPr>
          <w:p>
            <w:pPr>
              <w:pStyle w:val="Normal6a"/>
            </w:pPr>
            <w:r>
              <w:t>10.</w:t>
            </w:r>
            <w:r>
              <w:tab/>
            </w:r>
            <w:r>
              <w:t xml:space="preserve">betont, dass die Mittel für den Sport </w:t>
            </w:r>
            <w:r>
              <w:rPr>
                <w:b/>
                <w:i/>
              </w:rPr>
              <w:t>erheblich</w:t>
            </w:r>
            <w:r>
              <w:t xml:space="preserve"> aufgestockt werden müssen, insbesondere im Rahmen des neuen Programms Erasmus+ für den Zeitraum 2028-2034, und dass weitere Synergieeffekte zwischen anderen Programmen und Fonds unterstützt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Kommission und die Mitgliedstaaten auf, dem Schulsport im Rahmen der nationalen Bildungs- und Gesundheitsstrategien Vorrang einzuräumen und dafür zu sorgen, dass EU-Mittel wie Erasmus+, der ESF+ und die Aufbau- und Resilienzfazilität genutzt werden, um eine inklusive Sportinfrastruktur in Schulen aufzubauen, Sportlehrer auszubilden und regionale und EU-weite Wettbewerbe zwischen Schulen zu organisieren;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es eines strategischen Ansatzes für Investitionen in die Sportinfrastruktur mit besonderem Schwerpunkt auf ländlichen und benachteiligten Gegenden bedarf, und fordert die Kommission auf, den Zugang zu den europäischen Struktur- und Investitionsfonds für Sportinfrastrukturprojekte, die eine starke wirtschaftliche, soziale und ökologische Wirkung haben,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der Aufbau einer zugänglichen und sicheren Sportinfrastruktur durch die Verwendung von EU-Mitteln unterstützt werden muss, auch im Rahmen des Mehrjährigen Finanzrahmens 2028-2034, da dies eine grundlegende Voraussetzung für die Verwirklichung der Werte und Ziele des europäischen Sportmodells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Hélder Sousa Silva, Bogdan Andrzej Zdrojewski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junge Menschen, die sportliche Laufbahnen verfolgen, durch Training, Mentoring und Mobilität unterstützt werden müssen, und fordert die Kommission und die Mitgliedstaaten nachdrücklich auf, dafür zu sorgen, dass im Rahmen von Erasmus+ Projekte unterstützt werden, die auf die Entwicklung von Laufbahnen in den Bereichen Coaching, Sportmanagement und Freiwilligentätigkeit ausgerichtet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nimmt die Vorreiterrolle des Programms Erasmus+ bei der finanziellen Unterstützung von Organisationen des Breitensports und die positiven Auswirkungen des Programms auf die Bürgerinnen und Bürger und die Gesellschaft zur Kenntnis;</w:t>
            </w:r>
          </w:p>
        </w:tc>
        <w:tc>
          <w:tcPr>
            <w:tcW w:w="4876" w:type="dxa"/>
            <w:tcBorders>
              <w:top w:val="nil"/>
              <w:left w:val="nil"/>
              <w:bottom w:val="nil"/>
              <w:right w:val="nil"/>
            </w:tcBorders>
          </w:tcPr>
          <w:p>
            <w:pPr>
              <w:pStyle w:val="Normal6a"/>
            </w:pPr>
            <w:r>
              <w:t>11.</w:t>
            </w:r>
            <w:r>
              <w:tab/>
            </w:r>
            <w:r>
              <w:t xml:space="preserve">nimmt die Vorreiterrolle des Programms Erasmus+ bei der finanziellen Unterstützung von Organisationen des Breitensports und die positiven Auswirkungen des Programms auf die Bürgerinnen und Bürger und die Gesellschaft zur Kenntnis; </w:t>
            </w:r>
            <w:r>
              <w:rPr>
                <w:b/>
                <w:i/>
              </w:rPr>
              <w:t>betont, dass im Rahmen von Erasmus+ und anderen einschlägigen EU-Programmen spezifische Mittel für inklusive Sportinitiativen, die sich an Menschen mit Behinderungen richten, vorgesehen werden müssen, auch für die Bereitstellung kostenloser oder angepasster Ausrüstung und die Ausbildung inklusiver Sporttrainer;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nimmt die Vorreiterrolle des Programms Erasmus+ bei der finanziellen Unterstützung von Organisationen des Breitensports und die positiven Auswirkungen des Programms auf die Bürgerinnen und Bürger und die Gesellschaft zur Kenntnis;</w:t>
            </w:r>
          </w:p>
        </w:tc>
        <w:tc>
          <w:tcPr>
            <w:tcW w:w="4876" w:type="dxa"/>
            <w:tcBorders>
              <w:top w:val="nil"/>
              <w:left w:val="nil"/>
              <w:bottom w:val="nil"/>
              <w:right w:val="nil"/>
            </w:tcBorders>
          </w:tcPr>
          <w:p>
            <w:pPr>
              <w:pStyle w:val="Normal6a"/>
            </w:pPr>
            <w:r>
              <w:t>11.</w:t>
            </w:r>
            <w:r>
              <w:tab/>
            </w:r>
            <w:r>
              <w:t xml:space="preserve">nimmt die </w:t>
            </w:r>
            <w:r>
              <w:rPr>
                <w:b/>
                <w:i/>
              </w:rPr>
              <w:t>mögliche</w:t>
            </w:r>
            <w:r>
              <w:t xml:space="preserve"> Vorreiterrolle des Programms Erasmus+ bei der finanziellen Unterstützung von Organisationen des Breitensports und die positiven Auswirkungen des Programms auf die Bürgerinnen und Bürger und die Gesellschaft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Kommission auf, zugängliche und umfangreiche Finanzierungsprogramme für Sportvereine mit klaren und zugänglichen Mechanismen vorzusehen, durch die sichergestellt wird, dass die für Sportvereine vorgesehenen Mittel die Breitensportebene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Kommission auf, zugängliche und umfangreiche Finanzierungsprogramme für Sportvereine mit klaren und zugänglichen Mechanismen vorzusehen, durch die sichergestellt wird, dass die für Sportvereine vorgesehenen Mittel die Breitensportebene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ist der Ansicht, dass Vorschriften über die finanzielle Tragfähigkeit im Sport von wesentlicher Bedeutung sind, und betont, dass diese Maßnahmen wirksam durchgesetzt und aktualisiert werden müssen, dazu gehören auch angemessene Kontrollen der Spielergehälter </w:t>
            </w:r>
            <w:r>
              <w:rPr>
                <w:b/>
                <w:i/>
              </w:rPr>
              <w:t>im Profifußball</w:t>
            </w:r>
            <w:r>
              <w:t>;</w:t>
            </w:r>
          </w:p>
        </w:tc>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w:t>
            </w:r>
            <w:r>
              <w:rPr>
                <w:b/>
                <w:i/>
              </w:rPr>
              <w:t>, um den Fortbestand und die Integrität des Profisports in der EU langfristig sicherzustellen; fordert die Kommission und die Mitgliedstaaten auf, stimmige Standards für die Finanzverwaltung in allen Profisportarten zu fördern</w:t>
            </w:r>
            <w:r>
              <w:t xml:space="preserve">, und betont, dass diese Maßnahmen wirksam durchgesetzt und aktualisiert werden müssen, dazu gehören auch angemessene Kontrollen der Spielergehälter </w:t>
            </w:r>
            <w:r>
              <w:rPr>
                <w:b/>
                <w:i/>
              </w:rPr>
              <w:t>und die Entwicklung geeigneter Mechanismen für die Lohnregulierung, wie Kostenkontrollen, Lohnstrukturen und transparente Finanzinformationen, um die finanzielle Verantwortung zu stärken und das Gleichgewicht beim Wettbewerb zu bewahren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 und betont, dass diese Maßnahmen wirksam durchgesetzt und aktualisiert werden müssen, dazu gehören auch angemessene Kontrollen der Spielergehälter im Profifußball;</w:t>
            </w:r>
          </w:p>
        </w:tc>
        <w:tc>
          <w:tcPr>
            <w:tcW w:w="4876" w:type="dxa"/>
            <w:tcBorders>
              <w:top w:val="nil"/>
              <w:left w:val="nil"/>
              <w:bottom w:val="nil"/>
              <w:right w:val="nil"/>
            </w:tcBorders>
          </w:tcPr>
          <w:p>
            <w:pPr>
              <w:pStyle w:val="Normal6a"/>
            </w:pPr>
            <w:r>
              <w:t>12.</w:t>
            </w:r>
            <w:r>
              <w:tab/>
            </w:r>
            <w:r>
              <w:t xml:space="preserve">Ist der Ansicht, dass Vorschriften über die finanzielle Tragfähigkeit im Sport von wesentlicher Bedeutung sind, und betont, dass diese Maßnahmen wirksam durchgesetzt und aktualisiert werden müssen, </w:t>
            </w:r>
            <w:r>
              <w:rPr>
                <w:b/>
                <w:i/>
              </w:rPr>
              <w:t>wobei der Schwerpunkt auf einer gerechten Verteilung der Einnahmen, Transparenz bei den Eigentumsverhältnissen von Vereinen und ethischen Investitionspraktiken liegen sollte,</w:t>
            </w:r>
            <w:r>
              <w:t xml:space="preserve"> dazu gehören auch angemessene Kontrollen der Spielergehälter im Profifußball; </w:t>
            </w:r>
            <w:r>
              <w:rPr>
                <w:b/>
                <w:i/>
              </w:rPr>
              <w:t>fordert die Kommission auf, Maßnahmen vorzuschlagen, um für die finanzielle Tragfähigkeit der Profifußballligen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Catherine Griset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 und betont, dass diese Maßnahmen wirksam durchgesetzt und aktualisiert werden müssen</w:t>
            </w:r>
            <w:r>
              <w:rPr>
                <w:b/>
                <w:i/>
              </w:rPr>
              <w:t>, dazu gehören auch angemessene Kontrollen der Spielergehälter im Profifußball</w:t>
            </w:r>
            <w:r>
              <w:t>;</w:t>
            </w:r>
          </w:p>
        </w:tc>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 und betont, dass diese Maßnahmen wirksam durchgesetzt und aktualisiert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 und betont, dass diese Maßnahmen wirksam durchgesetzt und aktualisiert werden müssen</w:t>
            </w:r>
            <w:r>
              <w:rPr>
                <w:b/>
                <w:i/>
              </w:rPr>
              <w:t>, dazu gehören auch angemessene Kontrollen der Spielergehälter im Profifußball</w:t>
            </w:r>
            <w:r>
              <w:t>;</w:t>
            </w:r>
          </w:p>
        </w:tc>
        <w:tc>
          <w:tcPr>
            <w:tcW w:w="4876" w:type="dxa"/>
            <w:tcBorders>
              <w:top w:val="nil"/>
              <w:left w:val="nil"/>
              <w:bottom w:val="nil"/>
              <w:right w:val="nil"/>
            </w:tcBorders>
          </w:tcPr>
          <w:p>
            <w:pPr>
              <w:pStyle w:val="Normal6a"/>
            </w:pPr>
            <w:r>
              <w:t>12.</w:t>
            </w:r>
            <w:r>
              <w:tab/>
            </w:r>
            <w:r>
              <w:t>Ist der Ansicht, dass Vorschriften über die finanzielle Tragfähigkeit im Sport von wesentlicher Bedeutung sind, und betont, dass diese Maßnahmen wirksam durchgesetzt und aktualisiert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und die Mitgliedstaaten auf, Maßnahmen zu fördern, mit denen sichergestellt wird, dass der Zugang zu Sportveranstaltungen erschwinglich ist, und zwar unter anderem durch die Einführung von Preisobergrenzen für Eintrittskarten für große Wettkämpfe und die Einführung sozial ausgerichteter Eintrittskartenmodelle für einkommensschwache Gruppen, Familien, Studierende, Senioren und Menschen mit Behinderungen;</w:t>
            </w:r>
            <w:r>
              <w:t xml:space="preserve"> </w:t>
            </w:r>
            <w:r>
              <w:rPr>
                <w:b/>
                <w:i/>
              </w:rPr>
              <w:t>betont, dass ein gleichberechtigter Zugang zu Live-Sportveranstaltungen von entscheidender Bedeutung ist, um den sozialen und inklusiven Charakter des europäischen Sportmodells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wie wichtig eine EU-weite Anwendung der sogenannten 50+1-Regel ist, um demokratische Eigentumsstrukturen, die Beteiligung der Fans und die langfristige Tragfähigkeit des Profisports zu gewährleisten;</w:t>
            </w:r>
            <w:r>
              <w:t xml:space="preserve"> </w:t>
            </w:r>
            <w:r>
              <w:rPr>
                <w:b/>
                <w:i/>
              </w:rPr>
              <w:t>fordert die Kommission und die Mitgliedstaaten auf, solche Modelle anzuerkennen und zu unterstützen, damit Integrität, finanzielle Fairness und der gesellschaftliche Wert des Sports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macht auf die herausragende Rolle von Sportvertretern oder -vermittlern und die unausgewogene Beziehung, die zwischen ihnen und jungen Sportlern bestehen kann, aufmerksam;</w:t>
            </w:r>
            <w:r>
              <w:t xml:space="preserve"> </w:t>
            </w:r>
            <w:r>
              <w:rPr>
                <w:b/>
                <w:i/>
              </w:rPr>
              <w:t>weist darauf hin, dass ein regelbasiertes Konzept für die Regulierung der Tätigkeiten von Sportvertretern oder -vermittlern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die Mitgliedstaaten nachdrücklich auf, weiterhin darauf zu bestehen, dass die Gastgeber und Organisatoren von Sportgroßveranstaltungen die Werte des europäischen Sportmodells, einschließlich der Menschenrechte und der Nachhaltigkeit, wahren;</w:t>
            </w:r>
          </w:p>
        </w:tc>
        <w:tc>
          <w:tcPr>
            <w:tcW w:w="4876" w:type="dxa"/>
            <w:tcBorders>
              <w:top w:val="nil"/>
              <w:left w:val="nil"/>
              <w:bottom w:val="nil"/>
              <w:right w:val="nil"/>
            </w:tcBorders>
          </w:tcPr>
          <w:p>
            <w:pPr>
              <w:pStyle w:val="Normal6a"/>
            </w:pPr>
            <w:r>
              <w:t>13.</w:t>
            </w:r>
            <w:r>
              <w:tab/>
            </w:r>
            <w:r>
              <w:t xml:space="preserve">fordert die Mitgliedstaaten nachdrücklich auf, weiterhin darauf zu bestehen, </w:t>
            </w:r>
            <w:r>
              <w:rPr>
                <w:b/>
                <w:i/>
              </w:rPr>
              <w:t>dass die Vergabe der Austragungsrechte für Sportgroßveranstaltungen leistungsbasiert sein sollte und</w:t>
            </w:r>
            <w:r>
              <w:t xml:space="preserve"> dass die Gastgeber und Organisatoren von Sportgroßveranstaltungen die Werte des europäischen Sportmodells, einschließlich der Menschenrechte</w:t>
            </w:r>
            <w:r>
              <w:rPr>
                <w:b/>
                <w:i/>
              </w:rPr>
              <w:t>, der demokratischen Werte</w:t>
            </w:r>
            <w:r>
              <w:t xml:space="preserve"> und der Nachhaltigkeit, </w:t>
            </w:r>
            <w:r>
              <w:rPr>
                <w:b/>
                <w:i/>
              </w:rPr>
              <w:t>auch in Bezug auf die Verwaltung von Gerätschaften und der Infrastruktur und das sportliche Erbe,</w:t>
            </w:r>
            <w:r>
              <w:t xml:space="preserve"> wahren; </w:t>
            </w:r>
            <w:r>
              <w:rPr>
                <w:b/>
                <w:i/>
              </w:rPr>
              <w:t>betont, dass Sponsoring nicht an Unternehmen vergeben werden sollte, die gegen diese Grundsätze verstoßen;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Mitgliedstaaten nachdrücklich auf, weiterhin darauf zu bestehen, dass die Gastgeber und Organisatoren von Sportgroßveranstaltungen die Werte des europäischen Sportmodells, </w:t>
            </w:r>
            <w:r>
              <w:rPr>
                <w:b/>
                <w:i/>
              </w:rPr>
              <w:t>einschließlich der Menschenrechte und der Nachhaltigkeit</w:t>
            </w:r>
            <w:r>
              <w:t>, wahren;</w:t>
            </w:r>
          </w:p>
        </w:tc>
        <w:tc>
          <w:tcPr>
            <w:tcW w:w="4876" w:type="dxa"/>
            <w:tcBorders>
              <w:top w:val="nil"/>
              <w:left w:val="nil"/>
              <w:bottom w:val="nil"/>
              <w:right w:val="nil"/>
            </w:tcBorders>
          </w:tcPr>
          <w:p>
            <w:pPr>
              <w:pStyle w:val="Normal6a"/>
            </w:pPr>
            <w:r>
              <w:t>13.</w:t>
            </w:r>
            <w:r>
              <w:tab/>
            </w:r>
            <w:r>
              <w:t xml:space="preserve">fordert die Mitgliedstaaten nachdrücklich auf, weiterhin darauf zu bestehen, dass die Gastgeber und Organisatoren von Sportgroßveranstaltungen die Werte des europäischen Sportmodells, </w:t>
            </w:r>
            <w:r>
              <w:rPr>
                <w:b/>
                <w:i/>
              </w:rPr>
              <w:t>wie etwa Gleichheit, soziale Durchmischung, Gesundheit und Wohlbefinden</w:t>
            </w:r>
            <w:r>
              <w:t>, wahren;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die kulturelle, gesellschaftliche und verbindende Bedeutung von nationalen Wettkämpfen in unterschiedlichen Sportarten und fordert die Mitgliedstaaten auf, dafür zu sorgen, dass alle Spiele von Nationalmannschaften der Öffentlichkeit über frei empfangbare Rundfunk- und digitale Streaming-Plattformen kostenlos zugänglich gemacht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stellt fest, dass der Trend zu Auslandsinvestitionen und ausländischer Beteiligung im europäischen Sport zunimmt, und fordert die Kommission auf, die finanzielle Integrität und die Ausgeglichenheit des Wettbewerbs im europäischen Sport zu wahren;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der Trend zu Auslandsinvestitionen und ausländischer Beteiligung im europäischen Sport zunimmt, und fordert die Kommission auf, die finanzielle Integrität und die Ausgeglichenheit des Wettbewerbs im europäischen Sport zu wahren;</w:t>
            </w:r>
          </w:p>
        </w:tc>
        <w:tc>
          <w:tcPr>
            <w:tcW w:w="4876" w:type="dxa"/>
            <w:tcBorders>
              <w:top w:val="nil"/>
              <w:left w:val="nil"/>
              <w:bottom w:val="nil"/>
              <w:right w:val="nil"/>
            </w:tcBorders>
          </w:tcPr>
          <w:p>
            <w:pPr>
              <w:pStyle w:val="Normal6a"/>
            </w:pPr>
            <w:r>
              <w:t>14.</w:t>
            </w:r>
            <w:r>
              <w:tab/>
            </w:r>
            <w:r>
              <w:t xml:space="preserve">stellt fest, dass der Trend zu Auslandsinvestitionen und ausländischer Beteiligung im europäischen Sport zunimmt, </w:t>
            </w:r>
            <w:r>
              <w:rPr>
                <w:b/>
                <w:i/>
              </w:rPr>
              <w:t>was nicht unbedingt aus wirtschaftlichen und sportlichen Gründen geschieht, sondern zum Ziel hat, das Image eines Landes aufzupolieren, ,</w:t>
            </w:r>
            <w:r>
              <w:t>und fordert die Kommission auf, die finanzielle Integrität und die Ausgeglichenheit des Wettbewerbs im europäischen Sport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stellt fest, dass der Trend zu Auslandsinvestitionen und ausländischer Beteiligung im europäischen Sport zunimmt, und fordert die Kommission auf, die </w:t>
            </w:r>
            <w:r>
              <w:rPr>
                <w:b/>
                <w:i/>
              </w:rPr>
              <w:t>finanzielle</w:t>
            </w:r>
            <w:r>
              <w:t xml:space="preserve"> Integrität und </w:t>
            </w:r>
            <w:r>
              <w:rPr>
                <w:b/>
                <w:i/>
              </w:rPr>
              <w:t>die</w:t>
            </w:r>
            <w:r>
              <w:t xml:space="preserve"> Ausgeglichenheit des Wettbewerbs im europäischen Sport </w:t>
            </w:r>
            <w:r>
              <w:rPr>
                <w:b/>
                <w:i/>
              </w:rPr>
              <w:t>zu wahren</w:t>
            </w:r>
            <w:r>
              <w:t>;</w:t>
            </w:r>
          </w:p>
        </w:tc>
        <w:tc>
          <w:tcPr>
            <w:tcW w:w="4876" w:type="dxa"/>
            <w:tcBorders>
              <w:top w:val="nil"/>
              <w:left w:val="nil"/>
              <w:bottom w:val="nil"/>
              <w:right w:val="nil"/>
            </w:tcBorders>
          </w:tcPr>
          <w:p>
            <w:pPr>
              <w:pStyle w:val="Normal6a"/>
            </w:pPr>
            <w:r>
              <w:t>14.</w:t>
            </w:r>
            <w:r>
              <w:tab/>
            </w:r>
            <w:r>
              <w:t xml:space="preserve">stellt fest, dass der Trend zu Auslandsinvestitionen und ausländischer Beteiligung im europäischen Sport zunimmt, und fordert die Kommission auf, die </w:t>
            </w:r>
            <w:r>
              <w:rPr>
                <w:b/>
                <w:i/>
              </w:rPr>
              <w:t>Auswirkungen dieses Trends z berücksichtigen, wenn sie Anstrengungen zur Wahrung der finanziellen</w:t>
            </w:r>
            <w:r>
              <w:t xml:space="preserve"> Integrität und </w:t>
            </w:r>
            <w:r>
              <w:rPr>
                <w:b/>
                <w:i/>
              </w:rPr>
              <w:t>der</w:t>
            </w:r>
            <w:r>
              <w:t xml:space="preserve"> Ausgeglichenheit des Wettbewerbs im europäischen Sport </w:t>
            </w:r>
            <w:r>
              <w:rPr>
                <w:b/>
                <w:i/>
              </w:rPr>
              <w:t>unterstützt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der Trend zu Auslandsinvestitionen und ausländischer Beteiligung im europäischen Sport zunimmt, und fordert die Kommission auf, die finanzielle Integrität und die Ausgeglichenheit des Wettbewerbs im europäischen Sport zu wahren;</w:t>
            </w:r>
          </w:p>
        </w:tc>
        <w:tc>
          <w:tcPr>
            <w:tcW w:w="4876" w:type="dxa"/>
            <w:tcBorders>
              <w:top w:val="nil"/>
              <w:left w:val="nil"/>
              <w:bottom w:val="nil"/>
              <w:right w:val="nil"/>
            </w:tcBorders>
          </w:tcPr>
          <w:p>
            <w:pPr>
              <w:pStyle w:val="Normal6a"/>
            </w:pPr>
            <w:r>
              <w:t>14.</w:t>
            </w:r>
            <w:r>
              <w:tab/>
            </w:r>
            <w:r>
              <w:t xml:space="preserve">stellt fest, dass der Trend zu Auslandsinvestitionen und ausländischer Beteiligung im europäischen Sport zunimmt, und fordert die Kommission auf, die </w:t>
            </w:r>
            <w:r>
              <w:rPr>
                <w:b/>
                <w:i/>
              </w:rPr>
              <w:t>Transparenz dieser Finanzierungen, die</w:t>
            </w:r>
            <w:r>
              <w:t xml:space="preserve"> finanzielle Integrität und die Ausgeglichenheit des Wettbewerbs im europäischen Sport zu wahren;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und die Mitgliedstaaten auf, die Maßnahmen gegen die Piraterie im Sport, die die finanzielle Tragfähigkeit des Profisports untergräbt, zu intensivieren, indem sie die digitalen Durchsetzungsmechanismen stärken, die Zusammenarbeit mit Internetplattformen fördern und die Verbraucher sensibilisieren, unter anderem durch die Ausweitung der Bestimmungen über die notwendigen Kenntnisse über die jeweiligen Geschäftspartner auf alle Anbieter von Vermittlungsdiensten, die Förderung der Zusammenarbeit mit Internetplattformen und die Aufklärung der Verbraucher;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nimmt die Risiken der organisierten Kriminalität und der Finanzkriminalität im Sport zur Kenntnis, und ist der Ansicht, dass eine strenge Sorgfaltspflicht in Bezug auf Investitionen und Eigentumsverhältnisse im europäischen Sport sichergestellt werden muss, auch durch die Ausweitung des EU-Rahmens zur Bekämpfung der Geldwäsche auf den Profisport;</w:t>
            </w:r>
          </w:p>
        </w:tc>
        <w:tc>
          <w:tcPr>
            <w:tcW w:w="4876" w:type="dxa"/>
            <w:tcBorders>
              <w:top w:val="nil"/>
              <w:left w:val="nil"/>
              <w:bottom w:val="nil"/>
              <w:right w:val="nil"/>
            </w:tcBorders>
          </w:tcPr>
          <w:p>
            <w:pPr>
              <w:pStyle w:val="Normal6a"/>
            </w:pPr>
            <w:r>
              <w:t>15.</w:t>
            </w:r>
            <w:r>
              <w:tab/>
            </w:r>
            <w:r>
              <w:t xml:space="preserve">nimmt die Risiken der organisierten Kriminalität und der Finanzkriminalität </w:t>
            </w:r>
            <w:r>
              <w:rPr>
                <w:b/>
                <w:i/>
              </w:rPr>
              <w:t>wie der Piraterie</w:t>
            </w:r>
            <w:r>
              <w:t xml:space="preserve"> im Sport zur Kenntnis, und ist der Ansicht, dass eine strenge Sorgfaltspflicht in Bezug auf Investitionen und Eigentumsverhältnisse im europäischen Sport sichergestellt werden muss, auch durch die Ausweitung des EU-Rahmens zur Bekämpfung der Geldwäsche auf den Profisport;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wie wichtig ein faires, transparentes und gut reguliertes Sportwettensystem ist, um die Integrität von Wettkämpfen zu wahren, insbesondere im halbprofessionellen und Amateurbereich, die aufgrund begrenzter Aufsicht und Finanzschwäche anfälliger für Manipulation sind;</w:t>
            </w:r>
            <w:r>
              <w:t xml:space="preserve"> </w:t>
            </w:r>
            <w:r>
              <w:rPr>
                <w:b/>
                <w:i/>
              </w:rPr>
              <w:t>fordert die Kommission auf, die Zusammenarbeit zwischen den Mitgliedstaaten, Sportgremien und Wettanbietern zu fördern, damit für den Austausch von Daten, eine solide Überwachung und Früherkennungsmechanismen gesorgt wird;</w:t>
            </w:r>
            <w:r>
              <w:t xml:space="preserve"> </w:t>
            </w:r>
            <w:r>
              <w:rPr>
                <w:b/>
                <w:i/>
              </w:rPr>
              <w:t>fordert die Mitgliedstaaten auf, einen Teil der Einnahmen aus Wetten für Integritäts- und Schutzprogramme an der Basis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Sunčana Glavak,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erkennt die Gefahr des unlauteren Wettbewerbs an, die von Medienunternehmen aus Drittländern ausgeht, insbesondere solchen, die mit staatlichen Strukturen verbunden sind, die außerhalb des Rahmens der Vorschriften und Normen der Europäischen Union, insbesondere im Bereich des Wettbewerbs, operieren;</w:t>
            </w:r>
            <w:r>
              <w:t xml:space="preserve"> </w:t>
            </w:r>
            <w:r>
              <w:rPr>
                <w:b/>
                <w:i/>
              </w:rPr>
              <w:t>fordert die Kommission auf, auf solche Vorkommnisse zu achten und erforderlichenfalls Maßnahmen zur Gewährleistung eines fairen Wettbewerbs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stellt fest, dass der Sekundärmarkt für Eintrittskarten für Live-Veranstaltungen immer größer wird und dass die Einhaltung der EU-Rechtsvorschriften durch die Marktteilnehmer streng überwacht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Hannes Heide, Łukasz Kohut, Nikola Minchev, Jagna Marczułajtis-Walczak, Eleonora Meleti, Ioan-Rareş Bogdan, Andrzej Buła, Zoltán Tarr, Giusi Princi, Manuela Ripa,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den Rat nachdrücklich auf, die Blockade der Unterzeichnung und Ratifizierung des Übereinkommens des Europarats betreffend die Manipulation von Sportwettbewerben zu überwinden;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verurteilt aufs Schärfste alle Formen der Manipulation von Sportwettkämpfen, die die Integrität des Sports untergraben, das Fairplay bedrohen und das Vertrauen der Öffentlichkeit schwinden lassen;</w:t>
            </w:r>
            <w:r>
              <w:t xml:space="preserve"> </w:t>
            </w:r>
            <w:r>
              <w:rPr>
                <w:b/>
                <w:i/>
              </w:rPr>
              <w:t>fordert die Mitgliedstaaten und die Sportverbände auf, entsprechende Präventivmaßnahmen zu verstärken, einschließlich verstärkter Überwachungsmechanismen, Aufklärungskampagnen für Sportler und Interessenträgern sowie der Zusammenarbeit mit den Strafverfolgungsbehörden, damit die Täter ermittelt und bestraft werden;</w:t>
            </w:r>
            <w:r>
              <w:t xml:space="preserve"> </w:t>
            </w:r>
            <w:r>
              <w:rPr>
                <w:b/>
                <w:i/>
              </w:rPr>
              <w:t>fordert die Kommission nachdrücklich auf, koordinierte Maßnahmen der EU zur Unterstützung der nationalen Integritätsstellen zu fördern, die Ratifizierung und Umsetzung des Übereinkommens des Europarats über die Manipulation von Sportwettkämpfen („Magglingen-Konvention“) zu fördern und die Schaffung einer europäischen Plattform für den Austausch bewährter Verfahren und Erkenntnisse über Spielabsprachen und damit zusammenhängende Korruption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Zoltán Tarr, Giusi Princi,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betont, dass die Einnahmen, die den Organisatoren von Sportveranstaltungen durch die Online-Piraterie von Live-Sportinhalten entgehen, zur Verbesserung der Rahmenbedingungen des europäischen Sports reinvestiert werden könnten, und fordert die Kommission auf, einen Vorschlag für gezielte Rechtsvorschriften vorzulegen, um das Problem der Online-Piraterie bei der Sportberichterstattung und von anderen Live-Inhalten anzugehen;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das zunehmende Dopingproblem auf allen Ebenen des Sports, einschließlich des Breiten-, Freizeit- und Schulsports, auf EU-Ebene angegangen werden muss;</w:t>
            </w:r>
          </w:p>
        </w:tc>
        <w:tc>
          <w:tcPr>
            <w:tcW w:w="4876" w:type="dxa"/>
            <w:tcBorders>
              <w:top w:val="nil"/>
              <w:left w:val="nil"/>
              <w:bottom w:val="nil"/>
              <w:right w:val="nil"/>
            </w:tcBorders>
          </w:tcPr>
          <w:p>
            <w:pPr>
              <w:pStyle w:val="Normal6a"/>
            </w:pPr>
            <w:r>
              <w:t>16.</w:t>
            </w:r>
            <w:r>
              <w:tab/>
            </w:r>
            <w:r>
              <w:t xml:space="preserve">betont, dass das zunehmende Dopingproblem auf allen Ebenen des Sports, einschließlich des Breiten-, Freizeit- und Schulsports, auf EU-Ebene angegangen werden muss; </w:t>
            </w:r>
            <w:r>
              <w:rPr>
                <w:b/>
                <w:i/>
              </w:rPr>
              <w:t>betont, wie wichtig es ist, Bildungsmaßnahmen im Hinblick auf Dopingbekämpfung, Ethik und gesunde Lebensweise im Rahmen eines ganzheitlichen Ansatzes für die Entwicklung junger Menschen durch den Sport in die Lehrpläne des Schulsports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das </w:t>
            </w:r>
            <w:r>
              <w:rPr>
                <w:b/>
                <w:i/>
              </w:rPr>
              <w:t>zunehmende</w:t>
            </w:r>
            <w:r>
              <w:t xml:space="preserve"> Dopingproblem </w:t>
            </w:r>
            <w:r>
              <w:rPr>
                <w:b/>
                <w:i/>
              </w:rPr>
              <w:t>auf</w:t>
            </w:r>
            <w:r>
              <w:t xml:space="preserve"> allen </w:t>
            </w:r>
            <w:r>
              <w:rPr>
                <w:b/>
                <w:i/>
              </w:rPr>
              <w:t>Ebenen</w:t>
            </w:r>
            <w:r>
              <w:t xml:space="preserve"> des Sports</w:t>
            </w:r>
            <w:r>
              <w:rPr>
                <w:b/>
                <w:i/>
              </w:rPr>
              <w:t>, einschließlich des Breiten-, Freizeit- und Schulsports,</w:t>
            </w:r>
            <w:r>
              <w:t xml:space="preserve"> auf EU-Ebene angegangen werden muss;</w:t>
            </w:r>
          </w:p>
        </w:tc>
        <w:tc>
          <w:tcPr>
            <w:tcW w:w="4876" w:type="dxa"/>
            <w:tcBorders>
              <w:top w:val="nil"/>
              <w:left w:val="nil"/>
              <w:bottom w:val="nil"/>
              <w:right w:val="nil"/>
            </w:tcBorders>
          </w:tcPr>
          <w:p>
            <w:pPr>
              <w:pStyle w:val="Normal6a"/>
            </w:pPr>
            <w:r>
              <w:t>16.</w:t>
            </w:r>
            <w:r>
              <w:tab/>
            </w:r>
            <w:r>
              <w:t xml:space="preserve">betont, dass das Dopingproblem </w:t>
            </w:r>
            <w:r>
              <w:rPr>
                <w:b/>
                <w:i/>
              </w:rPr>
              <w:t>in</w:t>
            </w:r>
            <w:r>
              <w:t xml:space="preserve"> allen </w:t>
            </w:r>
            <w:r>
              <w:rPr>
                <w:b/>
                <w:i/>
              </w:rPr>
              <w:t>Bereichen</w:t>
            </w:r>
            <w:r>
              <w:t xml:space="preserve"> des Sports auf EU-Ebene angegangen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das zunehmende </w:t>
            </w:r>
            <w:r>
              <w:rPr>
                <w:b/>
                <w:i/>
              </w:rPr>
              <w:t>Dopingproblem</w:t>
            </w:r>
            <w:r>
              <w:t xml:space="preserve"> auf allen Ebenen des Sports, einschließlich des Breiten-, Freizeit- </w:t>
            </w:r>
            <w:r>
              <w:rPr>
                <w:b/>
                <w:i/>
              </w:rPr>
              <w:t>und Schulsports</w:t>
            </w:r>
            <w:r>
              <w:t>, auf EU-Ebene angegangen werden muss;</w:t>
            </w:r>
          </w:p>
        </w:tc>
        <w:tc>
          <w:tcPr>
            <w:tcW w:w="4876" w:type="dxa"/>
            <w:tcBorders>
              <w:top w:val="nil"/>
              <w:left w:val="nil"/>
              <w:bottom w:val="nil"/>
              <w:right w:val="nil"/>
            </w:tcBorders>
          </w:tcPr>
          <w:p>
            <w:pPr>
              <w:pStyle w:val="Normal6a"/>
            </w:pPr>
            <w:r>
              <w:t>16.</w:t>
            </w:r>
            <w:r>
              <w:tab/>
            </w:r>
            <w:r>
              <w:t xml:space="preserve">betont, dass das zunehmende </w:t>
            </w:r>
            <w:r>
              <w:rPr>
                <w:b/>
                <w:i/>
              </w:rPr>
              <w:t>Problem des Dopings und der Spielabsprachen</w:t>
            </w:r>
            <w:r>
              <w:t xml:space="preserve"> auf allen Ebenen des Sports, einschließlich des Breiten-, Freizeit-</w:t>
            </w:r>
            <w:r>
              <w:rPr>
                <w:b/>
                <w:i/>
              </w:rPr>
              <w:t>, Schul- und Hochschulsports</w:t>
            </w:r>
            <w:r>
              <w:t>, auf EU-Ebene angegangen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gegen den Verkauf und die Einfuhr von Nahrungsergänzungsmitteln für Sportler vorgegangen werden muss, wenn diese verbotene und gefährliche Wirkstoffe enthalten, wie etwa anabolische Steroide oder Sibutramine, die zu Herz-Kreislauf-Komplikationen führen können;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die Kommission und die Mitgliedstaaten auf, im Rahmen eines stimmigen europäischen Sportmodells Umweltverantwortung im Sport zu fördern, einschließlich Plänen zur Anpassung der Sportinfrastruktur an den Klimawandel , der Austragung von Sportveranstaltungen mit geringen CO</w:t>
            </w:r>
            <w:r>
              <w:rPr>
                <w:b/>
                <w:i/>
                <w:vertAlign w:val="subscript"/>
              </w:rPr>
              <w:t>2</w:t>
            </w:r>
            <w:r>
              <w:rPr>
                <w:b/>
                <w:i/>
              </w:rPr>
              <w:t>-Emissionen und Umwelterziehung durch Sport;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hebt hervor, dass Sportlerinnen und Sportler aus der Ukraine, die an den Olympischen und Paralympischen Spielen teilnehmen, Außerordentliches geleistet haben, um versehrte Menschen mit Amputationen und junge Menschen trotz ständiger Bombardierung und Zerstörung von Einrichtungen im Sinne des europäischen Sportmodells in die Welt des Sports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europäisches Sportmodell: im Dienste der Förderung der kollektiven </w:t>
            </w:r>
            <w:r>
              <w:rPr>
                <w:b/>
                <w:i/>
              </w:rPr>
              <w:t>Governance</w:t>
            </w:r>
            <w:r>
              <w:t xml:space="preserve">, der Rechte von Sportlern und </w:t>
            </w:r>
            <w:r>
              <w:rPr>
                <w:b/>
                <w:i/>
              </w:rPr>
              <w:t>der Stimmen</w:t>
            </w:r>
            <w:r>
              <w:t xml:space="preserve"> der Fans</w:t>
            </w:r>
          </w:p>
        </w:tc>
        <w:tc>
          <w:tcPr>
            <w:tcW w:w="4876" w:type="dxa"/>
            <w:tcBorders>
              <w:top w:val="nil"/>
              <w:left w:val="nil"/>
              <w:bottom w:val="nil"/>
              <w:right w:val="nil"/>
            </w:tcBorders>
          </w:tcPr>
          <w:p>
            <w:pPr>
              <w:pStyle w:val="Normal6a"/>
            </w:pPr>
            <w:r>
              <w:t xml:space="preserve">Das europäisches Sportmodell: im Dienste der Förderung der kollektiven </w:t>
            </w:r>
            <w:r>
              <w:rPr>
                <w:b/>
                <w:i/>
              </w:rPr>
              <w:t>Ordnungspolitik</w:t>
            </w:r>
            <w:r>
              <w:t xml:space="preserve">, der Rechte von Sportlern und </w:t>
            </w:r>
            <w:r>
              <w:rPr>
                <w:b/>
                <w:i/>
              </w:rPr>
              <w:t>Arbeitnehmern und der Stimme</w:t>
            </w:r>
            <w:r>
              <w:t xml:space="preserve"> der Fans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nimmt zur Kenntnis, dass die Autonomie des Sports von einer verantwortungsvollen </w:t>
            </w:r>
            <w:r>
              <w:rPr>
                <w:b/>
                <w:i/>
              </w:rPr>
              <w:t>Verwaltung</w:t>
            </w:r>
            <w:r>
              <w:t xml:space="preserve"> abhängt, und fordert die internationalen, europäischen und nationalen Sportorganisationen sowie die Vertreterorganisationen der Interessenträger auf, die höchsten Standards in Bezug auf </w:t>
            </w:r>
            <w:r>
              <w:rPr>
                <w:b/>
                <w:i/>
              </w:rPr>
              <w:t>Governance und</w:t>
            </w:r>
            <w:r>
              <w:t xml:space="preserve"> Transparenz anzuwenden;</w:t>
            </w:r>
          </w:p>
        </w:tc>
        <w:tc>
          <w:tcPr>
            <w:tcW w:w="4876" w:type="dxa"/>
            <w:tcBorders>
              <w:top w:val="nil"/>
              <w:left w:val="nil"/>
              <w:bottom w:val="nil"/>
              <w:right w:val="nil"/>
            </w:tcBorders>
          </w:tcPr>
          <w:p>
            <w:pPr>
              <w:pStyle w:val="Normal6a"/>
            </w:pPr>
            <w:r>
              <w:t>17.</w:t>
            </w:r>
            <w:r>
              <w:tab/>
            </w:r>
            <w:r>
              <w:t xml:space="preserve">nimmt zur Kenntnis, dass die Autonomie des Sports von einer verantwortungsvollen </w:t>
            </w:r>
            <w:r>
              <w:rPr>
                <w:b/>
                <w:i/>
              </w:rPr>
              <w:t>Ordnungspolitik und einer und einer allgemeinen Integritätskultur</w:t>
            </w:r>
            <w:r>
              <w:t xml:space="preserve"> abhängt, und fordert die internationalen, europäischen und nationalen Sportorganisationen sowie die Vertreterorganisationen der Interessenträger auf, die höchsten Standards in Bezug auf </w:t>
            </w:r>
            <w:r>
              <w:rPr>
                <w:b/>
                <w:i/>
              </w:rPr>
              <w:t>Ordnungspolitik,</w:t>
            </w:r>
            <w:r>
              <w:t xml:space="preserve"> Transparenz </w:t>
            </w:r>
            <w:r>
              <w:rPr>
                <w:b/>
                <w:i/>
              </w:rPr>
              <w:t>und Rechenschaftspflicht</w:t>
            </w:r>
            <w:r>
              <w:t xml:space="preserve"> anzuwenden; </w:t>
            </w:r>
            <w:r>
              <w:rPr>
                <w:b/>
                <w:i/>
              </w:rPr>
              <w:t>fordert außerdem einen kooperativen Ansatz zwischen Sportorganisationen und Behörden, um diese Standards zu wahren und sicherzustellen, dass der Sport ein vertrauenswürdiger, sicherer und ethischer Raum für alle Teilnehmer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nimmt zur Kenntnis, dass die Autonomie des Sports von einer verantwortungsvollen Verwaltung abhängt, und fordert die internationalen, europäischen und nationalen Sportorganisationen sowie die Vertreterorganisationen der Interessenträger auf, die höchsten Standards in Bezug auf </w:t>
            </w:r>
            <w:r>
              <w:rPr>
                <w:b/>
                <w:i/>
              </w:rPr>
              <w:t>Governance</w:t>
            </w:r>
            <w:r>
              <w:t xml:space="preserve"> und Transparenz anzuwenden;</w:t>
            </w:r>
          </w:p>
        </w:tc>
        <w:tc>
          <w:tcPr>
            <w:tcW w:w="4876" w:type="dxa"/>
            <w:tcBorders>
              <w:top w:val="nil"/>
              <w:left w:val="nil"/>
              <w:bottom w:val="nil"/>
              <w:right w:val="nil"/>
            </w:tcBorders>
          </w:tcPr>
          <w:p>
            <w:pPr>
              <w:pStyle w:val="Normal6a"/>
            </w:pPr>
            <w:r>
              <w:t>17.</w:t>
            </w:r>
            <w:r>
              <w:tab/>
            </w:r>
            <w:r>
              <w:t xml:space="preserve">nimmt zur Kenntnis, dass die Autonomie des Sports von einer verantwortungsvollen Verwaltung abhängt, und fordert die internationalen, europäischen und nationalen Sportorganisationen sowie die Vertreterorganisationen der Interessenträger auf, die höchsten Standards in Bezug auf </w:t>
            </w:r>
            <w:r>
              <w:rPr>
                <w:b/>
                <w:i/>
              </w:rPr>
              <w:t>Ordnungspolitik</w:t>
            </w:r>
            <w:r>
              <w:t xml:space="preserve"> und Transparenz anzuwenden </w:t>
            </w:r>
            <w:r>
              <w:rPr>
                <w:b/>
                <w:i/>
              </w:rPr>
              <w:t>und die entsprechenden Durchsetzungsmechanismen 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nimmt zur Kenntnis, dass die Autonomie des Sports von einer verantwortungsvollen Verwaltung abhängt, und fordert die internationalen, europäischen und nationalen Sportorganisationen sowie die Vertreterorganisationen der Interessenträger auf, die höchsten Standards in Bezug auf </w:t>
            </w:r>
            <w:r>
              <w:rPr>
                <w:b/>
                <w:i/>
              </w:rPr>
              <w:t>Governance</w:t>
            </w:r>
            <w:r>
              <w:t xml:space="preserve"> und Transparenz anzuwenden;</w:t>
            </w:r>
          </w:p>
        </w:tc>
        <w:tc>
          <w:tcPr>
            <w:tcW w:w="4876" w:type="dxa"/>
            <w:tcBorders>
              <w:top w:val="nil"/>
              <w:left w:val="nil"/>
              <w:bottom w:val="nil"/>
              <w:right w:val="nil"/>
            </w:tcBorders>
          </w:tcPr>
          <w:p>
            <w:pPr>
              <w:pStyle w:val="Normal6a"/>
            </w:pPr>
            <w:r>
              <w:t>17.</w:t>
            </w:r>
            <w:r>
              <w:tab/>
            </w:r>
            <w:r>
              <w:t xml:space="preserve">nimmt zur Kenntnis, dass die Autonomie des Sports von einer verantwortungsvollen Verwaltung abhängt, und fordert die internationalen, europäischen und nationalen Sportorganisationen sowie die Vertreterorganisationen der Interessenträger auf, die höchsten Standards in Bezug auf </w:t>
            </w:r>
            <w:r>
              <w:rPr>
                <w:b/>
                <w:i/>
              </w:rPr>
              <w:t>Ordnungspolitik</w:t>
            </w:r>
            <w:r>
              <w:t xml:space="preserve"> und Transparenz </w:t>
            </w:r>
            <w:r>
              <w:rPr>
                <w:b/>
                <w:i/>
              </w:rPr>
              <w:t>mit angemessener Kontrolle und Gegenkontrolle</w:t>
            </w:r>
            <w:r>
              <w:t xml:space="preserve"> anzuwenden;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einen kooperativen Ansatz zwischen Sportorganisationen und Behörden, um diese Standards zu wahren und sicherzustellen, dass der Sport ein vertrauenswürdiger, sicherer und ethischer Raum für alle Teilnehmer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begrüßt die Bemühungen der Leitungsgremien um eine kollektive Governance, und fordert weitere Schritte zur Stärkung der Vertretung der Interessenträger bei der Entscheidungsfindung, wobei sich insbesondere dafür eingesetzt wird, die Einbeziehung von Sportlern </w:t>
            </w:r>
            <w:r>
              <w:rPr>
                <w:b/>
                <w:i/>
              </w:rPr>
              <w:t>und</w:t>
            </w:r>
            <w:r>
              <w:t xml:space="preserve"> Fans sicherzustellen;</w:t>
            </w:r>
          </w:p>
        </w:tc>
        <w:tc>
          <w:tcPr>
            <w:tcW w:w="4876" w:type="dxa"/>
            <w:tcBorders>
              <w:top w:val="nil"/>
              <w:left w:val="nil"/>
              <w:bottom w:val="nil"/>
              <w:right w:val="nil"/>
            </w:tcBorders>
          </w:tcPr>
          <w:p>
            <w:pPr>
              <w:pStyle w:val="Normal6a"/>
            </w:pPr>
            <w:r>
              <w:t>18.</w:t>
            </w:r>
            <w:r>
              <w:tab/>
            </w:r>
            <w:r>
              <w:t>begrüßt die Bemühungen der Leitungsgremien um eine kollektive Governance, und fordert weitere Schritte zur Stärkung der Vertretung der Interessenträger bei der Entscheidungsfindung, wobei sich insbesondere dafür eingesetzt wird, die Einbeziehung von Sportlern</w:t>
            </w:r>
            <w:r>
              <w:rPr>
                <w:b/>
                <w:i/>
              </w:rPr>
              <w:t>, den Beschäftigten in der Sportbranche und der</w:t>
            </w:r>
            <w:r>
              <w:t xml:space="preserve"> Fans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die Leitungsgremien im Sport mit Nachdruck auf, weitere Maßnahmen zur Gleichheit, Vielfalt und Inklusion umzusetzen, um insbesondere der anhaltenden Unterrepräsentation von </w:t>
            </w:r>
            <w:r>
              <w:rPr>
                <w:b/>
                <w:i/>
              </w:rPr>
              <w:t>Frauen</w:t>
            </w:r>
            <w:r>
              <w:t xml:space="preserve"> in Führungspositionen entgegenzuwirken;</w:t>
            </w:r>
          </w:p>
        </w:tc>
        <w:tc>
          <w:tcPr>
            <w:tcW w:w="4876" w:type="dxa"/>
            <w:tcBorders>
              <w:top w:val="nil"/>
              <w:left w:val="nil"/>
              <w:bottom w:val="nil"/>
              <w:right w:val="nil"/>
            </w:tcBorders>
          </w:tcPr>
          <w:p>
            <w:pPr>
              <w:pStyle w:val="Normal6a"/>
            </w:pPr>
            <w:r>
              <w:t>19.</w:t>
            </w:r>
            <w:r>
              <w:tab/>
            </w:r>
            <w:r>
              <w:t xml:space="preserve">fordert die Leitungsgremien im Sport mit Nachdruck auf, weitere Maßnahmen zur Gleichheit, Vielfalt und Inklusion umzusetzen, um insbesondere der anhaltenden Unterrepräsentation von </w:t>
            </w:r>
            <w:r>
              <w:rPr>
                <w:b/>
                <w:i/>
              </w:rPr>
              <w:t>Sportlerinnen und transsexuellen Sportlern, Angehörigen ethnischer Minderheiten, LGBTIQ+ und Menschen mit Behinderungen bei Trainern, Schiedsrichtern sowie</w:t>
            </w:r>
            <w:r>
              <w:t xml:space="preserve"> in Führungspositionen entgegenzuwirken; </w:t>
            </w:r>
            <w:r>
              <w:rPr>
                <w:b/>
                <w:i/>
              </w:rPr>
              <w:t>fordert einen intersektionalen Ansatzes für die Vertretung aller Bevölkerungsgruppen;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fordert die Leitungsgremien im Sport mit Nachdruck auf, weitere Maßnahmen zur Gleichheit, Vielfalt und Inklusion umzusetzen, um insbesondere der anhaltenden Unterrepräsentation von Frauen in Führungspositionen entgegenzuwirken;</w:t>
            </w:r>
          </w:p>
        </w:tc>
        <w:tc>
          <w:tcPr>
            <w:tcW w:w="4876" w:type="dxa"/>
            <w:tcBorders>
              <w:top w:val="nil"/>
              <w:left w:val="nil"/>
              <w:bottom w:val="nil"/>
              <w:right w:val="nil"/>
            </w:tcBorders>
          </w:tcPr>
          <w:p>
            <w:pPr>
              <w:pStyle w:val="Normal6a"/>
            </w:pPr>
            <w:r>
              <w:t>19.</w:t>
            </w:r>
            <w:r>
              <w:tab/>
            </w:r>
            <w:r>
              <w:t xml:space="preserve">fordert die Leitungsgremien im Sport mit Nachdruck auf, weitere Maßnahmen zur Gleichheit, Vielfalt und Inklusion umzusetzen, um insbesondere der anhaltenden Unterrepräsentation von Frauen in Führungspositionen entgegenzuwirken; </w:t>
            </w:r>
            <w:r>
              <w:rPr>
                <w:b/>
                <w:i/>
              </w:rPr>
              <w:t>und gleichzeitig Leistung und Kompetenzen als Hauptkriterien für den Zugang zu Führungspositionen beizubehalten;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fordert die Leitungsgremien im Sport mit Nachdruck auf, weitere Maßnahmen zur Gleichheit</w:t>
            </w:r>
            <w:r>
              <w:rPr>
                <w:b/>
                <w:i/>
              </w:rPr>
              <w:t>, Vielfalt</w:t>
            </w:r>
            <w:r>
              <w:t xml:space="preserve"> und Inklusion umzusetzen, um insbesondere der anhaltenden Unterrepräsentation von Frauen in Führungspositionen entgegenzuwirken;</w:t>
            </w:r>
          </w:p>
        </w:tc>
        <w:tc>
          <w:tcPr>
            <w:tcW w:w="4876" w:type="dxa"/>
            <w:tcBorders>
              <w:top w:val="nil"/>
              <w:left w:val="nil"/>
              <w:bottom w:val="nil"/>
              <w:right w:val="nil"/>
            </w:tcBorders>
          </w:tcPr>
          <w:p>
            <w:pPr>
              <w:pStyle w:val="Normal6a"/>
            </w:pPr>
            <w:r>
              <w:t>19.</w:t>
            </w:r>
            <w:r>
              <w:tab/>
            </w:r>
            <w:r>
              <w:t xml:space="preserve">fordert die Leitungsgremien im Sport mit Nachdruck auf, weitere Maßnahmen zur Gleichheit und Inklusion umzusetzen, um insbesondere der anhaltenden Unterrepräsentation von Frauen </w:t>
            </w:r>
            <w:r>
              <w:rPr>
                <w:b/>
                <w:i/>
              </w:rPr>
              <w:t>und Menschen mit Behinderungen</w:t>
            </w:r>
            <w:r>
              <w:t xml:space="preserve"> in Führungspositionen entgegenzuwirken;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Mitgliedstaaten und die Leitungsgremien des Sports auf, die Beteiligung von Menschen mit Behinderungen an Strukturen und Entscheidungsgremien des Sports aktiv zu fördern und dafür zu sorgen, dass ihre Stimme bei der Gestaltung von Maßnahmen, die sie betreffen, gehört wird;</w:t>
            </w:r>
            <w:r>
              <w:t xml:space="preserve"> </w:t>
            </w:r>
            <w:r>
              <w:rPr>
                <w:b/>
                <w:i/>
              </w:rPr>
              <w:t>spricht sich für die Einrichtung beratender Ausschüsse für die Inklusion von Menschen mit Behinderungen in den nationalen und europäischen Sportverbänden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betont, dass trans- und Intersexuelle Personen gleichberechtigten Zugang zu Möglichkeiten im Sport in einer Weise haben sollten, die ihrer Geschlechtsidentität entspricht, und fordert die Leitungsgremien nachdrücklich auf, inklusive Strukturen zu entwickeln und zu fördern, die der Bedeutung der Vielfalt im Sport und der transformativen Kraft des Sports Rechnung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auf, die Leitungsgremien des Sports darin zu bestärken, Mechanismen und Strategien in den Bereichen Ausbildung und Entwicklung junger Menschen zu konzipieren, mit denen Vereine belohnt werden, wenn ihre Spieler zum beständigen Erfolg bei Wettbewerben von Spitzenvereinen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betont, dass es nach wie vor Gewalt gegen Frauen und Mädchen sowie gegen LGBTIQ± im Sport gibt, wofür nur selten ausreichende Präventions- und Reaktionsmechanismen eingerichtet worden sind;</w:t>
            </w:r>
            <w:r>
              <w:t xml:space="preserve"> </w:t>
            </w:r>
            <w:r>
              <w:rPr>
                <w:b/>
                <w:i/>
              </w:rPr>
              <w:t>fordert die Kommission nachdrücklich auf, dies expliziter anzugehen und die Einrichtung einer EU-Initiative in Erwägung zu ziehen, um die Mitgliedstaaten bei der Entwicklung wirksamerer Strategien und besser koordinierter Maßnahmen gegen Belästigung und andere Formen von Gewalt im Sport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fordert die Mitgliedstaaten und die nationalen Sportverbände auf, Sportlerinnen und Sportlern, die ihre Länder bei internationalen Wettkämpfen vertreten, gleiche finanzielle Vergütungen zu garantieren, einschließlich Medaillen, Boni und Teilnahmehonoraren, als notwendige Maßnahme, um die Gleichstellung der Geschlechter sicherzustellen und gegen strukturelle Diskriminierung im Sport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ist besorgt über die strukturelle Diskriminierung aufgrund des Geschlechts beim Zugang zu Schulungen für Trainer und Berufsqualifikationen, wobei in einigen Mitgliedstaaten nationale Sportverbände auf Leistungspunkten beruhende Zulassungssysteme für Kurse zur Ausbildung von Trainern anwenden, die der professionellen Erfahrung von Männern im Vergleich zu Frauen einen höheren Wert beimessen;</w:t>
            </w:r>
            <w:r>
              <w:t xml:space="preserve"> </w:t>
            </w:r>
            <w:r>
              <w:rPr>
                <w:b/>
                <w:i/>
              </w:rPr>
              <w:t>stellt fest, dass Frauen – auch diejenigen, die auf höchster Ebene gespielt haben – durch diese Praxis systematisch benachteiligt werden können, da ihnen dadurch der Zugang zu professionellen Trainerkarrieren erschwert wird;</w:t>
            </w:r>
            <w:r>
              <w:t xml:space="preserve"> </w:t>
            </w:r>
            <w:r>
              <w:rPr>
                <w:b/>
                <w:i/>
              </w:rPr>
              <w:t>fordert die Kommission und die Mitgliedstaaten auf, mit den nationalen Sportverbänden zusammenzuarbeiten, um sicherzustellen, dass der Zugang zur Trainer- und Managementausbildung auf objektiven, inklusiven und diskriminierungsfreien Kriterien beruht, die den sportlichen Leistungen von Frauen in vollem Umfang Rechnung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betont </w:t>
            </w:r>
            <w:r>
              <w:rPr>
                <w:b/>
                <w:i/>
              </w:rPr>
              <w:t>das Erfordernis von Repräsentativitätsstandards und -kontrollen als Voraussetzung für die Beteiligung von</w:t>
            </w:r>
            <w:r>
              <w:t xml:space="preserve"> Interessenverbänden </w:t>
            </w:r>
            <w:r>
              <w:rPr>
                <w:b/>
                <w:i/>
              </w:rPr>
              <w:t>an</w:t>
            </w:r>
            <w:r>
              <w:t xml:space="preserve"> Governance-Prozessen;</w:t>
            </w:r>
          </w:p>
        </w:tc>
        <w:tc>
          <w:tcPr>
            <w:tcW w:w="4876" w:type="dxa"/>
            <w:tcBorders>
              <w:top w:val="nil"/>
              <w:left w:val="nil"/>
              <w:bottom w:val="nil"/>
              <w:right w:val="nil"/>
            </w:tcBorders>
          </w:tcPr>
          <w:p>
            <w:pPr>
              <w:pStyle w:val="Normal6a"/>
            </w:pPr>
            <w:r>
              <w:t>20.</w:t>
            </w:r>
            <w:r>
              <w:tab/>
            </w:r>
            <w:r>
              <w:t>betont</w:t>
            </w:r>
            <w:r>
              <w:rPr>
                <w:b/>
                <w:i/>
              </w:rPr>
              <w:t>, dass eine bessere Repräsentativität in</w:t>
            </w:r>
            <w:r>
              <w:t xml:space="preserve"> Interessenverbänden </w:t>
            </w:r>
            <w:r>
              <w:rPr>
                <w:b/>
                <w:i/>
              </w:rPr>
              <w:t>bei</w:t>
            </w:r>
            <w:r>
              <w:t xml:space="preserve"> Governance-Prozessen </w:t>
            </w:r>
            <w:r>
              <w:rPr>
                <w:b/>
                <w:i/>
              </w:rPr>
              <w:t>gefördert werden muss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betont, wie wichtig es ist, dafür zu sorgen, dass sich alle Institutionen, Leitungsgremien und Interessenträger im Sportbereich an die Grundsätze halten, die in der Rechtsprechung des EuGH im Bezug auf den Sport niedergelegt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Catherine Griset,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schlägt vor, dass die Kommission die einschlägigen Interessenträger zur Einrichtung eines EU-Ausschusses für den sektoralen sozialen Dialog im Profisport konsultiert;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schlägt vor, dass die Kommission die einschlägigen Interessenträger zur Einrichtung eines EU-Ausschusses für den sektoralen sozialen Dialog im Profisport konsultiert;</w:t>
            </w:r>
          </w:p>
        </w:tc>
        <w:tc>
          <w:tcPr>
            <w:tcW w:w="4876" w:type="dxa"/>
            <w:tcBorders>
              <w:top w:val="nil"/>
              <w:left w:val="nil"/>
              <w:bottom w:val="nil"/>
              <w:right w:val="nil"/>
            </w:tcBorders>
          </w:tcPr>
          <w:p>
            <w:pPr>
              <w:pStyle w:val="Normal6a"/>
            </w:pPr>
            <w:r>
              <w:t>22.</w:t>
            </w:r>
            <w:r>
              <w:tab/>
            </w:r>
            <w:r>
              <w:t>schlägt vor, dass die Kommission die einschlägigen Interessenträger zur Einrichtung eines EU-Ausschusses für den sektoralen sozialen Dialog im Profisport konsultiert</w:t>
            </w:r>
            <w:r>
              <w:rPr>
                <w:b/>
                <w:i/>
              </w:rPr>
              <w:t>, in den insbesondere Organisationen der Zivilgesellschaft einbezogen werden, die über Fachwissen verfügen und sich für das europäische Sportmodell einsetzen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betont, dass die Sportbehörden den Schutz der psychischen Gesundheit der Sportler genauso berücksichtigen müssen wie ihre körperliche Gesundheit;</w:t>
            </w:r>
            <w:r>
              <w:t xml:space="preserve"> </w:t>
            </w:r>
            <w:r>
              <w:rPr>
                <w:b/>
                <w:i/>
              </w:rPr>
              <w:t>betont, dass Programme für Sportler, die ihre sportliche Karriere beendet haben, entwickelt und unterstützt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unterstützt die Beteiligung von an der ordnungspolitischen Steuerung des Sports durch die Einrichtung von Sportlerausschüssen und Arbeitsgruppen zum Wohlergehen der Sportler, um einen inklusiven, wissenschaftlich fundierten Dialog und Maßnahmen mit Schwerpunkt auf dem Wohlergehen der Sportler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Organe der EU auf, die Grundrechte von Sportlern zu schützen und zu fördern, einschließlich der sozialen Rechte wie Vereinigungsfreiheit, </w:t>
            </w:r>
            <w:r>
              <w:rPr>
                <w:b/>
                <w:i/>
              </w:rPr>
              <w:t>Kollektivverhandlungen, Nichtdiskriminierung</w:t>
            </w:r>
            <w:r>
              <w:t xml:space="preserve">, menschenwürdige Arbeitsbedingungen </w:t>
            </w:r>
            <w:r>
              <w:rPr>
                <w:b/>
                <w:i/>
              </w:rPr>
              <w:t>und</w:t>
            </w:r>
            <w:r>
              <w:t xml:space="preserve"> Grundsätze der Gesundheit und Sicherheit am Arbeitsplatz;</w:t>
            </w:r>
          </w:p>
        </w:tc>
        <w:tc>
          <w:tcPr>
            <w:tcW w:w="4876" w:type="dxa"/>
            <w:tcBorders>
              <w:top w:val="nil"/>
              <w:left w:val="nil"/>
              <w:bottom w:val="nil"/>
              <w:right w:val="nil"/>
            </w:tcBorders>
          </w:tcPr>
          <w:p>
            <w:pPr>
              <w:pStyle w:val="Normal6a"/>
            </w:pPr>
            <w:r>
              <w:t>23.</w:t>
            </w:r>
            <w:r>
              <w:tab/>
            </w:r>
            <w:r>
              <w:t xml:space="preserve">Fordert die Organe der EU auf, die Grundrechte von Sportlern </w:t>
            </w:r>
            <w:r>
              <w:rPr>
                <w:b/>
                <w:i/>
              </w:rPr>
              <w:t>und anderen Arbeitnehmern in der Sportbranche</w:t>
            </w:r>
            <w:r>
              <w:t xml:space="preserve"> zu schützen und zu fördern, einschließlich der sozialen Rechte wie Vereinigungsfreiheit, </w:t>
            </w:r>
            <w:r>
              <w:rPr>
                <w:b/>
                <w:i/>
              </w:rPr>
              <w:t>Tarifverhandlungen, Diskriminierungsverbot</w:t>
            </w:r>
            <w:r>
              <w:t>, menschenwürdige Arbeitsbedingungen</w:t>
            </w:r>
            <w:r>
              <w:rPr>
                <w:b/>
                <w:i/>
              </w:rPr>
              <w:t>,</w:t>
            </w:r>
            <w:r>
              <w:t xml:space="preserve"> Grundsätze der Gesundheit und Sicherheit am Arbeitsplatz</w:t>
            </w:r>
            <w:r>
              <w:rPr>
                <w:b/>
                <w:i/>
              </w:rPr>
              <w:t>, gleiches Entgelt und wirksamer Schutz der Mutterschafts- und Vaterschaftsrechte von Profisportlern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w:t>
            </w:r>
            <w:r>
              <w:rPr>
                <w:b/>
                <w:i/>
              </w:rPr>
              <w:t>Organe der EU</w:t>
            </w:r>
            <w:r>
              <w:t xml:space="preserve"> auf, die Grundrechte von Sportlern zu schützen und zu fördern, einschließlich der sozialen Rechte wie Vereinigungsfreiheit, Kollektivverhandlungen, Nichtdiskriminierung, menschenwürdige Arbeitsbedingungen und Grundsätze der Gesundheit und Sicherheit am Arbeitsplatz;</w:t>
            </w:r>
          </w:p>
        </w:tc>
        <w:tc>
          <w:tcPr>
            <w:tcW w:w="4876" w:type="dxa"/>
            <w:tcBorders>
              <w:top w:val="nil"/>
              <w:left w:val="nil"/>
              <w:bottom w:val="nil"/>
              <w:right w:val="nil"/>
            </w:tcBorders>
          </w:tcPr>
          <w:p>
            <w:pPr>
              <w:pStyle w:val="Normal6a"/>
            </w:pPr>
            <w:r>
              <w:t>23.</w:t>
            </w:r>
            <w:r>
              <w:tab/>
            </w:r>
            <w:r>
              <w:t xml:space="preserve">fordert die </w:t>
            </w:r>
            <w:r>
              <w:rPr>
                <w:b/>
                <w:i/>
              </w:rPr>
              <w:t>EU-Organe</w:t>
            </w:r>
            <w:r>
              <w:t xml:space="preserve"> auf, die Grundrechte von Sportlern zu schützen und zu fördern, einschließlich der sozialen Rechte wie Vereinigungsfreiheit, Kollektivverhandlungen, Nichtdiskriminierung, menschenwürdige Arbeitsbedingungen und Grundsätze der Gesundheit und Sicherheit am Arbeitsplatz</w:t>
            </w:r>
            <w:r>
              <w:rPr>
                <w:b/>
                <w:i/>
              </w:rPr>
              <w:t>, und fordert von den Mitgliedstaaten, dies entsprechend umzusetzen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die Kommission auf, in Zusammenarbeit mit den Mitgliedstaaten gemeinsame europäische Standards für die Sportinfrastruktur zu entwickeln, mit denen die ökologische Nachhaltigkeit, Energieeffizienz, Barrierefreiheit für Menschen mit Behinderungen und Anpassungsfähigkeit an die Auswirkungen des Klimawandels gewährleistet und dadurch Innovationen in die Branche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betont, dass eine vorausschauende Risikobewertung bei der Ausweitung der Wettkampfformate und der Gestaltung von Spielplänen erforderlich ist, und betont, wie wichtig die Beteiligung von Sportlern an der Entwicklung und Überwachung von Strategien im Bereich Gesundheit und Sicherheit am Arbeitsplatz ist, einschließlich branchenspezifischer Normen, Gesundheits- und Sicherheitsmaßnahmen und Präventionsprotokollen;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betont, dass gemäß den EU-Rechtsvorschriften zur Gleichstellung der Geschlechter Schwangerschafts-, Mutterschafts- und Elternrechte für Sportlerinnen garantiert werden müssen, einschließlich des Rechts auf Mutterschaftsurlaub, des Schutzes vor Vertragskündigung und des Zugangs zu Gesundheitsversorgung und postnataler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die EU-Organe und die Mitgliedstaaten auf, Initiativen im Zusammenhang mit Bildung, dualer Karriere, persönlicher Entwicklung, lebenslangem Lernen und psychischer Gesundheit von Sportlern in Partnerschaft mit einschlägigen Organisationen wie Sportlerverbänden weiter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Bogdan Andrzej Zdrojewski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dass geeignete Instrumente für die Koordinierung von nationalen und nationalen Sportveranstaltungen eingesetzt werden, damit es nicht zu Terminüberschneidungen kommt;</w:t>
            </w:r>
            <w:r>
              <w:t xml:space="preserve"> </w:t>
            </w:r>
            <w:r>
              <w:rPr>
                <w:b/>
                <w:i/>
              </w:rPr>
              <w:t>betont, dass es Sportlern stets freistehen sollte, ihr Land zu vertreten, und dass die Vereine verpflichtet werden müssen, sie dafür freizustellen;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die EU und die Mitgliedstaaten nachdrücklich auf, einen regulatorischen Schutz für Sportler zu entwickeln, um ihre langfristige körperliche und geistige Gesundheit, einschließlich Bestimmungen über Mutterschaft und Schwangerschaft, zu gewährleisten, und fordert, dass alle Sportgremien ähnliche Maßnahmen ergreifen;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die EU-Organe und die Mitgliedstaaten auf, Initiativen im Zusammenhang mit dualer Karriere, persönlicher Entwicklung und psychischer Gesundheit von Sportlern in Partnerschaft mit einschlägigen Organisationen wie Sportlerverbänden weiter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betont, dass ein proaktives Risikomanagement eine zentrale Anforderung in Bezug auf Gesundheit und Sicherheit am Arbeitsplatz ist, die für den Profisportsektor gilt, und dass bei der genauen Bewertung alle beruflichen Anforderungen an Profisportler berücksichtigt werden müssen, einschließlich externer Faktoren wie Reisen, Spielplan und sich überschneidende Wettkämpfe;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fordert die Einführung von Mindestruhezeiten zwischen Spielen und Trainingseinheiten, die an die jeweilige Sportart angepasst sind, damit die körperliche und psychische Gesundheit von Sportlern geschützt sowie Burnout und chronische Verletzungen verhindert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unterstützt das Grundrecht von Profisportlern, für ihre Nationalmannschaft aufzulaufen, und erkennt an, wie wichtig ein ausgewogenes Verhältnis zwischen nationalen Verpflichtungen und den Verpflichtungen für den Verein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Nikola Minchev, Hristo Petrov, Bogdan Andrzej Zdrojewski,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fordert die Leitungsgremien des Sports auf, zu verhindern, dass inländische Wettkämpfe im Ausland stattfinden;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Hannes Heide, Sabrina Repp, Emma Rafowicz, Isilda Gomes, Gabriela Firea, Marcos Ros Sempere, Bogdan Andrzej Zdrojewski, Nikola Minchev,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betont, dass Sportler die Möglichkeit und die Freiheit haben sollten, ihr Land in der Nationalmannschaft zu vertreten, und bekräftigt, dass die Vereine verpflichtet werden sollten, Sportler für die Teilnahme an Wettkämpfen der Nationalmannschaft freizustellen, da europäische und internationale Wettkämpfe integraler Bestandteil des Sports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Nikola Minchev, Laurence Farreng, Hristo Petrov,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betont, dass die Barrierefreiheit von Sportveranstaltungen in Europa bewertet werden muss, wobei die zunehmende Praxis dynamischer Preise normale Menschen daran hindern können, besonders beliebte Sportveranstaltungen zu besuchen, ebenso wie immer weniger allgemein zugängliche Möglichkeiten für den Kauf von Eintrittskarten bei vielen Sportveranstaltungen;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empfiehlt die Einführung standardisierter EU-weiter Kranken- und Unfallversicherungssysteme für Profisportler und semiprofessionelle Sportler, mit denen Einkommensschutz und der Zugang zu Rehabilitationsdiensten im Falle vorübergehender oder dauerhafter Verletzungen gewährleistet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23d.</w:t>
            </w:r>
            <w:r>
              <w:tab/>
            </w:r>
            <w:r>
              <w:rPr>
                <w:b/>
                <w:i/>
              </w:rPr>
              <w:t>fordert die Mitgliedstaaten und die Sportverbände nachdrücklich auf, strukturierte Wege für Athleten zu schaffen, die ihre sportliche Karriere beenden, einschließlich des Zugangs zu weiterführender Bildung, Berufsausbildung, Beratung und EU-Mobilitätsprogrammen wie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23e.</w:t>
            </w:r>
            <w:r>
              <w:tab/>
            </w:r>
            <w:r>
              <w:rPr>
                <w:b/>
                <w:i/>
              </w:rPr>
              <w:t>erkennt die Bemühungen internationaler Gremien an, ein transparentes und faires Transfersystem einzurichten, und fordert, dass ein besonderes Augenemrk auf den Schutz der Rechte von Sportlern in allen Sportarten unter besonderer Berücksichtigung von Minderjährigen gelegt wird;</w:t>
            </w:r>
            <w:r>
              <w:t xml:space="preserve"> </w:t>
            </w:r>
            <w:r>
              <w:rPr>
                <w:b/>
                <w:i/>
              </w:rPr>
              <w:t>betont, dass für angemessene Entschädigungsmechanismen gesorgt werden muss, Menschenhandel und Ausbeutung verhindert werden müssen und die uneingeschränkte Einhaltung der internationalen Normen für den Schutz von Kindern sichergestellt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23f.</w:t>
            </w:r>
            <w:r>
              <w:tab/>
            </w:r>
            <w:r>
              <w:rPr>
                <w:b/>
                <w:i/>
              </w:rPr>
              <w:t>betont, wie wichtig zugängliche Unterstützungsdienste ohne Stigmatisierung im Bereich der körperlichen Gesundheit der Sportler sind, insbesondere für Sportler, die starkem Druck ausgesetzt sind oder denen einen vorzeitige Beendigung ihrer Karriere, Verletzungen oder Missbrauch drohen, und fordert, dass diese Dienste in die nationalen Strategien für die Gesundheit im Sport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23g.</w:t>
            </w:r>
            <w:r>
              <w:tab/>
            </w:r>
            <w:r>
              <w:rPr>
                <w:b/>
                <w:i/>
              </w:rPr>
              <w:t>bekräftigt das Recht der Sportler, als grundlegende Komponente des europäischen Sportmodells und des geellschaftlichen und kulturellen Werts des Sports, ihr Land in der Nationalmannschaft zu vertreten;</w:t>
            </w:r>
            <w:r>
              <w:t xml:space="preserve"> </w:t>
            </w:r>
            <w:r>
              <w:rPr>
                <w:b/>
                <w:i/>
              </w:rPr>
              <w:t>fordert die Profivereine auf, von vertraglichen oder strukturellen Beschränkungen abzusehen, die Spieler von der Teilnahme an offiziellen Wettbewerben der Nationalmannschaft ausschließen oder davon abhalten;</w:t>
            </w:r>
            <w:r>
              <w:t xml:space="preserve"> </w:t>
            </w:r>
            <w:r>
              <w:rPr>
                <w:b/>
                <w:i/>
              </w:rPr>
              <w:t>betont, dass solche Beschränkungen im Widerspruch zu den Grundsätzen der Solidarität, des fairen Wettbewerbs und der Integrität des internationalen Sports stehen;</w:t>
            </w:r>
            <w:r>
              <w:t xml:space="preserve"> </w:t>
            </w:r>
            <w:r>
              <w:rPr>
                <w:b/>
                <w:i/>
              </w:rPr>
              <w:t>ist der Ansicht, dass die Koordinierung mittels des internationalen Spielplans im internationalen Fußball von entscheidender Bedeutung ist und als Beispiel für andere Sportarten dienen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Lara Magoni, 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Kommission auf, als Reaktion auf die starken politischen Impulse seitens der Mitgliedstaaten und der Organe der EU eine langfristige Strategie für die Sportpolitik vorzulegen, die sich auf die wichtigsten Merkmale des europäischen Sportmodells konzentriert, und konkrete Maßnahmen in diesem Zusammenhang vorzuschlagen;</w:t>
            </w:r>
          </w:p>
        </w:tc>
        <w:tc>
          <w:tcPr>
            <w:tcW w:w="4876" w:type="dxa"/>
            <w:tcBorders>
              <w:top w:val="nil"/>
              <w:left w:val="nil"/>
              <w:bottom w:val="nil"/>
              <w:right w:val="nil"/>
            </w:tcBorders>
          </w:tcPr>
          <w:p>
            <w:pPr>
              <w:pStyle w:val="Normal6a"/>
            </w:pPr>
            <w:r>
              <w:t>24.</w:t>
            </w:r>
            <w:r>
              <w:tab/>
            </w:r>
            <w:r>
              <w:t xml:space="preserve">fordert die Kommission auf, als Reaktion auf die starken politischen Impulse seitens der Mitgliedstaaten und der Organe der EU eine langfristige Strategie für die Sportpolitik vorzulegen, die sich auf die wichtigsten Merkmale des europäischen Sportmodells konzentriert, und </w:t>
            </w:r>
            <w:r>
              <w:rPr>
                <w:b/>
                <w:i/>
              </w:rPr>
              <w:t>dabei die uneingeschränkte Achtung der kulturellen und sportlichen Traditionen der Mitgliedstaaten und ihre vorrangige Zuständigkeit für die Organisation des Sports sicherzustellen sowie</w:t>
            </w:r>
            <w:r>
              <w:t xml:space="preserve"> konkrete Maßnahmen in diesem Zusammenhang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fordert die Kommission auf, als Reaktion auf die starken politischen Impulse seitens der Mitgliedstaaten und der Organe der EU eine langfristige Strategie für die </w:t>
            </w:r>
            <w:r>
              <w:rPr>
                <w:b/>
                <w:i/>
              </w:rPr>
              <w:t>Sportpolitik</w:t>
            </w:r>
            <w:r>
              <w:t xml:space="preserve"> vorzulegen, die sich auf die wichtigsten Merkmale des europäischen Sportmodells konzentriert, und konkrete Maßnahmen in diesem Zusammenhang vorzuschlagen;</w:t>
            </w:r>
          </w:p>
        </w:tc>
        <w:tc>
          <w:tcPr>
            <w:tcW w:w="4876" w:type="dxa"/>
            <w:tcBorders>
              <w:top w:val="nil"/>
              <w:left w:val="nil"/>
              <w:bottom w:val="nil"/>
              <w:right w:val="nil"/>
            </w:tcBorders>
          </w:tcPr>
          <w:p>
            <w:pPr>
              <w:pStyle w:val="Normal6a"/>
            </w:pPr>
            <w:r>
              <w:t>24.</w:t>
            </w:r>
            <w:r>
              <w:tab/>
            </w:r>
            <w:r>
              <w:t xml:space="preserve">fordert die Kommission auf, als Reaktion auf die starken politischen Impulse seitens der Mitgliedstaaten und der Organe der EU eine langfristige Strategie für die </w:t>
            </w:r>
            <w:r>
              <w:rPr>
                <w:b/>
                <w:i/>
              </w:rPr>
              <w:t>Politik im Bereich des Sports und der körperlichen Bewegung</w:t>
            </w:r>
            <w:r>
              <w:t xml:space="preserve"> vorzulegen, die sich auf die wichtigsten Merkmale des europäischen Sportmodells konzentriert, und konkrete Maßnahmen in diesem Zusammenhang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hebt die zunehmenden Unterschiede zwischen Breitensport und Profisport hervor und fordert das Europäische Parlament auf, die Möglichkeit zu prüfen, einen gesonderten Ausschuss oder Unterausschuss einzusetzen, der eigens dem Profisport gewidmet ist;</w:t>
            </w:r>
            <w:r>
              <w:t xml:space="preserve"> </w:t>
            </w:r>
            <w:r>
              <w:rPr>
                <w:b/>
                <w:i/>
              </w:rPr>
              <w:t>stellt fest, dass die unterschiedlichen wirtschaftlichen, rechtlichen und ordnungspolitischen Herausforderungen, mit denen die Branche konfrontiert ist, maßgeschneiderte und spezialisierte politische Antworten erfordern und dass ein eigens dafür vorgesehenes Gremium eine wirksamere und gezieltere Politikgestaltung ermöglichen würde;</w:t>
            </w:r>
            <w:r>
              <w:t xml:space="preserve"> </w:t>
            </w:r>
            <w:r>
              <w:rPr>
                <w:b/>
                <w:i/>
              </w:rPr>
              <w:t>betont, dass der CULT-Ausschuss weiterhin für Breiten-, Schul- und Freizeitsport zuständig sein sollte, wobei der Schwerpunkt auf sozialer Inklusion, Entwicklung junger Menschen, Gesundheit und Wohlbefinden sowie kulturellem Engagement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die Kommission auf, EU-Rechtsvorschriften vorzuschlagen, mit denen für eine verantwortungsvolle Ordnungspolitik im internationalen Sport gesorgt, die Integrität des europäischen Binnenmarkts gewahrt und der fairen Wettbewerb sowie die finanzielle Tragfähigkeit im Profisport gestärkt wird;</w:t>
            </w:r>
            <w:r>
              <w:t xml:space="preserve"> </w:t>
            </w:r>
            <w:r>
              <w:rPr>
                <w:b/>
                <w:i/>
              </w:rPr>
              <w:t>fordert die Kommission ferner auf, bestehende EU-Rechtsvorschriften, die diese Ziele untergraben könnten, zu überprüfen und eine umfassende Strategie mit konkreten Maßnahmen zur Lösung dieses Problems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begrüßt den laufenden Dialog über die Sportpolitik und fordert die Kommission auf, sich aktiv in die Diskussionen auf europäischer, nationaler und lokaler Ebene einzubringen und alle einschlägigen Interessenträger in die Gestaltung langfristiger Strategien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fordert die Einrichtung einer EU-Sportagentur, die eine Schlüsselrolle bei der Steuerung der Entscheidungsfindung im Bereich des Sports und bei der Verbesserung eines wertebasierten europäischen Sportmodells sowie bei der Lösung systemischer Probleme spielen sollte, indem die Zusammenarbeit zwischen den Mitgliedstaaten verbessert und der Dialog mit den Akteuren des Sports intensiviert sowie der Übergang zu einem stärker nachhaltigen und innovativen Sport der Zukunft unterstützt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fordert die Kommission auf, ihrer Rolle als Hüterin der Verträge in einem der wichtigsten sozialen und wirtschaftlichen Bereiche der Union gerecht zu werden, indem sie Bedrohungen für das europäische Sportmodell, wie etwa abtrünnige Wettbewerbe, die das Gesamtsystem des Sports gefährden, aktiv überwacht und dagegen vorgeht;</w:t>
            </w:r>
          </w:p>
        </w:tc>
        <w:tc>
          <w:tcPr>
            <w:tcW w:w="4876" w:type="dxa"/>
            <w:tcBorders>
              <w:top w:val="nil"/>
              <w:left w:val="nil"/>
              <w:bottom w:val="nil"/>
              <w:right w:val="nil"/>
            </w:tcBorders>
          </w:tcPr>
          <w:p>
            <w:pPr>
              <w:pStyle w:val="Normal6a"/>
            </w:pPr>
            <w:r>
              <w:t>25.</w:t>
            </w:r>
            <w:r>
              <w:tab/>
            </w:r>
            <w:r>
              <w:t xml:space="preserve">fordert die Kommission auf, ihrer Rolle als Hüterin der Verträge in einem der wichtigsten sozialen und wirtschaftlichen Bereiche der Union gerecht zu werden, indem sie Bedrohungen für das europäische Sportmodell, wie etwa abtrünnige Wettbewerbe, die das Gesamtsystem des Sports gefährden, </w:t>
            </w:r>
            <w:r>
              <w:rPr>
                <w:b/>
                <w:i/>
              </w:rPr>
              <w:t>auch auf nationaler, regionaler und lokaler Ebene</w:t>
            </w:r>
            <w:r>
              <w:t xml:space="preserve"> aktiv überwacht und dagegen vorgeht</w:t>
            </w:r>
            <w:r>
              <w:rPr>
                <w:b/>
                <w:i/>
              </w:rPr>
              <w:t>, damit für ein Modell gesorgt wird, das auf Integrität, Menschenrechten und der Einhaltung der Rechtsstaatlichkeit und des EU-Rechts beruht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Nikos Pappas, 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hebt den strategischen Wert der Sportdiplomatie als Soft-Power-Instrument zur Förderung des Dialogs, des gegenseitigen Verständnisses und der internationalen Zusammenarbeit hervor;</w:t>
            </w:r>
            <w:r>
              <w:t xml:space="preserve"> </w:t>
            </w:r>
            <w:r>
              <w:rPr>
                <w:b/>
                <w:i/>
              </w:rPr>
              <w:t>sprich sich für die Austragung und Unterstützung von Freundschaftsspielen und gemeinsamen Sportinitiativen als Mittel der Aussöhnung zwischen Gemeinwesen oder Ländern, die sich in einem Konflikt miteinander befinden. und als Brücke zum interkulturellen Austausch und zur Friedenskonsolidierung;</w:t>
            </w:r>
            <w:r>
              <w:t xml:space="preserve"> </w:t>
            </w:r>
            <w:r>
              <w:rPr>
                <w:b/>
                <w:i/>
              </w:rPr>
              <w:t>fordert die Kommission und die Mitgliedstaaten auf, die Sportdiplomatie in das auswärtige Handeln und die Nachbarschaftspolitik der EU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fordert die Kommission auf, alle ihr zur Verfügung stehenden geeigneten Instrumente zu nutzen, um den europäischen Sportsektor vor Initiativen zu schützen, die darauf abzielen, ihn zu untergraben und den von ihm geschaffenen Wert ins Ausland zu verfrachten;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betont in diesem Zusammenhang gemäß dem Grundsatz der sportlichen Leistung, dass die Verbindung zwischen europäischen und inländischen Wettkämpfen umfassend geschützt werden muss, wobei das jährliche Abschneiden in nationalen Ligen das einzige Kriterium für die Qualifizierung für europäische Wettbewerbe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Bogdan Andrzej Zdrojewski, Sabine Verheyen, Loucas Fourlas, Sunčana Glavak, Hélder Sousa Silva, Hannes Heide, Łukasz Kohut, Nikola Minchev, Jagna Marczułajtis-Walczak, Eleonora Meleti, Ioan-Rareş Bogdan, Andrzej Buła, Giusi Princi, Zoltán Tarr, Manuela Ripa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weist darauf hin, dass im europäischen Sportmodell heimische Ligen vertikal sind, wobei der Auf- und Abstieg jeweils auf nationaler Ebene stattfindet;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774.268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84</w:t>
    </w:r>
    <w:r>
      <w:fldChar w:fldCharType="end"/>
    </w:r>
    <w:r>
      <w:t>/</w:t>
    </w:r>
    <w:r>
      <w:fldChar w:fldCharType="begin"/>
    </w:r>
    <w:r>
      <w:instrText xml:space="preserve"> NUMPAGES </w:instrText>
    </w:r>
    <w:r>
      <w:fldChar w:fldCharType="separate"/>
    </w:r>
    <w:r>
      <w:t>84</w:t>
    </w:r>
    <w:r>
      <w:fldChar w:fldCharType="end"/>
    </w:r>
    <w:r>
      <w:tab/>
    </w:r>
    <w:r>
      <w:rPr>
        <w:rStyle w:val="HideTWBExt"/>
      </w:rPr>
      <w:t>&lt;PathFdR&gt;</w:t>
    </w:r>
    <w:r>
      <w:t>AM\1321893DE.docx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AM\1321893DE.docx</w:t>
    </w:r>
    <w:r>
      <w:rPr>
        <w:rStyle w:val="HideTWBExt"/>
      </w:rPr>
      <w:t>&lt;/PathFdR&gt;</w:t>
    </w:r>
    <w:r>
      <w:tab/>
    </w:r>
    <w:r>
      <w:fldChar w:fldCharType="begin"/>
    </w:r>
    <w:r>
      <w:instrText xml:space="preserve"> PAGE </w:instrText>
    </w:r>
    <w:r>
      <w:fldChar w:fldCharType="separate"/>
    </w:r>
    <w:r>
      <w:t>83</w:t>
    </w:r>
    <w:r>
      <w:fldChar w:fldCharType="end"/>
    </w:r>
    <w:r>
      <w:t>/</w:t>
    </w:r>
    <w:r>
      <w:fldChar w:fldCharType="begin"/>
    </w:r>
    <w:r>
      <w:instrText xml:space="preserve"> NUMPAGES </w:instrText>
    </w:r>
    <w:r>
      <w:fldChar w:fldCharType="separate"/>
    </w:r>
    <w:r>
      <w:t>84</w:t>
    </w:r>
    <w:r>
      <w:fldChar w:fldCharType="end"/>
    </w:r>
    <w:r>
      <w:tab/>
    </w:r>
    <w:r>
      <w:t>PE</w:t>
    </w:r>
    <w:r>
      <w:rPr>
        <w:rStyle w:val="HideTWBExt"/>
      </w:rPr>
      <w:t>&lt;NoPE&gt;</w:t>
    </w:r>
    <w:r>
      <w:t>774.268</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AM\1321893DE.docx</w:t>
    </w:r>
    <w:r>
      <w:rPr>
        <w:rStyle w:val="HideTWBExt"/>
      </w:rPr>
      <w:t>&lt;/PathFdR&gt;</w:t>
    </w:r>
    <w:r>
      <w:tab/>
    </w:r>
    <w:r>
      <w:tab/>
    </w:r>
    <w:r>
      <w:t>PE</w:t>
    </w:r>
    <w:r>
      <w:rPr>
        <w:rStyle w:val="HideTWBExt"/>
      </w:rPr>
      <w:t>&lt;NoPE&gt;</w:t>
    </w:r>
    <w:r>
      <w:t>774.268</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84</Pages>
  <Words>13411</Words>
  <Characters>94569</Characters>
  <Application>Microsoft Office Word</Application>
  <DocSecurity>0</DocSecurity>
  <Lines>1</Lines>
  <Paragraphs>1474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1321893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199062</vt:lpwstr>
  </property>
  <property fmtid="{D5CDD505-2E9C-101B-9397-08002B2CF9AE}" pid="7" name="dmxml.render.traceId">
    <vt:lpwstr>6852d659d2b833fbfb4cbb24cafd0658</vt:lpwstr>
  </property>
  <property fmtid="{D5CDD505-2E9C-101B-9397-08002B2CF9AE}" pid="8" name="FooterPath">
    <vt:lpwstr>AM\1321893DE.docx</vt:lpwstr>
  </property>
  <property fmtid="{D5CDD505-2E9C-101B-9397-08002B2CF9AE}" pid="9" name="PE Number">
    <vt:lpwstr>774.268</vt:lpwstr>
  </property>
  <property fmtid="{D5CDD505-2E9C-101B-9397-08002B2CF9AE}" pid="10" name="UID">
    <vt:lpwstr>eu.europa.europarl-DIN1-2025-0000112518_02.00-de-01.00_text-xml</vt:lpwstr>
  </property>
</Properties>
</file>