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European Parliament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{CULT}</w:t>
      </w:r>
      <w:r>
        <w:t>Committee on Culture and Education</w:t>
      </w:r>
      <w:r>
        <w:rPr>
          <w:rStyle w:val="HideTWBExt"/>
        </w:rPr>
        <w:t>&lt;/Commission&gt;</w:t>
      </w:r>
    </w:p>
    <w:p>
      <w:pPr>
        <w:pStyle w:val="LineBottom"/>
      </w:pPr>
      <w:r>
        <w:t xml:space="preserve"> </w:t>
      </w:r>
    </w:p>
    <w:p>
      <w:pPr>
        <w:pStyle w:val="CoverReference"/>
      </w:pPr>
      <w:r>
        <w:rPr>
          <w:rStyle w:val="HideTWBExt"/>
        </w:rPr>
        <w:t>&lt;RefProc&gt;</w:t>
      </w:r>
      <w:r>
        <w:t>2025/2180</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{12/10/2026}</w:t>
      </w:r>
      <w:r>
        <w:t>12.10.2026</w:t>
      </w:r>
      <w:r>
        <w:rPr>
          <w:rStyle w:val="HideTWBExt"/>
        </w:rPr>
        <w:t>&lt;/Date&gt;</w:t>
      </w:r>
    </w:p>
    <w:p>
      <w:pPr>
        <w:pStyle w:val="CoverDocType"/>
      </w:pPr>
      <w:r>
        <w:rPr>
          <w:rStyle w:val="HideTWBExt"/>
        </w:rPr>
        <w:t>&lt;TypeAM&gt;</w:t>
      </w:r>
      <w:r>
        <w:t>AMENDMENTS</w:t>
      </w:r>
      <w:r>
        <w:rPr>
          <w:rStyle w:val="HideTWBExt"/>
        </w:rPr>
        <w:t>&lt;/TypeAM&gt;</w:t>
      </w:r>
    </w:p>
    <w:p>
      <w:pPr>
        <w:pStyle w:val="CoverDocType24a"/>
      </w:pPr>
      <w:r>
        <w:rPr>
          <w:rStyle w:val="HideTWBExt"/>
        </w:rPr>
        <w:t>&lt;RangeAM&gt;</w:t>
      </w:r>
      <w:r>
        <w:t>1</w:t>
      </w:r>
      <w:r>
        <w:t xml:space="preserve"> - </w:t>
      </w:r>
      <w:r>
        <w:t>313</w:t>
      </w:r>
      <w:r>
        <w:rPr>
          <w:rStyle w:val="HideTWBExt"/>
        </w:rPr>
        <w:t>&lt;/RangeAM&gt;</w:t>
      </w:r>
    </w:p>
    <w:p>
      <w:pPr>
        <w:pStyle w:val="CoverBold"/>
      </w:pPr>
      <w:r>
        <w:rPr>
          <w:rStyle w:val="HideTWBExt"/>
        </w:rPr>
        <w:t>&lt;TitreType&gt;</w:t>
      </w:r>
      <w:r>
        <w:t>Draft report</w:t>
      </w:r>
      <w:r>
        <w:rPr>
          <w:rStyle w:val="HideTWBExt"/>
        </w:rPr>
        <w:t>&lt;/TitreType&gt;</w:t>
      </w:r>
    </w:p>
    <w:p>
      <w:pPr>
        <w:pStyle w:val="CoverBold"/>
      </w:pPr>
      <w:r>
        <w:rPr>
          <w:rStyle w:val="HideTWBExt"/>
        </w:rPr>
        <w:t>&lt;Rapporteur&gt;</w:t>
      </w:r>
      <w:r>
        <w:t>Hélder Sousa Silva</w:t>
      </w:r>
      <w:r>
        <w:rPr>
          <w:rStyle w:val="HideTWBExt"/>
        </w:rPr>
        <w:t>&lt;/Rapporteur&gt;</w:t>
      </w:r>
    </w:p>
    <w:p>
      <w:pPr>
        <w:pStyle w:val="CoverNormal24a"/>
      </w:pPr>
      <w:r>
        <w:rPr>
          <w:rStyle w:val="HideTWBExt"/>
        </w:rPr>
        <w:t>&lt;DocRefPE&gt;</w:t>
      </w:r>
      <w:r>
        <w:t>(PE786.971v01-00)</w:t>
      </w:r>
      <w:r>
        <w:rPr>
          <w:rStyle w:val="HideTWBExt"/>
        </w:rPr>
        <w:t>&lt;/DocRefPE&gt;</w:t>
      </w:r>
    </w:p>
    <w:p>
      <w:pPr>
        <w:pStyle w:val="CoverNormal"/>
      </w:pPr>
      <w:r>
        <w:rPr>
          <w:rStyle w:val="HideTWBExt"/>
        </w:rPr>
        <w:t>&lt;Titre&gt;</w:t>
      </w:r>
      <w:r>
        <w:t>Cultural and creative sectors in the age of AI</w:t>
      </w:r>
      <w:r>
        <w:rPr>
          <w:rStyle w:val="HideTWBExt"/>
        </w:rPr>
        <w:t>&lt;/Titre&gt;</w:t>
      </w:r>
    </w:p>
    <w:p>
      <w:pPr>
        <w:pStyle w:val="CoverNormal24a"/>
      </w:pPr>
      <w:r>
        <w:rPr>
          <w:rStyle w:val="HideTWBExt"/>
        </w:rPr>
        <w:t>&lt;DocRef&gt;</w:t>
      </w:r>
      <w:r>
        <w:t>(2025/2180(INI))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Amendment</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Hélder Sousa Silva, Sunčana Glavak, Sabine Verheyen, Esteban González Pons, Giusi Princi, Viktor Weisz, Manuela Ripa, Milan Zver, Bogdan Andrzej Zdrojewski, Eleonora Meleti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Council of Europe (CoE) Framework Convention on Artificial Intelligence and Human Rights, Democracy and the Rule of Law, ratified by the Union on 15 May 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Marcos Ros Sempere, Hannes Heide, Joanna Scheuring-Wielgus,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Regulation (EU) 2024/1083 of the European Parliament and of the Council of 11 April 2024 establishing a common framework for media services in the internal market and amending Directive 2010/13/EU (European Media Freedom Act)</w:t>
            </w:r>
            <w:r>
              <w:rPr>
                <w:b/>
                <w:i/>
                <w:vertAlign w:val="superscript"/>
              </w:rPr>
              <w:t>1a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OJ L, 2024/1083, 17.4.2024, ELI: http://data.europa.eu/eli/reg/2024/1083/oj.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Catherine Griset, Annamária Vicsek, Antonín Staněk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having regard to Regulation (EU) 2022/1925 of the European Parliament and of the Council of 14 September 2022 on contestable and fair markets in the digital sector and amending Directives (EU) 2019/1937 and (EU) 2020/1828 (Digital Markets Act)</w:t>
            </w:r>
            <w:r>
              <w:rPr>
                <w:b/>
                <w:i/>
                <w:vertAlign w:val="superscript"/>
              </w:rPr>
              <w:t>5</w:t>
            </w:r>
            <w:r>
              <w:rPr>
                <w:b/>
                <w:i/>
              </w:rPr>
              <w:t>,</w:t>
            </w:r>
          </w:p>
        </w:tc>
        <w:tc>
          <w:tcPr>
            <w:tcW w:w="4876" w:type="dxa"/>
            <w:tcBorders>
              <w:top w:val="nil"/>
              <w:left w:val="nil"/>
              <w:bottom w:val="nil"/>
              <w:right w:val="nil"/>
            </w:tcBorders>
          </w:tcPr>
          <w:p>
            <w:pPr>
              <w:pStyle w:val="Normal6a"/>
            </w:pPr>
            <w:r>
              <w:rPr>
                <w:b/>
                <w:i/>
              </w:rPr>
              <w:t>deleted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5</w:t>
            </w:r>
            <w:r>
              <w:t xml:space="preserve"> </w:t>
            </w:r>
            <w:r>
              <w:rPr>
                <w:b/>
                <w:i/>
              </w:rPr>
              <w:t>OJ L 265, 12.10.2022, p.</w:t>
            </w:r>
            <w:r>
              <w:t xml:space="preserve"> </w:t>
            </w:r>
            <w:r>
              <w:rPr>
                <w:b/>
                <w:i/>
              </w:rPr>
              <w:t>1, ELI:</w:t>
            </w:r>
            <w:r>
              <w:t xml:space="preserve"> </w:t>
            </w:r>
            <w:r>
              <w:rPr>
                <w:b/>
                <w:i/>
              </w:rPr>
              <w:t>http://data.europa.eu/eli/reg/2022/1925/oj.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Catherine Griset, Annamária Vicsek, Antonín Staněk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having regard to Regulation (EU) 2022/2065 of the European Parliament and of the Council of 19 October 2022 on a Single Market For Digital Services and amending Directive 2000/31/EC (Digital Services Act)</w:t>
            </w:r>
            <w:r>
              <w:rPr>
                <w:b/>
                <w:i/>
                <w:vertAlign w:val="superscript"/>
              </w:rPr>
              <w:t>6</w:t>
            </w:r>
            <w:r>
              <w:rPr>
                <w:b/>
                <w:i/>
              </w:rPr>
              <w:t>,</w:t>
            </w:r>
          </w:p>
        </w:tc>
        <w:tc>
          <w:tcPr>
            <w:tcW w:w="4876" w:type="dxa"/>
            <w:tcBorders>
              <w:top w:val="nil"/>
              <w:left w:val="nil"/>
              <w:bottom w:val="nil"/>
              <w:right w:val="nil"/>
            </w:tcBorders>
          </w:tcPr>
          <w:p>
            <w:pPr>
              <w:pStyle w:val="Normal6a"/>
            </w:pPr>
            <w:r>
              <w:rPr>
                <w:b/>
                <w:i/>
              </w:rPr>
              <w:t>deleted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6</w:t>
            </w:r>
            <w:r>
              <w:t xml:space="preserve"> </w:t>
            </w:r>
            <w:r>
              <w:rPr>
                <w:b/>
                <w:i/>
              </w:rPr>
              <w:t>OJ L 277, 27.10.2022, p.</w:t>
            </w:r>
            <w:r>
              <w:t xml:space="preserve"> </w:t>
            </w:r>
            <w:r>
              <w:rPr>
                <w:b/>
                <w:i/>
              </w:rPr>
              <w:t>1, ELI:</w:t>
            </w:r>
            <w:r>
              <w:t xml:space="preserve"> </w:t>
            </w:r>
            <w:r>
              <w:rPr>
                <w:b/>
                <w:i/>
              </w:rPr>
              <w:t>http://data.europa.eu/eli/reg/2022/2065/oj.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Laurence Farreng, Brigitte van den Berg, Nikola Minchev,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Regulation (EU) 2024/1083 of the European Parliament and of the Council of 11 April 2024 establishing a common framework for media services in the internal market and amending Directive 2010/13/EU (European Media Freedom Act)</w:t>
            </w:r>
            <w:r>
              <w:rPr>
                <w:b/>
                <w:i/>
                <w:vertAlign w:val="superscript"/>
              </w:rPr>
              <w:t>6a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6a</w:t>
            </w:r>
            <w:r>
              <w:t xml:space="preserve"> </w:t>
            </w:r>
            <w:r>
              <w:rPr>
                <w:b/>
                <w:i/>
              </w:rPr>
              <w:t>OJ L, 2024/1083, 17.4.2024, ELI: http://data.europa.eu/eli/reg/2024/1083/oj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Sabine Verheyen, Bogdan Andrzej Zdrojewski, 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9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Regulation (EU) 2024/1083 of the European Parliament and of the Council of 11 April 2024 establishing a common framework for media services in the internal market and amending Directive 2010/13/EU (European Media Freedom Act)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Catherine Griset, Annamária Vicsek, Antonín Staněk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having regard to the Commission proposal of 16 July 2025 for a regulation of the European Parliament and of the Council establishing the ‘AgoraEU’ programme for the period 2028-2034, and repealing Regulations (EU) 2021/692 and (EU) 2021/818 (COM(2025)0550),</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Brigitte van den Berg, Nikola Minchev, Laurence Farreng,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12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Joint Declaration of 26 June 2026 entitled ‘Europe for Culture - Culture for Europe’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Catherine Griset, Annamária Vicsek, Antonín Staněk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having regard to the Commission communication of 8 October 2025 entitled ‘Apply AI Strategy’ (COM(2025)0723),</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Brigitte van den Berg, Nikola Minchev, Laurence Farreng,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13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Commission communication of 12 november 2025 entitled “A culture compass for Europe”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Catherine Griset, Annamária Vicsek, Antonín Staněk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whereas artificial intelligence (AI) </w:t>
            </w:r>
            <w:r>
              <w:rPr>
                <w:b/>
                <w:i/>
              </w:rPr>
              <w:t>is</w:t>
            </w:r>
            <w:r>
              <w:t xml:space="preserve"> already used across the cultural and creative sectors (CCS), including in creation, production, distribution and discoverability;</w:t>
            </w:r>
          </w:p>
        </w:tc>
        <w:tc>
          <w:tcPr>
            <w:tcW w:w="4876" w:type="dxa"/>
            <w:tcBorders>
              <w:top w:val="nil"/>
              <w:left w:val="nil"/>
              <w:bottom w:val="nil"/>
              <w:right w:val="nil"/>
            </w:tcBorders>
          </w:tcPr>
          <w:p>
            <w:pPr>
              <w:pStyle w:val="Normal6a"/>
            </w:pPr>
            <w:r>
              <w:t>A.</w:t>
            </w:r>
            <w:r>
              <w:tab/>
            </w:r>
            <w:r>
              <w:t xml:space="preserve">whereas artificial intelligence (AI) </w:t>
            </w:r>
            <w:r>
              <w:rPr>
                <w:b/>
                <w:i/>
              </w:rPr>
              <w:t>and digital technologies are</w:t>
            </w:r>
            <w:r>
              <w:t xml:space="preserve"> already used across</w:t>
            </w:r>
            <w:r>
              <w:rPr>
                <w:b/>
                <w:i/>
              </w:rPr>
              <w:t>, and bolster,</w:t>
            </w:r>
            <w:r>
              <w:t xml:space="preserve"> the cultural and creative sectors (CCS), including in creation, production, distribution and discoverability;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whereas it is essential that people understand when and why to use AI critically, including through education and training; whereas greater digital literacy, critical AI literacy and accessibility are therefore of the utmost importance, including in education, training and upskilling, and in AI capacity-building in the CCS;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Laurence Farreng, Brigitte van den Berg, Nikola Minchev,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whereas the level of AI integration by European cultural and creative actors varies considerably across sectors; whereas, for example, in 2024, 51 % of companies in the video game sector, 38 % in the audiovisual sector and 35 % in the news media sector had adopted AI-based tools and solutions</w:t>
            </w:r>
            <w:r>
              <w:rPr>
                <w:b/>
                <w:i/>
                <w:vertAlign w:val="superscript"/>
              </w:rPr>
              <w:t>14a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14a</w:t>
            </w:r>
            <w:r>
              <w:t xml:space="preserve"> </w:t>
            </w:r>
            <w:r>
              <w:rPr>
                <w:b/>
                <w:i/>
              </w:rPr>
              <w:t>European Commission: Directorate-General for Communications Networks, Content and Technology, The European media industry outlook – September 2025, Publications Office of the European Union,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Lara Magoni, Ivaylo Valchev, Marco Squarta, Chiara Gemma, Guillaume Peltier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whereas excessive reliance on AI tools, in particular at early stages of learning and creative development, may weaken the acquisition of core creative skills and thereby the autonomy and originality of human creativity;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Sabine Verheyen, 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whereas copyright and related rights are addressed by the resolution of 10 March 2026 on copyright and generative artificial intelligence – opportunities and challenges (2025/2058(INI));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whereas high-quality, human-based (non synthetic) and comprehensive training datasets are essential for the effective development of GenAI systems and to secure high-quality and trustworthy outputs of GenAI systems; whereas enabling the lawful use of such datasets within the European Union is therefore crucial to fostering innovation, ensuring technological and cultural sovereignty, and maintaining the Union’s competitiveness in the rapidly evolving global AI landscape;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Lara Magoni, Ivaylo Valchev, Marco Squarta, Chiara Gemma, Guillaume Peltier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whereas, pursuant to Articles 6(c) and 167 TFEU, cultural policy primarily falls within the competence of the Member States, which the Union supports and supplements while respecting national and regional diversity and the principle of subsidiarity;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Ac.</w:t>
            </w:r>
            <w:r>
              <w:tab/>
            </w:r>
            <w:r>
              <w:rPr>
                <w:b/>
                <w:i/>
              </w:rPr>
              <w:t>whereas the development and operation of advanced AI systems depend on access to high-performance computing infrastructure, specialised chips and hyperscale data centres; whereas these resources are concentrated in the hands of a small number of global technology providers, which reinforces infrastructural centralisation and may create geopolitical and supply chain dependencies;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Ad.</w:t>
            </w:r>
            <w:r>
              <w:tab/>
            </w:r>
            <w:r>
              <w:rPr>
                <w:b/>
                <w:i/>
              </w:rPr>
              <w:t>whereas the expansion of AI in the audiovisual, publishing, and music streaming sectors carries significant environmental costs; whereas exact consumption of state-of-the-art language models, be it to train the models or when doing inference, remain unknown because it is not disclosed by the companies developing these models</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AI in Cultural and Creative Sectors Opportunities, Challenges and Legislative Limitations in the Audiovisual, Publishing and Music Streaming Sectors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Ae.</w:t>
            </w:r>
            <w:r>
              <w:tab/>
            </w:r>
            <w:r>
              <w:rPr>
                <w:b/>
                <w:i/>
              </w:rPr>
              <w:t>whereas it is important to find the right balance between effective protection of creative work and intellectual property on the one hand, and maintaining the capacity to exploit the creative potential of AI on the other;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 f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Af.</w:t>
            </w:r>
            <w:r>
              <w:tab/>
            </w:r>
            <w:r>
              <w:rPr>
                <w:b/>
                <w:i/>
              </w:rPr>
              <w:t>whereas compensation for the use of protected content is the backbone of the creative industry and of the economic stability of creators in Europe; whereas the illegal use of content protected by copyright and related rights as training data for generative AI models, without remuneration to rights holders who have reserved their rights under Article 4 of the CDSM Directive, creates a systemic imbalance in the copyright ecosystem to their detriment, thereby undermining the economic sustainability of the creative sector in the European Union, particularly given that, at present, rights holders cannot easily or effectively exercise their right to opt out from the exception provided for in Article 4 of the CDSM Directive, nor verify whether their opt-out has been respected;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Lara Magoni, Ivaylo Valchev, Marco Squarta, Chiara Gemma, Guillaume Peltier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whereas AI technologies are evolving faster than existing regulatory and market responses, continually giving rise to new applications, risks and challenges for the CCS that are difficult to anticipate and that call for a robust, </w:t>
            </w:r>
            <w:r>
              <w:rPr>
                <w:b/>
                <w:i/>
              </w:rPr>
              <w:t>technological</w:t>
            </w:r>
            <w:r>
              <w:t>, neutral assessment of the adequacy of the EU framework;</w:t>
            </w:r>
          </w:p>
        </w:tc>
        <w:tc>
          <w:tcPr>
            <w:tcW w:w="4876" w:type="dxa"/>
            <w:tcBorders>
              <w:top w:val="nil"/>
              <w:left w:val="nil"/>
              <w:bottom w:val="nil"/>
              <w:right w:val="nil"/>
            </w:tcBorders>
          </w:tcPr>
          <w:p>
            <w:pPr>
              <w:pStyle w:val="Normal6a"/>
            </w:pPr>
            <w:r>
              <w:t>B.</w:t>
            </w:r>
            <w:r>
              <w:tab/>
            </w:r>
            <w:r>
              <w:t xml:space="preserve">whereas AI technologies are evolving faster than existing regulatory and market responses, continually giving rise to new applications, </w:t>
            </w:r>
            <w:r>
              <w:rPr>
                <w:b/>
                <w:i/>
              </w:rPr>
              <w:t>opportunities,</w:t>
            </w:r>
            <w:r>
              <w:t xml:space="preserve"> risks and challenges for the CCS that are difficult to anticipate and that call for a robust, </w:t>
            </w:r>
            <w:r>
              <w:rPr>
                <w:b/>
                <w:i/>
              </w:rPr>
              <w:t>evidence-based</w:t>
            </w:r>
            <w:r>
              <w:t xml:space="preserve">, </w:t>
            </w:r>
            <w:r>
              <w:rPr>
                <w:b/>
                <w:i/>
              </w:rPr>
              <w:t>technologically</w:t>
            </w:r>
            <w:r>
              <w:t xml:space="preserve"> neutral assessment of the adequacy of the </w:t>
            </w:r>
            <w:r>
              <w:rPr>
                <w:b/>
                <w:i/>
              </w:rPr>
              <w:t>existing</w:t>
            </w:r>
            <w:r>
              <w:t xml:space="preserve"> EU framework </w:t>
            </w:r>
            <w:r>
              <w:rPr>
                <w:b/>
                <w:i/>
              </w:rPr>
              <w:t>before any new legislative initiative, in order to avoid duplication, legal uncertainty and disproportionate administrative burdens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Catherine Griset, Annamária Vicsek, Antonín Staněk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whereas AI technologies are evolving faster than existing regulatory and market responses, continually giving rise to new applications</w:t>
            </w:r>
            <w:r>
              <w:rPr>
                <w:b/>
                <w:i/>
              </w:rPr>
              <w:t>, risks</w:t>
            </w:r>
            <w:r>
              <w:t xml:space="preserve"> and challenges for the CCS that are difficult to anticipate and that call for a robust, technological, neutral assessment of the adequacy of the EU framework;</w:t>
            </w:r>
          </w:p>
        </w:tc>
        <w:tc>
          <w:tcPr>
            <w:tcW w:w="4876" w:type="dxa"/>
            <w:tcBorders>
              <w:top w:val="nil"/>
              <w:left w:val="nil"/>
              <w:bottom w:val="nil"/>
              <w:right w:val="nil"/>
            </w:tcBorders>
          </w:tcPr>
          <w:p>
            <w:pPr>
              <w:pStyle w:val="Normal6a"/>
            </w:pPr>
            <w:r>
              <w:t>B.</w:t>
            </w:r>
            <w:r>
              <w:tab/>
            </w:r>
            <w:r>
              <w:t xml:space="preserve">whereas </w:t>
            </w:r>
            <w:r>
              <w:rPr>
                <w:b/>
                <w:i/>
              </w:rPr>
              <w:t>digital and</w:t>
            </w:r>
            <w:r>
              <w:t xml:space="preserve"> AI technologies are evolving faster than existing regulatory and market responses, continually giving rise to new applications and </w:t>
            </w:r>
            <w:r>
              <w:rPr>
                <w:b/>
                <w:i/>
              </w:rPr>
              <w:t>new opportunities, but also new</w:t>
            </w:r>
            <w:r>
              <w:t xml:space="preserve"> challenges for the CCS that are difficult to anticipate and that call for a robust, technological, neutral assessment of the adequacy of the EU framework</w:t>
            </w:r>
            <w:r>
              <w:rPr>
                <w:b/>
                <w:i/>
              </w:rPr>
              <w:t>, without hampering technical and economic progress or undermining fundamental freedoms</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Bogdan Andrzej Zdrojewski, Sabine Verheyen, 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whereas the market is currently concentrated in the hands of a few non-EU-based major content companies and the global GenAI services at the exclusion of European creators and European works; whereas those commercial arrangement intend to set the market standards in favour of the major players and risk development of inclusive licensing arrangements ensuring fair remuneration of European creators and cultural diversity in Europe;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Laurence Farreng, 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whereas high-quality data stemming from human authors is an essential component in the training of artificial intelligence, especially in the cultural and creative sectors; whereas conditions must be put in place to ensure that such data is created, promoted and protected, in order to avoid the risk of AI model collapse;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Hélder Sousa Silva, Sunčana Glavak, Sabine Verheyen, Esteban González Pons, Manuela Ripa, Milan Zver, Giusi Princi, Viktor Weisz, Bogdan Andrzej Zdrojewski, Eleonora Meleti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whereas Union action addressing AI in the CCS remains dispersed across horizontal and sector-specific initiatives and has not yet been consolidated into a dedicated and coherent policy framework;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Brigitte van den Berg, Nikola Minchev, Laurence Farreng,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whereas AI can never replace human creativity, by the sheer nature of AI only being able to replicate ideas that already exist while not having the capacity to create completely new ideas;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Lara Magoni, Ivaylo Valchev, Marco Squarta, Chiara Gemma, Guillaume Peltier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whereas regulatory certainty, simplification and transparency are essential to enable European cultural and creative enterprises to innovate and compete globally;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Hélder Sousa Silva, Sunčana Glavak, Sabine Verheyen, Esteban González Pons, Manuela Ripa, Milan Zver, Giusi Princi, Viktor Weisz, Bogdan Andrzej Zdrojewski, Eleonora Meleti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whereas the Union's AI strategy should clearly recognise the CCS as a strategic field of European public policy and opportunity for greater competitiveness;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Catherine Griset, Annamária Vicsek, Antonín Staněk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whereas this safeguarding should encompass all of the EU's national and local languages, and its religious heritage, notably its Christian heritage;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Catherine Griset, Annamária Vicsek, Antonín Staněk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whereas the opportunities and challenges arising from AI vary significantly across the different CCS, including the music, audiovisual, book, publishing, cultural heritage and news media sectors, requiring tailored sector-specific responses alongside horizontal measures;</w:t>
            </w:r>
          </w:p>
        </w:tc>
        <w:tc>
          <w:tcPr>
            <w:tcW w:w="4876" w:type="dxa"/>
            <w:tcBorders>
              <w:top w:val="nil"/>
              <w:left w:val="nil"/>
              <w:bottom w:val="nil"/>
              <w:right w:val="nil"/>
            </w:tcBorders>
          </w:tcPr>
          <w:p>
            <w:pPr>
              <w:pStyle w:val="Normal6a"/>
            </w:pPr>
            <w:r>
              <w:t>D.</w:t>
            </w:r>
            <w:r>
              <w:tab/>
            </w:r>
            <w:r>
              <w:t>whereas the opportunities and challenges arising from AI vary significantly across the different CCS, including the music, audiovisual, book, publishing, cultural heritage and news media sectors, requiring tailored sector-specific responses alongside horizontal measures</w:t>
            </w:r>
            <w:r>
              <w:rPr>
                <w:b/>
                <w:i/>
              </w:rPr>
              <w:t>, without hampering technical and economic progress or undermining fundamental freedoms</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Carolina Morace, Mario Furore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whereas the opportunities and challenges arising from AI vary significantly across the different CCS, including </w:t>
            </w:r>
            <w:r>
              <w:rPr>
                <w:b/>
                <w:i/>
              </w:rPr>
              <w:t>the</w:t>
            </w:r>
            <w:r>
              <w:t xml:space="preserve"> music, audiovisual</w:t>
            </w:r>
            <w:r>
              <w:rPr>
                <w:b/>
                <w:i/>
              </w:rPr>
              <w:t>, book,</w:t>
            </w:r>
            <w:r>
              <w:t xml:space="preserve"> publishing, cultural heritage and news media </w:t>
            </w:r>
            <w:r>
              <w:rPr>
                <w:b/>
                <w:i/>
              </w:rPr>
              <w:t>sectors</w:t>
            </w:r>
            <w:r>
              <w:t xml:space="preserve">, requiring </w:t>
            </w:r>
            <w:r>
              <w:rPr>
                <w:b/>
                <w:i/>
              </w:rPr>
              <w:t>tailored</w:t>
            </w:r>
            <w:r>
              <w:t xml:space="preserve"> sector-specific responses alongside horizontal measures;</w:t>
            </w:r>
          </w:p>
        </w:tc>
        <w:tc>
          <w:tcPr>
            <w:tcW w:w="4876" w:type="dxa"/>
            <w:tcBorders>
              <w:top w:val="nil"/>
              <w:left w:val="nil"/>
              <w:bottom w:val="nil"/>
              <w:right w:val="nil"/>
            </w:tcBorders>
          </w:tcPr>
          <w:p>
            <w:pPr>
              <w:pStyle w:val="Normal6a"/>
            </w:pPr>
            <w:r>
              <w:t>D.</w:t>
            </w:r>
            <w:r>
              <w:tab/>
            </w:r>
            <w:r>
              <w:t xml:space="preserve">whereas the opportunities and challenges arising from AI vary significantly across the different CCS, including music, </w:t>
            </w:r>
            <w:r>
              <w:rPr>
                <w:b/>
                <w:i/>
              </w:rPr>
              <w:t>the</w:t>
            </w:r>
            <w:r>
              <w:t xml:space="preserve"> audiovisual </w:t>
            </w:r>
            <w:r>
              <w:rPr>
                <w:b/>
                <w:i/>
              </w:rPr>
              <w:t>sector, books and</w:t>
            </w:r>
            <w:r>
              <w:t xml:space="preserve"> publishing</w:t>
            </w:r>
            <w:r>
              <w:rPr>
                <w:b/>
                <w:i/>
              </w:rPr>
              <w:t>, visual arts, performing arts, design</w:t>
            </w:r>
            <w:r>
              <w:t>, cultural heritage and news media, requiring sector-specific responses alongside horizontal measures;</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Brigitte van den Berg, Nikola Minchev, Laurence Farreng,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whereas the opportunities and challenges arising from AI vary significantly across the different CCS, including the music, audiovisual, book, publishing, cultural heritage and news media sectors, requiring tailored sector-specific responses alongside horizontal measures;</w:t>
            </w:r>
          </w:p>
        </w:tc>
        <w:tc>
          <w:tcPr>
            <w:tcW w:w="4876" w:type="dxa"/>
            <w:tcBorders>
              <w:top w:val="nil"/>
              <w:left w:val="nil"/>
              <w:bottom w:val="nil"/>
              <w:right w:val="nil"/>
            </w:tcBorders>
          </w:tcPr>
          <w:p>
            <w:pPr>
              <w:pStyle w:val="Normal6a"/>
            </w:pPr>
            <w:r>
              <w:t>D.</w:t>
            </w:r>
            <w:r>
              <w:tab/>
            </w:r>
            <w:r>
              <w:t>whereas the opportunities and challenges arising from AI vary significantly across the different CCS, including the music, audiovisual</w:t>
            </w:r>
            <w:r>
              <w:rPr>
                <w:b/>
                <w:i/>
              </w:rPr>
              <w:t>, videogames</w:t>
            </w:r>
            <w:r>
              <w:t>, book, publishing, cultural heritage and news media sectors, requiring tailored sector-specific responses alongside horizontal measures;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Lara Magoni, Ivaylo Valchev, Marco Squarta, Chiara Gemma, Guillaume Peltier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D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whereas in all cultural and creative sectors AI should support and assist, rather than replace, human creativity;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Lara Magoni, Ivaylo Valchev, Marco Squarta, Chiara Gemma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whereas the proliferation of AI-powered tools raises serious concerns related to deepfakes, manipulation and fraud, which may undermine public confidence in cultural and creative content;</w:t>
            </w:r>
          </w:p>
        </w:tc>
        <w:tc>
          <w:tcPr>
            <w:tcW w:w="4876" w:type="dxa"/>
            <w:tcBorders>
              <w:top w:val="nil"/>
              <w:left w:val="nil"/>
              <w:bottom w:val="nil"/>
              <w:right w:val="nil"/>
            </w:tcBorders>
          </w:tcPr>
          <w:p>
            <w:pPr>
              <w:pStyle w:val="Normal6a"/>
            </w:pPr>
            <w:r>
              <w:t>E.</w:t>
            </w:r>
            <w:r>
              <w:tab/>
            </w:r>
            <w:r>
              <w:t>whereas the proliferation of AI-powered tools raises serious concerns related to deepfakes, manipulation</w:t>
            </w:r>
            <w:r>
              <w:rPr>
                <w:b/>
                <w:i/>
              </w:rPr>
              <w:t>, disinformation</w:t>
            </w:r>
            <w:r>
              <w:t xml:space="preserve"> and fraud</w:t>
            </w:r>
            <w:r>
              <w:rPr>
                <w:b/>
                <w:i/>
              </w:rPr>
              <w:t>, especially during the processes of generation and dissemination of content</w:t>
            </w:r>
            <w:r>
              <w:t xml:space="preserve">, which may undermine public confidence in cultural and creative content; </w:t>
            </w:r>
            <w:r>
              <w:rPr>
                <w:b/>
                <w:i/>
              </w:rPr>
              <w:t>whereas these concerns are partly addressed by transparency and labelling obligations under the AI Act, by the Digital Services Act and by national personality-rights and criminal law;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Hannes Heide, Maria Guzenina, Gabriela Firea, Sandro Ruotolo, Marcos Ros Sempere, Joanna Scheuring-Wielgus, Nikos Papandreou,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whereas the proliferation of AI-powered tools raises serious concerns related to deepfakes, manipulation and fraud, </w:t>
            </w:r>
            <w:r>
              <w:rPr>
                <w:b/>
                <w:i/>
              </w:rPr>
              <w:t>which may undermine</w:t>
            </w:r>
            <w:r>
              <w:t xml:space="preserve"> public </w:t>
            </w:r>
            <w:r>
              <w:rPr>
                <w:b/>
                <w:i/>
              </w:rPr>
              <w:t>confidence</w:t>
            </w:r>
            <w:r>
              <w:t xml:space="preserve"> in cultural and creative content;</w:t>
            </w:r>
          </w:p>
        </w:tc>
        <w:tc>
          <w:tcPr>
            <w:tcW w:w="4876" w:type="dxa"/>
            <w:tcBorders>
              <w:top w:val="nil"/>
              <w:left w:val="nil"/>
              <w:bottom w:val="nil"/>
              <w:right w:val="nil"/>
            </w:tcBorders>
          </w:tcPr>
          <w:p>
            <w:pPr>
              <w:pStyle w:val="Normal6a"/>
            </w:pPr>
            <w:r>
              <w:t>E.</w:t>
            </w:r>
            <w:r>
              <w:tab/>
            </w:r>
            <w:r>
              <w:t xml:space="preserve">whereas the proliferation of AI-powered tools raises serious concerns related to deepfakes, manipulation and fraud, </w:t>
            </w:r>
            <w:r>
              <w:rPr>
                <w:b/>
                <w:i/>
              </w:rPr>
              <w:t>and the growing substitution of human-created works by synthetic content, affecting creators’ revenues and</w:t>
            </w:r>
            <w:r>
              <w:t xml:space="preserve"> public </w:t>
            </w:r>
            <w:r>
              <w:rPr>
                <w:b/>
                <w:i/>
              </w:rPr>
              <w:t>trust</w:t>
            </w:r>
            <w:r>
              <w:t xml:space="preserve"> in cultural and creative content;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whereas the proliferation of AI-powered tools raises serious concerns related to deepfakes, manipulation and fraud, which may undermine public </w:t>
            </w:r>
            <w:r>
              <w:rPr>
                <w:b/>
                <w:i/>
              </w:rPr>
              <w:t>confidence</w:t>
            </w:r>
            <w:r>
              <w:t xml:space="preserve"> in cultural and </w:t>
            </w:r>
            <w:r>
              <w:rPr>
                <w:b/>
                <w:i/>
              </w:rPr>
              <w:t>creative content</w:t>
            </w:r>
            <w:r>
              <w:t>;</w:t>
            </w:r>
          </w:p>
        </w:tc>
        <w:tc>
          <w:tcPr>
            <w:tcW w:w="4876" w:type="dxa"/>
            <w:tcBorders>
              <w:top w:val="nil"/>
              <w:left w:val="nil"/>
              <w:bottom w:val="nil"/>
              <w:right w:val="nil"/>
            </w:tcBorders>
          </w:tcPr>
          <w:p>
            <w:pPr>
              <w:pStyle w:val="Normal6a"/>
            </w:pPr>
            <w:r>
              <w:t>E.</w:t>
            </w:r>
            <w:r>
              <w:tab/>
            </w:r>
            <w:r>
              <w:t xml:space="preserve">whereas the proliferation of AI-powered tools raises serious concerns related to </w:t>
            </w:r>
            <w:r>
              <w:rPr>
                <w:b/>
                <w:i/>
              </w:rPr>
              <w:t>disinformation,</w:t>
            </w:r>
            <w:r>
              <w:t xml:space="preserve"> deepfakes, manipulation and fraud, which may undermine public </w:t>
            </w:r>
            <w:r>
              <w:rPr>
                <w:b/>
                <w:i/>
              </w:rPr>
              <w:t>trust</w:t>
            </w:r>
            <w:r>
              <w:t xml:space="preserve"> in cultural and </w:t>
            </w:r>
            <w:r>
              <w:rPr>
                <w:b/>
                <w:i/>
              </w:rPr>
              <w:t>media institutions even when deployed with ethical intentions</w:t>
            </w:r>
            <w:r>
              <w:rPr>
                <w:b/>
                <w:i/>
                <w:vertAlign w:val="superscript"/>
              </w:rPr>
              <w:t>1a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AI in Cultural and Creative Sectors Opportunities, Challenges and Legislative Limitations in the Audiovisual, Publishing and Music Streaming Sectors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Bogdan Andrzej Zdrojewski, Sabine Verheyen, 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whereas the proliferation of AI-powered tools raises serious concerns related to deepfakes, manipulation and fraud, which may undermine public confidence in cultural and creative content;</w:t>
            </w:r>
          </w:p>
        </w:tc>
        <w:tc>
          <w:tcPr>
            <w:tcW w:w="4876" w:type="dxa"/>
            <w:tcBorders>
              <w:top w:val="nil"/>
              <w:left w:val="nil"/>
              <w:bottom w:val="nil"/>
              <w:right w:val="nil"/>
            </w:tcBorders>
          </w:tcPr>
          <w:p>
            <w:pPr>
              <w:pStyle w:val="Normal6a"/>
            </w:pPr>
            <w:r>
              <w:t>E.</w:t>
            </w:r>
            <w:r>
              <w:tab/>
            </w:r>
            <w:r>
              <w:t>whereas the proliferation of AI-powered tools raises serious concerns related to deepfakes, manipulation</w:t>
            </w:r>
            <w:r>
              <w:rPr>
                <w:b/>
                <w:i/>
              </w:rPr>
              <w:t>, unfair competition</w:t>
            </w:r>
            <w:r>
              <w:t xml:space="preserve"> and fraud, which may undermine public confidence in cultural and creative content </w:t>
            </w:r>
            <w:r>
              <w:rPr>
                <w:b/>
                <w:i/>
              </w:rPr>
              <w:t>and their economic viability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Sunčana Glavak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whereas children and young people are particularly exposed to misleading, manipulated and highly convincing AI-generated content and may have greater difficulties in distinguishing synthetic from authentic cultural, audiovisual and media content;</w:t>
            </w:r>
            <w:r>
              <w:t xml:space="preserve"> </w:t>
            </w:r>
            <w:r>
              <w:rPr>
                <w:b/>
                <w:i/>
              </w:rPr>
              <w:t>whereas age-appropriate transparency, media, digital and AI literacy, and security and privacy by design are therefore crucial for protecting minors;</w:t>
            </w:r>
          </w:p>
        </w:tc>
      </w:tr>
    </w:tbl>
    <w:p>
      <w:pPr>
        <w:pStyle w:val="AmOrLang"/>
      </w:pPr>
      <w:r>
        <w:t xml:space="preserve">Or. </w:t>
      </w:r>
      <w:r>
        <w:rPr>
          <w:rStyle w:val="HideTWBExt"/>
        </w:rPr>
        <w:t>&lt;Original&gt;</w:t>
      </w:r>
      <w:r>
        <w:rPr>
          <w:rStyle w:val="HideTWBInt"/>
        </w:rPr>
        <w:t>{HR}</w:t>
      </w:r>
      <w:r>
        <w:t>hr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Laurence Farreng, Brigitte van den Berg, Nikola Minchev,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whereas generative AI, by massively and inexpensively producing content that imitates human creativity, competes directly with cultural and media creators, thereby reducing revenues and employment in the cultural and creative sectors; whereas this competition leads creators to disengage, lowering the quality of online content and causing an overall decline in human cultural and creative production;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Lara Magoni, Ivaylo Valchev, Marco Squarta, Chiara Gemma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whereas manipulative deepfakes undermine people’s dignity, reputation and identity, whereas they have a particularly severe impact on minors and women, including through non-consensual sexual content, and therefore require the rigorous and prompt enforcement of existing rules, including Directive (EU) 2024/1385 on combating violence against women and domestic violence;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whereas the deployment of AI in CCS carries significant risks of amplifying biases, perpetuating discrimination, and distorting cultural representation; whereas research increasingly documents how generative AI systems, which can have particular repercussions in audiovisual and publishing sectors, reproduce and even exacerbate stereotyped outputs</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AI in Cultural and Creative Sectors Opportunities, Challenges and Legislative Limitations in the Audiovisual, Publishing and Music Streaming Sectors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Hélder Sousa Silva, Sunčana Glavak, Sabine Verheyen, Esteban González Pons, Manuela Ripa, Milan Zver, Giusi Princi, Viktor Weisz, Bogdan Andrzej Zdrojewski, Eleonora Meleti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whereas the UN Global Digital Compact calls for enhanced international cooperation on AI governance provided for the establishment of a Global Dialogue on AI Governance, addressing inter alia, the social, economic, ethical, linguistic and , societal, and ethical implications of 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Catherine Griset, Annamária Vicsek, Antonín Staněk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whereas humorous and satirical content, including political and religious material, should not, however, be subject to unjustified and disproportionate restrictions in a European society that welcomes debate and pluralism;</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Hélder Sousa Silva, Sunčana Glavak, Sabine Verheyen, Esteban González Pons, Manuela Ripa, Milan Zver, Giusi Princi, Viktor Weisz, Bogdan Andrzej Zdrojewski, Eleonora Meleti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whereas the CoE Framework Convention on Artificial Intelligence and Human Rights, Democracy and the Rule of Law, ratified by the Union on 15 May 2026, establishes common principles and obligations on transparency and oversight, accountability, effective remedies and risk and impact management with a view to ensuring respect for human rights, democracy and the rule of law throughout the lifecycle of AI systems;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Marcos Ros Sempere, Hannes Heide, Joanna Scheuring-Wielgus,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whereas automated programs that systematically browse websites and collect the content they find, known as web crawlers, scrapers or bots, are widely used both to develop the datasets on which generative AI models are trained and to retrieve content in real time in response to user queries; whereas website operators and rights holders can, at present, only restrict such collection through voluntary technical protocols, notably the robots exclusion protocol, which crawlers are under no obligation to respect; whereas rights holders frequently cannot establish which crawlers have visited their sites, on whose behalf they were acting or for what purpose the content was collected; whereas reservations of rights, therefore, can be neither verified nor enforced in practice;</w:t>
            </w:r>
          </w:p>
        </w:tc>
        <w:tc>
          <w:tcPr>
            <w:tcW w:w="4876" w:type="dxa"/>
            <w:tcBorders>
              <w:top w:val="nil"/>
              <w:left w:val="nil"/>
              <w:bottom w:val="nil"/>
              <w:right w:val="nil"/>
            </w:tcBorders>
          </w:tcPr>
          <w:p>
            <w:pPr>
              <w:pStyle w:val="Normal6a"/>
            </w:pPr>
            <w:r>
              <w:t>F.</w:t>
            </w:r>
            <w:r>
              <w:tab/>
            </w:r>
            <w:r>
              <w:t xml:space="preserve">whereas automated programs that systematically browse websites and collect the content they find, known as web crawlers, scrapers or bots, are widely used both to develop the datasets on which generative AI models are trained and to retrieve content in real time in response to user queries; whereas website operators and rights holders can, at present, only restrict such collection through voluntary technical protocols, notably the robots exclusion protocol, which crawlers are under no obligation to respect; whereas rights holders frequently cannot establish which crawlers have visited their sites, on whose behalf they were acting or for what purpose the content was collected; whereas </w:t>
            </w:r>
            <w:r>
              <w:rPr>
                <w:b/>
                <w:i/>
              </w:rPr>
              <w:t>individual creators, who do not control the websites and services where their works are made available, cannot realistically manage such protocols, and whereas content reproduced on unauthorised third-party sites that apply no reservation can be collected without the rights holder's own website ever being visited; whereas</w:t>
            </w:r>
            <w:r>
              <w:t xml:space="preserve"> reservations of rights, therefore, can be neither verified nor enforced in practice;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whereas automated programs that systematically browse websites and collect the content they find, known as web crawlers, scrapers or bots, are widely used both to develop the datasets on which generative AI models are trained and to retrieve content in real time in response to user queries; whereas website operators and rights holders can, at present, only restrict such collection through voluntary technical protocols, notably the robots exclusion protocol, which crawlers are under no obligation to respect; whereas rights holders frequently cannot establish which crawlers have visited their sites, on whose behalf they were acting or for what purpose the content was collected; whereas reservations of rights, therefore, can be neither verified nor enforced in practice;</w:t>
            </w:r>
          </w:p>
        </w:tc>
        <w:tc>
          <w:tcPr>
            <w:tcW w:w="4876" w:type="dxa"/>
            <w:tcBorders>
              <w:top w:val="nil"/>
              <w:left w:val="nil"/>
              <w:bottom w:val="nil"/>
              <w:right w:val="nil"/>
            </w:tcBorders>
          </w:tcPr>
          <w:p>
            <w:pPr>
              <w:pStyle w:val="Normal6a"/>
            </w:pPr>
            <w:r>
              <w:t>F.</w:t>
            </w:r>
            <w:r>
              <w:tab/>
            </w:r>
            <w:r>
              <w:t xml:space="preserve">whereas automated programs that systematically browse websites and collect the content they find, known as web crawlers, scrapers or bots, are widely used both to develop the datasets on which generative AI models are trained and to retrieve content in real time in response to user queries; whereas website operators and rights holders can, at present, only restrict such collection through voluntary technical protocols, notably the robots exclusion protocol, which crawlers </w:t>
            </w:r>
            <w:r>
              <w:rPr>
                <w:b/>
                <w:i/>
              </w:rPr>
              <w:t>act as though they</w:t>
            </w:r>
            <w:r>
              <w:t xml:space="preserve"> are under no obligation to respect; whereas rights holders frequently cannot establish which crawlers have visited their sites, on whose behalf they were acting or for what purpose the content was collected; whereas reservations of rights, therefore, can be neither verified nor enforced in practice;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Carolina Morace, Mario Furore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F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whereas protected content, even when made accessible through paywalls or subject to an express reservation of rights, can be copied and re-published without authorisation on illegal sites that neither display nor comply with the reservations of rights placed by the rights holders on the original sources;</w:t>
            </w:r>
            <w:r>
              <w:t xml:space="preserve"> </w:t>
            </w:r>
            <w:r>
              <w:rPr>
                <w:b/>
                <w:i/>
              </w:rPr>
              <w:t>whereas providers of AI systems and models can subsequently use those copies for training or content retrieval purposes without directly accessing the original source;</w:t>
            </w:r>
            <w:r>
              <w:t xml:space="preserve"> </w:t>
            </w:r>
            <w:r>
              <w:rPr>
                <w:b/>
                <w:i/>
              </w:rPr>
              <w:t>whereas this situation risks rendering the exercise of the reservation of rights ineffective and undermining the ability of rights holders to control the use of their works;</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F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whereas artists may come under pressure to grant broad and unlimited rights for the purposes of AI training, as well as for the creation and exploitation of digital replicas, which is becoming a new revenue stream for exploiting parties</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AI in Cultural and Creative Sectors Opportunities, Challenges and Legislative Limitations in the Audiovisual, Publishing and Music Streaming Sectors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Brigitte van den Berg, Nikola Minchev, Laurence Farreng,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G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whereas the European books and publishing sector is vulnerable to AI generated books flooding the market, infringing on copyright and disrupting the market and simultaneously desensitizing reader audiences to original and creative works;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Lara Magoni, Ivaylo Valchev, Marco Squarta, Chiara Gemma, Guillaume Peltier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G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whereas the European book and publishing sector is particularly exposed to the diversion of online traffic and to the proliferation of mass-produced AI-generated publications;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whereas documented practices associated with the development of AI systems have involved the destructive digitisation of physical cultural material, including the dismantling, cutting or alteration of original works and copies in order to render their content machine-readable; whereas the development and deployment of AI must not result in the irreversible destruction, degradation or loss of tangible cultural works, collections or heritage assets; whereas digitisation for AI-related purposes should be carried out in a manner that safeguards the integrity, preservation and continued accessibility of the original material for future generations;</w:t>
            </w:r>
          </w:p>
        </w:tc>
        <w:tc>
          <w:tcPr>
            <w:tcW w:w="4876" w:type="dxa"/>
            <w:tcBorders>
              <w:top w:val="nil"/>
              <w:left w:val="nil"/>
              <w:bottom w:val="nil"/>
              <w:right w:val="nil"/>
            </w:tcBorders>
          </w:tcPr>
          <w:p>
            <w:pPr>
              <w:pStyle w:val="Normal6a"/>
            </w:pPr>
            <w:r>
              <w:t>H.</w:t>
            </w:r>
            <w:r>
              <w:tab/>
            </w:r>
            <w:r>
              <w:t xml:space="preserve">whereas documented practices associated with the development of AI systems have involved the destructive digitisation of physical cultural material, including the dismantling, cutting or alteration of original works and copies in order to render their content machine-readable; whereas the development and deployment of AI must not result in the irreversible destruction, degradation or loss of tangible cultural works, collections or heritage assets; whereas </w:t>
            </w:r>
            <w:r>
              <w:rPr>
                <w:b/>
                <w:i/>
              </w:rPr>
              <w:t>the digitisation of public domain works should not give rise to new layers of proprietary rights in the hands of private licensors; whereas</w:t>
            </w:r>
            <w:r>
              <w:t xml:space="preserve"> digitisation for AI-related purposes should be carried out in a manner that safeguards the integrity, preservation and continued accessibility of the original material </w:t>
            </w:r>
            <w:r>
              <w:rPr>
                <w:b/>
                <w:i/>
              </w:rPr>
              <w:t>and of public domain cultural heritage</w:t>
            </w:r>
            <w:r>
              <w:t xml:space="preserve"> for future generations;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Lara Magoni, Ivaylo Valchev, Marco Squarta, Chiara Gemma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H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whereas where digitised cultural material is held exclusively by private AI providers, a discontinuation of their services or a change in their commercial strategy could result in the irreversible loss of, or of access to, that material, in particular where the originals have been damaged or destroyed during digitisation;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Catherine Griset, Annamária Vicsek, Antonín Staněk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H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whereas this respect for tangible works during digitisation for AI-related purposes can only be achieved and verified for European AI companies, which means that their development must not be hindered;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Emma Rafowicz, Hannes Heide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whereas the European audiovisual market generated revenues of around EUR 142 billion in 2024 and is increasingly deploying AI across its value chain from development and production to distribution;</w:t>
            </w:r>
          </w:p>
        </w:tc>
        <w:tc>
          <w:tcPr>
            <w:tcW w:w="4876" w:type="dxa"/>
            <w:tcBorders>
              <w:top w:val="nil"/>
              <w:left w:val="nil"/>
              <w:bottom w:val="nil"/>
              <w:right w:val="nil"/>
            </w:tcBorders>
          </w:tcPr>
          <w:p>
            <w:pPr>
              <w:pStyle w:val="Normal6a"/>
            </w:pPr>
            <w:r>
              <w:t>I.</w:t>
            </w:r>
            <w:r>
              <w:tab/>
            </w:r>
            <w:r>
              <w:t xml:space="preserve">whereas the European audiovisual market generated revenues of around EUR 142 billion in 2024 and is increasingly deploying AI across its value chain from development and production to distribution; </w:t>
            </w:r>
            <w:r>
              <w:rPr>
                <w:b/>
                <w:i/>
              </w:rPr>
              <w:t>whereas vast amounts of audiovisual content are now being generated automatically, including low-quality AI-generated content known as “AI slops” and malicious deepfakes, increasingly competing unfairly with human-created content;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Hannes Heide, Maria Guzenina, Gabriela Firea, Sandro Ruotolo, Marcos Ros Sempere, Joanna Scheuring-Wielgus, Nikos Papandreou,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whereas recorded music revenues in the EU reached EUR 5.7 billion in 2024, with paid streaming accounting for 77.4 % of revenue growth, and streaming services increasingly using AI-driven recommendation systems that affect artists’ discoverability and listeners’ access to new music;</w:t>
            </w:r>
          </w:p>
        </w:tc>
        <w:tc>
          <w:tcPr>
            <w:tcW w:w="4876" w:type="dxa"/>
            <w:tcBorders>
              <w:top w:val="nil"/>
              <w:left w:val="nil"/>
              <w:bottom w:val="nil"/>
              <w:right w:val="nil"/>
            </w:tcBorders>
          </w:tcPr>
          <w:p>
            <w:pPr>
              <w:pStyle w:val="Normal6a"/>
            </w:pPr>
            <w:r>
              <w:t>J.</w:t>
            </w:r>
            <w:r>
              <w:tab/>
            </w:r>
            <w:r>
              <w:t xml:space="preserve">whereas recorded music revenues in the EU reached EUR 5.7 billion in 2024, with paid streaming accounting for 77.4 % of revenue growth, </w:t>
            </w:r>
            <w:r>
              <w:rPr>
                <w:b/>
                <w:i/>
              </w:rPr>
              <w:t>while streaming revenues remain unevenly distributed and many artists and performers receive limited remuneration,</w:t>
            </w:r>
            <w:r>
              <w:t xml:space="preserve"> and streaming services increasingly using AI-driven recommendation systems </w:t>
            </w:r>
            <w:r>
              <w:rPr>
                <w:b/>
                <w:i/>
              </w:rPr>
              <w:t>and agentic AI</w:t>
            </w:r>
            <w:r>
              <w:t xml:space="preserve"> that affect artists’ discoverability and listeners’ access to new music;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Lara Magoni, Ivaylo Valchev, Marco Squarta, Chiara Gemma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whereas the integration of AI is altering the </w:t>
            </w:r>
            <w:r>
              <w:rPr>
                <w:b/>
                <w:i/>
              </w:rPr>
              <w:t>work</w:t>
            </w:r>
            <w:r>
              <w:t xml:space="preserve"> dynamics in the </w:t>
            </w:r>
            <w:r>
              <w:rPr>
                <w:b/>
                <w:i/>
              </w:rPr>
              <w:t>CCS</w:t>
            </w:r>
            <w:r>
              <w:t xml:space="preserve">, including </w:t>
            </w:r>
            <w:r>
              <w:rPr>
                <w:b/>
                <w:i/>
              </w:rPr>
              <w:t>content</w:t>
            </w:r>
            <w:r>
              <w:t xml:space="preserve"> creation and editing</w:t>
            </w:r>
            <w:r>
              <w:rPr>
                <w:b/>
                <w:i/>
              </w:rPr>
              <w:t>, which may reduce entry-level opportunities through</w:t>
            </w:r>
            <w:r>
              <w:t xml:space="preserve"> the automation of tasks</w:t>
            </w:r>
            <w:r>
              <w:rPr>
                <w:b/>
                <w:i/>
              </w:rPr>
              <w:t>, thereby requiring</w:t>
            </w:r>
            <w:r>
              <w:t xml:space="preserve"> the development of new skills and </w:t>
            </w:r>
            <w:r>
              <w:rPr>
                <w:b/>
                <w:i/>
              </w:rPr>
              <w:t>reshaping</w:t>
            </w:r>
            <w:r>
              <w:t xml:space="preserve"> career pathways;</w:t>
            </w:r>
          </w:p>
        </w:tc>
        <w:tc>
          <w:tcPr>
            <w:tcW w:w="4876" w:type="dxa"/>
            <w:tcBorders>
              <w:top w:val="nil"/>
              <w:left w:val="nil"/>
              <w:bottom w:val="nil"/>
              <w:right w:val="nil"/>
            </w:tcBorders>
          </w:tcPr>
          <w:p>
            <w:pPr>
              <w:pStyle w:val="Normal6a"/>
            </w:pPr>
            <w:r>
              <w:t>K.</w:t>
            </w:r>
            <w:r>
              <w:tab/>
            </w:r>
            <w:r>
              <w:t xml:space="preserve">whereas the integration of AI is altering the dynamics </w:t>
            </w:r>
            <w:r>
              <w:rPr>
                <w:b/>
                <w:i/>
              </w:rPr>
              <w:t>of work</w:t>
            </w:r>
            <w:r>
              <w:t xml:space="preserve"> in the </w:t>
            </w:r>
            <w:r>
              <w:rPr>
                <w:b/>
                <w:i/>
              </w:rPr>
              <w:t>Cultural and Creative Sectors</w:t>
            </w:r>
            <w:r>
              <w:t xml:space="preserve">, including </w:t>
            </w:r>
            <w:r>
              <w:rPr>
                <w:b/>
                <w:i/>
              </w:rPr>
              <w:t>the</w:t>
            </w:r>
            <w:r>
              <w:t xml:space="preserve"> creation and editing </w:t>
            </w:r>
            <w:r>
              <w:rPr>
                <w:b/>
                <w:i/>
              </w:rPr>
              <w:t>of content; whereas</w:t>
            </w:r>
            <w:r>
              <w:t xml:space="preserve"> the automation of </w:t>
            </w:r>
            <w:r>
              <w:rPr>
                <w:b/>
                <w:i/>
              </w:rPr>
              <w:t>certain</w:t>
            </w:r>
            <w:r>
              <w:t xml:space="preserve"> tasks </w:t>
            </w:r>
            <w:r>
              <w:rPr>
                <w:b/>
                <w:i/>
              </w:rPr>
              <w:t>may reduce certain opportunities for entering the labour market, while giving rise to new professional profiles and new forms of creative enterprise; whereas this necessitates</w:t>
            </w:r>
            <w:r>
              <w:t xml:space="preserve"> the development of new skills and </w:t>
            </w:r>
            <w:r>
              <w:rPr>
                <w:b/>
                <w:i/>
              </w:rPr>
              <w:t>the redefinition of</w:t>
            </w:r>
            <w:r>
              <w:t xml:space="preserve"> career </w:t>
            </w:r>
            <w:r>
              <w:rPr>
                <w:b/>
                <w:i/>
              </w:rPr>
              <w:t>and training</w:t>
            </w:r>
            <w:r>
              <w:t xml:space="preserve"> pathways;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Hannes Heide, Maria Guzenina, Gabriela Firea, Sandro Ruotolo, Marcos Ros Sempere, Joanna Scheuring-Wielgus, Nikos Papandreou,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whereas the integration of AI </w:t>
            </w:r>
            <w:r>
              <w:rPr>
                <w:b/>
                <w:i/>
              </w:rPr>
              <w:t>is</w:t>
            </w:r>
            <w:r>
              <w:t xml:space="preserve"> altering </w:t>
            </w:r>
            <w:r>
              <w:rPr>
                <w:b/>
                <w:i/>
              </w:rPr>
              <w:t>the</w:t>
            </w:r>
            <w:r>
              <w:t xml:space="preserve"> work dynamics in the CCS, </w:t>
            </w:r>
            <w:r>
              <w:rPr>
                <w:b/>
                <w:i/>
              </w:rPr>
              <w:t>including content creation and editing, which may reduce</w:t>
            </w:r>
            <w:r>
              <w:t xml:space="preserve"> entry-level opportunities through </w:t>
            </w:r>
            <w:r>
              <w:rPr>
                <w:b/>
                <w:i/>
              </w:rPr>
              <w:t>the automation of tasks, thereby requiring the development of new skills and reshaping career pathways</w:t>
            </w:r>
            <w:r>
              <w:t>;</w:t>
            </w:r>
          </w:p>
        </w:tc>
        <w:tc>
          <w:tcPr>
            <w:tcW w:w="4876" w:type="dxa"/>
            <w:tcBorders>
              <w:top w:val="nil"/>
              <w:left w:val="nil"/>
              <w:bottom w:val="nil"/>
              <w:right w:val="nil"/>
            </w:tcBorders>
          </w:tcPr>
          <w:p>
            <w:pPr>
              <w:pStyle w:val="Normal6a"/>
            </w:pPr>
            <w:r>
              <w:t>K.</w:t>
            </w:r>
            <w:r>
              <w:tab/>
            </w:r>
            <w:r>
              <w:t xml:space="preserve">whereas the integration of AI </w:t>
            </w:r>
            <w:r>
              <w:rPr>
                <w:b/>
                <w:i/>
              </w:rPr>
              <w:t>throughout the creative process is profoundly</w:t>
            </w:r>
            <w:r>
              <w:t xml:space="preserve"> altering work dynamics in the CCS, </w:t>
            </w:r>
            <w:r>
              <w:rPr>
                <w:b/>
                <w:i/>
              </w:rPr>
              <w:t>reducing</w:t>
            </w:r>
            <w:r>
              <w:t xml:space="preserve"> entry-level opportunities </w:t>
            </w:r>
            <w:r>
              <w:rPr>
                <w:b/>
                <w:i/>
              </w:rPr>
              <w:t>and risking job displacement, the substitution of human-created works and negative impacts on job quality; whereas these challenges require safeguards for human creativity and workers, developed in close consultation with social partners and</w:t>
            </w:r>
            <w:r>
              <w:t xml:space="preserve"> through </w:t>
            </w:r>
            <w:r>
              <w:rPr>
                <w:b/>
                <w:i/>
              </w:rPr>
              <w:t>collective bargaining, alongside reskilling and AI literacy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Brigitte van den Berg, Nikola Minchev, Laurence Farreng,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K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whereas the imbalance in bargaining power between actors and production companies, broadcasters and streaming platforms leave actors, particularly at the beginning of their careers, vulnerable to contractual terms requiring them to grant extensive or long-term rights over their voice, image or likeness as a condition for accessing employment opportunities;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Hannes Heide, Maria Guzenina, Gabriela Firea, Sandro Ruotolo, Marcos Ros Sempere, Joanna Scheuring-Wielgus, Nikos Papandreou,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whereas AI technologies make it increasingly possible to replicate the voice, image and likeness of performers and other creators without their knowledge or consent, raising serious concerns about personality rights, economic interests and artistic integrity, which are not comprehensively addressed under the existing EU legal framework;</w:t>
            </w:r>
          </w:p>
        </w:tc>
        <w:tc>
          <w:tcPr>
            <w:tcW w:w="4876" w:type="dxa"/>
            <w:tcBorders>
              <w:top w:val="nil"/>
              <w:left w:val="nil"/>
              <w:bottom w:val="nil"/>
              <w:right w:val="nil"/>
            </w:tcBorders>
          </w:tcPr>
          <w:p>
            <w:pPr>
              <w:pStyle w:val="Normal6a"/>
            </w:pPr>
            <w:r>
              <w:t>L.</w:t>
            </w:r>
            <w:r>
              <w:tab/>
            </w:r>
            <w:r>
              <w:t xml:space="preserve">whereas AI technologies make it increasingly possible to replicate the voice, image and likeness of performers and other creators without their knowledge or consent, </w:t>
            </w:r>
            <w:r>
              <w:rPr>
                <w:b/>
                <w:i/>
              </w:rPr>
              <w:t>or to imitate distinctive creative characteristics associated with an identifiable creator, potentially misleading the public as to authorship, endorsement or authorisation,</w:t>
            </w:r>
            <w:r>
              <w:t xml:space="preserve"> raising serious concerns about personality </w:t>
            </w:r>
            <w:r>
              <w:rPr>
                <w:b/>
                <w:i/>
              </w:rPr>
              <w:t>and creator</w:t>
            </w:r>
            <w:r>
              <w:t xml:space="preserve"> rights, economic interests and artistic integrity, which are not comprehensively addressed under the existing EU legal framework;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Lara Magoni, Ivaylo Valchev, Marco Squarta, Chiara Gemma, Guillaume Peltier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whereas AI technologies make it increasingly possible to replicate the voice, image and likeness of performers and other creators without their knowledge or consent, raising serious concerns about personality rights, economic interests and artistic integrity</w:t>
            </w:r>
            <w:r>
              <w:rPr>
                <w:b/>
                <w:i/>
              </w:rPr>
              <w:t>, which are not comprehensively addressed under the existing EU legal framework</w:t>
            </w:r>
            <w:r>
              <w:t>;</w:t>
            </w:r>
          </w:p>
        </w:tc>
        <w:tc>
          <w:tcPr>
            <w:tcW w:w="4876" w:type="dxa"/>
            <w:tcBorders>
              <w:top w:val="nil"/>
              <w:left w:val="nil"/>
              <w:bottom w:val="nil"/>
              <w:right w:val="nil"/>
            </w:tcBorders>
          </w:tcPr>
          <w:p>
            <w:pPr>
              <w:pStyle w:val="Normal6a"/>
            </w:pPr>
            <w:r>
              <w:t>L.</w:t>
            </w:r>
            <w:r>
              <w:tab/>
            </w:r>
            <w:r>
              <w:t>whereas AI technologies make it increasingly possible to replicate the voice, image and likeness of performers and other creators without their knowledge or consent, raising serious concerns about personality rights, economic interests and artistic integrity;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Laurence Farreng, 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whereas news media and journalism face specific AI-related challenges, including risks to media pluralism, editorial integrity, economic sustainability and the disintermediation of publishers from their audiences as AI-powered answer engines can satisfy users’ information needs, without direct access to original journalistic content;</w:t>
            </w:r>
          </w:p>
        </w:tc>
        <w:tc>
          <w:tcPr>
            <w:tcW w:w="4876" w:type="dxa"/>
            <w:tcBorders>
              <w:top w:val="nil"/>
              <w:left w:val="nil"/>
              <w:bottom w:val="nil"/>
              <w:right w:val="nil"/>
            </w:tcBorders>
          </w:tcPr>
          <w:p>
            <w:pPr>
              <w:pStyle w:val="Normal6a"/>
            </w:pPr>
            <w:r>
              <w:t>M.</w:t>
            </w:r>
            <w:r>
              <w:tab/>
            </w:r>
            <w:r>
              <w:t xml:space="preserve">whereas news media and journalism face specific AI-related challenges, including risks to media pluralism, editorial integrity, economic sustainability and the disintermediation of publishers from their audiences as AI-powered answer engines can satisfy users’ information needs, without direct access to original journalistic content; </w:t>
            </w:r>
            <w:r>
              <w:rPr>
                <w:b/>
                <w:i/>
              </w:rPr>
              <w:t>whereas selective agreements between artificial intelligence companies and news organisations relating to the use of their journalistic content may cause a bias in users’ perception of current affairs and reduce the appeal of other media outlets, particularly those targeting a smaller audience, thereby having a detrimental effect on their financial viability and media pluralism;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Joanna Scheuring-Wielgus, Emma Rafowicz, Marcos Ros Sempere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whereas news media and journalism face specific AI-related challenges, including risks to media pluralism, editorial integrity, economic sustainability and the disintermediation of publishers from their audiences as AI-powered answer engines can satisfy users’ information needs, without direct access to original journalistic content;</w:t>
            </w:r>
          </w:p>
        </w:tc>
        <w:tc>
          <w:tcPr>
            <w:tcW w:w="4876" w:type="dxa"/>
            <w:tcBorders>
              <w:top w:val="nil"/>
              <w:left w:val="nil"/>
              <w:bottom w:val="nil"/>
              <w:right w:val="nil"/>
            </w:tcBorders>
          </w:tcPr>
          <w:p>
            <w:pPr>
              <w:pStyle w:val="Normal6a"/>
            </w:pPr>
            <w:r>
              <w:t>M.</w:t>
            </w:r>
            <w:r>
              <w:tab/>
            </w:r>
            <w:r>
              <w:t xml:space="preserve">whereas news media and journalism face specific AI-related challenges, including risks to media pluralism, editorial integrity, economic sustainability and the disintermediation of publishers from their audiences as AI-powered answer engines can satisfy users’ information needs, without direct access to original journalistic content; </w:t>
            </w:r>
            <w:r>
              <w:rPr>
                <w:b/>
                <w:i/>
              </w:rPr>
              <w:t>whereas this reduces the traffic on which publishers' advertising and subscription revenue depends, creating a structural asymmetry, as AI systems use journalistic content without, in many cases, adequate remuneration of those who produce 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Catherine Griset, Annamária Vicsek, Antonín Staněk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 xml:space="preserve">whereas news media and journalism face specific AI-related challenges, </w:t>
            </w:r>
            <w:r>
              <w:rPr>
                <w:b/>
                <w:i/>
              </w:rPr>
              <w:t>including risks to media pluralism, editorial integrity, economic sustainability and the disintermediation of publishers from their audiences</w:t>
            </w:r>
            <w:r>
              <w:t xml:space="preserve"> as AI-powered answer engines can satisfy users’ information needs, without direct access to original journalistic content;</w:t>
            </w:r>
          </w:p>
        </w:tc>
        <w:tc>
          <w:tcPr>
            <w:tcW w:w="4876" w:type="dxa"/>
            <w:tcBorders>
              <w:top w:val="nil"/>
              <w:left w:val="nil"/>
              <w:bottom w:val="nil"/>
              <w:right w:val="nil"/>
            </w:tcBorders>
          </w:tcPr>
          <w:p>
            <w:pPr>
              <w:pStyle w:val="Normal6a"/>
            </w:pPr>
            <w:r>
              <w:t>M.</w:t>
            </w:r>
            <w:r>
              <w:tab/>
            </w:r>
            <w:r>
              <w:t xml:space="preserve">whereas news media and journalism face specific AI-related challenges, as AI-powered answer engines can satisfy users’ information needs, without direct access to original journalistic content; </w:t>
            </w:r>
            <w:r>
              <w:rPr>
                <w:b/>
                <w:i/>
              </w:rPr>
              <w:t>whereas it is appropriate for licences to be negotiated between AI companies and this sector, provided that the revenue collected is distributed fairly with a view to ensuring that this financing is pluralist and encompasses all of the opinions represented in the parliaments of the Member States;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Brigitte van den Berg, Nikola Minchev, Laurence Farreng,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whereas news media and journalism face specific AI-related challenges, including risks to media pluralism, editorial integrity, economic sustainability and the disintermediation of publishers from their audiences as AI-powered answer engines can satisfy users’ information needs, without direct access to original journalistic content;</w:t>
            </w:r>
          </w:p>
        </w:tc>
        <w:tc>
          <w:tcPr>
            <w:tcW w:w="4876" w:type="dxa"/>
            <w:tcBorders>
              <w:top w:val="nil"/>
              <w:left w:val="nil"/>
              <w:bottom w:val="nil"/>
              <w:right w:val="nil"/>
            </w:tcBorders>
          </w:tcPr>
          <w:p>
            <w:pPr>
              <w:pStyle w:val="Normal6a"/>
            </w:pPr>
            <w:r>
              <w:t>M.</w:t>
            </w:r>
            <w:r>
              <w:tab/>
            </w:r>
            <w:r>
              <w:t>whereas news media and journalism face specific AI-related challenges, including risks to media pluralism, editorial integrity, economic sustainability</w:t>
            </w:r>
            <w:r>
              <w:rPr>
                <w:b/>
                <w:i/>
              </w:rPr>
              <w:t>, rapid spread of disinformation</w:t>
            </w:r>
            <w:r>
              <w:t xml:space="preserve"> and the disintermediation of publishers from their audiences as AI-powered answer engines can satisfy users’ information needs, without direct access to original journalistic content;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M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Ma.</w:t>
            </w:r>
            <w:r>
              <w:tab/>
            </w:r>
            <w:r>
              <w:rPr>
                <w:b/>
                <w:i/>
              </w:rPr>
              <w:t>whereas the negotiating position of local news media and news media operating in smaller language communities is often unbalanced vis-à-vis AI providers;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Hannes Heide, Maria Guzenina, Gabriela Firea, Sandro Ruotolo, Marcos Ros Sempere, Joanna Scheuring-Wielgus, Nikos Papandreou,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 xml:space="preserve">whereas the development of generative AI (GenAI) relies on vast amounts of data, including cultural and creative content used as training data, raising structural questions concerning the conditions for rights holders’ authorisation </w:t>
            </w:r>
            <w:r>
              <w:rPr>
                <w:b/>
                <w:i/>
              </w:rPr>
              <w:t>and</w:t>
            </w:r>
            <w:r>
              <w:t xml:space="preserve"> control over such use, the transparency and traceability of training datasets, the identification and attribution of works and rights holders, </w:t>
            </w:r>
            <w:r>
              <w:rPr>
                <w:b/>
                <w:i/>
              </w:rPr>
              <w:t>remuneration</w:t>
            </w:r>
            <w:r>
              <w:t xml:space="preserve"> and the distribution of value and bargaining power across the value chain;</w:t>
            </w:r>
          </w:p>
        </w:tc>
        <w:tc>
          <w:tcPr>
            <w:tcW w:w="4876" w:type="dxa"/>
            <w:tcBorders>
              <w:top w:val="nil"/>
              <w:left w:val="nil"/>
              <w:bottom w:val="nil"/>
              <w:right w:val="nil"/>
            </w:tcBorders>
          </w:tcPr>
          <w:p>
            <w:pPr>
              <w:pStyle w:val="Normal6a"/>
            </w:pPr>
            <w:r>
              <w:t>N.</w:t>
            </w:r>
            <w:r>
              <w:tab/>
            </w:r>
            <w:r>
              <w:t xml:space="preserve">whereas the development of generative AI (GenAI) relies on vast amounts of data, including cultural and creative content used as training data, raising structural questions concerning the </w:t>
            </w:r>
            <w:r>
              <w:rPr>
                <w:b/>
                <w:i/>
              </w:rPr>
              <w:t>lack of</w:t>
            </w:r>
            <w:r>
              <w:t xml:space="preserve"> conditions for rights holders’ authorisation</w:t>
            </w:r>
            <w:r>
              <w:rPr>
                <w:b/>
                <w:i/>
              </w:rPr>
              <w:t>,</w:t>
            </w:r>
            <w:r>
              <w:t xml:space="preserve"> control </w:t>
            </w:r>
            <w:r>
              <w:rPr>
                <w:b/>
                <w:i/>
              </w:rPr>
              <w:t>and remuneration</w:t>
            </w:r>
            <w:r>
              <w:t xml:space="preserve"> over such use, the transparency and traceability of training datasets, the identification and attribution of works and rights holders, and the distribution of value and bargaining power across the value chain; </w:t>
            </w:r>
            <w:r>
              <w:rPr>
                <w:b/>
                <w:i/>
              </w:rPr>
              <w:t>whereas low-cost AI-generated synthetic output disseminated in the same markets as human-created works risks displacing original creative content and threatening the financial sustainability of artists, creators, rights holders and workers in the CCS;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Sabine Verheyen, Bogdan Andrzej Zdrojewski, 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 xml:space="preserve">whereas the development of generative AI (GenAI) relies on vast amounts of data, including cultural and creative content used </w:t>
            </w:r>
            <w:r>
              <w:rPr>
                <w:b/>
                <w:i/>
              </w:rPr>
              <w:t>as</w:t>
            </w:r>
            <w:r>
              <w:t xml:space="preserve"> training </w:t>
            </w:r>
            <w:r>
              <w:rPr>
                <w:b/>
                <w:i/>
              </w:rPr>
              <w:t>data</w:t>
            </w:r>
            <w:r>
              <w:t xml:space="preserve">, raising structural questions concerning the conditions for rights holders’ authorisation and control over such </w:t>
            </w:r>
            <w:r>
              <w:rPr>
                <w:b/>
                <w:i/>
              </w:rPr>
              <w:t>use</w:t>
            </w:r>
            <w:r>
              <w:t xml:space="preserve">, the transparency and traceability of </w:t>
            </w:r>
            <w:r>
              <w:rPr>
                <w:b/>
                <w:i/>
              </w:rPr>
              <w:t>training datasets</w:t>
            </w:r>
            <w:r>
              <w:t>, the identification and attribution of works and rights holders, remuneration and the distribution of value and bargaining power across the value chain;</w:t>
            </w:r>
          </w:p>
        </w:tc>
        <w:tc>
          <w:tcPr>
            <w:tcW w:w="4876" w:type="dxa"/>
            <w:tcBorders>
              <w:top w:val="nil"/>
              <w:left w:val="nil"/>
              <w:bottom w:val="nil"/>
              <w:right w:val="nil"/>
            </w:tcBorders>
          </w:tcPr>
          <w:p>
            <w:pPr>
              <w:pStyle w:val="Normal6a"/>
            </w:pPr>
            <w:r>
              <w:t>N.</w:t>
            </w:r>
            <w:r>
              <w:tab/>
            </w:r>
            <w:r>
              <w:t xml:space="preserve">whereas the development </w:t>
            </w:r>
            <w:r>
              <w:rPr>
                <w:b/>
                <w:i/>
              </w:rPr>
              <w:t>and deployment</w:t>
            </w:r>
            <w:r>
              <w:t xml:space="preserve"> of generative AI (GenAI) relies on vast amounts of data, including cultural and creative content used </w:t>
            </w:r>
            <w:r>
              <w:rPr>
                <w:b/>
                <w:i/>
              </w:rPr>
              <w:t>for</w:t>
            </w:r>
            <w:r>
              <w:t xml:space="preserve"> training</w:t>
            </w:r>
            <w:r>
              <w:rPr>
                <w:b/>
                <w:i/>
              </w:rPr>
              <w:t>, retrieval-augmented generation and other AI-related purposes</w:t>
            </w:r>
            <w:r>
              <w:t xml:space="preserve">, raising structural questions concerning the conditions for rights holders’ authorisation and control over such </w:t>
            </w:r>
            <w:r>
              <w:rPr>
                <w:b/>
                <w:i/>
              </w:rPr>
              <w:t>uses</w:t>
            </w:r>
            <w:r>
              <w:t xml:space="preserve">, the transparency and traceability of </w:t>
            </w:r>
            <w:r>
              <w:rPr>
                <w:b/>
                <w:i/>
              </w:rPr>
              <w:t>data sources and uses</w:t>
            </w:r>
            <w:r>
              <w:t>, the identification and attribution of works and rights holders, remuneration and the distribution of value and bargaining power across the value chain;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Lara Magoni, Ivaylo Valchev, Marco Squarta, Chiara Gemma, Guillaume Peltier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whereas the development of generative AI (GenAI) relies on vast amounts of data, including cultural and creative content used as training data, raising structural questions concerning the conditions for rights holders’ authorisation and control over such use, the transparency and traceability of training datasets, the identification and attribution of works and rights holders, remuneration and the distribution of value and bargaining power across the value chain;</w:t>
            </w:r>
          </w:p>
        </w:tc>
        <w:tc>
          <w:tcPr>
            <w:tcW w:w="4876" w:type="dxa"/>
            <w:tcBorders>
              <w:top w:val="nil"/>
              <w:left w:val="nil"/>
              <w:bottom w:val="nil"/>
              <w:right w:val="nil"/>
            </w:tcBorders>
          </w:tcPr>
          <w:p>
            <w:pPr>
              <w:pStyle w:val="Normal6a"/>
            </w:pPr>
            <w:r>
              <w:t>N.</w:t>
            </w:r>
            <w:r>
              <w:tab/>
            </w:r>
            <w:r>
              <w:t>whereas the development of generative AI (GenAI) relies on vast amounts of data, including cultural and creative content</w:t>
            </w:r>
            <w:r>
              <w:rPr>
                <w:b/>
                <w:i/>
              </w:rPr>
              <w:t>, protected works, performances and other subject matter</w:t>
            </w:r>
            <w:r>
              <w:t xml:space="preserve"> used as training data, raising structural questions concerning the conditions for rights holders’ authorisation and control over such use, the transparency and traceability of training datasets, the identification and attribution of works and rights holders, remuneration and the distribution of value and bargaining power across the value chain;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Esteban González Pons, 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N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Na.</w:t>
            </w:r>
            <w:r>
              <w:tab/>
            </w:r>
            <w:r>
              <w:rPr>
                <w:b/>
                <w:i/>
              </w:rPr>
              <w:t>whereas the emergence of agentic AI systems, capable of autonomously executing multi-step tasks, making non-deterministic decisions and coordinating with other AI agents, further complicates the questions of authorisation, transparency, attribution and remuneration, as such systems may access, combine or exploit copyright-protected cultural content in the course of pursuing an assigned objective, without a clearly identifiable point of human decision-making; while the adoption of agentic AI in the CCS remains at an early stage, its anticipated growth calls for a precautionary and forward-looking regulatory approach;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N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Na.</w:t>
            </w:r>
            <w:r>
              <w:tab/>
            </w:r>
            <w:r>
              <w:rPr>
                <w:b/>
                <w:i/>
              </w:rPr>
              <w:t>whereas the risk that the linguistic imbalance in AI systems, with English and other dominant languages benefiting from significantly greater availability of data and digital tools, may translate into an imbalance in the creation, production, dissemination and discoverability of cultural content, potentially reducing the visibility and circulation of works in less-resourced, regional and minority languages;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Lara Magoni, Ivaylo Valchev, Marco Squarta, Chiara Gemma, Guillaume Peltier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N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Na.</w:t>
            </w:r>
            <w:r>
              <w:tab/>
            </w:r>
            <w:r>
              <w:rPr>
                <w:b/>
                <w:i/>
              </w:rPr>
              <w:t>whereas the leading general-purpose AI models are predominantly developed by providers established outside the Union; whereas the obligations of the AI Act apply to all providers placing models on the Union market irrespective of their place of establishment, and their consistent enforcement is essential to ensure a level playing field for European operators;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N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Nb.</w:t>
            </w:r>
            <w:r>
              <w:tab/>
            </w:r>
            <w:r>
              <w:rPr>
                <w:b/>
                <w:i/>
              </w:rPr>
              <w:t>whereas there is a significant lack of transparency surrounding the methods used to assess and ensure diversity in AI training datasets as AI models increasingly incorporate synthetic data alongside real-world data, the risk of cultural homogenisation, bias amplification, and data "slop" (low-quality or unrepresentative content) grows</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[AI in Cultural and Creative Sectors Opportunities, Challenges and Legislative Limitations in the Audiovisual, Publishing and Music Streaming Sectors]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N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Nc.</w:t>
            </w:r>
            <w:r>
              <w:tab/>
            </w:r>
            <w:r>
              <w:rPr>
                <w:b/>
                <w:i/>
              </w:rPr>
              <w:t>whereas cultural heritage has a distinctive characteristic among the cultural and creative sectors, as digitisation efforts have led to high-quality, multilingual and trusted data, much of which can serve as a valuable resource for AI development; whereas the high value of cultural heritage data for AI use is explicitly recognised in the Data Union Strategy, which sets the ambitious target of making available 30 million digitised cultural objects for AI by the end of 2026; whereas cultural heritage professionals are uniquely positioned to shape public interest-led AI practices in the European Union thanks to their long-established practice of fostering access to culture for the public good;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N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Nd.</w:t>
            </w:r>
            <w:r>
              <w:tab/>
            </w:r>
            <w:r>
              <w:rPr>
                <w:b/>
                <w:i/>
              </w:rPr>
              <w:t>whereas a full range of tools are available to address the challenges caused by AI, and are not limited to copyright alone, or to interventions at the stage of inputs into AI training;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N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Ne.</w:t>
            </w:r>
            <w:r>
              <w:tab/>
            </w:r>
            <w:r>
              <w:rPr>
                <w:b/>
                <w:i/>
              </w:rPr>
              <w:t>whereas visual authors rely on visibility to profit off their works but instead are faced with the unauthorised use of their works for AI training, regardless of whether they reserve their rights from such use;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Hélder Sousa Silva, Sunčana Glavak, Sabine Verheyen, Esteban González Pons, Manuela Ripa, Milan Zver, Giusi Princi, Viktor Weisz, Bogdan Andrzej Zdrojewski, Eleonora Meleti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O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Oa.</w:t>
            </w:r>
            <w:r>
              <w:tab/>
            </w:r>
            <w:r>
              <w:rPr>
                <w:b/>
                <w:i/>
              </w:rPr>
              <w:t>whereas the European Union Intellectual Property Office (EUIPO) plays an important role in providing accessible information, guidance and practical tools on copyright and artificial intelligence through its EUIPO Copyright Knowledge Centre;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Laurence Farreng, 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P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Pa.</w:t>
            </w:r>
            <w:r>
              <w:tab/>
            </w:r>
            <w:r>
              <w:rPr>
                <w:b/>
                <w:i/>
              </w:rPr>
              <w:t>whereas, in its resolution of 10 March 2026 on "Copyright and generative artificial intelligence – opportunities and challenges", the European Parliament called for an additional legal framework to ensure authorisation, transparency and fair remuneration for the use of copyright-protected works by generative AI, including a rebuttable presumption of use where transparency obligations are not fully complied with, and for a solution for the remuneration of past uses, while opposing any flat-rate global licence; whereas the European Parliament also called for a functioning licensing market that restores rights holders' bargaining power, based on voluntary individual or collective licensing, with full transparency as a precondition and rights holders remaining free to refuse a licence or to set the corresponding remuneration;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Brigitte van den Berg, Nikola Minchev, Laurence Farreng,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P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Pa.</w:t>
            </w:r>
            <w:r>
              <w:tab/>
            </w:r>
            <w:r>
              <w:rPr>
                <w:b/>
                <w:i/>
              </w:rPr>
              <w:t>whereas an excessive reliance on AI-driven recommendation, ranking and distribution systems concentrate control over the discoverability of cultural and creative works in a limited number of platforms and automated systems, eliminating the role of human editorial judgement and disadvantaging smaller, independent, local or less commercially established creators;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Lara Magoni, Ivaylo Valchev, Marco Squarta, Chiara Gemma, Guillaume Peltier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P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Pa.</w:t>
            </w:r>
            <w:r>
              <w:tab/>
            </w:r>
            <w:r>
              <w:rPr>
                <w:b/>
                <w:i/>
              </w:rPr>
              <w:t>whereas AI is a relatively new and rapidly evolving technology and the many of the users may not yet possess the skills necessary to use it safely and critically; AI literacy, as also required under Article 4 of the AI Act, is therefore essential;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Lara Magoni, Ivaylo Valchev, Marco Squarta, Chiara Gemma, Guillaume Peltier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Stresses that the ethical and human-centred use of AI can support and enhance, rather than replace, human creativity and can create opportunities across the creative and cultural value chain, from research and creative development to production, distribution and monetisation;</w:t>
            </w:r>
          </w:p>
        </w:tc>
        <w:tc>
          <w:tcPr>
            <w:tcW w:w="4876" w:type="dxa"/>
            <w:tcBorders>
              <w:top w:val="nil"/>
              <w:left w:val="nil"/>
              <w:bottom w:val="nil"/>
              <w:right w:val="nil"/>
            </w:tcBorders>
          </w:tcPr>
          <w:p>
            <w:pPr>
              <w:pStyle w:val="Normal6a"/>
            </w:pPr>
            <w:r>
              <w:t>1.</w:t>
            </w:r>
            <w:r>
              <w:tab/>
            </w:r>
            <w:r>
              <w:t>Stresses that the ethical</w:t>
            </w:r>
            <w:r>
              <w:rPr>
                <w:b/>
                <w:i/>
              </w:rPr>
              <w:t>, transparent, proportionately regulated</w:t>
            </w:r>
            <w:r>
              <w:t xml:space="preserve"> and human-centred use of AI can support and enhance, rather than replace, human creativity and can create opportunities across the creative and cultural value chain, from research and creative development to production, distribution and monetisation; </w:t>
            </w:r>
            <w:r>
              <w:rPr>
                <w:b/>
                <w:i/>
              </w:rPr>
              <w:t>stresses that humans should retain effective and informed control over AI systems throughout their use in the CCS and that creative authorship and responsibility for artistic choices should remain attributable to human beings where a meaningful human creative contribution is present;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Sunčana Glavak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Stresses that the ethical and human-centred use of AI can support and enhance, rather than replace, human creativity and can create opportunities across the creative and cultural value chain, from research and creative development to production, distribution and monetisation;</w:t>
            </w:r>
          </w:p>
        </w:tc>
        <w:tc>
          <w:tcPr>
            <w:tcW w:w="4876" w:type="dxa"/>
            <w:tcBorders>
              <w:top w:val="nil"/>
              <w:left w:val="nil"/>
              <w:bottom w:val="nil"/>
              <w:right w:val="nil"/>
            </w:tcBorders>
          </w:tcPr>
          <w:p>
            <w:pPr>
              <w:pStyle w:val="Normal6a"/>
            </w:pPr>
            <w:r>
              <w:t>1.</w:t>
            </w:r>
            <w:r>
              <w:tab/>
            </w:r>
            <w:r>
              <w:t>Stresses that the ethical and human-centred use of AI can support and enhance, rather than replace, human creativity</w:t>
            </w:r>
            <w:r>
              <w:rPr>
                <w:b/>
                <w:i/>
              </w:rPr>
              <w:t>, which must remain at the heart of cultural and creative endeavours in Europe;</w:t>
            </w:r>
            <w:r>
              <w:t xml:space="preserve"> </w:t>
            </w:r>
            <w:r>
              <w:rPr>
                <w:b/>
                <w:i/>
              </w:rPr>
              <w:t>stresses, at the same time, that responsible AI deployment could enhance the productivity, competitiveness and international reach of Europe's cultural and creative sectors, particularly of small and medium-sized enterprises and independent creators,</w:t>
            </w:r>
            <w:r>
              <w:t xml:space="preserve"> and can create opportunities across the creative and cultural value chain, from research and creative development to production, distribution and monetisation;</w:t>
            </w:r>
          </w:p>
        </w:tc>
      </w:tr>
    </w:tbl>
    <w:p>
      <w:pPr>
        <w:pStyle w:val="AmOrLang"/>
      </w:pPr>
      <w:r>
        <w:t xml:space="preserve">Or. </w:t>
      </w:r>
      <w:r>
        <w:rPr>
          <w:rStyle w:val="HideTWBExt"/>
        </w:rPr>
        <w:t>&lt;Original&gt;</w:t>
      </w:r>
      <w:r>
        <w:rPr>
          <w:rStyle w:val="HideTWBInt"/>
        </w:rPr>
        <w:t>{HR}</w:t>
      </w:r>
      <w:r>
        <w:t>hr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Zsuzsanna Borvendég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Stresses that </w:t>
            </w:r>
            <w:r>
              <w:rPr>
                <w:b/>
                <w:i/>
              </w:rPr>
              <w:t>the ethical and human-centred use of AI can support and enhance, rather than replace</w:t>
            </w:r>
            <w:r>
              <w:t xml:space="preserve">, human creativity </w:t>
            </w:r>
            <w:r>
              <w:rPr>
                <w:b/>
                <w:i/>
              </w:rPr>
              <w:t>and can create opportunities across the creative and cultural value chain, from research and creative development to production, distribution and monetisation</w:t>
            </w:r>
            <w:r>
              <w:t>;</w:t>
            </w:r>
          </w:p>
        </w:tc>
        <w:tc>
          <w:tcPr>
            <w:tcW w:w="4876" w:type="dxa"/>
            <w:tcBorders>
              <w:top w:val="nil"/>
              <w:left w:val="nil"/>
              <w:bottom w:val="nil"/>
              <w:right w:val="nil"/>
            </w:tcBorders>
          </w:tcPr>
          <w:p>
            <w:pPr>
              <w:pStyle w:val="Normal6a"/>
            </w:pPr>
            <w:r>
              <w:t>1.</w:t>
            </w:r>
            <w:r>
              <w:tab/>
            </w:r>
            <w:r>
              <w:t xml:space="preserve">Stresses that </w:t>
            </w:r>
            <w:r>
              <w:rPr>
                <w:b/>
                <w:i/>
              </w:rPr>
              <w:t>human creativity, artistic originality and cultural authenticity must remain at the heart of the cultural and creative sectors; acknowledges that AI may serve as a technical tool assisting human creators in specific tasks, but warns that the large-scale generation of synthetic cultural content risks devaluing original artistic work</w:t>
            </w:r>
            <w:r>
              <w:t xml:space="preserve">, </w:t>
            </w:r>
            <w:r>
              <w:rPr>
                <w:b/>
                <w:i/>
              </w:rPr>
              <w:t>undermining creative professions and replacing genuine human expression with automated imitation; emphasises that technological innovation must serve</w:t>
            </w:r>
            <w:r>
              <w:t xml:space="preserve"> human creativity </w:t>
            </w:r>
            <w:r>
              <w:rPr>
                <w:b/>
                <w:i/>
              </w:rPr>
              <w:t>rather than redefine or replace it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Hélder Sousa Silva, Sunčana Glavak, Sabine Verheyen, Esteban González Pons, Manuela Ripa, Milan Zver, Giusi Princi, Viktor Weisz, Bogdan Andrzej Zdrojewski, Eleonora Meleti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Stresses that the ethical and human-centred use of AI can support and enhance, rather than replace, human creativity and can create opportunities across the creative and cultural value chain, from research and creative development to production, distribution and monetisation;</w:t>
            </w:r>
          </w:p>
        </w:tc>
        <w:tc>
          <w:tcPr>
            <w:tcW w:w="4876" w:type="dxa"/>
            <w:tcBorders>
              <w:top w:val="nil"/>
              <w:left w:val="nil"/>
              <w:bottom w:val="nil"/>
              <w:right w:val="nil"/>
            </w:tcBorders>
          </w:tcPr>
          <w:p>
            <w:pPr>
              <w:pStyle w:val="Normal6a"/>
            </w:pPr>
            <w:r>
              <w:t>1.</w:t>
            </w:r>
            <w:r>
              <w:tab/>
            </w:r>
            <w:r>
              <w:t xml:space="preserve">Stresses that the ethical and human-centred use of AI can support and enhance, rather than replace, human creativity and can create opportunities across the creative and cultural value chain, from research and creative development to production, distribution and monetisation; </w:t>
            </w:r>
            <w:r>
              <w:rPr>
                <w:b/>
                <w:i/>
              </w:rPr>
              <w:t>stresses, in this context, the role of artistic and cultural education, including music education, in developing human creativity from an early age;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Carolina Morace, Mario Furore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Stresses that </w:t>
            </w:r>
            <w:r>
              <w:rPr>
                <w:b/>
                <w:i/>
              </w:rPr>
              <w:t>the ethical</w:t>
            </w:r>
            <w:r>
              <w:t xml:space="preserve"> and human-centred </w:t>
            </w:r>
            <w:r>
              <w:rPr>
                <w:b/>
                <w:i/>
              </w:rPr>
              <w:t>use of AI can support and enhance, rather than replace, human creativity and</w:t>
            </w:r>
            <w:r>
              <w:t xml:space="preserve"> can create opportunities across the </w:t>
            </w:r>
            <w:r>
              <w:rPr>
                <w:b/>
                <w:i/>
              </w:rPr>
              <w:t>creative and</w:t>
            </w:r>
            <w:r>
              <w:t xml:space="preserve"> cultural value chain, from research and creative development to production, distribution and monetisation;</w:t>
            </w:r>
          </w:p>
        </w:tc>
        <w:tc>
          <w:tcPr>
            <w:tcW w:w="4876" w:type="dxa"/>
            <w:tcBorders>
              <w:top w:val="nil"/>
              <w:left w:val="nil"/>
              <w:bottom w:val="nil"/>
              <w:right w:val="nil"/>
            </w:tcBorders>
          </w:tcPr>
          <w:p>
            <w:pPr>
              <w:pStyle w:val="Normal6a"/>
            </w:pPr>
            <w:r>
              <w:t>1.</w:t>
            </w:r>
            <w:r>
              <w:tab/>
            </w:r>
            <w:r>
              <w:t xml:space="preserve">Stresses that </w:t>
            </w:r>
            <w:r>
              <w:rPr>
                <w:b/>
                <w:i/>
              </w:rPr>
              <w:t>AI must remain a tool at the service of human creation, supporting and enhancing it rather than replacing it;</w:t>
            </w:r>
            <w:r>
              <w:t xml:space="preserve"> </w:t>
            </w:r>
            <w:r>
              <w:rPr>
                <w:b/>
                <w:i/>
              </w:rPr>
              <w:t>recognises that, when developed and used in a responsible</w:t>
            </w:r>
            <w:r>
              <w:t xml:space="preserve"> and human-centred </w:t>
            </w:r>
            <w:r>
              <w:rPr>
                <w:b/>
                <w:i/>
              </w:rPr>
              <w:t>way, AI</w:t>
            </w:r>
            <w:r>
              <w:t xml:space="preserve"> can create opportunities across the cultural </w:t>
            </w:r>
            <w:r>
              <w:rPr>
                <w:b/>
                <w:i/>
              </w:rPr>
              <w:t>and creative</w:t>
            </w:r>
            <w:r>
              <w:t xml:space="preserve"> value chain, from research and creative development to production, distribution and monetisation;</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Hannes Heide, Maria Guzenina, Gabriela Firea, Sandro Ruotolo, Marcos Ros Sempere, Joanna Scheuring-Wielgus, Nikos Papandreou,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Stresses that the ethical and human-centred use of AI can support and enhance, rather than replace, human creativity and </w:t>
            </w:r>
            <w:r>
              <w:rPr>
                <w:b/>
                <w:i/>
              </w:rPr>
              <w:t>can</w:t>
            </w:r>
            <w:r>
              <w:t xml:space="preserve"> create opportunities across the creative and cultural value chain, from research and creative development to production, distribution and monetisation;</w:t>
            </w:r>
          </w:p>
        </w:tc>
        <w:tc>
          <w:tcPr>
            <w:tcW w:w="4876" w:type="dxa"/>
            <w:tcBorders>
              <w:top w:val="nil"/>
              <w:left w:val="nil"/>
              <w:bottom w:val="nil"/>
              <w:right w:val="nil"/>
            </w:tcBorders>
          </w:tcPr>
          <w:p>
            <w:pPr>
              <w:pStyle w:val="Normal6a"/>
            </w:pPr>
            <w:r>
              <w:t>1.</w:t>
            </w:r>
            <w:r>
              <w:tab/>
            </w:r>
            <w:r>
              <w:t xml:space="preserve">Stresses that the ethical and human-centred use of AI </w:t>
            </w:r>
            <w:r>
              <w:rPr>
                <w:b/>
                <w:i/>
              </w:rPr>
              <w:t>should remain under human direction, oversight and control, including when used by creators, so that it</w:t>
            </w:r>
            <w:r>
              <w:t xml:space="preserve"> can support and enhance, rather than replace, human creativity and create opportunities across the creative and cultural value chain, from research and creative development to production, distribution and monetisation;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Brigitte van den Berg, Nikola Minchev, Laurence Farreng,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Stresses that the ethical and human-centred use of AI </w:t>
            </w:r>
            <w:r>
              <w:rPr>
                <w:b/>
                <w:i/>
              </w:rPr>
              <w:t>can</w:t>
            </w:r>
            <w:r>
              <w:t xml:space="preserve"> support and enhance, </w:t>
            </w:r>
            <w:r>
              <w:rPr>
                <w:b/>
                <w:i/>
              </w:rPr>
              <w:t>rather than</w:t>
            </w:r>
            <w:r>
              <w:t xml:space="preserve"> replace, human creativity and can create opportunities across the creative and cultural value chain, from research and creative development to production, distribution and monetisation;</w:t>
            </w:r>
          </w:p>
        </w:tc>
        <w:tc>
          <w:tcPr>
            <w:tcW w:w="4876" w:type="dxa"/>
            <w:tcBorders>
              <w:top w:val="nil"/>
              <w:left w:val="nil"/>
              <w:bottom w:val="nil"/>
              <w:right w:val="nil"/>
            </w:tcBorders>
          </w:tcPr>
          <w:p>
            <w:pPr>
              <w:pStyle w:val="Normal6a"/>
            </w:pPr>
            <w:r>
              <w:t>1.</w:t>
            </w:r>
            <w:r>
              <w:tab/>
            </w:r>
            <w:r>
              <w:t xml:space="preserve">Stresses that the ethical and human-centred use of AI </w:t>
            </w:r>
            <w:r>
              <w:rPr>
                <w:b/>
                <w:i/>
              </w:rPr>
              <w:t>may</w:t>
            </w:r>
            <w:r>
              <w:t xml:space="preserve"> support and enhance, </w:t>
            </w:r>
            <w:r>
              <w:rPr>
                <w:b/>
                <w:i/>
              </w:rPr>
              <w:t>but can never</w:t>
            </w:r>
            <w:r>
              <w:t xml:space="preserve"> replace, human creativity and can create opportunities across the creative and cultural value chain, from research and creative development to production, distribution and monetisation;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Brigitte van den Berg,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Stresses that the ethical and human-centred use of AI can support and enhance, rather than replace, human creativity and can create opportunities across the creative and cultural value chain, from research and creative development to production</w:t>
            </w:r>
            <w:r>
              <w:rPr>
                <w:b/>
                <w:i/>
              </w:rPr>
              <w:t>, distribution and monetisation;</w:t>
            </w:r>
          </w:p>
        </w:tc>
        <w:tc>
          <w:tcPr>
            <w:tcW w:w="4876" w:type="dxa"/>
            <w:tcBorders>
              <w:top w:val="nil"/>
              <w:left w:val="nil"/>
              <w:bottom w:val="nil"/>
              <w:right w:val="nil"/>
            </w:tcBorders>
          </w:tcPr>
          <w:p>
            <w:pPr>
              <w:pStyle w:val="Normal6a"/>
            </w:pPr>
            <w:r>
              <w:t>1.</w:t>
            </w:r>
            <w:r>
              <w:tab/>
            </w:r>
            <w:r>
              <w:t>Stresses that the ethical and human-centred use of AI can support and enhance, rather than replace, human creativity and can create opportunities across the creative and cultural value chain, from research and creative development to production</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Acknowledges that AI plays distinct roles across the CCS, supporting the creation of works, the promotion, distribution and discoverability of content, and the emergence of new forms of artistic and creative expression;</w:t>
            </w:r>
          </w:p>
        </w:tc>
        <w:tc>
          <w:tcPr>
            <w:tcW w:w="4876" w:type="dxa"/>
            <w:tcBorders>
              <w:top w:val="nil"/>
              <w:left w:val="nil"/>
              <w:bottom w:val="nil"/>
              <w:right w:val="nil"/>
            </w:tcBorders>
          </w:tcPr>
          <w:p>
            <w:pPr>
              <w:pStyle w:val="Normal6a"/>
            </w:pPr>
            <w:r>
              <w:t>2.</w:t>
            </w:r>
            <w:r>
              <w:tab/>
            </w:r>
            <w:r>
              <w:t xml:space="preserve">Acknowledges that AI plays distinct roles across the CCS, supporting the creation of works, the promotion, distribution and discoverability of content, and the emergence of new forms of artistic and creative expression </w:t>
            </w:r>
            <w:r>
              <w:rPr>
                <w:b/>
                <w:i/>
              </w:rPr>
              <w:t>while also posing major risks to the effective protection of copyright and related rights, cultural diversity, and the sustainability of jobs and business models in the cultural and creative sectors, against a backdrop of growing concentration in the development and control of artificial intelligence technologies in the hands of a limited number of economic actors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Carolina Morace, Mario Furore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Acknowledges that AI plays distinct roles </w:t>
            </w:r>
            <w:r>
              <w:rPr>
                <w:b/>
                <w:i/>
              </w:rPr>
              <w:t>across</w:t>
            </w:r>
            <w:r>
              <w:t xml:space="preserve"> the CCS, supporting the creation of works, the promotion, distribution and discoverability of content, and the emergence of new forms of artistic and creative expression;</w:t>
            </w:r>
          </w:p>
        </w:tc>
        <w:tc>
          <w:tcPr>
            <w:tcW w:w="4876" w:type="dxa"/>
            <w:tcBorders>
              <w:top w:val="nil"/>
              <w:left w:val="nil"/>
              <w:bottom w:val="nil"/>
              <w:right w:val="nil"/>
            </w:tcBorders>
          </w:tcPr>
          <w:p>
            <w:pPr>
              <w:pStyle w:val="Normal6a"/>
            </w:pPr>
            <w:r>
              <w:t>2.</w:t>
            </w:r>
            <w:r>
              <w:tab/>
            </w:r>
            <w:r>
              <w:t xml:space="preserve">Acknowledges that AI plays distinct roles </w:t>
            </w:r>
            <w:r>
              <w:rPr>
                <w:b/>
                <w:i/>
              </w:rPr>
              <w:t>in</w:t>
            </w:r>
            <w:r>
              <w:t xml:space="preserve"> the CCS, supporting the creation of works, the promotion, distribution and discoverability of content, and the emergence of new forms of artistic and creative expression; </w:t>
            </w:r>
            <w:r>
              <w:rPr>
                <w:b/>
                <w:i/>
              </w:rPr>
              <w:t>stresses, at the same time, that its deployment raises important questions regarding creators’ rights and incomes, employment, cultural diversity, the discoverability of European works and the increasing concentration of market and intermediary power in the hands of a limited number of large technology companies and global platforms;</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Hannes Heide, Maria Guzenina, Gabriela Firea, Sandro Ruotolo, Marcos Ros Sempere, Joanna Scheuring-Wielgus, Nikos Papandreou,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Acknowledges that AI plays distinct roles across the CCS, supporting the creation of works, the promotion, distribution and discoverability of content, and the emergence of new forms of artistic and creative expression;</w:t>
            </w:r>
          </w:p>
        </w:tc>
        <w:tc>
          <w:tcPr>
            <w:tcW w:w="4876" w:type="dxa"/>
            <w:tcBorders>
              <w:top w:val="nil"/>
              <w:left w:val="nil"/>
              <w:bottom w:val="nil"/>
              <w:right w:val="nil"/>
            </w:tcBorders>
          </w:tcPr>
          <w:p>
            <w:pPr>
              <w:pStyle w:val="Normal6a"/>
            </w:pPr>
            <w:r>
              <w:t>2.</w:t>
            </w:r>
            <w:r>
              <w:tab/>
            </w:r>
            <w:r>
              <w:t>Acknowledges that AI plays distinct roles across the CCS, supporting the creation of works, the promotion, distribution and discoverability of content, and the emergence of new forms of artistic and creative expression</w:t>
            </w:r>
            <w:r>
              <w:rPr>
                <w:b/>
                <w:i/>
              </w:rPr>
              <w:t>, while also posing significant challenges to remuneration, economic sustainability, working conditions, cultural diversity and discoverability, including through the growing concentration of power among a limited number of global technology and platform companies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Brigitte van den Berg, Nikola Minchev, Laurence Farreng,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Acknowledges that AI plays distinct roles across the CCS, supporting the creation of works, the promotion, </w:t>
            </w:r>
            <w:r>
              <w:rPr>
                <w:b/>
                <w:i/>
              </w:rPr>
              <w:t>distribution and discoverability of content,</w:t>
            </w:r>
            <w:r>
              <w:t xml:space="preserve"> and the emergence of new forms of artistic and creative expression;</w:t>
            </w:r>
          </w:p>
        </w:tc>
        <w:tc>
          <w:tcPr>
            <w:tcW w:w="4876" w:type="dxa"/>
            <w:tcBorders>
              <w:top w:val="nil"/>
              <w:left w:val="nil"/>
              <w:bottom w:val="nil"/>
              <w:right w:val="nil"/>
            </w:tcBorders>
          </w:tcPr>
          <w:p>
            <w:pPr>
              <w:pStyle w:val="Normal6a"/>
            </w:pPr>
            <w:r>
              <w:t>2.</w:t>
            </w:r>
            <w:r>
              <w:tab/>
            </w:r>
            <w:r>
              <w:t>Acknowledges that AI plays distinct roles across the CCS, supporting the creation of works, the promotion, and the emergence of new forms of artistic and creative expression;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Hannes Heide, Maria Guzenina, Gabriela Firea, Sandro Ruotolo, Marcos Ros Sempere, Joanna Scheuring-Wielgus, Nikos Papandreou,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Calls for safeguards against unfair contractual practices related to AI; stresses that consent to AI-related uses should be specific, informed and freely given and should not be imposed as a condition of employment or engagement; calls for particular attention to buy-out clauses and contractual terms that deprive creators and performers of control over future AI-related uses of their works or performances;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Calls on the Commission to ensure that the announced AI strategy for the CCS is ambitious, delivered without delay, accompanied by a clear implementation roadmap and measurable sector-specific objectives, and developed in close consultation with creators, performers, cultural institutions, small and medium-sized enterprises, technology providers and </w:t>
            </w:r>
            <w:r>
              <w:rPr>
                <w:b/>
                <w:i/>
              </w:rPr>
              <w:t>the</w:t>
            </w:r>
            <w:r>
              <w:t xml:space="preserve"> consumer; stresses that the strategy should foster innovation, competitiveness, human creation, cultural diversity, the discoverability of European works and wide public access to culture;</w:t>
            </w:r>
          </w:p>
        </w:tc>
        <w:tc>
          <w:tcPr>
            <w:tcW w:w="4876" w:type="dxa"/>
            <w:tcBorders>
              <w:top w:val="nil"/>
              <w:left w:val="nil"/>
              <w:bottom w:val="nil"/>
              <w:right w:val="nil"/>
            </w:tcBorders>
          </w:tcPr>
          <w:p>
            <w:pPr>
              <w:pStyle w:val="Normal6a"/>
            </w:pPr>
            <w:r>
              <w:t>3.</w:t>
            </w:r>
            <w:r>
              <w:tab/>
            </w:r>
            <w:r>
              <w:t xml:space="preserve">Calls on the Commission to ensure that the announced AI strategy for the CCS is ambitious, delivered without delay, accompanied by a clear implementation roadmap </w:t>
            </w:r>
            <w:r>
              <w:rPr>
                <w:b/>
                <w:i/>
              </w:rPr>
              <w:t>as well as appropriate funding anchored in the next Multi-annual Financial Framework of the EU 2028-2034</w:t>
            </w:r>
            <w:r>
              <w:t xml:space="preserve"> and measurable sector-specific objectives, and developed in close consultation with creators, performers, cultural institutions, small and medium-sized enterprises, technology providers</w:t>
            </w:r>
            <w:r>
              <w:rPr>
                <w:b/>
                <w:i/>
              </w:rPr>
              <w:t>, academic experts</w:t>
            </w:r>
            <w:r>
              <w:t xml:space="preserve"> and consumer </w:t>
            </w:r>
            <w:r>
              <w:rPr>
                <w:b/>
                <w:i/>
              </w:rPr>
              <w:t>organisations</w:t>
            </w:r>
            <w:r>
              <w:t>; stresses that the strategy should foster innovation, competitiveness, human creation, cultural diversity, the discoverability of European works and wide public access to culture;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Hannes Heide, Maria Guzenina, Gabriela Firea, Sandro Ruotolo, Marcos Ros Sempere, Joanna Scheuring-Wielgus, Nikos Papandreou,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Calls on the Commission to ensure that the announced AI strategy for the CCS is ambitious, delivered without delay, accompanied by a clear implementation roadmap and measurable sector-specific objectives, and developed in close consultation with creators, performers, cultural institutions, small and medium-sized enterprises, technology providers and the consumer; stresses that the strategy should foster innovation, competitiveness, human creation, cultural diversity, the discoverability of European works and wide public access to culture;</w:t>
            </w:r>
          </w:p>
        </w:tc>
        <w:tc>
          <w:tcPr>
            <w:tcW w:w="4876" w:type="dxa"/>
            <w:tcBorders>
              <w:top w:val="nil"/>
              <w:left w:val="nil"/>
              <w:bottom w:val="nil"/>
              <w:right w:val="nil"/>
            </w:tcBorders>
          </w:tcPr>
          <w:p>
            <w:pPr>
              <w:pStyle w:val="Normal6a"/>
            </w:pPr>
            <w:r>
              <w:t>3.</w:t>
            </w:r>
            <w:r>
              <w:tab/>
            </w:r>
            <w:r>
              <w:t xml:space="preserve">Calls on the Commission to ensure that the announced AI strategy for the CCS is ambitious, delivered without delay, </w:t>
            </w:r>
            <w:r>
              <w:rPr>
                <w:b/>
                <w:i/>
              </w:rPr>
              <w:t>addresses identified legislative gaps through concrete solutions, and is</w:t>
            </w:r>
            <w:r>
              <w:t xml:space="preserve"> accompanied by a clear implementation roadmap and measurable sector-specific objectives, and developed in close consultation with creators, performers</w:t>
            </w:r>
            <w:r>
              <w:rPr>
                <w:b/>
                <w:i/>
              </w:rPr>
              <w:t>, other rights holders</w:t>
            </w:r>
            <w:r>
              <w:t>, cultural institutions, small and medium-sized enterprises, technology providers and the consumer; stresses that the strategy should foster innovation, competitiveness, human creation, cultural diversity, the discoverability of European works and wide public access to culture;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Laurence Farreng, 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Calls on the Commission to ensure that the announced AI strategy for the CCS is ambitious, delivered without delay, accompanied by a clear implementation roadmap and measurable sector-specific objectives, and developed in close consultation with creators, performers, cultural institutions, small and medium-sized enterprises, technology providers and the consumer; stresses that the strategy should foster innovation, competitiveness, human creation, cultural diversity, the discoverability of European works </w:t>
            </w:r>
            <w:r>
              <w:rPr>
                <w:b/>
                <w:i/>
              </w:rPr>
              <w:t>and</w:t>
            </w:r>
            <w:r>
              <w:t xml:space="preserve"> wide public access to culture;</w:t>
            </w:r>
          </w:p>
        </w:tc>
        <w:tc>
          <w:tcPr>
            <w:tcW w:w="4876" w:type="dxa"/>
            <w:tcBorders>
              <w:top w:val="nil"/>
              <w:left w:val="nil"/>
              <w:bottom w:val="nil"/>
              <w:right w:val="nil"/>
            </w:tcBorders>
          </w:tcPr>
          <w:p>
            <w:pPr>
              <w:pStyle w:val="Normal6a"/>
            </w:pPr>
            <w:r>
              <w:t>3.</w:t>
            </w:r>
            <w:r>
              <w:tab/>
            </w:r>
            <w:r>
              <w:t>Calls on the Commission to ensure that the announced AI strategy for the CCS is ambitious, delivered without delay, accompanied by a clear implementation roadmap and measurable sector-specific objectives, and developed in close consultation with creators, performers, cultural institutions, small and medium-sized enterprises, technology providers and the consumer; stresses that the strategy should foster innovation, competitiveness, human creation, cultural diversity, the discoverability of European works</w:t>
            </w:r>
            <w:r>
              <w:rPr>
                <w:b/>
                <w:i/>
              </w:rPr>
              <w:t>,</w:t>
            </w:r>
            <w:r>
              <w:t xml:space="preserve"> wide public access to culture </w:t>
            </w:r>
            <w:r>
              <w:rPr>
                <w:b/>
                <w:i/>
              </w:rPr>
              <w:t>as well as a fair and proportionate remuneration of creators and rights holders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Lara Magoni, Ivaylo Valchev, Marco Squarta, Chiara Gemma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Calls on the Commission to ensure that the announced AI strategy for the CCS is ambitious, delivered without delay, accompanied by a clear implementation roadmap and measurable sector-specific objectives, and developed in close consultation with creators, performers, cultural institutions, small and medium-sized enterprises, technology providers and </w:t>
            </w:r>
            <w:r>
              <w:rPr>
                <w:b/>
                <w:i/>
              </w:rPr>
              <w:t>the consumer</w:t>
            </w:r>
            <w:r>
              <w:t>; stresses that the strategy should foster innovation, competitiveness, human creation, cultural diversity, the discoverability of European works and wide public access to culture;</w:t>
            </w:r>
          </w:p>
        </w:tc>
        <w:tc>
          <w:tcPr>
            <w:tcW w:w="4876" w:type="dxa"/>
            <w:tcBorders>
              <w:top w:val="nil"/>
              <w:left w:val="nil"/>
              <w:bottom w:val="nil"/>
              <w:right w:val="nil"/>
            </w:tcBorders>
          </w:tcPr>
          <w:p>
            <w:pPr>
              <w:pStyle w:val="Normal6a"/>
            </w:pPr>
            <w:r>
              <w:t>3.</w:t>
            </w:r>
            <w:r>
              <w:tab/>
            </w:r>
            <w:r>
              <w:t xml:space="preserve">Calls on the Commission to ensure that the announced AI strategy for the CCS is ambitious, delivered without delay, accompanied by a clear implementation roadmap and measurable sector-specific objectives, and developed in close consultation with creators, performers, </w:t>
            </w:r>
            <w:r>
              <w:rPr>
                <w:b/>
                <w:i/>
              </w:rPr>
              <w:t>other rights holders,</w:t>
            </w:r>
            <w:r>
              <w:t xml:space="preserve"> cultural institutions, small and medium-sized enterprises, technology providers and </w:t>
            </w:r>
            <w:r>
              <w:rPr>
                <w:b/>
                <w:i/>
              </w:rPr>
              <w:t>consumers</w:t>
            </w:r>
            <w:r>
              <w:t xml:space="preserve">; stresses that the strategy should </w:t>
            </w:r>
            <w:r>
              <w:rPr>
                <w:b/>
                <w:i/>
              </w:rPr>
              <w:t>uphold the EU copyright framework and</w:t>
            </w:r>
            <w:r>
              <w:t xml:space="preserve"> foster innovation, competitiveness, human creation, cultural diversity, the discoverability of European works and wide public access to culture;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Catherine Griset, Annamária Vicsek, Antonín Staněk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Calls on the Commission to </w:t>
            </w:r>
            <w:r>
              <w:rPr>
                <w:b/>
                <w:i/>
              </w:rPr>
              <w:t>ensure that the announced AI strategy for the CCS is ambitious, delivered without delay, accompanied by a clear implementation roadmap and measurable</w:t>
            </w:r>
            <w:r>
              <w:t xml:space="preserve"> sector-specific </w:t>
            </w:r>
            <w:r>
              <w:rPr>
                <w:b/>
                <w:i/>
              </w:rPr>
              <w:t>objectives, and developed in close consultation with</w:t>
            </w:r>
            <w:r>
              <w:t xml:space="preserve"> creators, performers, cultural institutions, small and medium-sized enterprises, technology providers and the consumer; stresses that the strategy should foster innovation, competitiveness, human creation, cultural diversity, the discoverability of European works and wide public access to culture;</w:t>
            </w:r>
          </w:p>
        </w:tc>
        <w:tc>
          <w:tcPr>
            <w:tcW w:w="4876" w:type="dxa"/>
            <w:tcBorders>
              <w:top w:val="nil"/>
              <w:left w:val="nil"/>
              <w:bottom w:val="nil"/>
              <w:right w:val="nil"/>
            </w:tcBorders>
          </w:tcPr>
          <w:p>
            <w:pPr>
              <w:pStyle w:val="Normal6a"/>
            </w:pPr>
            <w:r>
              <w:t>3.</w:t>
            </w:r>
            <w:r>
              <w:tab/>
            </w:r>
            <w:r>
              <w:t xml:space="preserve">Calls on the Commission to </w:t>
            </w:r>
            <w:r>
              <w:rPr>
                <w:b/>
                <w:i/>
              </w:rPr>
              <w:t>facilitate</w:t>
            </w:r>
            <w:r>
              <w:t xml:space="preserve"> sector-specific </w:t>
            </w:r>
            <w:r>
              <w:rPr>
                <w:b/>
                <w:i/>
              </w:rPr>
              <w:t>negotiations among</w:t>
            </w:r>
            <w:r>
              <w:t xml:space="preserve"> creators, performers, cultural institutions, small and medium-sized enterprises, technology providers and the consumer</w:t>
            </w:r>
            <w:r>
              <w:rPr>
                <w:b/>
                <w:i/>
              </w:rPr>
              <w:t>, without hampering technical and economic progress or undermining fundamental freedoms</w:t>
            </w:r>
            <w:r>
              <w:t xml:space="preserve">; stresses that the strategy should foster innovation, competitiveness, human creation, cultural diversity, </w:t>
            </w:r>
            <w:r>
              <w:rPr>
                <w:b/>
                <w:i/>
              </w:rPr>
              <w:t>including the different national and local languages,</w:t>
            </w:r>
            <w:r>
              <w:t xml:space="preserve"> the discoverability of European works and wide public access to culture;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Brigitte van den Berg, Nikola Minchev, Laurence Farreng,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Calls on the Commission to ensure that the announced AI strategy for the CCS is ambitious, delivered without delay, accompanied by a clear implementation roadmap and measurable sector-specific objectives, and developed in close consultation with creators, performers, cultural institutions, small and medium-sized enterprises, technology providers and the consumer; stresses that the strategy should foster innovation, competitiveness, human creation, cultural diversity, the discoverability of European works and wide public access to culture;</w:t>
            </w:r>
          </w:p>
        </w:tc>
        <w:tc>
          <w:tcPr>
            <w:tcW w:w="4876" w:type="dxa"/>
            <w:tcBorders>
              <w:top w:val="nil"/>
              <w:left w:val="nil"/>
              <w:bottom w:val="nil"/>
              <w:right w:val="nil"/>
            </w:tcBorders>
          </w:tcPr>
          <w:p>
            <w:pPr>
              <w:pStyle w:val="Normal6a"/>
            </w:pPr>
            <w:r>
              <w:t>3.</w:t>
            </w:r>
            <w:r>
              <w:tab/>
            </w:r>
            <w:r>
              <w:t xml:space="preserve">Calls on the Commission to ensure that the announced AI strategy for the CCS is ambitious, delivered without delay, accompanied by a clear implementation roadmap and measurable sector-specific objectives, and developed in close consultation with creators, performers, cultural institutions, small and medium-sized enterprises, technology providers and the consumer; stresses that the strategy should foster </w:t>
            </w:r>
            <w:r>
              <w:rPr>
                <w:b/>
                <w:i/>
              </w:rPr>
              <w:t>human-centred</w:t>
            </w:r>
            <w:r>
              <w:t xml:space="preserve"> innovation, competitiveness, human creation </w:t>
            </w:r>
            <w:r>
              <w:rPr>
                <w:b/>
                <w:i/>
              </w:rPr>
              <w:t>and creativity</w:t>
            </w:r>
            <w:r>
              <w:t xml:space="preserve">, cultural diversity, the discoverability of European </w:t>
            </w:r>
            <w:r>
              <w:rPr>
                <w:b/>
                <w:i/>
              </w:rPr>
              <w:t>and independent</w:t>
            </w:r>
            <w:r>
              <w:t xml:space="preserve"> works and wide public access to culture;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Zsuzsanna Borvendég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Calls on the Commission to ensure that </w:t>
            </w:r>
            <w:r>
              <w:rPr>
                <w:b/>
                <w:i/>
              </w:rPr>
              <w:t>the announced</w:t>
            </w:r>
            <w:r>
              <w:t xml:space="preserve"> AI strategy for the </w:t>
            </w:r>
            <w:r>
              <w:rPr>
                <w:b/>
                <w:i/>
              </w:rPr>
              <w:t>CCS is ambitious, delivered without delay, accompanied by a clear implementation roadmap and measurable sector-specific objectives</w:t>
            </w:r>
            <w:r>
              <w:t xml:space="preserve">, </w:t>
            </w:r>
            <w:r>
              <w:rPr>
                <w:b/>
                <w:i/>
              </w:rPr>
              <w:t>and developed in close consultation with</w:t>
            </w:r>
            <w:r>
              <w:t xml:space="preserve"> creators, </w:t>
            </w:r>
            <w:r>
              <w:rPr>
                <w:b/>
                <w:i/>
              </w:rPr>
              <w:t>performers</w:t>
            </w:r>
            <w:r>
              <w:t>, cultural institutions</w:t>
            </w:r>
            <w:r>
              <w:rPr>
                <w:b/>
                <w:i/>
              </w:rPr>
              <w:t>, small and medium-sized enterprises, technology providers and the consumer; stresses that the strategy should foster innovation, competitiveness, human creation, cultural diversity, the discoverability of European works and wide public access to culture</w:t>
            </w:r>
            <w:r>
              <w:t>;</w:t>
            </w:r>
          </w:p>
        </w:tc>
        <w:tc>
          <w:tcPr>
            <w:tcW w:w="4876" w:type="dxa"/>
            <w:tcBorders>
              <w:top w:val="nil"/>
              <w:left w:val="nil"/>
              <w:bottom w:val="nil"/>
              <w:right w:val="nil"/>
            </w:tcBorders>
          </w:tcPr>
          <w:p>
            <w:pPr>
              <w:pStyle w:val="Normal6a"/>
            </w:pPr>
            <w:r>
              <w:t>3.</w:t>
            </w:r>
            <w:r>
              <w:tab/>
            </w:r>
            <w:r>
              <w:t xml:space="preserve">Calls on the Commission to ensure that </w:t>
            </w:r>
            <w:r>
              <w:rPr>
                <w:b/>
                <w:i/>
              </w:rPr>
              <w:t>any future</w:t>
            </w:r>
            <w:r>
              <w:t xml:space="preserve"> AI strategy for the </w:t>
            </w:r>
            <w:r>
              <w:rPr>
                <w:b/>
                <w:i/>
              </w:rPr>
              <w:t>cultural and creative sectors respects the principle of subsidiarity</w:t>
            </w:r>
            <w:r>
              <w:t xml:space="preserve">, </w:t>
            </w:r>
            <w:r>
              <w:rPr>
                <w:b/>
                <w:i/>
              </w:rPr>
              <w:t>the cultural competences of Member States and the diversity of national cultural traditions; stresses that such a strategy must prioritise the protection of human</w:t>
            </w:r>
            <w:r>
              <w:t xml:space="preserve"> creators, </w:t>
            </w:r>
            <w:r>
              <w:rPr>
                <w:b/>
                <w:i/>
              </w:rPr>
              <w:t>intellectual property rights and cultural authenticity</w:t>
            </w:r>
            <w:r>
              <w:t xml:space="preserve">, </w:t>
            </w:r>
            <w:r>
              <w:rPr>
                <w:b/>
                <w:i/>
              </w:rPr>
              <w:t>while avoiding unnecessary regulatory burdens, additional EU-level centralisation or pressure on</w:t>
            </w:r>
            <w:r>
              <w:t xml:space="preserve"> cultural institutions </w:t>
            </w:r>
            <w:r>
              <w:rPr>
                <w:b/>
                <w:i/>
              </w:rPr>
              <w:t>and artists to adopt AI technologies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Carolina Morace, Mario Furore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Calls on the Commission to translate the future AI strategy for the CCS into concrete measures to ensure appropriate and proportionate remuneration of creators, address substitution effects of human works and performances, strengthen algorithmic transparency and discoverability of European works, tackle unfair contractual practices and excessively broad or indefinite transfers of rights, promote collective rights management where relevant, and ensure that Union funding contributes to achieving these objectives;</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Hannes Heide, Maria Guzenina, Gabriela Firea, Sandro Ruotolo, Marcos Ros Sempere, Joanna Scheuring-Wielgus, Nikos Papandreou,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Stresses that the success of the AI strategy for the CCS should not be measured by the uptake of AI alone; calls for its monitoring to include indicators on creators’ income, investment in human creation, licensing revenues, employment, market concentration, cultural and linguistic diversity and the discoverability of European works;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Calls on the Commission to ensure that the announced AI strategy for the CCS contributes to the continuous and progressive accessibility of cultural and media services for persons with disabilities, including through accessible formats, subtitling, audio description, dubbing and other appropriate accessibility solutions;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Calls on the Commission to assess, in the context of its AI strategy for the CCS, the environmental impact of AI systems used across those sectors, including their energy and resource consumption, and to promote resource-efficient AI practices and appropriate transparency on environmental performance;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3c.</w:t>
            </w:r>
            <w:r>
              <w:tab/>
            </w:r>
            <w:r>
              <w:rPr>
                <w:b/>
                <w:i/>
              </w:rPr>
              <w:t>Recalls that copyright protection should be balanced with the exceptions and limitations provided for in Union law, including those concerning text and data mining, research, education and cultural heritage institutions, and calls on the Commission to ensure that the implementation of the AI-related copyright framework preserves lawful access to cultural content and supports research, education and the preservation and accessibility of cultural heritage;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3d.</w:t>
            </w:r>
            <w:r>
              <w:tab/>
            </w:r>
            <w:r>
              <w:rPr>
                <w:b/>
                <w:i/>
              </w:rPr>
              <w:t>Stresses that currently, linguistic and cultural diversity is treated as a value the EU aspires to rather than an enforceable requirement on AI developers; calls on the Commission to develop a cultural and linguistic diversity criteria for AI systems;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3e.</w:t>
            </w:r>
            <w:r>
              <w:tab/>
            </w:r>
            <w:r>
              <w:rPr>
                <w:b/>
                <w:i/>
              </w:rPr>
              <w:t>Stresses that an exclusive and inalienable right specific to AI-related uses should be introduced, covering any exploitation of protected works and objects for the purposes of training, inference, retrieval-augmented generation, fine-tuning, or other similar uses; Insists that this right must be technologically neutral and adaptable to the evolution of AI technologies, and ensure that any use is subject to prior authorisation by the rights holder, without the latter's refusal in any way resulting in a loss of visibility or access to their content;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Joanna Scheuring-Wielgus, Emma Rafowicz, Marcos Ros Sempere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Subheading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Innovation and </w:t>
            </w:r>
            <w:r>
              <w:rPr>
                <w:b/>
                <w:i/>
              </w:rPr>
              <w:t>artist</w:t>
            </w:r>
            <w:r>
              <w:t xml:space="preserve"> empowerment in the EU</w:t>
            </w:r>
          </w:p>
        </w:tc>
        <w:tc>
          <w:tcPr>
            <w:tcW w:w="4876" w:type="dxa"/>
            <w:tcBorders>
              <w:top w:val="nil"/>
              <w:left w:val="nil"/>
              <w:bottom w:val="nil"/>
              <w:right w:val="nil"/>
            </w:tcBorders>
          </w:tcPr>
          <w:p>
            <w:pPr>
              <w:pStyle w:val="Normal6a"/>
            </w:pPr>
            <w:r>
              <w:t xml:space="preserve">Innovation and empowerment </w:t>
            </w:r>
            <w:r>
              <w:rPr>
                <w:b/>
                <w:i/>
              </w:rPr>
              <w:t>of artists and creators</w:t>
            </w:r>
            <w:r>
              <w:t xml:space="preserve"> in the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Emma Rafowicz, Hannes Heide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Emphasises that AI-driven tools can enhance the discoverability of European cultural and creative content, increase the universal visibility of artists and creators and support more diverse cultural consumption;</w:t>
            </w:r>
          </w:p>
        </w:tc>
        <w:tc>
          <w:tcPr>
            <w:tcW w:w="4876" w:type="dxa"/>
            <w:tcBorders>
              <w:top w:val="nil"/>
              <w:left w:val="nil"/>
              <w:bottom w:val="nil"/>
              <w:right w:val="nil"/>
            </w:tcBorders>
          </w:tcPr>
          <w:p>
            <w:pPr>
              <w:pStyle w:val="Normal6a"/>
            </w:pPr>
            <w:r>
              <w:t>4.</w:t>
            </w:r>
            <w:r>
              <w:tab/>
            </w:r>
            <w:r>
              <w:t xml:space="preserve">Emphasises that AI-driven tools can enhance the discoverability of European cultural and creative content, increase the universal visibility of artists and creators and support more diverse cultural consumption </w:t>
            </w:r>
            <w:r>
              <w:rPr>
                <w:b/>
                <w:i/>
              </w:rPr>
              <w:t>while recognising that such tools may also place European, local and independent works, as well as works in minority languages or targeting niche audiences, at a comparative disadvantage, in particular where they tend to give greater prominence to content that already benefits from significant audience reach or established commercial success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Lara Magoni, Ivaylo Valchev, Marco Squarta, Chiara Gemma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Emphasises that AI-driven tools can enhance the discoverability of European cultural and creative content, increase the universal visibility of artists and creators and support more diverse cultural consumption;</w:t>
            </w:r>
          </w:p>
        </w:tc>
        <w:tc>
          <w:tcPr>
            <w:tcW w:w="4876" w:type="dxa"/>
            <w:tcBorders>
              <w:top w:val="nil"/>
              <w:left w:val="nil"/>
              <w:bottom w:val="nil"/>
              <w:right w:val="nil"/>
            </w:tcBorders>
          </w:tcPr>
          <w:p>
            <w:pPr>
              <w:pStyle w:val="Normal6a"/>
            </w:pPr>
            <w:r>
              <w:t>4.</w:t>
            </w:r>
            <w:r>
              <w:tab/>
            </w:r>
            <w:r>
              <w:t xml:space="preserve">Emphasises that AI-driven tools can enhance the discoverability of European cultural and creative content, increase the universal visibility of artists and creators and support more diverse cultural consumption; </w:t>
            </w:r>
            <w:r>
              <w:rPr>
                <w:b/>
                <w:i/>
              </w:rPr>
              <w:t>notes, however, that the deployment of AI tools increasingly enables designated gatekeepers to retain users within their own ecosystems, with a growing share of online searches resulting in no click-through to third-party websites; calls on the Commission to make full use of the Digital Markets Act to address such practices;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Zsuzsanna Borvendég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Emphasises that AI-driven tools can enhance the discoverability of European cultural and creative</w:t>
            </w:r>
            <w:r>
              <w:t xml:space="preserve"> content</w:t>
            </w:r>
            <w:r>
              <w:rPr>
                <w:b/>
                <w:i/>
              </w:rPr>
              <w:t>, increase the universal</w:t>
            </w:r>
            <w:r>
              <w:t xml:space="preserve"> visibility of artists </w:t>
            </w:r>
            <w:r>
              <w:rPr>
                <w:b/>
                <w:i/>
              </w:rPr>
              <w:t>and</w:t>
            </w:r>
            <w:r>
              <w:t xml:space="preserve"> creators and </w:t>
            </w:r>
            <w:r>
              <w:rPr>
                <w:b/>
                <w:i/>
              </w:rPr>
              <w:t>support more diverse cultural consumption</w:t>
            </w:r>
            <w:r>
              <w:t>;</w:t>
            </w:r>
          </w:p>
        </w:tc>
        <w:tc>
          <w:tcPr>
            <w:tcW w:w="4876" w:type="dxa"/>
            <w:tcBorders>
              <w:top w:val="nil"/>
              <w:left w:val="nil"/>
              <w:bottom w:val="nil"/>
              <w:right w:val="nil"/>
            </w:tcBorders>
          </w:tcPr>
          <w:p>
            <w:pPr>
              <w:pStyle w:val="Normal6a"/>
            </w:pPr>
            <w:r>
              <w:t>4.</w:t>
            </w:r>
            <w:r>
              <w:tab/>
            </w:r>
            <w:r>
              <w:rPr>
                <w:b/>
                <w:i/>
              </w:rPr>
              <w:t>Warns that the proliferation of mass-produced AI-generated</w:t>
            </w:r>
            <w:r>
              <w:t xml:space="preserve"> content </w:t>
            </w:r>
            <w:r>
              <w:rPr>
                <w:b/>
                <w:i/>
              </w:rPr>
              <w:t>on digital platforms may reduce the</w:t>
            </w:r>
            <w:r>
              <w:t xml:space="preserve"> visibility of </w:t>
            </w:r>
            <w:r>
              <w:rPr>
                <w:b/>
                <w:i/>
              </w:rPr>
              <w:t>authentic works created by human</w:t>
            </w:r>
            <w:r>
              <w:t xml:space="preserve"> artists</w:t>
            </w:r>
            <w:r>
              <w:rPr>
                <w:b/>
                <w:i/>
              </w:rPr>
              <w:t>, particularly independent</w:t>
            </w:r>
            <w:r>
              <w:t xml:space="preserve"> creators and </w:t>
            </w:r>
            <w:r>
              <w:rPr>
                <w:b/>
                <w:i/>
              </w:rPr>
              <w:t>artists working in smaller national and regional languages</w:t>
            </w:r>
            <w:r>
              <w:t xml:space="preserve">; </w:t>
            </w:r>
            <w:r>
              <w:rPr>
                <w:b/>
                <w:i/>
              </w:rPr>
              <w:t>stresses that algorithmic recommendation systems must not systematically favour synthetic content over original human creativity;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Hannes Heide, Maria Guzenina, Gabriela Firea, Sandro Ruotolo, Marcos Ros Sempere, Joanna Scheuring-Wielgus, Nikos Papandreou,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Emphasises that AI-driven tools </w:t>
            </w:r>
            <w:r>
              <w:rPr>
                <w:b/>
                <w:i/>
              </w:rPr>
              <w:t>can</w:t>
            </w:r>
            <w:r>
              <w:t xml:space="preserve"> enhance the discoverability of European cultural and creative content, increase the universal visibility of artists and creators and support more diverse cultural consumption;</w:t>
            </w:r>
          </w:p>
        </w:tc>
        <w:tc>
          <w:tcPr>
            <w:tcW w:w="4876" w:type="dxa"/>
            <w:tcBorders>
              <w:top w:val="nil"/>
              <w:left w:val="nil"/>
              <w:bottom w:val="nil"/>
              <w:right w:val="nil"/>
            </w:tcBorders>
          </w:tcPr>
          <w:p>
            <w:pPr>
              <w:pStyle w:val="Normal6a"/>
            </w:pPr>
            <w:r>
              <w:t>4.</w:t>
            </w:r>
            <w:r>
              <w:tab/>
            </w:r>
            <w:r>
              <w:t xml:space="preserve">Emphasises that AI-driven tools </w:t>
            </w:r>
            <w:r>
              <w:rPr>
                <w:b/>
                <w:i/>
              </w:rPr>
              <w:t>should</w:t>
            </w:r>
            <w:r>
              <w:t xml:space="preserve"> enhance the discoverability of European cultural and creative content, increase the universal visibility of artists and creators and support more diverse cultural consumption;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Lara Magoni, Ivaylo Valchev, Marco Squarta, Chiara Gemma, Guillaume Peltier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Notes that recommendation algorithms already favoured the diffusion of certain content and that AI systems, predominantly developed outside the Union and trained largely on non-European data, tend to amplify this effect in favour of mainstream content, to the detriment of European works and national and regional languages;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Zsuzsanna Borvendég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rPr>
                <w:b/>
                <w:i/>
              </w:rPr>
              <w:t>Recognises that AI-enabled</w:t>
            </w:r>
            <w:r>
              <w:t xml:space="preserve"> tools </w:t>
            </w:r>
            <w:r>
              <w:rPr>
                <w:b/>
                <w:i/>
              </w:rPr>
              <w:t>can lower</w:t>
            </w:r>
            <w:r>
              <w:t xml:space="preserve"> barriers </w:t>
            </w:r>
            <w:r>
              <w:rPr>
                <w:b/>
                <w:i/>
              </w:rPr>
              <w:t>to entry, enabling</w:t>
            </w:r>
            <w:r>
              <w:t xml:space="preserve"> independent creators and </w:t>
            </w:r>
            <w:r>
              <w:rPr>
                <w:b/>
                <w:i/>
              </w:rPr>
              <w:t>smaller</w:t>
            </w:r>
            <w:r>
              <w:t xml:space="preserve"> cultural </w:t>
            </w:r>
            <w:r>
              <w:rPr>
                <w:b/>
                <w:i/>
              </w:rPr>
              <w:t>and creative</w:t>
            </w:r>
            <w:r>
              <w:t xml:space="preserve"> enterprises </w:t>
            </w:r>
            <w:r>
              <w:rPr>
                <w:b/>
                <w:i/>
              </w:rPr>
              <w:t>to use capabilities that previously required substantial technical and financial resources, thereby contributing to a greater diversity of European</w:t>
            </w:r>
            <w:r>
              <w:t xml:space="preserve"> cultural </w:t>
            </w:r>
            <w:r>
              <w:rPr>
                <w:b/>
                <w:i/>
              </w:rPr>
              <w:t>content</w:t>
            </w:r>
            <w:r>
              <w:t>;</w:t>
            </w:r>
          </w:p>
        </w:tc>
        <w:tc>
          <w:tcPr>
            <w:tcW w:w="4876" w:type="dxa"/>
            <w:tcBorders>
              <w:top w:val="nil"/>
              <w:left w:val="nil"/>
              <w:bottom w:val="nil"/>
              <w:right w:val="nil"/>
            </w:tcBorders>
          </w:tcPr>
          <w:p>
            <w:pPr>
              <w:pStyle w:val="Normal6a"/>
            </w:pPr>
            <w:r>
              <w:t>5.</w:t>
            </w:r>
            <w:r>
              <w:tab/>
            </w:r>
            <w:r>
              <w:rPr>
                <w:b/>
                <w:i/>
              </w:rPr>
              <w:t>Acknowledges that AI-assisted</w:t>
            </w:r>
            <w:r>
              <w:t xml:space="preserve"> tools </w:t>
            </w:r>
            <w:r>
              <w:rPr>
                <w:b/>
                <w:i/>
              </w:rPr>
              <w:t>may reduce certain technical and financial</w:t>
            </w:r>
            <w:r>
              <w:t xml:space="preserve"> barriers </w:t>
            </w:r>
            <w:r>
              <w:rPr>
                <w:b/>
                <w:i/>
              </w:rPr>
              <w:t>for</w:t>
            </w:r>
            <w:r>
              <w:t xml:space="preserve"> independent creators and </w:t>
            </w:r>
            <w:r>
              <w:rPr>
                <w:b/>
                <w:i/>
              </w:rPr>
              <w:t>small</w:t>
            </w:r>
            <w:r>
              <w:t xml:space="preserve"> cultural enterprises</w:t>
            </w:r>
            <w:r>
              <w:rPr>
                <w:b/>
                <w:i/>
              </w:rPr>
              <w:t>; stresses, however, that the ability to generate content automatically must not be equated with artistic talent, originality or</w:t>
            </w:r>
            <w:r>
              <w:t xml:space="preserve"> cultural </w:t>
            </w:r>
            <w:r>
              <w:rPr>
                <w:b/>
                <w:i/>
              </w:rPr>
              <w:t>value</w:t>
            </w:r>
            <w:r>
              <w:t xml:space="preserve">; </w:t>
            </w:r>
            <w:r>
              <w:rPr>
                <w:b/>
                <w:i/>
              </w:rPr>
              <w:t>warns that the uncontrolled proliferation of synthetic works may undermine the economic sustainability of human creativity and make it more difficult for emerging artists to gain recognition;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Brigitte van den Berg, Nikola Minchev,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Recognises that AI-enabled tools can lower barriers to entry, enabling independent creators and smaller cultural and creative enterprises to use capabilities that previously required substantial technical and financial resources</w:t>
            </w:r>
            <w:r>
              <w:rPr>
                <w:b/>
                <w:i/>
              </w:rPr>
              <w:t>, thereby contributing to a greater diversity of European cultural content</w:t>
            </w:r>
            <w:r>
              <w:t>;</w:t>
            </w:r>
          </w:p>
        </w:tc>
        <w:tc>
          <w:tcPr>
            <w:tcW w:w="4876" w:type="dxa"/>
            <w:tcBorders>
              <w:top w:val="nil"/>
              <w:left w:val="nil"/>
              <w:bottom w:val="nil"/>
              <w:right w:val="nil"/>
            </w:tcBorders>
          </w:tcPr>
          <w:p>
            <w:pPr>
              <w:pStyle w:val="Normal6a"/>
            </w:pPr>
            <w:r>
              <w:t>5.</w:t>
            </w:r>
            <w:r>
              <w:tab/>
            </w:r>
            <w:r>
              <w:t>Recognises that AI-enabled tools can lower barriers to entry, enabling independent creators and smaller cultural and creative enterprises to use capabilities that previously required substantial technical and financial resources;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Stresses, in this regard, the importance of affordable access to such tools and of avoiding excessive dependency on dominant non-European technology providers. calls on the Commission and the Member States to ensure that public funding, including relevant Union funding programmes, also supports the development of, and access to, such technologies, with a view to reducing Europe's external dependencies;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Hannes Heide, Maria Guzenina, Gabriela Firea, Sandro Ruotolo, Marcos Ros Sempere, Joanna Scheuring-Wielgus, Nikos Papandreou,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Calls on the Commission to assess the impact of AI on market concentration and bargaining power in the CCS, in particular the growing influence of large technology companies and platforms, and to ensure that the development of AI does not further reinforce structural imbalances at the expense of creators, independent cultural and creative businesses and cultural diversity;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Hélder Sousa Silva, Sunčana Glavak, Sabine Verheyen, Esteban González Pons, Manuela Ripa, Milan Zver, Giusi Princi, Viktor Weisz, Bogdan Andrzej Zdrojewski, Eleonora Meleti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Recognises that AI presents significant opportunities for greater resource efficiency in the CCS through strengthening governance, rights management and enforcement, including through the use of recognition technologies to tackle IP infringements, fraudulent practices and plagiarism;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Hélder Sousa Silva, Sunčana Glavak, Esteban González Pons, Manuela Ripa, Milan Zver, Giusi Princi, Viktor Weisz, Bogdan Andrzej Zdrojewski, Eleonora Meleti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5b.</w:t>
            </w:r>
            <w:r>
              <w:tab/>
            </w:r>
            <w:r>
              <w:rPr>
                <w:b/>
                <w:i/>
              </w:rPr>
              <w:t>Stresses that Union cultural funding programmes specifically intended to support human creation and employment should require transparent disclosure of material uses of generative AI and a meaningful and identifiable human creative contribution; stresses that this should not exclude responsible AI-assisted projects or legitimate uses of AI in accessibility, research, restoration, preservation and cultural heritage;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Hannes Heide, Maria Guzenina, Gabriela Firea, Sandro Ruotolo, Marcos Ros Sempere, Joanna Scheuring-Wielgus, Nikos Papandreou,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5b.</w:t>
            </w:r>
            <w:r>
              <w:tab/>
            </w:r>
            <w:r>
              <w:rPr>
                <w:b/>
                <w:i/>
              </w:rPr>
              <w:t>Stresses that European competitiveness in AI and a sustainable European creative ecosystem are mutually reinforcing; calls on the Commission to promote the development of European AI services that respect copyright, cultural diversity, fair remuneration and the economic sustainability of the CCS;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Zsuzsanna Borvendég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Calls on the Commission to assess the real impact of AI on the job opportunities and income of authors and performers across the CCS and to evaluate, as part of the upcoming AI strategy for CCS, AI literacy and upskilling needs across these sectors, thus ensuring that AI supports, rather than replaces, human creativity;</w:t>
            </w:r>
          </w:p>
        </w:tc>
        <w:tc>
          <w:tcPr>
            <w:tcW w:w="4876" w:type="dxa"/>
            <w:tcBorders>
              <w:top w:val="nil"/>
              <w:left w:val="nil"/>
              <w:bottom w:val="nil"/>
              <w:right w:val="nil"/>
            </w:tcBorders>
          </w:tcPr>
          <w:p>
            <w:pPr>
              <w:pStyle w:val="Normal6a"/>
            </w:pPr>
            <w:r>
              <w:t>6.</w:t>
            </w:r>
            <w:r>
              <w:tab/>
            </w:r>
            <w:r>
              <w:t xml:space="preserve">Calls on the Commission to assess the real impact of AI on the job opportunities and income of authors and performers across the CCS and to evaluate, as part of the upcoming AI strategy for CCS, AI literacy and upskilling needs across these sectors, thus ensuring that AI supports, rather than replaces, human creativity; </w:t>
            </w:r>
            <w:r>
              <w:rPr>
                <w:b/>
                <w:i/>
              </w:rPr>
              <w:t>Stresses that efficiency gains and cost reductions achieved through AI must not be treated as sufficient justification for replacing human creators, performers, translators, illustrators, musicians or other cultural professionals; calls for particular attention to the long-term consequences of AI-driven substitution for artistic training, employment opportunities and the transmission of creative skills between generations;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Carolina Morace, Mario Furore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Calls on the Commission to assess the real impact of AI on the </w:t>
            </w:r>
            <w:r>
              <w:rPr>
                <w:b/>
                <w:i/>
              </w:rPr>
              <w:t>job</w:t>
            </w:r>
            <w:r>
              <w:t xml:space="preserve"> opportunities </w:t>
            </w:r>
            <w:r>
              <w:rPr>
                <w:b/>
                <w:i/>
              </w:rPr>
              <w:t>and income of authors and performers across the CCS and to evaluate, as part of the upcoming AI strategy for CCS,</w:t>
            </w:r>
            <w:r>
              <w:t xml:space="preserve"> AI literacy and upskilling needs across these sectors, thus ensuring that </w:t>
            </w:r>
            <w:r>
              <w:rPr>
                <w:b/>
                <w:i/>
              </w:rPr>
              <w:t>AI</w:t>
            </w:r>
            <w:r>
              <w:t xml:space="preserve"> supports</w:t>
            </w:r>
            <w:r>
              <w:rPr>
                <w:b/>
                <w:i/>
              </w:rPr>
              <w:t>, rather than replaces,</w:t>
            </w:r>
            <w:r>
              <w:t xml:space="preserve"> human creativity;</w:t>
            </w:r>
          </w:p>
        </w:tc>
        <w:tc>
          <w:tcPr>
            <w:tcW w:w="4876" w:type="dxa"/>
            <w:tcBorders>
              <w:top w:val="nil"/>
              <w:left w:val="nil"/>
              <w:bottom w:val="nil"/>
              <w:right w:val="nil"/>
            </w:tcBorders>
          </w:tcPr>
          <w:p>
            <w:pPr>
              <w:pStyle w:val="Normal6a"/>
            </w:pPr>
            <w:r>
              <w:t>6.</w:t>
            </w:r>
            <w:r>
              <w:tab/>
            </w:r>
            <w:r>
              <w:t xml:space="preserve">Calls on the Commission to assess the real impact of AI on the </w:t>
            </w:r>
            <w:r>
              <w:rPr>
                <w:b/>
                <w:i/>
              </w:rPr>
              <w:t>employment, professional opportunities, working conditions and incomes of authors, performers and other CCS professionals, including the impact of synthetic content replacing protected works and performances in markets and uses that generate remuneration;</w:t>
            </w:r>
            <w:r>
              <w:t xml:space="preserve"> </w:t>
            </w:r>
            <w:r>
              <w:rPr>
                <w:b/>
                <w:i/>
              </w:rPr>
              <w:t>stresses the need to pay particular attention to the downward pressure on remuneration, the replacement of human work and the reduction of</w:t>
            </w:r>
            <w:r>
              <w:t xml:space="preserve"> opportunities </w:t>
            </w:r>
            <w:r>
              <w:rPr>
                <w:b/>
                <w:i/>
              </w:rPr>
              <w:t>to enter the world of work;</w:t>
            </w:r>
            <w:r>
              <w:t xml:space="preserve"> </w:t>
            </w:r>
            <w:r>
              <w:rPr>
                <w:b/>
                <w:i/>
              </w:rPr>
              <w:t>calls, further, on the Commission to assess</w:t>
            </w:r>
            <w:r>
              <w:t xml:space="preserve"> AI literacy and upskilling needs across these sectors, thus ensuring that </w:t>
            </w:r>
            <w:r>
              <w:rPr>
                <w:b/>
                <w:i/>
              </w:rPr>
              <w:t>the adoption of these technologies</w:t>
            </w:r>
            <w:r>
              <w:t xml:space="preserve"> supports </w:t>
            </w:r>
            <w:r>
              <w:rPr>
                <w:b/>
                <w:i/>
              </w:rPr>
              <w:t>and enhances</w:t>
            </w:r>
            <w:r>
              <w:t xml:space="preserve"> human creativity </w:t>
            </w:r>
            <w:r>
              <w:rPr>
                <w:b/>
                <w:i/>
              </w:rPr>
              <w:t>and work rather than replacing them</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Sunčana Glavak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Calls on the Commission to assess the real impact of AI on the job opportunities and income of authors and performers across the CCS and to evaluate, as part of the upcoming AI strategy for CCS, AI literacy and upskilling needs across these sectors, thus ensuring that AI supports, rather than replaces, human creativity;</w:t>
            </w:r>
          </w:p>
        </w:tc>
        <w:tc>
          <w:tcPr>
            <w:tcW w:w="4876" w:type="dxa"/>
            <w:tcBorders>
              <w:top w:val="nil"/>
              <w:left w:val="nil"/>
              <w:bottom w:val="nil"/>
              <w:right w:val="nil"/>
            </w:tcBorders>
          </w:tcPr>
          <w:p>
            <w:pPr>
              <w:pStyle w:val="Normal6a"/>
            </w:pPr>
            <w:r>
              <w:t>6.</w:t>
            </w:r>
            <w:r>
              <w:tab/>
            </w:r>
            <w:r>
              <w:t xml:space="preserve">Calls on the Commission to assess the real impact of AI on the job opportunities and income of authors and performers across the CCS and to evaluate, as part of the upcoming AI strategy for CCS, AI literacy and upskilling needs across these sectors, thus ensuring that AI supports, rather than replaces, human creativity; </w:t>
            </w:r>
            <w:r>
              <w:rPr>
                <w:b/>
                <w:i/>
              </w:rPr>
              <w:t>calls, in particular, for an assessment of the impact of automation on employment opportunities for young people starting out in the cultural and creative sectors and on their career development;</w:t>
            </w:r>
            <w:r>
              <w:t xml:space="preserve"> </w:t>
            </w:r>
            <w:r>
              <w:rPr>
                <w:b/>
                <w:i/>
              </w:rPr>
              <w:t>stresses the need for appropriate AI-related training, skilling and upskilling opportunities so that young people can avail of the new professional opportunities brought by the technological transformation;</w:t>
            </w:r>
          </w:p>
        </w:tc>
      </w:tr>
    </w:tbl>
    <w:p>
      <w:pPr>
        <w:pStyle w:val="AmOrLang"/>
      </w:pPr>
      <w:r>
        <w:t xml:space="preserve">Or. </w:t>
      </w:r>
      <w:r>
        <w:rPr>
          <w:rStyle w:val="HideTWBExt"/>
        </w:rPr>
        <w:t>&lt;Original&gt;</w:t>
      </w:r>
      <w:r>
        <w:rPr>
          <w:rStyle w:val="HideTWBInt"/>
        </w:rPr>
        <w:t>{HR}</w:t>
      </w:r>
      <w:r>
        <w:t>hr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Esteban González Pons, 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Calls on the Commission to assess the real impact of AI on the job opportunities and income of authors and performers across the CCS and to evaluate, as part of the upcoming AI strategy for CCS, AI literacy and upskilling needs across these sectors, thus ensuring that AI supports, rather than replaces, human creativity;</w:t>
            </w:r>
          </w:p>
        </w:tc>
        <w:tc>
          <w:tcPr>
            <w:tcW w:w="4876" w:type="dxa"/>
            <w:tcBorders>
              <w:top w:val="nil"/>
              <w:left w:val="nil"/>
              <w:bottom w:val="nil"/>
              <w:right w:val="nil"/>
            </w:tcBorders>
          </w:tcPr>
          <w:p>
            <w:pPr>
              <w:pStyle w:val="Normal6a"/>
            </w:pPr>
            <w:r>
              <w:t>6.</w:t>
            </w:r>
            <w:r>
              <w:tab/>
            </w:r>
            <w:r>
              <w:t xml:space="preserve">Calls on the Commission to assess the real impact of AI on the job opportunities and income of authors and performers across the CCS and to evaluate, as part of the upcoming AI strategy for CCS, AI literacy and upskilling needs across these sectors, thus ensuring that AI supports, rather than replaces, human creativity </w:t>
            </w:r>
            <w:r>
              <w:rPr>
                <w:b/>
                <w:i/>
              </w:rPr>
              <w:t>and calls for the development of targeted AI literacy programmes for creators and cultural professionals, going beyond the general obligations set out in Article 4 of the AI Act, to address the specific skills needed to understand, use and critically evaluate AI tools, including their risks, limitations and wider implications in creative contexts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Hannes Heide, Maria Guzenina, Gabriela Firea, Sandro Ruotolo, Marcos Ros Sempere, Joanna Scheuring-Wielgus, Nikos Papandreou,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Calls on the Commission to assess the real impact of AI on the job opportunities and income of authors and performers across the CCS and to </w:t>
            </w:r>
            <w:r>
              <w:rPr>
                <w:b/>
                <w:i/>
              </w:rPr>
              <w:t>evaluate</w:t>
            </w:r>
            <w:r>
              <w:t>, as part of the upcoming AI strategy for CCS</w:t>
            </w:r>
            <w:r>
              <w:rPr>
                <w:b/>
                <w:i/>
              </w:rPr>
              <w:t>, AI literacy and upskilling needs across these sectors, thus ensuring</w:t>
            </w:r>
            <w:r>
              <w:t xml:space="preserve"> that AI supports, rather than replaces, human creativity;</w:t>
            </w:r>
          </w:p>
        </w:tc>
        <w:tc>
          <w:tcPr>
            <w:tcW w:w="4876" w:type="dxa"/>
            <w:tcBorders>
              <w:top w:val="nil"/>
              <w:left w:val="nil"/>
              <w:bottom w:val="nil"/>
              <w:right w:val="nil"/>
            </w:tcBorders>
          </w:tcPr>
          <w:p>
            <w:pPr>
              <w:pStyle w:val="Normal6a"/>
            </w:pPr>
            <w:r>
              <w:t>6.</w:t>
            </w:r>
            <w:r>
              <w:tab/>
            </w:r>
            <w:r>
              <w:t xml:space="preserve">Calls on the Commission to assess the real impact of AI on the job opportunities and income of authors and performers </w:t>
            </w:r>
            <w:r>
              <w:rPr>
                <w:b/>
                <w:i/>
              </w:rPr>
              <w:t>and other professionals</w:t>
            </w:r>
            <w:r>
              <w:t xml:space="preserve"> across the CCS</w:t>
            </w:r>
            <w:r>
              <w:rPr>
                <w:b/>
                <w:i/>
              </w:rPr>
              <w:t>, including the impact of synthetic content substituting for protected works and performances in markets and uses that generate remuneration for authors and performers,</w:t>
            </w:r>
            <w:r>
              <w:t xml:space="preserve"> and to </w:t>
            </w:r>
            <w:r>
              <w:rPr>
                <w:b/>
                <w:i/>
              </w:rPr>
              <w:t>put in place measures</w:t>
            </w:r>
            <w:r>
              <w:t xml:space="preserve">, </w:t>
            </w:r>
            <w:r>
              <w:rPr>
                <w:b/>
                <w:i/>
              </w:rPr>
              <w:t>including</w:t>
            </w:r>
            <w:r>
              <w:t xml:space="preserve"> as part of the upcoming AI strategy for </w:t>
            </w:r>
            <w:r>
              <w:rPr>
                <w:b/>
                <w:i/>
              </w:rPr>
              <w:t>the</w:t>
            </w:r>
            <w:r>
              <w:t xml:space="preserve"> CCS </w:t>
            </w:r>
            <w:r>
              <w:rPr>
                <w:b/>
                <w:i/>
              </w:rPr>
              <w:t>and relevant legislative reviews and proposals, to ensure</w:t>
            </w:r>
            <w:r>
              <w:t xml:space="preserve"> that AI supports, rather than replaces, human creativity </w:t>
            </w:r>
            <w:r>
              <w:rPr>
                <w:b/>
                <w:i/>
              </w:rPr>
              <w:t>and to address AI literacy and upskilling needs across these sectors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Eleonora Meleti, 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Calls on the Commission to assess the real impact of AI on the job opportunities and income of authors and performers across the CCS and to evaluate, as part of the upcoming AI strategy for CCS, AI literacy and upskilling needs across these sectors, thus ensuring that AI supports, rather than replaces, human creativity;</w:t>
            </w:r>
          </w:p>
        </w:tc>
        <w:tc>
          <w:tcPr>
            <w:tcW w:w="4876" w:type="dxa"/>
            <w:tcBorders>
              <w:top w:val="nil"/>
              <w:left w:val="nil"/>
              <w:bottom w:val="nil"/>
              <w:right w:val="nil"/>
            </w:tcBorders>
          </w:tcPr>
          <w:p>
            <w:pPr>
              <w:pStyle w:val="Normal6a"/>
            </w:pPr>
            <w:r>
              <w:t>6.</w:t>
            </w:r>
            <w:r>
              <w:tab/>
            </w:r>
            <w:r>
              <w:t>Calls on the Commission to assess the real impact of AI</w:t>
            </w:r>
            <w:r>
              <w:rPr>
                <w:b/>
                <w:i/>
              </w:rPr>
              <w:t>, including its substitution effects,</w:t>
            </w:r>
            <w:r>
              <w:t xml:space="preserve"> on the job opportunities and income of authors and performers across the CCS </w:t>
            </w:r>
            <w:r>
              <w:rPr>
                <w:b/>
                <w:i/>
              </w:rPr>
              <w:t>and to address it effectively,</w:t>
            </w:r>
            <w:r>
              <w:t xml:space="preserve"> and to evaluate, as part of the upcoming AI strategy for CCS, AI literacy and upskilling needs across these sectors, </w:t>
            </w:r>
            <w:r>
              <w:rPr>
                <w:b/>
                <w:i/>
              </w:rPr>
              <w:t>as well as the measures needed to ensure that creators receive fair remuneration where their works are used by GenAI systems,</w:t>
            </w:r>
            <w:r>
              <w:t xml:space="preserve"> thus ensuring that AI supports, rather than replaces, human creativity;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Bogdan Andrzej Zdrojewski, Sabine Verheyen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Calls on the Commission to </w:t>
            </w:r>
            <w:r>
              <w:rPr>
                <w:b/>
                <w:i/>
              </w:rPr>
              <w:t>assess the real</w:t>
            </w:r>
            <w:r>
              <w:t xml:space="preserve"> impact of AI on the job opportunities and income of authors and performers across the CCS and to </w:t>
            </w:r>
            <w:r>
              <w:rPr>
                <w:b/>
                <w:i/>
              </w:rPr>
              <w:t>evaluate, as part of</w:t>
            </w:r>
            <w:r>
              <w:t xml:space="preserve"> the upcoming AI strategy for CCS, </w:t>
            </w:r>
            <w:r>
              <w:rPr>
                <w:b/>
                <w:i/>
              </w:rPr>
              <w:t>AI literacy and upskilling needs across these sectors</w:t>
            </w:r>
            <w:r>
              <w:t>, thus ensuring that AI supports, rather than replaces, human creativity;</w:t>
            </w:r>
          </w:p>
        </w:tc>
        <w:tc>
          <w:tcPr>
            <w:tcW w:w="4876" w:type="dxa"/>
            <w:tcBorders>
              <w:top w:val="nil"/>
              <w:left w:val="nil"/>
              <w:bottom w:val="nil"/>
              <w:right w:val="nil"/>
            </w:tcBorders>
          </w:tcPr>
          <w:p>
            <w:pPr>
              <w:pStyle w:val="Normal6a"/>
            </w:pPr>
            <w:r>
              <w:t>6.</w:t>
            </w:r>
            <w:r>
              <w:tab/>
            </w:r>
            <w:r>
              <w:t xml:space="preserve">Calls on the Commission to </w:t>
            </w:r>
            <w:r>
              <w:rPr>
                <w:b/>
                <w:i/>
              </w:rPr>
              <w:t>propose effective measures addressing the substitution</w:t>
            </w:r>
            <w:r>
              <w:t xml:space="preserve"> impact of AI </w:t>
            </w:r>
            <w:r>
              <w:rPr>
                <w:b/>
                <w:i/>
              </w:rPr>
              <w:t>generated content that unfairly competes with creative works</w:t>
            </w:r>
            <w:r>
              <w:t xml:space="preserve"> on the job opportunities and income of authors and performers across the CCS</w:t>
            </w:r>
            <w:r>
              <w:rPr>
                <w:b/>
                <w:i/>
              </w:rPr>
              <w:t>,</w:t>
            </w:r>
            <w:r>
              <w:t xml:space="preserve"> and to </w:t>
            </w:r>
            <w:r>
              <w:rPr>
                <w:b/>
                <w:i/>
              </w:rPr>
              <w:t>ensure, in addition to</w:t>
            </w:r>
            <w:r>
              <w:t xml:space="preserve"> the upcoming AI strategy for CCS, </w:t>
            </w:r>
            <w:r>
              <w:rPr>
                <w:b/>
                <w:i/>
              </w:rPr>
              <w:t>that EU level mechanisms requiring fair remuneration of creators from the use of AI-generated content are developed</w:t>
            </w:r>
            <w:r>
              <w:t>, thus ensuring that AI supports, rather than replaces, human creativity;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Hélder Sousa Silva, Sunčana Glavak, Sabine Verheyen, Esteban González Pons, Manuela Ripa, Milan Zver, Giusi Princi, Viktor Weisz, Bogdan Andrzej Zdrojewski, Eleonora Meleti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Calls on the Commission to assess the real impact of AI on the job opportunities and income of authors and performers across the CCS and to evaluate, as part of the upcoming AI strategy for CCS, AI literacy and upskilling needs across these sectors, thus ensuring that AI supports, rather than replaces, human creativity;</w:t>
            </w:r>
          </w:p>
        </w:tc>
        <w:tc>
          <w:tcPr>
            <w:tcW w:w="4876" w:type="dxa"/>
            <w:tcBorders>
              <w:top w:val="nil"/>
              <w:left w:val="nil"/>
              <w:bottom w:val="nil"/>
              <w:right w:val="nil"/>
            </w:tcBorders>
          </w:tcPr>
          <w:p>
            <w:pPr>
              <w:pStyle w:val="Normal6a"/>
            </w:pPr>
            <w:r>
              <w:t>6.</w:t>
            </w:r>
            <w:r>
              <w:tab/>
            </w:r>
            <w:r>
              <w:t xml:space="preserve">Calls on the Commission to assess the real impact of AI on the job opportunities and income of authors and performers across the CCS and to evaluate, as part of the upcoming AI strategy for CCS, AI literacy and upskilling needs across these sectors, thus ensuring that AI supports, rather than replaces, human creativity; </w:t>
            </w:r>
            <w:r>
              <w:rPr>
                <w:b/>
                <w:i/>
              </w:rPr>
              <w:t>stresses that AI literacy should also develop the capacity to understand critically how AI affects cultural creation, authorship and access to culture;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Lara Magoni, Ivaylo Valchev, Marco Squarta, Chiara Gemma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Calls on the Commission to </w:t>
            </w:r>
            <w:r>
              <w:rPr>
                <w:b/>
                <w:i/>
              </w:rPr>
              <w:t>assess the real impact of AI on the job opportunities and income of authors and performers across the CCS and to evaluate, as part of the upcoming AI strategy for CCS, AI literacy and upskilling needs across these</w:t>
            </w:r>
            <w:r>
              <w:t xml:space="preserve"> sectors, </w:t>
            </w:r>
            <w:r>
              <w:rPr>
                <w:b/>
                <w:i/>
              </w:rPr>
              <w:t>thus ensuring that AI</w:t>
            </w:r>
            <w:r>
              <w:t xml:space="preserve"> supports</w:t>
            </w:r>
            <w:r>
              <w:rPr>
                <w:b/>
                <w:i/>
              </w:rPr>
              <w:t>, rather than replaces,</w:t>
            </w:r>
            <w:r>
              <w:t xml:space="preserve"> human creativity;</w:t>
            </w:r>
          </w:p>
        </w:tc>
        <w:tc>
          <w:tcPr>
            <w:tcW w:w="4876" w:type="dxa"/>
            <w:tcBorders>
              <w:top w:val="nil"/>
              <w:left w:val="nil"/>
              <w:bottom w:val="nil"/>
              <w:right w:val="nil"/>
            </w:tcBorders>
          </w:tcPr>
          <w:p>
            <w:pPr>
              <w:pStyle w:val="Normal6a"/>
            </w:pPr>
            <w:r>
              <w:t>6.</w:t>
            </w:r>
            <w:r>
              <w:tab/>
            </w:r>
            <w:r>
              <w:t xml:space="preserve">Calls on the Commission to </w:t>
            </w:r>
            <w:r>
              <w:rPr>
                <w:b/>
                <w:i/>
              </w:rPr>
              <w:t>to ensure that EU funding for the cultural and creative</w:t>
            </w:r>
            <w:r>
              <w:t xml:space="preserve"> sectors, </w:t>
            </w:r>
            <w:r>
              <w:rPr>
                <w:b/>
                <w:i/>
              </w:rPr>
              <w:t>including under the future AgoraEU programme,</w:t>
            </w:r>
            <w:r>
              <w:t xml:space="preserve"> supports </w:t>
            </w:r>
            <w:r>
              <w:rPr>
                <w:b/>
                <w:i/>
              </w:rPr>
              <w:t>works and projects based on a meaningful and identifiable human creative contribution, in line with the principle that AI must support and not replace</w:t>
            </w:r>
            <w:r>
              <w:t xml:space="preserve"> human creativity; </w:t>
            </w:r>
            <w:r>
              <w:rPr>
                <w:b/>
                <w:i/>
              </w:rPr>
              <w:t>encourages the Member States to consider similar criteria in their national funding schemes;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Catherine Griset, Annamária Vicsek, Antonín Staněk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Calls on the Commission to assess the real impact of AI on the job opportunities and income of authors and performers across the CCS and to evaluate</w:t>
            </w:r>
            <w:r>
              <w:rPr>
                <w:b/>
                <w:i/>
              </w:rPr>
              <w:t>, as part of the upcoming AI strategy for CCS,</w:t>
            </w:r>
            <w:r>
              <w:t xml:space="preserve"> AI literacy and upskilling needs across these sectors, thus ensuring that AI supports, rather than replaces, human creativity;</w:t>
            </w:r>
          </w:p>
        </w:tc>
        <w:tc>
          <w:tcPr>
            <w:tcW w:w="4876" w:type="dxa"/>
            <w:tcBorders>
              <w:top w:val="nil"/>
              <w:left w:val="nil"/>
              <w:bottom w:val="nil"/>
              <w:right w:val="nil"/>
            </w:tcBorders>
          </w:tcPr>
          <w:p>
            <w:pPr>
              <w:pStyle w:val="Normal6a"/>
            </w:pPr>
            <w:r>
              <w:t>6.</w:t>
            </w:r>
            <w:r>
              <w:tab/>
            </w:r>
            <w:r>
              <w:t>Calls on the Commission to assess the real impact of AI on the job opportunities and income of authors and performers across the CCS and to evaluate AI literacy and upskilling needs across these sectors, thus ensuring that AI supports, rather than replaces, human creativity;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Brigitte van den Berg, Laurence Farreng,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Calls on the Commission to </w:t>
            </w:r>
            <w:r>
              <w:rPr>
                <w:b/>
                <w:i/>
              </w:rPr>
              <w:t>assess the real</w:t>
            </w:r>
            <w:r>
              <w:t xml:space="preserve"> impact of AI on the job opportunities and income of authors and performers across the CCS and to evaluate, as part of the upcoming AI strategy for CCS, AI literacy and upskilling needs across these sectors, thus ensuring that AI supports, rather than replaces, human creativity;</w:t>
            </w:r>
          </w:p>
        </w:tc>
        <w:tc>
          <w:tcPr>
            <w:tcW w:w="4876" w:type="dxa"/>
            <w:tcBorders>
              <w:top w:val="nil"/>
              <w:left w:val="nil"/>
              <w:bottom w:val="nil"/>
              <w:right w:val="nil"/>
            </w:tcBorders>
          </w:tcPr>
          <w:p>
            <w:pPr>
              <w:pStyle w:val="Normal6a"/>
            </w:pPr>
            <w:r>
              <w:t>6.</w:t>
            </w:r>
            <w:r>
              <w:tab/>
            </w:r>
            <w:r>
              <w:t xml:space="preserve">Calls on the Commission to </w:t>
            </w:r>
            <w:r>
              <w:rPr>
                <w:b/>
                <w:i/>
              </w:rPr>
              <w:t>propose measures to counter the</w:t>
            </w:r>
            <w:r>
              <w:t xml:space="preserve"> impact of AI on the job opportunities and income of authors and performers across the CCS and to evaluate, as part of the upcoming AI strategy for CCS, AI literacy and upskilling needs across these sectors, thus ensuring that AI supports, rather than replaces, human creativity;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Emma Rafowicz, Hannes Heide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Calls on the Commission to assess the real impact of AI on the job opportunities and income of authors and performers across the CCS and to evaluate, as part of the upcoming AI strategy for CCS, AI literacy and upskilling needs across these sectors, thus ensuring that AI supports, rather than replaces, human creativity;</w:t>
            </w:r>
          </w:p>
        </w:tc>
        <w:tc>
          <w:tcPr>
            <w:tcW w:w="4876" w:type="dxa"/>
            <w:tcBorders>
              <w:top w:val="nil"/>
              <w:left w:val="nil"/>
              <w:bottom w:val="nil"/>
              <w:right w:val="nil"/>
            </w:tcBorders>
          </w:tcPr>
          <w:p>
            <w:pPr>
              <w:pStyle w:val="Normal6a"/>
            </w:pPr>
            <w:r>
              <w:t>6.</w:t>
            </w:r>
            <w:r>
              <w:tab/>
            </w:r>
            <w:r>
              <w:t>Calls on the Commission to assess the real impact of AI on the job opportunities and income of authors</w:t>
            </w:r>
            <w:r>
              <w:rPr>
                <w:b/>
                <w:i/>
              </w:rPr>
              <w:t>, producers</w:t>
            </w:r>
            <w:r>
              <w:t xml:space="preserve"> and performers across the CCS and to evaluate, as part of the upcoming AI strategy for CCS, AI literacy and upskilling needs across these sectors, thus ensuring that AI supports, rather than replaces, human creativity;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Hannes Heide, Maria Guzenina, Gabriela Firea, Sandro Ruotolo, Marcos Ros Sempere, Joanna Scheuring-Wielgus, Nikos Papandreou,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Calls on the Commission and the Member States to strengthen EU investment in AI literacy, sector-specific training and access to AI tools across the cultural and creative sectors, in cooperation with professional organisations, educational institutions and social partners; calls for existing and future Union programmes, including Erasmus+, Horizon Europe and AgoraEU, to support cooperation between cultural and creative actors, technology developers, education and research, as well as the development and testing of AI tools responding to the specific needs of cultural organisations, including audience engagement and accessibility; stresses that creators and cultural professionals should be actively involved in the development of such technologies and not merely their end users;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Brigitte van den Berg,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Calls on the Commission and the Member States to support paid entry-level opportunities, traineeships and mentoring in the cultural and creative sectors, particularly where AI automation risks weakening pathways into the professions; encourages relevant funding programmes and publicly supported cultural projects to provide practical learning opportunities for emerging professionals, including freelancers and self-employed creators, with fair remuneration, clear learning objectives and adequate supervision, and to recognise mentoring costs as eligible where appropriate;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Hélder Sousa Silva, Sunčana Glavak, Sabine Verheyen, Esteban González Pons, Manuela Ripa, Giusi Princi, Viktor Weisz, Bogdan Andrzej Zdrojewski, Eleonora Meleti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Recognises that AI can serve as a tool for experimentation in the visual arts, while acknowledging sector-specific challenges relating to substitution effects, remuneration and market access, particularly in fields such as illustration and photography; calls on the Commission to assess these impacts and consider targeted support measures for visual artists;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Lara Magoni, Ivaylo Valchev, Marco Squarta, Chiara Gemma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Calls on the Commission and the Member States to make public funding for the cultural and creative sectors, including under the future AgoraEU programme, conditional on the principle that AI must support and not replace human creativity, on the basis of a meaningful and identifiable human creative contribution;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Recognises the wide professional diversity of people working in the different fields of the cultural and creative industries (CCS); calls on the Member States to promote the integration of AI skills teaching into the curricula of all vocational training and degree programmes in the arts and creative sector;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Catherine Griset, Annamária Vicsek, Antonín Staněk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Regrets that the Commission has done nothing to foster the development of European AI companies that could contribute to our economic development while ensuring a fair income for creators and artists;</w:t>
            </w:r>
            <w:r>
              <w:t xml:space="preserve"> </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Hannes Heide, Maria Guzenina, Gabriela Firea, Sandro Ruotolo, Marcos Ros Sempere, Joanna Scheuring-Wielgus, Nikos Papandreou,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Calls for EU support to foster cooperation between the cultural and creative sectors and European AI developers; stresses that publicly funded AI projects using protected cultural content must fully respect applicable copyright and transparency requirements and that public funding for the cultural and creative sectors should prioritise human creation and support the use of AI as a tool to enhance, rather than replace, human creativity;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Lara Magoni, Ivaylo Valchev, Marco Squarta, Chiara Gemma, Guillaume Peltier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Stresses the role of schools, universities and families in fostering the critical, conscious and creative use of AI; encourages Member States, while respecting their competences in education, to promote AI literacy and critical thinking in curricula and teacher training, while preserving the central role of the educational relationship and human creativity;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Brigitte van den Berg, Laurence Farreng,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Calls for sector-specific dialogue with social partners and organisations representing creators and freelancers on AI’s impact on working conditions, contractual conditions, remuneration and career progression; stresses that early-career professionals should help identify training needs and assess changes to professional entry pathways;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Hannes Heide, Maria Guzenina, Gabriela Firea, Sandro Ruotolo, Marcos Ros Sempere, Joanna Scheuring-Wielgus,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6c.</w:t>
            </w:r>
            <w:r>
              <w:tab/>
            </w:r>
            <w:r>
              <w:rPr>
                <w:b/>
                <w:i/>
              </w:rPr>
              <w:t>Calls on the Commission to foster a competitive European market for AI-driven innovation in the cultural and creative sectors by creating favourable conditions for private investment, cross-border cooperation and the development and scaling-up of innovative business models, while ensuring legal certainty and full respect for applicable Union law;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Brigitte van den Berg, Nikola Minchev,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Subheading 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Calls on the Commission and the Member States to strengthen sector-specific skilling, upskilling and reskilling opportunities on AI for creative professionals and creators, including training on the practical and responsible use of AI tools and awareness of their rights; including copyright and licensing, contractual safeguards, data protection and the critical assessment of AI outputs; stresses that AI literacy should complement the development of core artistic and professional expertise; reiterates that such opportunities should be accessible to freelancers, self-employed workers and professionals in SMEs, and calls for full use of the possibilities offered, within their respective objectives and eligibility rules of the future programmes AgoraEU, the European Competitiveness Fund, the European Social Fund+ and Erasmus+, as well as for stronger synergies between these programmes;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Stresses that transparency, respect for exclusive rights, contractual freedom</w:t>
            </w:r>
            <w:r>
              <w:rPr>
                <w:b/>
                <w:i/>
              </w:rPr>
              <w:t>, informed and voluntary licensing</w:t>
            </w:r>
            <w:r>
              <w:t xml:space="preserve">, clear liability rules and the effective enforcement of existing legislation are essential to enable rights holders to authorise or prohibit the use of </w:t>
            </w:r>
            <w:r>
              <w:rPr>
                <w:b/>
                <w:i/>
              </w:rPr>
              <w:t>their</w:t>
            </w:r>
            <w:r>
              <w:t xml:space="preserve"> works and provide the necessary flexibility to foster a sustainable and innovative creative economy;</w:t>
            </w:r>
          </w:p>
        </w:tc>
        <w:tc>
          <w:tcPr>
            <w:tcW w:w="4876" w:type="dxa"/>
            <w:tcBorders>
              <w:top w:val="nil"/>
              <w:left w:val="nil"/>
              <w:bottom w:val="nil"/>
              <w:right w:val="nil"/>
            </w:tcBorders>
          </w:tcPr>
          <w:p>
            <w:pPr>
              <w:pStyle w:val="Normal6a"/>
            </w:pPr>
            <w:r>
              <w:t>7.</w:t>
            </w:r>
            <w:r>
              <w:tab/>
            </w:r>
            <w:r>
              <w:t xml:space="preserve">Stresses that transparency, respect for exclusive rights </w:t>
            </w:r>
            <w:r>
              <w:rPr>
                <w:b/>
                <w:i/>
              </w:rPr>
              <w:t>when sourcing material</w:t>
            </w:r>
            <w:r>
              <w:t xml:space="preserve">, contractual freedom </w:t>
            </w:r>
            <w:r>
              <w:rPr>
                <w:b/>
                <w:i/>
              </w:rPr>
              <w:t>accompanied by adequate protections</w:t>
            </w:r>
            <w:r>
              <w:t xml:space="preserve">, clear liability rules and the effective enforcement of existing legislation are essential to enable rights holders to authorise or prohibit the </w:t>
            </w:r>
            <w:r>
              <w:rPr>
                <w:b/>
                <w:i/>
              </w:rPr>
              <w:t>illegitimate</w:t>
            </w:r>
            <w:r>
              <w:t xml:space="preserve"> use of </w:t>
            </w:r>
            <w:r>
              <w:rPr>
                <w:b/>
                <w:i/>
              </w:rPr>
              <w:t>protected</w:t>
            </w:r>
            <w:r>
              <w:t xml:space="preserve"> works </w:t>
            </w:r>
            <w:r>
              <w:rPr>
                <w:b/>
                <w:i/>
              </w:rPr>
              <w:t>and performances, in accordance with the scope and conditions of the rights granted by authors and performers,</w:t>
            </w:r>
            <w:r>
              <w:t> and provide the necessary flexibility to foster a sustainable and innovative creative economy;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Carolina Morace, Mario Furore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Stresses that transparency, respect for exclusive rights, </w:t>
            </w:r>
            <w:r>
              <w:rPr>
                <w:b/>
                <w:i/>
              </w:rPr>
              <w:t>contractual freedom,</w:t>
            </w:r>
            <w:r>
              <w:t xml:space="preserve"> informed and voluntary </w:t>
            </w:r>
            <w:r>
              <w:rPr>
                <w:b/>
                <w:i/>
              </w:rPr>
              <w:t>licensing</w:t>
            </w:r>
            <w:r>
              <w:t xml:space="preserve">, clear liability rules and the effective enforcement of existing legislation are essential to enable rights holders to authorise or prohibit the use of their works and </w:t>
            </w:r>
            <w:r>
              <w:rPr>
                <w:b/>
                <w:i/>
              </w:rPr>
              <w:t>provide the necessary flexibility</w:t>
            </w:r>
            <w:r>
              <w:t xml:space="preserve"> to foster a sustainable and innovative creative economy;</w:t>
            </w:r>
          </w:p>
        </w:tc>
        <w:tc>
          <w:tcPr>
            <w:tcW w:w="4876" w:type="dxa"/>
            <w:tcBorders>
              <w:top w:val="nil"/>
              <w:left w:val="nil"/>
              <w:bottom w:val="nil"/>
              <w:right w:val="nil"/>
            </w:tcBorders>
          </w:tcPr>
          <w:p>
            <w:pPr>
              <w:pStyle w:val="Normal6a"/>
            </w:pPr>
            <w:r>
              <w:t>7.</w:t>
            </w:r>
            <w:r>
              <w:tab/>
            </w:r>
            <w:r>
              <w:t xml:space="preserve">Stresses that transparency, respect for exclusive rights, informed and voluntary </w:t>
            </w:r>
            <w:r>
              <w:rPr>
                <w:b/>
                <w:i/>
              </w:rPr>
              <w:t>authorisation, fair and transparent contractual conditions, collective rights management, where relevant</w:t>
            </w:r>
            <w:r>
              <w:t xml:space="preserve">, clear liability rules and the effective enforcement of existing legislation are essential to enable rights holders to authorise or prohibit the use of their works and </w:t>
            </w:r>
            <w:r>
              <w:rPr>
                <w:b/>
                <w:i/>
              </w:rPr>
              <w:t>performances and</w:t>
            </w:r>
            <w:r>
              <w:t xml:space="preserve"> to foster a sustainable and innovative creative economy; </w:t>
            </w:r>
            <w:r>
              <w:rPr>
                <w:b/>
                <w:i/>
              </w:rPr>
              <w:t>stresses that bargaining power imbalances must not result in authors and performers being required to make extensive, undefined or disproportionate transfers of their rights for AI training or other AI-driven uses;</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Lara Magoni, Ivaylo Valchev, Marco Squarta, Chiara Gemma, Guillaume Peltier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Stresses that transparency, respect for exclusive rights, contractual freedom, informed and voluntary licensing, clear liability rules and the effective enforcement of existing legislation are essential to enable rights holders to authorise or prohibit the use of their works and provide the necessary flexibility to foster a sustainable and innovative creative economy;</w:t>
            </w:r>
          </w:p>
        </w:tc>
        <w:tc>
          <w:tcPr>
            <w:tcW w:w="4876" w:type="dxa"/>
            <w:tcBorders>
              <w:top w:val="nil"/>
              <w:left w:val="nil"/>
              <w:bottom w:val="nil"/>
              <w:right w:val="nil"/>
            </w:tcBorders>
          </w:tcPr>
          <w:p>
            <w:pPr>
              <w:pStyle w:val="Normal6a"/>
            </w:pPr>
            <w:r>
              <w:t>7.</w:t>
            </w:r>
            <w:r>
              <w:tab/>
            </w:r>
            <w:r>
              <w:t xml:space="preserve">Stresses that transparency, respect for exclusive rights, contractual freedom, informed and voluntary licensing, clear liability rules and the effective enforcement of existing legislation are essential to enable rights holders to authorise or prohibit the use of their works and provide the necessary flexibility to foster a sustainable and innovative creative economy; </w:t>
            </w:r>
            <w:r>
              <w:rPr>
                <w:b/>
                <w:i/>
              </w:rPr>
              <w:t>stresses that licensing arrangements should remain flexible and adaptable to different sectors, types of works and business models, allowing rights holders and AI providers to negotiate voluntary, transparent and mutually agreed licensing conditions;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Hannes Heide, Maria Guzenina, Gabriela Firea, Sandro Ruotolo, Marcos Ros Sempere, Joanna Scheuring-Wielgus,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Stresses that transparency, respect for exclusive rights, contractual freedom, informed and voluntary licensing, clear liability rules and the effective enforcement of existing legislation are essential to enable rights holders to authorise or prohibit the use of </w:t>
            </w:r>
            <w:r>
              <w:rPr>
                <w:b/>
                <w:i/>
              </w:rPr>
              <w:t>their</w:t>
            </w:r>
            <w:r>
              <w:t xml:space="preserve"> works and provide the necessary flexibility to foster a sustainable and innovative creative economy;</w:t>
            </w:r>
          </w:p>
        </w:tc>
        <w:tc>
          <w:tcPr>
            <w:tcW w:w="4876" w:type="dxa"/>
            <w:tcBorders>
              <w:top w:val="nil"/>
              <w:left w:val="nil"/>
              <w:bottom w:val="nil"/>
              <w:right w:val="nil"/>
            </w:tcBorders>
          </w:tcPr>
          <w:p>
            <w:pPr>
              <w:pStyle w:val="Normal6a"/>
            </w:pPr>
            <w:r>
              <w:t>7.</w:t>
            </w:r>
            <w:r>
              <w:tab/>
            </w:r>
            <w:r>
              <w:t xml:space="preserve">Stresses that transparency, respect for exclusive </w:t>
            </w:r>
            <w:r>
              <w:rPr>
                <w:b/>
                <w:i/>
              </w:rPr>
              <w:t>and moral</w:t>
            </w:r>
            <w:r>
              <w:t xml:space="preserve"> rights, contractual freedom</w:t>
            </w:r>
            <w:r>
              <w:rPr>
                <w:b/>
                <w:i/>
              </w:rPr>
              <w:t>, fair contractual conditions and fair remuneration</w:t>
            </w:r>
            <w:r>
              <w:t>, informed and voluntary licensing</w:t>
            </w:r>
            <w:r>
              <w:rPr>
                <w:b/>
                <w:i/>
              </w:rPr>
              <w:t>, collective management</w:t>
            </w:r>
            <w:r>
              <w:t xml:space="preserve">, clear liability rules and the effective enforcement of existing legislation are essential to enable rights holders to authorise or prohibit the use of </w:t>
            </w:r>
            <w:r>
              <w:rPr>
                <w:b/>
                <w:i/>
              </w:rPr>
              <w:t>protected</w:t>
            </w:r>
            <w:r>
              <w:t xml:space="preserve"> works </w:t>
            </w:r>
            <w:r>
              <w:rPr>
                <w:b/>
                <w:i/>
              </w:rPr>
              <w:t>and performances, in accordance with the scope and conditions of the rights granted by authors and performers,</w:t>
            </w:r>
            <w:r>
              <w:t xml:space="preserve"> and provide the necessary flexibility to foster a sustainable and innovative creative economy;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Brigitte van den Berg, Nikola Minchev, Laurence Farreng,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Stresses that transparency, respect for exclusive rights, contractual freedom, informed and voluntary licensing, clear liability rules and the effective enforcement of existing legislation are essential to enable rights holders to authorise or prohibit the use of their works and </w:t>
            </w:r>
            <w:r>
              <w:rPr>
                <w:b/>
                <w:i/>
              </w:rPr>
              <w:t>provide the necessary flexibility to foster a sustainable and innovative creative economy</w:t>
            </w:r>
            <w:r>
              <w:t>;</w:t>
            </w:r>
          </w:p>
        </w:tc>
        <w:tc>
          <w:tcPr>
            <w:tcW w:w="4876" w:type="dxa"/>
            <w:tcBorders>
              <w:top w:val="nil"/>
              <w:left w:val="nil"/>
              <w:bottom w:val="nil"/>
              <w:right w:val="nil"/>
            </w:tcBorders>
          </w:tcPr>
          <w:p>
            <w:pPr>
              <w:pStyle w:val="Normal6a"/>
            </w:pPr>
            <w:r>
              <w:t>7.</w:t>
            </w:r>
            <w:r>
              <w:tab/>
            </w:r>
            <w:r>
              <w:t xml:space="preserve">Stresses that transparency, respect for exclusive rights, contractual freedom, informed and voluntary licensing, clear liability rules and the effective enforcement of existing legislation are essential to enable rights holders to authorise or prohibit the use of their works and </w:t>
            </w:r>
            <w:r>
              <w:rPr>
                <w:b/>
                <w:i/>
              </w:rPr>
              <w:t>to receive appropriate renumerations; urges the Commission and the Member States to enforce existing rules swiftly and consistently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Lara Magoni, Ivaylo Valchev, Marco Squarta, Chiara Gemma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Is concerned that rights over works and performances for AI use are often obtained through buy-out clauses, standard contractual terms or legal presumptions of transfer, leaving authors and performers without genuine bargaining power or control; stresses that the scope and purpose of granted rights must be determined by the contract and applicable contract law and not extended beyond them; recalls the principle of appropriate and proportionate remuneration and the transparency and contract adjustment obligations laid down in Articles 18 to 20 of Directive (EU) 2019/790, which must be fully applied to uses for AI; underlines the role of collective bargaining, social partners and collective management organisations in safeguarding their rights;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Carolina Morace, Mario Furore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Calls on the Commission and the Member States to ensure that Articles 18 to 23 of Directive (EU) 2019/790 are also effectively applied to AI-related exploitations, where applicable, so that authors and performers benefit from the safeguards provided by those provisions, including the principle of appropriate and proportionate remuneration for the exploitation of their works and performances;</w:t>
            </w:r>
            <w:r>
              <w:t xml:space="preserve"> </w:t>
            </w:r>
            <w:r>
              <w:rPr>
                <w:b/>
                <w:i/>
              </w:rPr>
              <w:t>stresses that those safeguards must also be effective when rights are granted or transferred to producers, publishers or other intermediaries;</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Bogdan Andrzej Zdrojewski, Sabine Verheyen, 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Recalls the Parliament resolution of 10 March 2026 on ‘copyright and GenAI – opportunities and challenges’ that strongly asked targeted additional legislation when it comes to GenAI market and notes that, in particular, for authors and composers, collective management of rights is essential to guarantee their appropriate remuneration across the GenAI value chain and to ensure sustainability of cultural diversity by providing equal access to market for all European creators;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Brigitte van den Berg, Laurence Farreng,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Calls on the Commission to closely monitor the development of AI and the impact of AI on the earning potentional of creators and rights holders, specifically with regards to renumeration and propose new measures or legislation where a specific cultural sectors or industries require further protection;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Hannes Heide, Maria Guzenina, Gabriela Firea, Sandro Ruotolo, Marcos Ros Sempere, Joanna Scheuring-Wielgus, Nikos Papandreou,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Stresses that copyright-protected works and performances used for AI training must not be treated merely as data or raw material and that their use must fully respect the rights of authors, performers and other rights holders under Union law;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Laurence Farreng, 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Calls for the full, consistent and effective implementation and enforcement of the AI Act’s transparency obligations for AI-generated and manipulated content, taking due account of the related Code of Practice on Transparency of AI-Generated Content; calls on the Commission not to limit its response to the application of the existing horizontal legal framework, but to take further action at EU level to address the specific challenges arising from the use of AI in the CCS; considers that such action should complement the existing EU framework through targeted, sector-specific measures that safeguard human creativity, ensure meaningful transparency and accountability throughout the AI value chain, protect the diversity and visibility of European cultural and creative works, and preserve the conditions necessary for sustainable creative careers and a diverse European cultural ecosystem;</w:t>
            </w:r>
          </w:p>
        </w:tc>
        <w:tc>
          <w:tcPr>
            <w:tcW w:w="4876" w:type="dxa"/>
            <w:tcBorders>
              <w:top w:val="nil"/>
              <w:left w:val="nil"/>
              <w:bottom w:val="nil"/>
              <w:right w:val="nil"/>
            </w:tcBorders>
          </w:tcPr>
          <w:p>
            <w:pPr>
              <w:pStyle w:val="Normal6a"/>
            </w:pPr>
            <w:r>
              <w:t>8.</w:t>
            </w:r>
            <w:r>
              <w:tab/>
            </w:r>
            <w:r>
              <w:t xml:space="preserve">Calls for the full, consistent and effective implementation and enforcement of the AI Act’s transparency obligations for AI-generated and manipulated content, taking due account of the related Code of Practice on Transparency of AI-Generated Content; calls on the Commission not to limit its response to the application of the existing horizontal legal framework, but to take further action at EU level to address the specific challenges arising from the use of AI in the CCS; considers that such </w:t>
            </w:r>
            <w:r>
              <w:rPr>
                <w:b/>
                <w:i/>
              </w:rPr>
              <w:t>legislative</w:t>
            </w:r>
            <w:r>
              <w:t xml:space="preserve"> action should complement the existing EU framework through targeted, sector-specific measures that safeguard human creativity, ensure meaningful transparency and accountability throughout the AI value chain, protect the diversity and visibility of European cultural and creative works, and preserve the conditions necessary for sustainable creative careers and a diverse European cultural ecosystem; </w:t>
            </w:r>
            <w:r>
              <w:rPr>
                <w:b/>
                <w:i/>
              </w:rPr>
              <w:t>stresses that Union law must apply effectively to all AI models and systems placed on the Union market, regardless of where their training took place, in order to ensure fair remuneration for European creators and to prevent non-EU providers from gaining an unfair competitive advantage;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Lara Magoni, Ivaylo Valchev, Marco Squarta, Chiara Gemma, Guillaume Peltier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Calls for the full, consistent and effective implementation and enforcement of the AI Act’s transparency obligations for AI-generated and manipulated content, taking due account of the related Code of Practice on Transparency of AI-Generated Content; calls on the Commission </w:t>
            </w:r>
            <w:r>
              <w:rPr>
                <w:b/>
                <w:i/>
              </w:rPr>
              <w:t>not to limit its response to the application</w:t>
            </w:r>
            <w:r>
              <w:t xml:space="preserve"> of the existing horizontal legal framework</w:t>
            </w:r>
            <w:r>
              <w:rPr>
                <w:b/>
                <w:i/>
              </w:rPr>
              <w:t>, but to take further action at EU level</w:t>
            </w:r>
            <w:r>
              <w:t xml:space="preserve"> to address the specific challenges arising from the use of AI in the CCS; considers that </w:t>
            </w:r>
            <w:r>
              <w:rPr>
                <w:b/>
                <w:i/>
              </w:rPr>
              <w:t>such</w:t>
            </w:r>
            <w:r>
              <w:t xml:space="preserve"> action should </w:t>
            </w:r>
            <w:r>
              <w:rPr>
                <w:b/>
                <w:i/>
              </w:rPr>
              <w:t>complement the existing EU framework through</w:t>
            </w:r>
            <w:r>
              <w:t xml:space="preserve"> targeted, sector-specific measures that safeguard human creativity, ensure meaningful transparency and accountability throughout the AI value chain, protect the diversity and visibility of European cultural and creative works, and preserve the conditions necessary for sustainable creative careers and a diverse European cultural ecosystem;</w:t>
            </w:r>
          </w:p>
        </w:tc>
        <w:tc>
          <w:tcPr>
            <w:tcW w:w="4876" w:type="dxa"/>
            <w:tcBorders>
              <w:top w:val="nil"/>
              <w:left w:val="nil"/>
              <w:bottom w:val="nil"/>
              <w:right w:val="nil"/>
            </w:tcBorders>
          </w:tcPr>
          <w:p>
            <w:pPr>
              <w:pStyle w:val="Normal6a"/>
            </w:pPr>
            <w:r>
              <w:t>8.</w:t>
            </w:r>
            <w:r>
              <w:tab/>
            </w:r>
            <w:r>
              <w:t xml:space="preserve">Calls for the full, consistent and effective implementation and enforcement of the AI Act’s transparency obligations for AI-generated and manipulated content, taking due account of the related Code of Practice on Transparency of AI-Generated Content; calls on the Commission </w:t>
            </w:r>
            <w:r>
              <w:rPr>
                <w:b/>
                <w:i/>
              </w:rPr>
              <w:t>to ensure the full and effective enforcement</w:t>
            </w:r>
            <w:r>
              <w:t xml:space="preserve"> of the existing horizontal legal framework to address the specific challenges arising from the use of AI in the CCS; </w:t>
            </w:r>
            <w:r>
              <w:rPr>
                <w:b/>
                <w:i/>
              </w:rPr>
              <w:t>calls on the Commission, in the review of Directive (EU) 2019/790 provided for in Article 30 thereof, to assess whether the text and data mining exception in Article 4 of that Directive is adequate for the training of generative AI and, if not, to consider an authorisation-based (opt-in) model;</w:t>
            </w:r>
            <w:r>
              <w:t xml:space="preserve"> considers that </w:t>
            </w:r>
            <w:r>
              <w:rPr>
                <w:b/>
                <w:i/>
              </w:rPr>
              <w:t>any further</w:t>
            </w:r>
            <w:r>
              <w:t xml:space="preserve"> action should </w:t>
            </w:r>
            <w:r>
              <w:rPr>
                <w:b/>
                <w:i/>
              </w:rPr>
              <w:t>take the form of</w:t>
            </w:r>
            <w:r>
              <w:t xml:space="preserve"> targeted, sector-specific measures that safeguard human creativity, ensure meaningful transparency and accountability throughout the AI value chain, protect the diversity and visibility of European cultural and creative works, and preserve the conditions necessary for sustainable creative careers and a diverse European cultural ecosystem;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Calls for the full, consistent and effective implementation and enforcement of the AI Act’s transparency obligations for AI-generated and manipulated content, taking due account of the related Code of Practice on Transparency of AI-Generated Content; calls on the Commission not to limit its response to the application of the existing horizontal legal framework, but to take further action at EU level to address the specific challenges arising from the use of AI in the CCS; considers that such action should complement the existing EU framework through targeted, sector-specific measures that safeguard human creativity, ensure meaningful transparency and accountability throughout the AI value chain, protect the diversity and visibility of European cultural and creative works, and preserve the conditions necessary for sustainable creative careers and a diverse European cultural ecosystem;</w:t>
            </w:r>
          </w:p>
        </w:tc>
        <w:tc>
          <w:tcPr>
            <w:tcW w:w="4876" w:type="dxa"/>
            <w:tcBorders>
              <w:top w:val="nil"/>
              <w:left w:val="nil"/>
              <w:bottom w:val="nil"/>
              <w:right w:val="nil"/>
            </w:tcBorders>
          </w:tcPr>
          <w:p>
            <w:pPr>
              <w:pStyle w:val="Normal6a"/>
            </w:pPr>
            <w:r>
              <w:t>8.</w:t>
            </w:r>
            <w:r>
              <w:tab/>
            </w:r>
            <w:r>
              <w:t>Calls for the full, consistent and effective implementation and enforcement of the AI Act’s transparency obligations for AI-generated and manipulated content, taking due account of the related Code of Practice on Transparency of AI-Generated Content; calls on the Commission not to limit its response to the application of the existing horizontal legal framework, but to take further action at EU level to address the specific challenges arising from the use of AI in the CCS; considers that such action should complement the existing EU framework through targeted, sector-specific measures that safeguard human creativity, ensure meaningful transparency and accountability throughout the AI value chain, protect the diversity and visibility of European cultural and creative works, and preserve the conditions necessary for sustainable creative careers and a diverse European cultural ecosystem;</w:t>
            </w:r>
            <w:r>
              <w:rPr>
                <w:b/>
                <w:i/>
              </w:rPr>
              <w:t> recognises that such sector-specific measures can allow the achievement of relevant policy goals more effectively than cross-cutting laws;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Catherine Griset, Annamária Vicsek, Antonín Staněk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Calls for the full, consistent and effective implementation and enforcement of the AI Act’s transparency obligations for AI-generated and manipulated content, taking due account of the related Code of Practice on Transparency of AI-Generated Content; calls on the Commission not to </w:t>
            </w:r>
            <w:r>
              <w:rPr>
                <w:b/>
                <w:i/>
              </w:rPr>
              <w:t>limit its response to the application of the existing horizontal legal framework</w:t>
            </w:r>
            <w:r>
              <w:t xml:space="preserve">, but to </w:t>
            </w:r>
            <w:r>
              <w:rPr>
                <w:b/>
                <w:i/>
              </w:rPr>
              <w:t>take further action at EU level</w:t>
            </w:r>
            <w:r>
              <w:t xml:space="preserve"> to address the specific challenges arising from the use of AI in the CCS; considers that </w:t>
            </w:r>
            <w:r>
              <w:rPr>
                <w:b/>
                <w:i/>
              </w:rPr>
              <w:t>such action should complement the existing EU framework through</w:t>
            </w:r>
            <w:r>
              <w:t xml:space="preserve"> targeted, sector-specific </w:t>
            </w:r>
            <w:r>
              <w:rPr>
                <w:b/>
                <w:i/>
              </w:rPr>
              <w:t>measures that</w:t>
            </w:r>
            <w:r>
              <w:t xml:space="preserve"> safeguard human creativity, ensure meaningful transparency and accountability throughout the AI value chain, protect the diversity and visibility of European cultural and creative works, and preserve the conditions necessary for sustainable creative careers and a diverse European cultural ecosystem;</w:t>
            </w:r>
          </w:p>
        </w:tc>
        <w:tc>
          <w:tcPr>
            <w:tcW w:w="4876" w:type="dxa"/>
            <w:tcBorders>
              <w:top w:val="nil"/>
              <w:left w:val="nil"/>
              <w:bottom w:val="nil"/>
              <w:right w:val="nil"/>
            </w:tcBorders>
          </w:tcPr>
          <w:p>
            <w:pPr>
              <w:pStyle w:val="Normal6a"/>
            </w:pPr>
            <w:r>
              <w:t>8.</w:t>
            </w:r>
            <w:r>
              <w:tab/>
            </w:r>
            <w:r>
              <w:t xml:space="preserve">Calls for the full, consistent and effective implementation and enforcement of the AI Act’s transparency obligations for AI-generated and manipulated content, taking due account of the related Code of Practice on Transparency of AI-Generated Content; calls on the Commission not to </w:t>
            </w:r>
            <w:r>
              <w:rPr>
                <w:b/>
                <w:i/>
              </w:rPr>
              <w:t>introduce any additional legislation, which could lead to an increase in duplication, control authorities, red tape and regulatory conflicts</w:t>
            </w:r>
            <w:r>
              <w:t xml:space="preserve">, but to </w:t>
            </w:r>
            <w:r>
              <w:rPr>
                <w:b/>
                <w:i/>
              </w:rPr>
              <w:t>facilitate sector-specific negotiations</w:t>
            </w:r>
            <w:r>
              <w:t xml:space="preserve"> to address the specific challenges arising from the use of AI in the CCS;</w:t>
            </w:r>
            <w:r>
              <w:rPr>
                <w:b/>
                <w:i/>
              </w:rPr>
              <w:t xml:space="preserve"> </w:t>
            </w:r>
            <w:r>
              <w:t xml:space="preserve"> considers that targeted, sector-specific </w:t>
            </w:r>
            <w:r>
              <w:rPr>
                <w:b/>
                <w:i/>
              </w:rPr>
              <w:t>negotiations could</w:t>
            </w:r>
            <w:r>
              <w:t xml:space="preserve"> safeguard human creativity, ensure meaningful transparency and accountability throughout the AI value chain, protect the diversity and visibility of European cultural and creative works, and preserve the conditions necessary for sustainable creative careers and a diverse European cultural ecosystem;</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Hannes Heide, Maria Guzenina, Gabriela Firea, Sandro Ruotolo, Marcos Ros Sempere, Joanna Scheuring-Wielgus,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Calls for the full, consistent and effective implementation and enforcement of the AI Act’s transparency obligations for AI-generated and manipulated content, taking due account of the related Code of Practice on Transparency of AI-Generated Content; calls on the Commission not to limit its response to the application of the existing horizontal legal framework, but to take further action at EU level to address the specific challenges arising from the use of AI in the CCS; considers that such action should complement the existing EU framework through targeted, sector-specific measures that safeguard human creativity, ensure meaningful transparency and accountability throughout the AI value chain, protect the diversity and visibility of European cultural and creative works, and preserve the conditions necessary for sustainable creative careers and a diverse European cultural ecosystem;</w:t>
            </w:r>
          </w:p>
        </w:tc>
        <w:tc>
          <w:tcPr>
            <w:tcW w:w="4876" w:type="dxa"/>
            <w:tcBorders>
              <w:top w:val="nil"/>
              <w:left w:val="nil"/>
              <w:bottom w:val="nil"/>
              <w:right w:val="nil"/>
            </w:tcBorders>
          </w:tcPr>
          <w:p>
            <w:pPr>
              <w:pStyle w:val="Normal6a"/>
            </w:pPr>
            <w:r>
              <w:t>8.</w:t>
            </w:r>
            <w:r>
              <w:tab/>
            </w:r>
            <w:r>
              <w:t xml:space="preserve">Calls for the full, consistent and effective implementation and enforcement of the AI Act’s transparency obligations for AI-generated and manipulated content, taking due account of the related Code of Practice on Transparency of AI-Generated Content; calls on the Commission not to limit its response to the application of the existing horizontal legal framework, but to take further </w:t>
            </w:r>
            <w:r>
              <w:rPr>
                <w:b/>
                <w:i/>
              </w:rPr>
              <w:t>legislative</w:t>
            </w:r>
            <w:r>
              <w:t xml:space="preserve"> action at EU level to address the specific challenges arising from the use of AI in the CCS; considers that such action should complement the existing EU framework through targeted, </w:t>
            </w:r>
            <w:r>
              <w:rPr>
                <w:b/>
                <w:i/>
              </w:rPr>
              <w:t>including</w:t>
            </w:r>
            <w:r>
              <w:t xml:space="preserve"> sector-specific measures that safeguard human creativity, ensure meaningful transparency and accountability throughout the AI value chain, protect the diversity and visibility of European cultural and creative works, and preserve the conditions necessary for sustainable creative careers and a diverse European cultural ecosystem;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Stresses that any additional measures should address clearly identified gaps in protection or enforcement and be accompanied by an assessment of their effectiveness, technical feasibility and impact on fundamental rights, cultural diversity and innovation; calls for a clear allocation of responsibilities according to the role and capacity of each actor in the value chain, and for common guidance and accessible compliance tools, particularly for individual creators, microenterprises and SMEs;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Calls on the Commission to assess the impact of the increasing concentration of AI development, computing infrastructure, data resources and distribution channels on the bargaining power of creators, cultural and creative enterprises and other rights holders, and to ensure that competition, copyright and digital regulation are effectively enforced so as to prevent undue dependencies and preserve fair and contestable cultural markets;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Hannes Heide, Maria Guzenina, Gabriela Firea, Sandro Ruotolo, Marcos Ros Sempere, Joanna Scheuring-Wielgus, Nikos Papandreou,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Calls on the Commission to assess and propose the introduction of a rebuttable presumption of use of protected works and performances for AI training where rights holders provide sufficient indications of such use and the AI provider fails to provide adequate transparency, in order to enable the effective enforcement of rights;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Hannes Heide, Maria Guzenina, Gabriela Firea, Sandro Ruotolo, Marcos Ros Sempere, Joanna Scheuring-Wielgus, Nikos Papandreou,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Stresses that AI models and systems developed outside the Union but placed on or made available in the Union market must fully comply with the applicable EU copyright framework; stresses that the development or training of an AI model in a third country must not be used to circumvent rights and obligations applicable in the Union; calls on the Commission to ensure effective and consistent enforcement in this regard;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Stresses that Union laws protecting authors’ and performers rights and cultural diversity must apply to all GenAI services that offer or make their services available in the Union, irrespective of the place where they are trained or developed;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8c.</w:t>
            </w:r>
            <w:r>
              <w:tab/>
            </w:r>
            <w:r>
              <w:rPr>
                <w:b/>
                <w:i/>
              </w:rPr>
              <w:t>Calls on the Commission to strengthen the position of creators and cultural and creative sector professionals in relation to the use of their works by generative AI systems, including by establishing appropriate mechanisms to ensure that, where providers do not comply fully with transparency requirements, the use of copyright-protected works for the development and operation of such systems can be presumed; stresses that such mechanisms should facilitate the exercise of rights, ensure fair remuneration and contribute to a sustainable and diverse European cultural and creative ecosystem;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Sunčana Glavak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Acknowledges that algorithmic recommendation systems have an increasing influence on visibility, which may create challenges, including, but not limited to, the suppression of emerging, independent or minority-language creators and the opaque prioritisation of certain works; calls on the Commission to ensure the effective enforcement of existing obligations and evaluate the need for further measures to safeguard discoverability and exposure to European works;</w:t>
            </w:r>
          </w:p>
        </w:tc>
        <w:tc>
          <w:tcPr>
            <w:tcW w:w="4876" w:type="dxa"/>
            <w:tcBorders>
              <w:top w:val="nil"/>
              <w:left w:val="nil"/>
              <w:bottom w:val="nil"/>
              <w:right w:val="nil"/>
            </w:tcBorders>
          </w:tcPr>
          <w:p>
            <w:pPr>
              <w:pStyle w:val="Normal6a"/>
            </w:pPr>
            <w:r>
              <w:t>9.</w:t>
            </w:r>
            <w:r>
              <w:tab/>
            </w:r>
            <w:r>
              <w:t xml:space="preserve">Acknowledges that algorithmic recommendation systems have an increasing influence on visibility, which may create challenges, including, but not limited to, the suppression of emerging, independent or minority-language creators and the opaque prioritisation of certain works; calls on the Commission to ensure the effective enforcement of existing obligations and evaluate the need for further measures to safeguard discoverability and exposure to European works; </w:t>
            </w:r>
            <w:r>
              <w:rPr>
                <w:b/>
                <w:i/>
              </w:rPr>
              <w:t>stresses that the algorithmic recommendation systems behind the distribution of cultural and creative content to minors should be designed and applied in an age-appropriate manner and must neither exploit their vulnerabilities nor favour increased engagement to the detriment of their well-being.</w:t>
            </w:r>
          </w:p>
        </w:tc>
      </w:tr>
    </w:tbl>
    <w:p>
      <w:pPr>
        <w:pStyle w:val="AmOrLang"/>
      </w:pPr>
      <w:r>
        <w:t xml:space="preserve">Or. </w:t>
      </w:r>
      <w:r>
        <w:rPr>
          <w:rStyle w:val="HideTWBExt"/>
        </w:rPr>
        <w:t>&lt;Original&gt;</w:t>
      </w:r>
      <w:r>
        <w:rPr>
          <w:rStyle w:val="HideTWBInt"/>
        </w:rPr>
        <w:t>{HR}</w:t>
      </w:r>
      <w:r>
        <w:t>hr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Carolina Morace, Mario Furore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Acknowledges that </w:t>
            </w:r>
            <w:r>
              <w:rPr>
                <w:b/>
                <w:i/>
              </w:rPr>
              <w:t>algorithmic</w:t>
            </w:r>
            <w:r>
              <w:t xml:space="preserve"> recommendation systems have an increasing influence on visibility</w:t>
            </w:r>
            <w:r>
              <w:rPr>
                <w:b/>
                <w:i/>
              </w:rPr>
              <w:t>, which may create challenges, including, but not limited to, the suppression of emerging</w:t>
            </w:r>
            <w:r>
              <w:t xml:space="preserve">, independent </w:t>
            </w:r>
            <w:r>
              <w:rPr>
                <w:b/>
                <w:i/>
              </w:rPr>
              <w:t>or minority-language creators and the opaque prioritisation of certain</w:t>
            </w:r>
            <w:r>
              <w:t xml:space="preserve"> works; calls on the Commission to ensure the effective enforcement of existing obligations and evaluate the need for further measures to </w:t>
            </w:r>
            <w:r>
              <w:rPr>
                <w:b/>
                <w:i/>
              </w:rPr>
              <w:t>safeguard</w:t>
            </w:r>
            <w:r>
              <w:t xml:space="preserve"> discoverability </w:t>
            </w:r>
            <w:r>
              <w:rPr>
                <w:b/>
                <w:i/>
              </w:rPr>
              <w:t>and exposure to</w:t>
            </w:r>
            <w:r>
              <w:t xml:space="preserve"> European works;</w:t>
            </w:r>
          </w:p>
        </w:tc>
        <w:tc>
          <w:tcPr>
            <w:tcW w:w="4876" w:type="dxa"/>
            <w:tcBorders>
              <w:top w:val="nil"/>
              <w:left w:val="nil"/>
              <w:bottom w:val="nil"/>
              <w:right w:val="nil"/>
            </w:tcBorders>
          </w:tcPr>
          <w:p>
            <w:pPr>
              <w:pStyle w:val="Normal6a"/>
            </w:pPr>
            <w:r>
              <w:t>9.</w:t>
            </w:r>
            <w:r>
              <w:tab/>
            </w:r>
            <w:r>
              <w:t xml:space="preserve">Acknowledges that </w:t>
            </w:r>
            <w:r>
              <w:rPr>
                <w:b/>
                <w:i/>
              </w:rPr>
              <w:t>AI-driven</w:t>
            </w:r>
            <w:r>
              <w:t xml:space="preserve"> recommendation</w:t>
            </w:r>
            <w:r>
              <w:rPr>
                <w:b/>
                <w:i/>
              </w:rPr>
              <w:t>, search and response</w:t>
            </w:r>
            <w:r>
              <w:t xml:space="preserve"> systems have an increasing influence on </w:t>
            </w:r>
            <w:r>
              <w:rPr>
                <w:b/>
                <w:i/>
              </w:rPr>
              <w:t>the</w:t>
            </w:r>
            <w:r>
              <w:t xml:space="preserve"> visibility </w:t>
            </w:r>
            <w:r>
              <w:rPr>
                <w:b/>
                <w:i/>
              </w:rPr>
              <w:t>and discoverability of cultural and creative content and are playing an increasingly important role as intermediaries between audiences and works;</w:t>
            </w:r>
            <w:r>
              <w:t xml:space="preserve"> </w:t>
            </w:r>
            <w:r>
              <w:rPr>
                <w:b/>
                <w:i/>
              </w:rPr>
              <w:t>is concerned about the risk of such systems systematically favouring already popular or commercially dominant content, disadvantaging European, local</w:t>
            </w:r>
            <w:r>
              <w:t>, independent</w:t>
            </w:r>
            <w:r>
              <w:rPr>
                <w:b/>
                <w:i/>
              </w:rPr>
              <w:t>, and emerging works, or</w:t>
            </w:r>
            <w:r>
              <w:t xml:space="preserve"> works </w:t>
            </w:r>
            <w:r>
              <w:rPr>
                <w:b/>
                <w:i/>
              </w:rPr>
              <w:t>in minority languages</w:t>
            </w:r>
            <w:r>
              <w:t>; calls on the Commission to ensure the effective enforcement of existing obligations</w:t>
            </w:r>
            <w:r>
              <w:rPr>
                <w:b/>
                <w:i/>
              </w:rPr>
              <w:t>, assess the impact of these systems on cultural diversity, discoverability and competition,</w:t>
            </w:r>
            <w:r>
              <w:t xml:space="preserve"> and evaluate the need for further measures to </w:t>
            </w:r>
            <w:r>
              <w:rPr>
                <w:b/>
                <w:i/>
              </w:rPr>
              <w:t>ensure transparency, pluralism and the effective</w:t>
            </w:r>
            <w:r>
              <w:t xml:space="preserve"> discoverability </w:t>
            </w:r>
            <w:r>
              <w:rPr>
                <w:b/>
                <w:i/>
              </w:rPr>
              <w:t>of</w:t>
            </w:r>
            <w:r>
              <w:t xml:space="preserve"> European works;</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rPr>
                <w:b/>
                <w:i/>
              </w:rPr>
              <w:t>Acknowledges that</w:t>
            </w:r>
            <w:r>
              <w:t xml:space="preserve"> algorithmic recommendation systems </w:t>
            </w:r>
            <w:r>
              <w:rPr>
                <w:b/>
                <w:i/>
              </w:rPr>
              <w:t>have an increasing influence on visibility, which may</w:t>
            </w:r>
            <w:r>
              <w:t xml:space="preserve"> create challenges, including, but not limited to, the suppression of emerging, independent or minority-language creators and the opaque prioritisation of certain works; calls on the Commission to ensure the effective enforcement of existing obligations and </w:t>
            </w:r>
            <w:r>
              <w:rPr>
                <w:b/>
                <w:i/>
              </w:rPr>
              <w:t>evaluate the need for further</w:t>
            </w:r>
            <w:r>
              <w:t xml:space="preserve"> measures </w:t>
            </w:r>
            <w:r>
              <w:rPr>
                <w:b/>
                <w:i/>
              </w:rPr>
              <w:t>to safeguard discoverability and exposure to European works</w:t>
            </w:r>
            <w:r>
              <w:t>;</w:t>
            </w:r>
          </w:p>
        </w:tc>
        <w:tc>
          <w:tcPr>
            <w:tcW w:w="4876" w:type="dxa"/>
            <w:tcBorders>
              <w:top w:val="nil"/>
              <w:left w:val="nil"/>
              <w:bottom w:val="nil"/>
              <w:right w:val="nil"/>
            </w:tcBorders>
          </w:tcPr>
          <w:p>
            <w:pPr>
              <w:pStyle w:val="Normal6a"/>
            </w:pPr>
            <w:r>
              <w:t>9.</w:t>
            </w:r>
            <w:r>
              <w:tab/>
            </w:r>
            <w:r>
              <w:rPr>
                <w:b/>
                <w:i/>
              </w:rPr>
              <w:t>Cautions against the reliance on</w:t>
            </w:r>
            <w:r>
              <w:t xml:space="preserve"> algorithmic recommendation systems </w:t>
            </w:r>
            <w:r>
              <w:rPr>
                <w:b/>
                <w:i/>
              </w:rPr>
              <w:t>for distribution and discoverability of content as algorithmic recommendation systems</w:t>
            </w:r>
            <w:r>
              <w:t xml:space="preserve"> create challenges, including, but not limited to, the suppression of emerging, independent or minority-language creators and the opaque prioritisation of certain works; calls on the Commission to ensure the effective enforcement of existing obligations and </w:t>
            </w:r>
            <w:r>
              <w:rPr>
                <w:b/>
                <w:i/>
              </w:rPr>
              <w:t>propose appropriate</w:t>
            </w:r>
            <w:r>
              <w:t xml:space="preserve"> measures </w:t>
            </w:r>
            <w:r>
              <w:rPr>
                <w:b/>
                <w:i/>
              </w:rPr>
              <w:t>in, amongst others, the AVMSD to ensure visibility for smaller, independent or less commercially established creators and to maintain human editorial oversight over algorithmic recommendations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Hannes Heide, Maria Guzenina, Gabriela Firea, Sandro Ruotolo, Marcos Ros Sempere, Joanna Scheuring-Wielgus, Nikos Papandreou,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Acknowledges that algorithmic recommendation systems have an increasing influence on visibility, which may create challenges, including, but not limited to, the suppression of emerging, independent or minority-language creators and the opaque prioritisation of certain works; calls on the Commission to ensure the effective enforcement of existing obligations and evaluate the need for further measures to safeguard discoverability and exposure to European works;</w:t>
            </w:r>
          </w:p>
        </w:tc>
        <w:tc>
          <w:tcPr>
            <w:tcW w:w="4876" w:type="dxa"/>
            <w:tcBorders>
              <w:top w:val="nil"/>
              <w:left w:val="nil"/>
              <w:bottom w:val="nil"/>
              <w:right w:val="nil"/>
            </w:tcBorders>
          </w:tcPr>
          <w:p>
            <w:pPr>
              <w:pStyle w:val="Normal6a"/>
            </w:pPr>
            <w:r>
              <w:t>9.</w:t>
            </w:r>
            <w:r>
              <w:tab/>
            </w:r>
            <w:r>
              <w:t xml:space="preserve">Acknowledges that algorithmic recommendation systems </w:t>
            </w:r>
            <w:r>
              <w:rPr>
                <w:b/>
                <w:i/>
              </w:rPr>
              <w:t>and the increasing use of agentic AI in the dissemination, discoverability and access to creative and cultural works</w:t>
            </w:r>
            <w:r>
              <w:t xml:space="preserve"> have an increasing influence on visibility, which may create challenges, including, but not limited to, the suppression of emerging, independent or minority-language creators and the opaque prioritisation of certain works; calls on the Commission to ensure the effective enforcement of existing obligations and evaluate the need for further </w:t>
            </w:r>
            <w:r>
              <w:rPr>
                <w:b/>
                <w:i/>
              </w:rPr>
              <w:t>legislative</w:t>
            </w:r>
            <w:r>
              <w:t xml:space="preserve"> measures to safeguard discoverability and exposure to European works;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Catherine Griset, Annamária Vicsek, Antonín Staněk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Acknowledges that algorithmic recommendation systems have an increasing influence on visibility, which may create challenges, including, but not limited to, the suppression of emerging, independent or minority-language creators and the opaque prioritisation of certain works; calls on the </w:t>
            </w:r>
            <w:r>
              <w:rPr>
                <w:b/>
                <w:i/>
              </w:rPr>
              <w:t>Commission</w:t>
            </w:r>
            <w:r>
              <w:t xml:space="preserve"> to ensure the effective enforcement of existing obligations </w:t>
            </w:r>
            <w:r>
              <w:rPr>
                <w:b/>
                <w:i/>
              </w:rPr>
              <w:t>and evaluate the need for further measures</w:t>
            </w:r>
            <w:r>
              <w:t xml:space="preserve"> to safeguard discoverability and exposure to European works;</w:t>
            </w:r>
          </w:p>
        </w:tc>
        <w:tc>
          <w:tcPr>
            <w:tcW w:w="4876" w:type="dxa"/>
            <w:tcBorders>
              <w:top w:val="nil"/>
              <w:left w:val="nil"/>
              <w:bottom w:val="nil"/>
              <w:right w:val="nil"/>
            </w:tcBorders>
          </w:tcPr>
          <w:p>
            <w:pPr>
              <w:pStyle w:val="Normal6a"/>
            </w:pPr>
            <w:r>
              <w:t>9.</w:t>
            </w:r>
            <w:r>
              <w:tab/>
            </w:r>
            <w:r>
              <w:t xml:space="preserve">Acknowledges that algorithmic recommendation systems have an increasing influence on visibility, which may create challenges, including, but not limited to, the suppression of emerging, independent or minority-language creators and the opaque prioritisation of certain works; calls on the </w:t>
            </w:r>
            <w:r>
              <w:rPr>
                <w:b/>
                <w:i/>
              </w:rPr>
              <w:t>Member States</w:t>
            </w:r>
            <w:r>
              <w:t xml:space="preserve"> to ensure the effective enforcement of existing obligations to safeguard discoverability and exposure to European works;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Lara Magoni, Ivaylo Valchev, Marco Squarta, Chiara Gemma, Guillaume Peltier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Acknowledges that algorithmic recommendation systems have an increasing influence on visibility, which may create challenges, including, but not limited to, the suppression of emerging, independent or minority-language creators and the opaque prioritisation of certain works; calls on the Commission to ensure the effective enforcement of existing obligations and </w:t>
            </w:r>
            <w:r>
              <w:rPr>
                <w:b/>
                <w:i/>
              </w:rPr>
              <w:t>evaluate the need for further measures</w:t>
            </w:r>
            <w:r>
              <w:t xml:space="preserve"> to safeguard discoverability </w:t>
            </w:r>
            <w:r>
              <w:rPr>
                <w:b/>
                <w:i/>
              </w:rPr>
              <w:t>and exposure to</w:t>
            </w:r>
            <w:r>
              <w:t xml:space="preserve"> European works;</w:t>
            </w:r>
          </w:p>
        </w:tc>
        <w:tc>
          <w:tcPr>
            <w:tcW w:w="4876" w:type="dxa"/>
            <w:tcBorders>
              <w:top w:val="nil"/>
              <w:left w:val="nil"/>
              <w:bottom w:val="nil"/>
              <w:right w:val="nil"/>
            </w:tcBorders>
          </w:tcPr>
          <w:p>
            <w:pPr>
              <w:pStyle w:val="Normal6a"/>
            </w:pPr>
            <w:r>
              <w:t>9.</w:t>
            </w:r>
            <w:r>
              <w:tab/>
            </w:r>
            <w:r>
              <w:t xml:space="preserve">Acknowledges that algorithmic recommendation systems have an increasing influence on visibility, which may create challenges, including, but not limited to, the suppression of emerging, independent or minority-language creators and the opaque prioritisation of certain works; calls on the Commission to ensure the effective enforcement of existing obligations and </w:t>
            </w:r>
            <w:r>
              <w:rPr>
                <w:b/>
                <w:i/>
              </w:rPr>
              <w:t>to assess whether they are sufficient</w:t>
            </w:r>
            <w:r>
              <w:t xml:space="preserve"> to safeguard </w:t>
            </w:r>
            <w:r>
              <w:rPr>
                <w:b/>
                <w:i/>
              </w:rPr>
              <w:t>the</w:t>
            </w:r>
            <w:r>
              <w:t xml:space="preserve"> discoverability </w:t>
            </w:r>
            <w:r>
              <w:rPr>
                <w:b/>
                <w:i/>
              </w:rPr>
              <w:t>of</w:t>
            </w:r>
            <w:r>
              <w:t xml:space="preserve"> European works;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Calls on the Commission, in consultation with the sectors concerned, to establish a monitoring framework with baseline data, measurable sector-specific indicators and regular public reporting on AI’s impact on the cultural and creative sectors, covering creators’ remuneration, paid entry opportunities and career progression, AI uptake by SMEs and cultural institutions, and the visibility and audience reach of European, independent and minority-language works; stresses that monitoring should distinguish availability from actual recommendation, exposure and consumption;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Brigitte van den Berg, Nikola Minchev, Laurence Farreng,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Calls on the Commission to identify and address gaps in independent researchers’ access to data needed to assess AI-driven recommendation, discoverability and the amplification of disinformation in the cultural and creative sectors; supports secure and proportionate access to relevant platform data for qualified independent researchers, subject to safeguards for personal data, confidential information and system security; encourages common research methodologies and the publication of findings in accessible form;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Sabine Verheyen, Bogdan Andrzej Zdrojewski, 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Invites</w:t>
            </w:r>
            <w:r>
              <w:t xml:space="preserve"> the Commission to assess the feasibility of a mandatory identification and registration mechanism for web crawlers used for AI training </w:t>
            </w:r>
            <w:r>
              <w:rPr>
                <w:b/>
                <w:i/>
              </w:rPr>
              <w:t>or</w:t>
            </w:r>
            <w:r>
              <w:t xml:space="preserve"> data exploitation, in order to enable effective oversight, enhance transparency, thus allowing for increased understanding of cultural representation, and ensure accountability throughout their data-collection and processing activities;</w:t>
            </w:r>
          </w:p>
        </w:tc>
        <w:tc>
          <w:tcPr>
            <w:tcW w:w="4876" w:type="dxa"/>
            <w:tcBorders>
              <w:top w:val="nil"/>
              <w:left w:val="nil"/>
              <w:bottom w:val="nil"/>
              <w:right w:val="nil"/>
            </w:tcBorders>
          </w:tcPr>
          <w:p>
            <w:pPr>
              <w:pStyle w:val="Normal6a"/>
            </w:pPr>
            <w:r>
              <w:t>10.</w:t>
            </w:r>
            <w:r>
              <w:tab/>
            </w:r>
            <w:r>
              <w:rPr>
                <w:b/>
                <w:i/>
              </w:rPr>
              <w:t>Calls on</w:t>
            </w:r>
            <w:r>
              <w:t xml:space="preserve"> the Commission</w:t>
            </w:r>
            <w:r>
              <w:rPr>
                <w:b/>
                <w:i/>
              </w:rPr>
              <w:t>, building on Parliament's resolution of 10 March 2026 on copyright and generative artificial intelligence,</w:t>
            </w:r>
            <w:r>
              <w:t xml:space="preserve"> to assess the feasibility of a mandatory identification and registration mechanism for web crawlers used for AI training</w:t>
            </w:r>
            <w:r>
              <w:rPr>
                <w:b/>
                <w:i/>
              </w:rPr>
              <w:t>, retrieval-augmented generation or other</w:t>
            </w:r>
            <w:r>
              <w:t xml:space="preserve"> data exploitation</w:t>
            </w:r>
            <w:r>
              <w:rPr>
                <w:b/>
                <w:i/>
              </w:rPr>
              <w:t>, including requirements for such crawlers to be identifiable to web operators and for AI providers to maintain appropriate records of crawling activities, taking due account of the protection of trade sectrets and confidential business information</w:t>
            </w:r>
            <w:r>
              <w:t>, in order to enable effective oversight, enhance transparency, thus allowing for increased understanding of cultural representation, and ensure accountability throughout their data-collection and processing activities;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Invites the Commission to assess the feasibility of a mandatory identification and registration mechanism for web crawlers used for AI training or data exploitation, in order to enable effective oversight, enhance transparency, thus allowing for increased understanding of cultural representation, and ensure accountability throughout their data-collection and processing activities;</w:t>
            </w:r>
          </w:p>
        </w:tc>
        <w:tc>
          <w:tcPr>
            <w:tcW w:w="4876" w:type="dxa"/>
            <w:tcBorders>
              <w:top w:val="nil"/>
              <w:left w:val="nil"/>
              <w:bottom w:val="nil"/>
              <w:right w:val="nil"/>
            </w:tcBorders>
          </w:tcPr>
          <w:p>
            <w:pPr>
              <w:pStyle w:val="Normal6a"/>
            </w:pPr>
            <w:r>
              <w:t>10.</w:t>
            </w:r>
            <w:r>
              <w:tab/>
            </w:r>
            <w:r>
              <w:t xml:space="preserve">Invites the Commission to assess the feasibility of a mandatory identification and registration mechanism for web crawlers used for AI training or data exploitation, in order to enable effective oversight, enhance transparency </w:t>
            </w:r>
            <w:r>
              <w:rPr>
                <w:b/>
                <w:i/>
              </w:rPr>
              <w:t>including through the access to detailed records of the crawling activities</w:t>
            </w:r>
            <w:r>
              <w:t xml:space="preserve">, thus allowing for increased understanding of cultural representation, and ensure accountability throughout their data-collection and processing activities; </w:t>
            </w:r>
            <w:r>
              <w:rPr>
                <w:b/>
                <w:i/>
              </w:rPr>
              <w:t>calls on the Commission to assess the feasibility of establishing a mechanism requiring AI providers to retain the prompts used to generate content, together with metadata enabling the identification of the training data used;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Marcos Ros Sempere,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Invites the Commission to assess </w:t>
            </w:r>
            <w:r>
              <w:rPr>
                <w:b/>
                <w:i/>
              </w:rPr>
              <w:t>the feasibility of</w:t>
            </w:r>
            <w:r>
              <w:t xml:space="preserve"> a mandatory </w:t>
            </w:r>
            <w:r>
              <w:rPr>
                <w:b/>
                <w:i/>
              </w:rPr>
              <w:t>identification and registration</w:t>
            </w:r>
            <w:r>
              <w:t xml:space="preserve"> mechanism </w:t>
            </w:r>
            <w:r>
              <w:rPr>
                <w:b/>
                <w:i/>
              </w:rPr>
              <w:t>for</w:t>
            </w:r>
            <w:r>
              <w:t xml:space="preserve"> web crawlers </w:t>
            </w:r>
            <w:r>
              <w:rPr>
                <w:b/>
                <w:i/>
              </w:rPr>
              <w:t>used</w:t>
            </w:r>
            <w:r>
              <w:t xml:space="preserve"> for AI training or </w:t>
            </w:r>
            <w:r>
              <w:rPr>
                <w:b/>
                <w:i/>
              </w:rPr>
              <w:t>data exploitation</w:t>
            </w:r>
            <w:r>
              <w:t>, in order to enable effective oversight, enhance transparency, thus allowing for increased understanding of cultural representation, and ensure accountability throughout their data-collection and processing activities;</w:t>
            </w:r>
          </w:p>
        </w:tc>
        <w:tc>
          <w:tcPr>
            <w:tcW w:w="4876" w:type="dxa"/>
            <w:tcBorders>
              <w:top w:val="nil"/>
              <w:left w:val="nil"/>
              <w:bottom w:val="nil"/>
              <w:right w:val="nil"/>
            </w:tcBorders>
          </w:tcPr>
          <w:p>
            <w:pPr>
              <w:pStyle w:val="Normal6a"/>
            </w:pPr>
            <w:r>
              <w:t>10.</w:t>
            </w:r>
            <w:r>
              <w:tab/>
            </w:r>
            <w:r>
              <w:t xml:space="preserve">Invites the Commission to assess </w:t>
            </w:r>
            <w:r>
              <w:rPr>
                <w:b/>
                <w:i/>
              </w:rPr>
              <w:t>and, where appropriate, introduce</w:t>
            </w:r>
            <w:r>
              <w:t xml:space="preserve"> a mandatory mechanism </w:t>
            </w:r>
            <w:r>
              <w:rPr>
                <w:b/>
                <w:i/>
              </w:rPr>
              <w:t>requiring</w:t>
            </w:r>
            <w:r>
              <w:t xml:space="preserve"> web crawlers </w:t>
            </w:r>
            <w:r>
              <w:rPr>
                <w:b/>
                <w:i/>
              </w:rPr>
              <w:t>and AI agents to identify themselves and state the purpose of their activity, whether</w:t>
            </w:r>
            <w:r>
              <w:t xml:space="preserve"> for AI training or </w:t>
            </w:r>
            <w:r>
              <w:rPr>
                <w:b/>
                <w:i/>
              </w:rPr>
              <w:t>for other AI-related uses such as real-time retrieval of content</w:t>
            </w:r>
            <w:r>
              <w:t xml:space="preserve">, in order to enable effective oversight, enhance transparency, thus allowing for increased understanding of cultural representation, and ensure accountability throughout their data-collection and processing activities; </w:t>
            </w:r>
            <w:r>
              <w:rPr>
                <w:b/>
                <w:i/>
              </w:rPr>
              <w:t>calls on AI providers to keep records of those activities, with due regard for trade secrets;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Lara Magoni, Ivaylo Valchev, Marco Squarta, Chiara Gemma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Invites the Commission to assess the feasibility of a mandatory identification and registration mechanism for web crawlers used for AI training or data exploitation, in order to enable effective oversight, enhance transparency, thus allowing for increased understanding of cultural representation, and ensure accountability throughout their data-collection and processing activities;</w:t>
            </w:r>
          </w:p>
        </w:tc>
        <w:tc>
          <w:tcPr>
            <w:tcW w:w="4876" w:type="dxa"/>
            <w:tcBorders>
              <w:top w:val="nil"/>
              <w:left w:val="nil"/>
              <w:bottom w:val="nil"/>
              <w:right w:val="nil"/>
            </w:tcBorders>
          </w:tcPr>
          <w:p>
            <w:pPr>
              <w:pStyle w:val="Normal6a"/>
            </w:pPr>
            <w:r>
              <w:t>10.</w:t>
            </w:r>
            <w:r>
              <w:tab/>
            </w:r>
            <w:r>
              <w:t>Invites the Commission to assess the feasibility of a mandatory identification and registration mechanism for web crawlers used for AI training or data exploitation</w:t>
            </w:r>
            <w:r>
              <w:rPr>
                <w:b/>
                <w:i/>
              </w:rPr>
              <w:t>, also building on existing identification practices of reliable operators and on enforcement under the AI Act, Union copyright law and national law</w:t>
            </w:r>
            <w:r>
              <w:t>, in order to enable effective oversight, enhance transparency, thus allowing for increased understanding of cultural representation, and ensure accountability throughout their data-collection and processing activities;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Brigitte van den Berg, Nikola Minchev,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Calls for that assessment to examine mechanisms for verifying crawler identities, identifying their operators and declared purposes, and distinguishing collection for AI training from search indexing and retrieval for AI-generated answers; stresses that identification and registration should be accompanied by effective means of verifying compliance with applicable rights reservations and pursuing remedies for non-compliance, including where operators are established outside the 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Hannes Heide, Maria Guzenina, Gabriela Firea, Sandro Ruotolo, Marcos Ros Sempere, Joanna Scheuring-Wielgus, Nikos Papandreou,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Calls for standardised, machine-readable formats, potentially managed and listed by the European Union Intellectual Property Office, enabling rights holders to exclude their works from AI training, which would provide legal certainty for rights holders and AI providers;</w:t>
            </w:r>
          </w:p>
        </w:tc>
        <w:tc>
          <w:tcPr>
            <w:tcW w:w="4876" w:type="dxa"/>
            <w:tcBorders>
              <w:top w:val="nil"/>
              <w:left w:val="nil"/>
              <w:bottom w:val="nil"/>
              <w:right w:val="nil"/>
            </w:tcBorders>
          </w:tcPr>
          <w:p>
            <w:pPr>
              <w:pStyle w:val="Normal6a"/>
            </w:pPr>
            <w:r>
              <w:t>11.</w:t>
            </w:r>
            <w:r>
              <w:tab/>
            </w:r>
            <w:r>
              <w:t xml:space="preserve">Calls for </w:t>
            </w:r>
            <w:r>
              <w:rPr>
                <w:b/>
                <w:i/>
              </w:rPr>
              <w:t>assessing the need and feasibility of</w:t>
            </w:r>
            <w:r>
              <w:t xml:space="preserve"> standardised, machine-readable formats, potentially managed and listed by the European Union Intellectual Property Office, enabling rights holders to exclude their works from AI training </w:t>
            </w:r>
            <w:r>
              <w:rPr>
                <w:b/>
                <w:i/>
              </w:rPr>
              <w:t>and collective management organisations acting on their behalf to reserve rights in protected works and performances in relation to AI training</w:t>
            </w:r>
            <w:r>
              <w:t xml:space="preserve">, which would provide legal certainty for rights holders and AI providers; </w:t>
            </w:r>
            <w:r>
              <w:rPr>
                <w:b/>
                <w:i/>
              </w:rPr>
              <w:t>stresses that any such mechanism should not prejudice the possibility for rights holders to reserve their rights by other appropriate means and that AI providers remain responsible for identifying and respecting such reservations; stresses that rights holders should not bear any costs regarding the creation and maintenance of any such mechanism;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Sunčana Glavak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Calls for standardised, machine-readable formats, potentially managed and listed by the European Union Intellectual Property Office, enabling rights holders to exclude their works from AI training, which would provide legal certainty for rights holders and AI providers;</w:t>
            </w:r>
          </w:p>
        </w:tc>
        <w:tc>
          <w:tcPr>
            <w:tcW w:w="4876" w:type="dxa"/>
            <w:tcBorders>
              <w:top w:val="nil"/>
              <w:left w:val="nil"/>
              <w:bottom w:val="nil"/>
              <w:right w:val="nil"/>
            </w:tcBorders>
          </w:tcPr>
          <w:p>
            <w:pPr>
              <w:pStyle w:val="Normal6a"/>
            </w:pPr>
            <w:r>
              <w:t>11.</w:t>
            </w:r>
            <w:r>
              <w:tab/>
            </w:r>
            <w:r>
              <w:t xml:space="preserve">Calls for standardised, machine-readable formats, potentially managed and listed by the European Union Intellectual Property Office, enabling rights holders to exclude their works from AI training, which would provide legal certainty for rights holders and AI providers; </w:t>
            </w:r>
            <w:r>
              <w:rPr>
                <w:b/>
                <w:i/>
              </w:rPr>
              <w:t>stresses that these machine-readable formats should be interoperable, easy to use and harmonised at EU level, in order to avoid the creation of diverging national or platform-specific requirements, particularly for small and medium-sized enterprises, independent creators and individual rights holders;</w:t>
            </w:r>
          </w:p>
        </w:tc>
      </w:tr>
    </w:tbl>
    <w:p>
      <w:pPr>
        <w:pStyle w:val="AmOrLang"/>
      </w:pPr>
      <w:r>
        <w:t xml:space="preserve">Or. </w:t>
      </w:r>
      <w:r>
        <w:rPr>
          <w:rStyle w:val="HideTWBExt"/>
        </w:rPr>
        <w:t>&lt;Original&gt;</w:t>
      </w:r>
      <w:r>
        <w:rPr>
          <w:rStyle w:val="HideTWBInt"/>
        </w:rPr>
        <w:t>{HR}</w:t>
      </w:r>
      <w:r>
        <w:t>hr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Brigitte van den Berg, Nikola Minchev, Laurence Farreng,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Calls for standardised, machine-readable formats, potentially managed and listed by the European Union Intellectual Property Office, enabling rights holders to exclude their works from AI training, which would provide legal certainty for rights holders and AI providers;</w:t>
            </w:r>
          </w:p>
        </w:tc>
        <w:tc>
          <w:tcPr>
            <w:tcW w:w="4876" w:type="dxa"/>
            <w:tcBorders>
              <w:top w:val="nil"/>
              <w:left w:val="nil"/>
              <w:bottom w:val="nil"/>
              <w:right w:val="nil"/>
            </w:tcBorders>
          </w:tcPr>
          <w:p>
            <w:pPr>
              <w:pStyle w:val="Normal6a"/>
            </w:pPr>
            <w:r>
              <w:t>11.</w:t>
            </w:r>
            <w:r>
              <w:tab/>
            </w:r>
            <w:r>
              <w:t xml:space="preserve">Calls for standardised, machine-readable formats, potentially managed and listed by the European Union Intellectual Property Office, enabling rights holders to exclude their works from AI training, which would provide legal certainty for rights holders and AI providers; </w:t>
            </w:r>
            <w:r>
              <w:rPr>
                <w:b/>
                <w:i/>
              </w:rPr>
              <w:t>stresses that such formats should be interoperable, accessible and usable without specialist technical expertise; calls for practical tools enabling rights holders to communicate different permissions for different uses of their content, and for measures ensuring that those choices are respected;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Lara Magoni, Ivaylo Valchev, Marco Squarta, Chiara Gemma, Guillaume Peltier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Calls for standardised, </w:t>
            </w:r>
            <w:r>
              <w:rPr>
                <w:b/>
                <w:i/>
              </w:rPr>
              <w:t>machine-readable</w:t>
            </w:r>
            <w:r>
              <w:t xml:space="preserve"> formats, potentially managed and listed by the European Union Intellectual Property Office, enabling rights holders to exclude their works from AI training, which would provide legal certainty for rights holders and AI providers;</w:t>
            </w:r>
          </w:p>
        </w:tc>
        <w:tc>
          <w:tcPr>
            <w:tcW w:w="4876" w:type="dxa"/>
            <w:tcBorders>
              <w:top w:val="nil"/>
              <w:left w:val="nil"/>
              <w:bottom w:val="nil"/>
              <w:right w:val="nil"/>
            </w:tcBorders>
          </w:tcPr>
          <w:p>
            <w:pPr>
              <w:pStyle w:val="Normal6a"/>
            </w:pPr>
            <w:r>
              <w:t>11.</w:t>
            </w:r>
            <w:r>
              <w:tab/>
            </w:r>
            <w:r>
              <w:t xml:space="preserve">Calls for standardised, </w:t>
            </w:r>
            <w:r>
              <w:rPr>
                <w:b/>
                <w:i/>
              </w:rPr>
              <w:t>voluntary, accessible and user-friendly</w:t>
            </w:r>
            <w:r>
              <w:t xml:space="preserve"> formats</w:t>
            </w:r>
            <w:r>
              <w:rPr>
                <w:b/>
                <w:i/>
              </w:rPr>
              <w:t>, with the EU taking the initiative towards a globally accepted technical standard</w:t>
            </w:r>
            <w:r>
              <w:t>, potentially managed and listed by the European Union Intellectual Property Office, enabling rights holders</w:t>
            </w:r>
            <w:r>
              <w:rPr>
                <w:b/>
                <w:i/>
              </w:rPr>
              <w:t>,</w:t>
            </w:r>
            <w:r>
              <w:t xml:space="preserve"> to exclude their works </w:t>
            </w:r>
            <w:r>
              <w:rPr>
                <w:b/>
                <w:i/>
              </w:rPr>
              <w:t>and performances</w:t>
            </w:r>
            <w:r>
              <w:t xml:space="preserve"> from AI training, which would provide legal certainty for rights holders and AI providers</w:t>
            </w:r>
            <w:r>
              <w:rPr>
                <w:b/>
                <w:i/>
              </w:rPr>
              <w:t>, exercising such a reservation neither reduces the visibility of their works in search and other online services nor entails any cost for them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Esteban González Pons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Calls for standardised, machine-readable formats, potentially managed and listed by the European Union Intellectual Property Office, enabling rights holders to exclude their works from AI training, which would provide legal certainty for rights holders and AI providers;</w:t>
            </w:r>
          </w:p>
        </w:tc>
        <w:tc>
          <w:tcPr>
            <w:tcW w:w="4876" w:type="dxa"/>
            <w:tcBorders>
              <w:top w:val="nil"/>
              <w:left w:val="nil"/>
              <w:bottom w:val="nil"/>
              <w:right w:val="nil"/>
            </w:tcBorders>
          </w:tcPr>
          <w:p>
            <w:pPr>
              <w:pStyle w:val="Normal6a"/>
            </w:pPr>
            <w:r>
              <w:t>11.</w:t>
            </w:r>
            <w:r>
              <w:tab/>
            </w:r>
            <w:r>
              <w:t xml:space="preserve">Calls for standardised, machine-readable formats, potentially managed and listed by the European Union Intellectual Property Office, enabling rights holders to exclude their works from AI training, which would provide legal certainty for rights holders and AI providers; </w:t>
            </w:r>
            <w:r>
              <w:rPr>
                <w:b/>
                <w:i/>
              </w:rPr>
              <w:t>and calls on the Commission to introduce effective, proportionate and dissuasive penalties for AI developers who fail to respect machine-readable opt-outs registered through this mechanism;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Laurence Farreng, Brigitte van den Berg,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Calls for standardised, machine-readable formats, potentially managed and listed by the European Union Intellectual Property Office, </w:t>
            </w:r>
            <w:r>
              <w:rPr>
                <w:b/>
                <w:i/>
              </w:rPr>
              <w:t>enabling rights holders to exclude their works from AI training,</w:t>
            </w:r>
            <w:r>
              <w:t xml:space="preserve"> which would provide legal certainty for rights holders and AI providers;</w:t>
            </w:r>
          </w:p>
        </w:tc>
        <w:tc>
          <w:tcPr>
            <w:tcW w:w="4876" w:type="dxa"/>
            <w:tcBorders>
              <w:top w:val="nil"/>
              <w:left w:val="nil"/>
              <w:bottom w:val="nil"/>
              <w:right w:val="nil"/>
            </w:tcBorders>
          </w:tcPr>
          <w:p>
            <w:pPr>
              <w:pStyle w:val="Normal6a"/>
            </w:pPr>
            <w:r>
              <w:t>11.</w:t>
            </w:r>
            <w:r>
              <w:tab/>
            </w:r>
            <w:r>
              <w:t xml:space="preserve">Calls for </w:t>
            </w:r>
            <w:r>
              <w:rPr>
                <w:b/>
                <w:i/>
              </w:rPr>
              <w:t>the Commission to assess the necessity and feasability of tools enabling rights holders to effectively exclude the use of their works from AI training in a limited number of</w:t>
            </w:r>
            <w:r>
              <w:t xml:space="preserve"> standardised, machine-readable formats, potentially managed and listed by the European Union Intellectual Property Office, which would provide legal certainty for rights holders and AI providers;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Hélder Sousa Silva, Sunčana Glavak, Sabine Verheyen, Esteban González Pons, Manuela Ripa, Milan Zver, Giusi Princi, Viktor Weisz, Bogdan Andrzej Zdrojewski, Eleonora Meleti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Calls for standardised, machine-readable formats, potentially managed and listed by the European Union Intellectual Property Office, enabling rights holders to exclude their works from AI training, which would provide legal certainty for rights holders and AI providers;</w:t>
            </w:r>
          </w:p>
        </w:tc>
        <w:tc>
          <w:tcPr>
            <w:tcW w:w="4876" w:type="dxa"/>
            <w:tcBorders>
              <w:top w:val="nil"/>
              <w:left w:val="nil"/>
              <w:bottom w:val="nil"/>
              <w:right w:val="nil"/>
            </w:tcBorders>
          </w:tcPr>
          <w:p>
            <w:pPr>
              <w:pStyle w:val="Normal6a"/>
            </w:pPr>
            <w:r>
              <w:t>11.</w:t>
            </w:r>
            <w:r>
              <w:tab/>
            </w:r>
            <w:r>
              <w:t xml:space="preserve">Calls for standardised, machine-readable formats, potentially managed and listed by the European Union Intellectual Property Office, enabling rights holders to exclude their works from AI training, which would provide legal certainty for rights holders and AI providers; </w:t>
            </w:r>
            <w:r>
              <w:rPr>
                <w:b/>
                <w:i/>
              </w:rPr>
              <w:t>and support the development of licensing agreements for the use of such works, where appropriate;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Lara Magoni, Ivaylo Valchev, Marco Squarta, Chiara Gemma, Guillaume Peltier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Stresses that rights holders can reserve their rights against text and data mining, while licensing allows them to negotiate permitted uses, remuneration and other contractual terms; stresses that reservation of rights and licensing are distinct and complementary tools, and that the right to reserve rights must remain with individual creators and rights holders, not platforms or website operators, through creator-friendly mechanisms applicable throughout the AI value chain, without becoming a formality or condition for the protection of rights;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Lara Magoni, Ivaylo Valchev, Marco Squarta, Chiara Gemma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11b.</w:t>
            </w:r>
            <w:r>
              <w:tab/>
            </w:r>
            <w:r>
              <w:rPr>
                <w:b/>
                <w:i/>
              </w:rPr>
              <w:t>Calls on the European Union Intellectual Property Office to provide individual creators and micro-enterprises with free and practical support, including a single point of contact, to help them reserve their rights, understand the public summaries of training content and identify the licensing options available to them;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Lara Magoni, Ivaylo Valchev, Marco Squarta, Chiara Gemma, Guillaume Peltier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rPr>
                <w:b/>
                <w:i/>
              </w:rPr>
              <w:t>Calls for</w:t>
            </w:r>
            <w:r>
              <w:t xml:space="preserve"> EU safeguards </w:t>
            </w:r>
            <w:r>
              <w:rPr>
                <w:b/>
                <w:i/>
              </w:rPr>
              <w:t>protecting</w:t>
            </w:r>
            <w:r>
              <w:t xml:space="preserve"> performers </w:t>
            </w:r>
            <w:r>
              <w:rPr>
                <w:b/>
                <w:i/>
              </w:rPr>
              <w:t>and</w:t>
            </w:r>
            <w:r>
              <w:t xml:space="preserve"> other creators from the unauthorised </w:t>
            </w:r>
            <w:r>
              <w:rPr>
                <w:b/>
                <w:i/>
              </w:rPr>
              <w:t>replication</w:t>
            </w:r>
            <w:r>
              <w:t xml:space="preserve"> of their voice, image or likeness by AI systems, </w:t>
            </w:r>
            <w:r>
              <w:rPr>
                <w:b/>
                <w:i/>
              </w:rPr>
              <w:t>and</w:t>
            </w:r>
            <w:r>
              <w:t xml:space="preserve"> for accessible and effective remedies;</w:t>
            </w:r>
          </w:p>
        </w:tc>
        <w:tc>
          <w:tcPr>
            <w:tcW w:w="4876" w:type="dxa"/>
            <w:tcBorders>
              <w:top w:val="nil"/>
              <w:left w:val="nil"/>
              <w:bottom w:val="nil"/>
              <w:right w:val="nil"/>
            </w:tcBorders>
          </w:tcPr>
          <w:p>
            <w:pPr>
              <w:pStyle w:val="Normal6a"/>
            </w:pPr>
            <w:r>
              <w:t>12.</w:t>
            </w:r>
            <w:r>
              <w:tab/>
            </w:r>
            <w:r>
              <w:rPr>
                <w:b/>
                <w:i/>
              </w:rPr>
              <w:t>Invites the Commission to assess comprehensively whether</w:t>
            </w:r>
            <w:r>
              <w:t xml:space="preserve"> EU safeguards </w:t>
            </w:r>
            <w:r>
              <w:rPr>
                <w:b/>
                <w:i/>
              </w:rPr>
              <w:t>are needed to protect</w:t>
            </w:r>
            <w:r>
              <w:t xml:space="preserve"> performers</w:t>
            </w:r>
            <w:r>
              <w:rPr>
                <w:b/>
                <w:i/>
              </w:rPr>
              <w:t>,</w:t>
            </w:r>
            <w:r>
              <w:t xml:space="preserve"> other creators </w:t>
            </w:r>
            <w:r>
              <w:rPr>
                <w:b/>
                <w:i/>
              </w:rPr>
              <w:t>and individuals</w:t>
            </w:r>
            <w:r>
              <w:t xml:space="preserve"> from the unauthorised </w:t>
            </w:r>
            <w:r>
              <w:rPr>
                <w:b/>
                <w:i/>
              </w:rPr>
              <w:t>reproduction, transformation or use</w:t>
            </w:r>
            <w:r>
              <w:t xml:space="preserve"> of their voice, image or likeness by AI systems, </w:t>
            </w:r>
            <w:r>
              <w:rPr>
                <w:b/>
                <w:i/>
              </w:rPr>
              <w:t>taking into account existing Union and national protection and whether a specific right of action against intentional and commercial AI impersonation is needed; stresses that authorised use should be based on informed, specific and freely given consent and, where appropriate, fair remuneration; calls</w:t>
            </w:r>
            <w:r>
              <w:t xml:space="preserve"> for accessible</w:t>
            </w:r>
            <w:r>
              <w:rPr>
                <w:b/>
                <w:i/>
              </w:rPr>
              <w:t>, rapid</w:t>
            </w:r>
            <w:r>
              <w:t xml:space="preserve"> and effective remedies</w:t>
            </w:r>
            <w:r>
              <w:rPr>
                <w:b/>
                <w:i/>
              </w:rPr>
              <w:t>, including timely removal of unlawful content, and stresses that such safeguards should complement copyright, which protects original creative expression rather than personal attributes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Carolina Morace, Mario Furore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Calls for EU safeguards protecting performers and other creators from the unauthorised replication of their voice, image or likeness </w:t>
            </w:r>
            <w:r>
              <w:rPr>
                <w:b/>
                <w:i/>
              </w:rPr>
              <w:t>by AI systems, and</w:t>
            </w:r>
            <w:r>
              <w:t xml:space="preserve"> for accessible and effective remedies;</w:t>
            </w:r>
          </w:p>
        </w:tc>
        <w:tc>
          <w:tcPr>
            <w:tcW w:w="4876" w:type="dxa"/>
            <w:tcBorders>
              <w:top w:val="nil"/>
              <w:left w:val="nil"/>
              <w:bottom w:val="nil"/>
              <w:right w:val="nil"/>
            </w:tcBorders>
          </w:tcPr>
          <w:p>
            <w:pPr>
              <w:pStyle w:val="Normal6a"/>
            </w:pPr>
            <w:r>
              <w:t>12.</w:t>
            </w:r>
            <w:r>
              <w:tab/>
            </w:r>
            <w:r>
              <w:t xml:space="preserve">Calls for EU safeguards protecting </w:t>
            </w:r>
            <w:r>
              <w:rPr>
                <w:b/>
                <w:i/>
              </w:rPr>
              <w:t>authors,</w:t>
            </w:r>
            <w:r>
              <w:t xml:space="preserve"> performers and other creators from the unauthorised replication</w:t>
            </w:r>
            <w:r>
              <w:rPr>
                <w:b/>
                <w:i/>
              </w:rPr>
              <w:t>, simulation or exploitation, through AI systems,</w:t>
            </w:r>
            <w:r>
              <w:t xml:space="preserve"> of their </w:t>
            </w:r>
            <w:r>
              <w:rPr>
                <w:b/>
                <w:i/>
              </w:rPr>
              <w:t>works, performances,</w:t>
            </w:r>
            <w:r>
              <w:t xml:space="preserve"> voice, image or likeness</w:t>
            </w:r>
            <w:r>
              <w:rPr>
                <w:b/>
                <w:i/>
              </w:rPr>
              <w:t>;</w:t>
            </w:r>
            <w:r>
              <w:t xml:space="preserve"> </w:t>
            </w:r>
            <w:r>
              <w:rPr>
                <w:b/>
                <w:i/>
              </w:rPr>
              <w:t>stresses that such uses must be subject to prior, free, specific and informed authorisation by the rights holder or the person concerned, as the case may be, and that any authorisation must clearly define its purpose, scope and duration and provide for appropriate and proportionate remuneration, where applicable;</w:t>
            </w:r>
            <w:r>
              <w:t xml:space="preserve"> </w:t>
            </w:r>
            <w:r>
              <w:rPr>
                <w:b/>
                <w:i/>
              </w:rPr>
              <w:t>stresses that a refusal to authorise such uses should not lead to unjustified professional disadvantages;</w:t>
            </w:r>
            <w:r>
              <w:t xml:space="preserve"> </w:t>
            </w:r>
            <w:r>
              <w:rPr>
                <w:b/>
                <w:i/>
              </w:rPr>
              <w:t>calls, furthermore,</w:t>
            </w:r>
            <w:r>
              <w:t xml:space="preserve"> for accessible and effective remedies;</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Sunčana Glavak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Calls for EU safeguards protecting performers and other creators from the unauthorised replication of their voice, image or likeness by AI systems, and for accessible and effective remedies;</w:t>
            </w:r>
          </w:p>
        </w:tc>
        <w:tc>
          <w:tcPr>
            <w:tcW w:w="4876" w:type="dxa"/>
            <w:tcBorders>
              <w:top w:val="nil"/>
              <w:left w:val="nil"/>
              <w:bottom w:val="nil"/>
              <w:right w:val="nil"/>
            </w:tcBorders>
          </w:tcPr>
          <w:p>
            <w:pPr>
              <w:pStyle w:val="Normal6a"/>
            </w:pPr>
            <w:r>
              <w:t>12.</w:t>
            </w:r>
            <w:r>
              <w:tab/>
            </w:r>
            <w:r>
              <w:t xml:space="preserve">Calls for EU safeguards protecting performers and other creators from the unauthorised replication of their voice, image or likeness by AI systems, and for accessible and effective remedies; </w:t>
            </w:r>
            <w:r>
              <w:rPr>
                <w:b/>
                <w:i/>
              </w:rPr>
              <w:t>stresses that deepfakes which falsely ascribe statements, actions or engagement with certain content to artists, performers and other creators may put their reputation, dignity and professional income at risk;</w:t>
            </w:r>
            <w:r>
              <w:t xml:space="preserve"> </w:t>
            </w:r>
            <w:r>
              <w:rPr>
                <w:b/>
                <w:i/>
              </w:rPr>
              <w:t>calls on the Commission and Member States to ensure effective protection against such abuses, and calls on online platforms to ensure simple and accessible reporting procedures, the swift processing and removal of illegal content, and effective appeal mechanisms;</w:t>
            </w:r>
          </w:p>
        </w:tc>
      </w:tr>
    </w:tbl>
    <w:p>
      <w:pPr>
        <w:pStyle w:val="AmOrLang"/>
      </w:pPr>
      <w:r>
        <w:t xml:space="preserve">Or. </w:t>
      </w:r>
      <w:r>
        <w:rPr>
          <w:rStyle w:val="HideTWBExt"/>
        </w:rPr>
        <w:t>&lt;Original&gt;</w:t>
      </w:r>
      <w:r>
        <w:rPr>
          <w:rStyle w:val="HideTWBInt"/>
        </w:rPr>
        <w:t>{HR}</w:t>
      </w:r>
      <w:r>
        <w:t>hr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Hélder Sousa Silva, Sunčana Glavak, Sabine Verheyen, Esteban González Pons, Manuela Ripa, Giusi Princi, Viktor Weisz, Bogdan Andrzej Zdrojewski, Eleonora Meleti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Calls for EU safeguards protecting performers and other creators from the unauthorised replication of their voice, image or likeness by AI systems, and for accessible and effective remedies;</w:t>
            </w:r>
          </w:p>
        </w:tc>
        <w:tc>
          <w:tcPr>
            <w:tcW w:w="4876" w:type="dxa"/>
            <w:tcBorders>
              <w:top w:val="nil"/>
              <w:left w:val="nil"/>
              <w:bottom w:val="nil"/>
              <w:right w:val="nil"/>
            </w:tcBorders>
          </w:tcPr>
          <w:p>
            <w:pPr>
              <w:pStyle w:val="Normal6a"/>
            </w:pPr>
            <w:r>
              <w:t>12.</w:t>
            </w:r>
            <w:r>
              <w:tab/>
            </w:r>
            <w:r>
              <w:t xml:space="preserve">Calls for EU safeguards protecting performers and other creators from the unauthorised replication of their voice, image or likeness by AI systems, and for accessible and effective remedies; </w:t>
            </w:r>
            <w:r>
              <w:rPr>
                <w:b/>
                <w:i/>
              </w:rPr>
              <w:t>calls on the Commission to assess whether targeted safeguards are needed against misleading AI-enabled impersonation of identifiable creators, including through the imitation of distinctive creative characteristics associated with their work;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Hannes Heide, Maria Guzenina, Gabriela Firea, Sandro Ruotolo, Marcos Ros Sempere, Joanna Scheuring-Wielgus, Nikos Papandreou,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Calls for EU safeguards protecting performers and other creators from the unauthorised replication of their voice, image or likeness by AI systems, and for accessible and effective remedies;</w:t>
            </w:r>
          </w:p>
        </w:tc>
        <w:tc>
          <w:tcPr>
            <w:tcW w:w="4876" w:type="dxa"/>
            <w:tcBorders>
              <w:top w:val="nil"/>
              <w:left w:val="nil"/>
              <w:bottom w:val="nil"/>
              <w:right w:val="nil"/>
            </w:tcBorders>
          </w:tcPr>
          <w:p>
            <w:pPr>
              <w:pStyle w:val="Normal6a"/>
            </w:pPr>
            <w:r>
              <w:t>12.</w:t>
            </w:r>
            <w:r>
              <w:tab/>
            </w:r>
            <w:r>
              <w:t xml:space="preserve">Calls for EU safeguards protecting performers and other creators from the unauthorised replication of their voice, image or likeness by AI systems, and for accessible and effective remedies; </w:t>
            </w:r>
            <w:r>
              <w:rPr>
                <w:b/>
                <w:i/>
              </w:rPr>
              <w:t>notes in this regard the challenges posed by the cross-border nature of such practices and the need to ensure a coherent approach at EU level;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Emma Rafowicz, Hannes Heide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Calls for EU safeguards protecting performers and other creators from the unauthorised replication of their voice, image or likeness by AI systems</w:t>
            </w:r>
            <w:r>
              <w:rPr>
                <w:b/>
                <w:i/>
              </w:rPr>
              <w:t>, and for accessible and effective remedies</w:t>
            </w:r>
            <w:r>
              <w:t>;</w:t>
            </w:r>
          </w:p>
        </w:tc>
        <w:tc>
          <w:tcPr>
            <w:tcW w:w="4876" w:type="dxa"/>
            <w:tcBorders>
              <w:top w:val="nil"/>
              <w:left w:val="nil"/>
              <w:bottom w:val="nil"/>
              <w:right w:val="nil"/>
            </w:tcBorders>
          </w:tcPr>
          <w:p>
            <w:pPr>
              <w:pStyle w:val="Normal6a"/>
            </w:pPr>
            <w:r>
              <w:t>12.</w:t>
            </w:r>
            <w:r>
              <w:tab/>
            </w:r>
            <w:r>
              <w:t xml:space="preserve">Calls for EU safeguards protecting </w:t>
            </w:r>
            <w:r>
              <w:rPr>
                <w:b/>
                <w:i/>
              </w:rPr>
              <w:t>authors,</w:t>
            </w:r>
            <w:r>
              <w:t xml:space="preserve"> performers and other creators from the unauthorised replication of their </w:t>
            </w:r>
            <w:r>
              <w:rPr>
                <w:b/>
                <w:i/>
              </w:rPr>
              <w:t>works and performances including their</w:t>
            </w:r>
            <w:r>
              <w:t xml:space="preserve"> voice, image or likeness by AI systems;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Lara Magoni, Ivaylo Valchev, Marco Squarta, Chiara Gemma, Guillaume Peltier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Expresses concern about the creation and dissemination of non-consensual intimate or sexual content generated or manipulated by AI, in particular where minors are concerned; calls for the effective application and enforcement of the existing Union legal framework and for cooperation between platforms, competent authorities and relevant stakeholders to facilitate timely detection, reporting and removal of unlawful content;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Hélder Sousa Silva, Sunčana Glavak, Sabine Verheyen, Esteban González Pons, Manuela Ripa, Milan Zver, Giusi Princi, Viktor Weisz, Bogdan Andrzej Zdrojewski, Eleonora Meleti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Calls on the Commission and the Member States to ensure that the development and use of AI in the CCS remain human-centric, with human creativity, ethics, responsibility and judgment at their core and that the use of protected works and performances by AI systems respects the principles of authorisation, remuneration and transparency ('ART principles');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Hélder Sousa Silva, Sunčana Glavak, Sabine Verheyen, Esteban González Pons, Manuela Ripa, Milan Zver, Giusi Princi, Viktor Weisz, Bogdan Andrzej Zdrojewski, Eleonora Meleti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12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Calls on the Commission to assess, in consultation with sectoral stakeholders, whether reservations of rights under Article 4(3) of Directive (EU) 2019/790 can be expressed, identified and respected in an effective, interoperable and user-friendly manner; supports sector-adapted technical standards that allow rightsholders to specify the works, uses and services concerned, while ensuring legal certainty for AI developers and avoiding fragmented national solutions;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Sunčana Glavak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Recalls that Article 50 of the AI Act creates marking and disclosure obligations for the providers and deployers of AI systems generating synthetic content, but that those obligations do not follow the content along the chain through which it reaches the public; calls, therefore, for these obligations to be complemented by requirements for distributors, aggregators and platform operators to preserve and clearly display markings and provenance information, and for the development of </w:t>
            </w:r>
            <w:r>
              <w:rPr>
                <w:b/>
                <w:i/>
              </w:rPr>
              <w:t>common, workable</w:t>
            </w:r>
            <w:r>
              <w:t xml:space="preserve"> and technologically neutral </w:t>
            </w:r>
            <w:r>
              <w:rPr>
                <w:b/>
                <w:i/>
              </w:rPr>
              <w:t>criteria to give practical effect to the boundary between AI generation and meaningful human creative input</w:t>
            </w:r>
            <w:r>
              <w:t>, with proportionate implementation for small and medium-sized enterprises; calls for platforms to make available the possibility of self-labelling fully AI-generated content at the point of delivery by creators, and for distributors to apply and enforce consistent and transparent policies to that effect;</w:t>
            </w:r>
          </w:p>
        </w:tc>
        <w:tc>
          <w:tcPr>
            <w:tcW w:w="4876" w:type="dxa"/>
            <w:tcBorders>
              <w:top w:val="nil"/>
              <w:left w:val="nil"/>
              <w:bottom w:val="nil"/>
              <w:right w:val="nil"/>
            </w:tcBorders>
          </w:tcPr>
          <w:p>
            <w:pPr>
              <w:pStyle w:val="Normal6a"/>
            </w:pPr>
            <w:r>
              <w:t>13.</w:t>
            </w:r>
            <w:r>
              <w:tab/>
            </w:r>
            <w:r>
              <w:t>Recalls that Article 50</w:t>
            </w:r>
            <w:r>
              <w:rPr>
                <w:b/>
                <w:i/>
              </w:rPr>
              <w:t> </w:t>
            </w:r>
            <w:r>
              <w:t xml:space="preserve"> of the AI Act creates marking and disclosure obligations for the providers and deployers of AI systems generating synthetic content, but that those obligations do not follow the content along the chain through which it reaches the public; calls, therefore, for these obligations to be complemented by requirements for distributors, aggregators and platform operators to preserve and clearly display markings and provenance information, and for the development of </w:t>
            </w:r>
            <w:r>
              <w:rPr>
                <w:b/>
                <w:i/>
              </w:rPr>
              <w:t>interoperable</w:t>
            </w:r>
            <w:r>
              <w:t xml:space="preserve"> and technologically neutral </w:t>
            </w:r>
            <w:r>
              <w:rPr>
                <w:b/>
                <w:i/>
              </w:rPr>
              <w:t>standards to ensure that content provenance information and markings designating AI-generated content remain accessible throughout the entire distribution chain</w:t>
            </w:r>
            <w:r>
              <w:t xml:space="preserve">, with proportionate implementation for small and medium-sized enterprises; calls for platforms to make available the possibility of self-labelling fully AI-generated content at the point of delivery by creators, and for distributors to apply and enforce consistent and transparent policies to that effect; </w:t>
            </w:r>
            <w:r>
              <w:rPr>
                <w:b/>
                <w:i/>
              </w:rPr>
              <w:t>stresses that the implementation of transparency rules must be based on objective and verifiable criteria and must not require platforms or public authorities to assess the artistic value or significance of human creative input;</w:t>
            </w:r>
            <w:r>
              <w:t xml:space="preserve"> </w:t>
            </w:r>
            <w:r>
              <w:rPr>
                <w:b/>
                <w:i/>
              </w:rPr>
              <w:t>stresses that requirements concerning markings and the preservation of content provenance information must be proportionate, technically feasible and easy to apply, and their implementation must take particular account of the capacities of small and medium-sized enterprises, independent creators and smaller cultural organisations;</w:t>
            </w:r>
          </w:p>
        </w:tc>
      </w:tr>
    </w:tbl>
    <w:p>
      <w:pPr>
        <w:pStyle w:val="AmOrLang"/>
      </w:pPr>
      <w:r>
        <w:t xml:space="preserve">Or. </w:t>
      </w:r>
      <w:r>
        <w:rPr>
          <w:rStyle w:val="HideTWBExt"/>
        </w:rPr>
        <w:t>&lt;Original&gt;</w:t>
      </w:r>
      <w:r>
        <w:rPr>
          <w:rStyle w:val="HideTWBInt"/>
        </w:rPr>
        <w:t>{HR}</w:t>
      </w:r>
      <w:r>
        <w:t>hr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Zsuzsanna Borvendég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Recalls that Article 50 of the AI Act creates marking and disclosure obligations for the providers and deployers of AI systems generating synthetic content, but that those obligations do not follow the content along the chain through which it reaches the public; calls, therefore, for these obligations to be complemented by requirements for distributors, aggregators and platform operators to preserve and clearly display markings and provenance information, and for the development of common, workable and technologically neutral criteria to give practical effect to the boundary between AI generation and meaningful human creative input, with proportionate implementation for small and medium-sized enterprises; calls for platforms to make available the possibility of self-labelling fully AI-generated content at the point of delivery by creators, and for distributors to apply and enforce consistent and transparent policies to that effect;</w:t>
            </w:r>
          </w:p>
        </w:tc>
        <w:tc>
          <w:tcPr>
            <w:tcW w:w="4876" w:type="dxa"/>
            <w:tcBorders>
              <w:top w:val="nil"/>
              <w:left w:val="nil"/>
              <w:bottom w:val="nil"/>
              <w:right w:val="nil"/>
            </w:tcBorders>
          </w:tcPr>
          <w:p>
            <w:pPr>
              <w:pStyle w:val="Normal6a"/>
            </w:pPr>
            <w:r>
              <w:t>13.</w:t>
            </w:r>
            <w:r>
              <w:tab/>
            </w:r>
            <w:r>
              <w:t xml:space="preserve">Recalls that Article 50 of the AI Act creates marking and disclosure obligations for the providers and deployers of AI systems generating synthetic content, but that those obligations do not follow the content along the chain through which it reaches the public; calls, therefore, for these obligations to be complemented by requirements for distributors, aggregators and platform operators to preserve and clearly display markings and provenance information, and for the development of common, workable and technologically neutral criteria to give practical effect to the boundary between AI generation and meaningful human creative input, with proportionate implementation for small and medium-sized enterprises; calls for platforms to make available the possibility of self-labelling fully AI-generated content at the point of delivery by creators, and for distributors to apply and enforce consistent and transparent policies to that effect; </w:t>
            </w:r>
            <w:r>
              <w:rPr>
                <w:b/>
                <w:i/>
              </w:rPr>
              <w:t>Emphasises that consumers must be able to distinguish clearly between works created by human artists and content generated entirely by AI; considers that the deliberate presentation of fully AI-generated music, literature, visual art or audiovisual content as genuine human artistic creation is misleading and undermines public trust; stresses that transparency requirements should be proportionate and must not impose unnecessary obligations on creators using AI solely for minor technical assistance;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Hannes Heide, Maria Guzenina, Gabriela Firea, Sandro Ruotolo, Marcos Ros Sempere, Joanna Scheuring-Wielgus, Nikos Papandreou,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Recalls that Article 50 of the AI Act creates marking and disclosure obligations for the providers and deployers of AI systems generating synthetic content, but that those obligations do not follow the content along the chain through which it reaches the public; calls, therefore, for these obligations to be complemented by requirements for distributors, aggregators and platform operators to preserve and clearly display markings and provenance information, and for the development of common, workable and technologically neutral criteria to give practical effect to the boundary between AI generation and meaningful human creative input, with proportionate implementation for small and medium-sized enterprises; calls for platforms to make available the possibility of self-labelling fully AI-generated content at the point of delivery by creators, and for distributors to apply and enforce consistent and transparent policies to that effect;</w:t>
            </w:r>
          </w:p>
        </w:tc>
        <w:tc>
          <w:tcPr>
            <w:tcW w:w="4876" w:type="dxa"/>
            <w:tcBorders>
              <w:top w:val="nil"/>
              <w:left w:val="nil"/>
              <w:bottom w:val="nil"/>
              <w:right w:val="nil"/>
            </w:tcBorders>
          </w:tcPr>
          <w:p>
            <w:pPr>
              <w:pStyle w:val="Normal6a"/>
            </w:pPr>
            <w:r>
              <w:t>13.</w:t>
            </w:r>
            <w:r>
              <w:tab/>
            </w:r>
            <w:r>
              <w:t xml:space="preserve">Recalls that Article 50 of the AI Act creates marking and disclosure obligations for the providers and deployers of AI systems generating synthetic content, but that those obligations do not follow the content along the chain through which it reaches the public; calls, therefore, for these obligations to be complemented by requirements for distributors, aggregators and platform operators to preserve and clearly display markings and provenance information, </w:t>
            </w:r>
            <w:r>
              <w:rPr>
                <w:b/>
                <w:i/>
              </w:rPr>
              <w:t>building on existing open and interoperable technical standards for content provenance where available,</w:t>
            </w:r>
            <w:r>
              <w:t xml:space="preserve"> and for the development of common, workable and technologically neutral criteria to give practical effect to the boundary between AI generation and meaningful human creative input, with proportionate implementation for small and medium-sized enterprises; calls for </w:t>
            </w:r>
            <w:r>
              <w:rPr>
                <w:b/>
                <w:i/>
              </w:rPr>
              <w:t>clear and visible labelling of content containing AI-generated or AI-manipulated components, and for</w:t>
            </w:r>
            <w:r>
              <w:t xml:space="preserve"> platforms to make available the possibility of self-labelling fully AI-generated content at the point of delivery by creators </w:t>
            </w:r>
            <w:r>
              <w:rPr>
                <w:b/>
                <w:i/>
              </w:rPr>
              <w:t>and to preserve and make available provenance information attached to content as it is shared</w:t>
            </w:r>
            <w:r>
              <w:t>, and for distributors to apply and enforce consistent and transparent policies to that effect;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Lara Magoni, Ivaylo Valchev, Marco Squarta, Chiara Gemma, Guillaume Peltier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Recalls that Article 50 of the AI Act creates marking and disclosure obligations for the providers and deployers of AI systems generating synthetic content</w:t>
            </w:r>
            <w:r>
              <w:rPr>
                <w:b/>
                <w:i/>
              </w:rPr>
              <w:t>, but that those obligations do not follow the content along the chain through which it reaches the public</w:t>
            </w:r>
            <w:r>
              <w:t>; calls</w:t>
            </w:r>
            <w:r>
              <w:rPr>
                <w:b/>
                <w:i/>
              </w:rPr>
              <w:t>, therefore, for these obligations to be complemented by requirements for</w:t>
            </w:r>
            <w:r>
              <w:t xml:space="preserve"> distributors</w:t>
            </w:r>
            <w:r>
              <w:rPr>
                <w:b/>
                <w:i/>
              </w:rPr>
              <w:t>, aggregators</w:t>
            </w:r>
            <w:r>
              <w:t xml:space="preserve"> and platform operators to preserve </w:t>
            </w:r>
            <w:r>
              <w:rPr>
                <w:b/>
                <w:i/>
              </w:rPr>
              <w:t>and clearly display</w:t>
            </w:r>
            <w:r>
              <w:t xml:space="preserve"> markings and provenance information</w:t>
            </w:r>
            <w:r>
              <w:rPr>
                <w:b/>
                <w:i/>
              </w:rPr>
              <w:t>, and for the development of common, workable</w:t>
            </w:r>
            <w:r>
              <w:t xml:space="preserve"> and technologically neutral </w:t>
            </w:r>
            <w:r>
              <w:rPr>
                <w:b/>
                <w:i/>
              </w:rPr>
              <w:t>criteria to give practical effect to the boundary</w:t>
            </w:r>
            <w:r>
              <w:t xml:space="preserve"> between </w:t>
            </w:r>
            <w:r>
              <w:rPr>
                <w:b/>
                <w:i/>
              </w:rPr>
              <w:t>AI generation and meaningful human creative input, with proportionate implementation for small and medium-sized enterprises; calls for platforms to make available the possibility of self-labelling</w:t>
            </w:r>
            <w:r>
              <w:t xml:space="preserve"> fully AI-generated content </w:t>
            </w:r>
            <w:r>
              <w:rPr>
                <w:b/>
                <w:i/>
              </w:rPr>
              <w:t>at the point of delivery by creators, and for distributors to apply and enforce consistent and transparent policies to that effect</w:t>
            </w:r>
            <w:r>
              <w:t>;</w:t>
            </w:r>
          </w:p>
        </w:tc>
        <w:tc>
          <w:tcPr>
            <w:tcW w:w="4876" w:type="dxa"/>
            <w:tcBorders>
              <w:top w:val="nil"/>
              <w:left w:val="nil"/>
              <w:bottom w:val="nil"/>
              <w:right w:val="nil"/>
            </w:tcBorders>
          </w:tcPr>
          <w:p>
            <w:pPr>
              <w:pStyle w:val="Normal6a"/>
            </w:pPr>
            <w:r>
              <w:t>13.</w:t>
            </w:r>
            <w:r>
              <w:tab/>
            </w:r>
            <w:r>
              <w:t xml:space="preserve">Recalls that Article 50 of the AI Act creates marking and disclosure obligations for the providers and deployers of AI systems generating synthetic content; calls </w:t>
            </w:r>
            <w:r>
              <w:rPr>
                <w:b/>
                <w:i/>
              </w:rPr>
              <w:t>on</w:t>
            </w:r>
            <w:r>
              <w:t xml:space="preserve"> distributors and platform operators to preserve</w:t>
            </w:r>
            <w:r>
              <w:rPr>
                <w:b/>
                <w:i/>
              </w:rPr>
              <w:t>, and not remove, such</w:t>
            </w:r>
            <w:r>
              <w:t xml:space="preserve"> markings and provenance information</w:t>
            </w:r>
            <w:r>
              <w:rPr>
                <w:b/>
                <w:i/>
              </w:rPr>
              <w:t>; calls for any requirements applicable further along the distribution chain to remain proportionate</w:t>
            </w:r>
            <w:r>
              <w:t xml:space="preserve"> and technologically neutral</w:t>
            </w:r>
            <w:r>
              <w:rPr>
                <w:b/>
                <w:i/>
              </w:rPr>
              <w:t>; stresses the need to distinguish clearly</w:t>
            </w:r>
            <w:r>
              <w:t xml:space="preserve"> between fully AI-generated content </w:t>
            </w:r>
            <w:r>
              <w:rPr>
                <w:b/>
                <w:i/>
              </w:rPr>
              <w:t>and works created with AI-assisted tools where a meaningful human creative contribution is present, and calls for any related labelling or disclosure requirements to take this distinction into account and not to discourage legitimate AI-assisted creative activity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Recalls that Article 50 of the AI Act creates marking and disclosure obligations for the providers and deployers of AI systems generating synthetic content, but that those obligations do not follow the content along the chain through which it reaches the public; calls, therefore, for these obligations to be complemented by requirements for distributors, aggregators and platform operators to preserve and clearly display markings and provenance information, and for the development of common, workable and technologically neutral criteria to give practical effect to the boundary between AI generation and meaningful human creative input</w:t>
            </w:r>
            <w:r>
              <w:rPr>
                <w:b/>
                <w:i/>
              </w:rPr>
              <w:t>, with proportionate implementation for small and medium-sized enterprises</w:t>
            </w:r>
            <w:r>
              <w:t>; calls for platforms to make available the possibility of self-labelling fully AI-generated content at the point of delivery by creators, and for distributors to apply and enforce consistent and transparent policies to that effect;</w:t>
            </w:r>
          </w:p>
        </w:tc>
        <w:tc>
          <w:tcPr>
            <w:tcW w:w="4876" w:type="dxa"/>
            <w:tcBorders>
              <w:top w:val="nil"/>
              <w:left w:val="nil"/>
              <w:bottom w:val="nil"/>
              <w:right w:val="nil"/>
            </w:tcBorders>
          </w:tcPr>
          <w:p>
            <w:pPr>
              <w:pStyle w:val="Normal6a"/>
            </w:pPr>
            <w:r>
              <w:t>13.</w:t>
            </w:r>
            <w:r>
              <w:tab/>
            </w:r>
            <w:r>
              <w:t>Recalls that Article 50 of the AI Act creates marking and disclosure obligations for the providers and deployers of AI systems generating synthetic content, but that those obligations do not follow the content along the chain through which it reaches the public; calls, therefore, for these obligations to be complemented by requirements for distributors, aggregators and platform operators to preserve and clearly display markings and provenance information, and for the development of common, workable and technologically neutral criteria to give practical effect to the boundary between AI generation and meaningful human creative input; calls for platforms to make available the possibility of self-labelling fully AI-generated content at the point of delivery by creators, and for distributors to apply and enforce consistent and transparent policies to that effect;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Catherine Griset, Annamária Vicsek, Antonín Staněk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 xml:space="preserve">Calls for an evaluation of all tools that could ensure clear, verifiable labelling of written, visual, audio or audiovisual content largely generated by AI, including where minimal human intervention has been needed; </w:t>
            </w:r>
            <w:r>
              <w:t xml:space="preserve"> </w:t>
            </w:r>
            <w:r>
              <w:rPr>
                <w:b/>
                <w:i/>
              </w:rPr>
              <w:t>notes that this evaluation should, as far as possible, include tools that can identify the specific AI system, model or agent used to generate the content and adequately trace their provenance and generation process;</w:t>
            </w:r>
            <w:r>
              <w:t xml:space="preserve"> </w:t>
            </w:r>
            <w:r>
              <w:rPr>
                <w:b/>
                <w:i/>
              </w:rPr>
              <w:t>calls, too, for an assessment of the feasibility of putting in place an effective liability framework for illegal content, looking in particular at whether principles similar to those applicable to the liability of legal persons could be used for AI systems, and the possibility of using a distinct legal and fiscal status for outputs generated autonomously by fully independent and self-evolving AI agents, with a view to maintaining an appropriate and mutually beneficial balance between protecting the copyright of human creators and promoting technological innovation, while making Europe more competitive;</w:t>
            </w:r>
            <w:r>
              <w:t xml:space="preserve"> </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Brigitte van den Berg, Nikola Minchev, Laurence Farreng,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Calls for sector-specific guidance distinguishing fully AI-generated content, significant AI-generated or manipulated elements within human-created works, and AI assistance with technical or preparatory tasks; stresses that disclosures should accurately describe the nature and extent of AI involvement and, where appropriate, identify the relevant component of a work; calls for accessible procedures to correct inaccurate labels and challenge decisions based on unreliable detection, and for consultation with creators and consumers to ensure that disclosures are understandable and useful;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Hélder Sousa Silva, Sunčana Glavak, Sabine Verheyen, Esteban González Pons, Manuela Ripa, Milan Zver, Giusi Princi, Viktor Weisz, Bogdan Andrzej Zdrojewski, Eleonora Meleti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Calls for online platforms to make available the possibility of self-labelling fully AI-generated content at the point of delivery by creators, and for distributors, where relevant and technically feasible, to apply and enforce consistent and transparent policies to that effect;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Calls on the Commission and the Member States to strengthen AI literacy and media literacy initiatives enabling citizens to understand the nature and provenance of AI-generated or AI-manipulated cultural and media content;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Hannes Heide, Maria Guzenina, Gabriela Firea, Sandro Ruotolo, Marcos Ros Sempere, Joanna Scheuring-Wielgus, Nikos Papandreou,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Calls for fair remuneration and effective value distribution for rights holders whose works are used in AI systems, and for meaningful transparency, including on training data, to enable rights holders to exercise their rights and obtain remuneration; to that end, calls on the Commission to strengthen the Model Documentation Form under the General-Purpose AI Code of Practice by improving the traceability of the origin, composition and licensing status of training data and to revise, without delay, the Commission Template for the Public Summary of Training Content, required under Article 53(1)(d) of the AI Act, so that public summaries enable rights holders to identify relevant training data sources and effectively exercise and enforce their rights;</w:t>
            </w:r>
          </w:p>
        </w:tc>
        <w:tc>
          <w:tcPr>
            <w:tcW w:w="4876" w:type="dxa"/>
            <w:tcBorders>
              <w:top w:val="nil"/>
              <w:left w:val="nil"/>
              <w:bottom w:val="nil"/>
              <w:right w:val="nil"/>
            </w:tcBorders>
          </w:tcPr>
          <w:p>
            <w:pPr>
              <w:pStyle w:val="Normal6a"/>
            </w:pPr>
            <w:r>
              <w:t>14.</w:t>
            </w:r>
            <w:r>
              <w:tab/>
            </w:r>
            <w:r>
              <w:t xml:space="preserve">Calls for fair remuneration and effective value distribution for </w:t>
            </w:r>
            <w:r>
              <w:rPr>
                <w:b/>
                <w:i/>
              </w:rPr>
              <w:t>all</w:t>
            </w:r>
            <w:r>
              <w:t xml:space="preserve"> rights holders whose </w:t>
            </w:r>
            <w:r>
              <w:rPr>
                <w:b/>
                <w:i/>
              </w:rPr>
              <w:t>protected</w:t>
            </w:r>
            <w:r>
              <w:t xml:space="preserve"> works </w:t>
            </w:r>
            <w:r>
              <w:rPr>
                <w:b/>
                <w:i/>
              </w:rPr>
              <w:t>and performances</w:t>
            </w:r>
            <w:r>
              <w:t xml:space="preserve"> are used in AI </w:t>
            </w:r>
            <w:r>
              <w:rPr>
                <w:b/>
                <w:i/>
              </w:rPr>
              <w:t>models and</w:t>
            </w:r>
            <w:r>
              <w:t xml:space="preserve"> systems</w:t>
            </w:r>
            <w:r>
              <w:rPr>
                <w:b/>
                <w:i/>
              </w:rPr>
              <w:t>, including authors and performers</w:t>
            </w:r>
            <w:r>
              <w:t xml:space="preserve">, and for meaningful transparency, including on training data, to enable rights holders </w:t>
            </w:r>
            <w:r>
              <w:rPr>
                <w:b/>
                <w:i/>
              </w:rPr>
              <w:t>and collective management organisations acting on their behalf</w:t>
            </w:r>
            <w:r>
              <w:t xml:space="preserve"> to exercise </w:t>
            </w:r>
            <w:r>
              <w:rPr>
                <w:b/>
                <w:i/>
              </w:rPr>
              <w:t>and enforce</w:t>
            </w:r>
            <w:r>
              <w:t xml:space="preserve"> their rights and obtain remuneration; to that end, calls on the Commission to strengthen the Model Documentation Form under the General-Purpose AI Code of Practice by improving the traceability of the origin, composition and licensing status of training data and to revise, without delay, the Commission Template for the Public Summary of Training Content, required under Article 53(1)(d) of the AI Act, so that public summaries enable rights holders </w:t>
            </w:r>
            <w:r>
              <w:rPr>
                <w:b/>
                <w:i/>
              </w:rPr>
              <w:t>and collective management organisations acting on their behalf</w:t>
            </w:r>
            <w:r>
              <w:t xml:space="preserve"> to identify relevant training data sources and effectively exercise and enforce their rights; </w:t>
            </w:r>
            <w:r>
              <w:rPr>
                <w:b/>
                <w:i/>
              </w:rPr>
              <w:t>calls for an additional level of transparency allowing rights holders with a legitimate interest, upon request, to obtain more detailed information on relevant training data; calls on the Commission to assess further measures to ensure meaningful transparency also for other AI systems and in-house generative AI tools;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Carolina Morace, Mario Furore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Calls for </w:t>
            </w:r>
            <w:r>
              <w:rPr>
                <w:b/>
                <w:i/>
              </w:rPr>
              <w:t>fair</w:t>
            </w:r>
            <w:r>
              <w:t xml:space="preserve"> remuneration and effective value distribution for rights holders whose works are used in AI systems</w:t>
            </w:r>
            <w:r>
              <w:rPr>
                <w:b/>
                <w:i/>
              </w:rPr>
              <w:t>, and</w:t>
            </w:r>
            <w:r>
              <w:t xml:space="preserve"> for meaningful transparency, including on training data, to enable rights holders </w:t>
            </w:r>
            <w:r>
              <w:rPr>
                <w:b/>
                <w:i/>
              </w:rPr>
              <w:t>to</w:t>
            </w:r>
            <w:r>
              <w:t xml:space="preserve"> exercise </w:t>
            </w:r>
            <w:r>
              <w:rPr>
                <w:b/>
                <w:i/>
              </w:rPr>
              <w:t>their</w:t>
            </w:r>
            <w:r>
              <w:t xml:space="preserve"> rights and obtain remuneration; to that end, calls on the Commission to strengthen the Model Documentation Form under the General-Purpose AI Code of Practice by improving the traceability of the origin, composition and licensing status of training data and to revise, without delay, the Commission Template for the Public Summary of Training Content, required under Article 53(1)(d) of the AI Act, so that </w:t>
            </w:r>
            <w:r>
              <w:rPr>
                <w:b/>
                <w:i/>
              </w:rPr>
              <w:t>public</w:t>
            </w:r>
            <w:r>
              <w:t xml:space="preserve"> summaries </w:t>
            </w:r>
            <w:r>
              <w:rPr>
                <w:b/>
                <w:i/>
              </w:rPr>
              <w:t>enable rights holders</w:t>
            </w:r>
            <w:r>
              <w:t xml:space="preserve"> to identify relevant training data sources and effectively exercise and enforce </w:t>
            </w:r>
            <w:r>
              <w:rPr>
                <w:b/>
                <w:i/>
              </w:rPr>
              <w:t>their</w:t>
            </w:r>
            <w:r>
              <w:t xml:space="preserve"> rights;</w:t>
            </w:r>
          </w:p>
        </w:tc>
        <w:tc>
          <w:tcPr>
            <w:tcW w:w="4876" w:type="dxa"/>
            <w:tcBorders>
              <w:top w:val="nil"/>
              <w:left w:val="nil"/>
              <w:bottom w:val="nil"/>
              <w:right w:val="nil"/>
            </w:tcBorders>
          </w:tcPr>
          <w:p>
            <w:pPr>
              <w:pStyle w:val="Normal6a"/>
            </w:pPr>
            <w:r>
              <w:t>14.</w:t>
            </w:r>
            <w:r>
              <w:tab/>
            </w:r>
            <w:r>
              <w:t xml:space="preserve">Calls for </w:t>
            </w:r>
            <w:r>
              <w:rPr>
                <w:b/>
                <w:i/>
              </w:rPr>
              <w:t>appropriate and proportionate</w:t>
            </w:r>
            <w:r>
              <w:t xml:space="preserve"> remuneration and effective value distribution for </w:t>
            </w:r>
            <w:r>
              <w:rPr>
                <w:b/>
                <w:i/>
              </w:rPr>
              <w:t>authors, performers and other</w:t>
            </w:r>
            <w:r>
              <w:t xml:space="preserve"> rights holders whose works </w:t>
            </w:r>
            <w:r>
              <w:rPr>
                <w:b/>
                <w:i/>
              </w:rPr>
              <w:t>and performances</w:t>
            </w:r>
            <w:r>
              <w:t xml:space="preserve"> are used in AI systems</w:t>
            </w:r>
            <w:r>
              <w:rPr>
                <w:b/>
                <w:i/>
              </w:rPr>
              <w:t>;</w:t>
            </w:r>
            <w:r>
              <w:t xml:space="preserve"> </w:t>
            </w:r>
            <w:r>
              <w:rPr>
                <w:b/>
                <w:i/>
              </w:rPr>
              <w:t>stresses that a fair share of the value generated must actually reach authors and performers;</w:t>
            </w:r>
            <w:r>
              <w:t xml:space="preserve"> </w:t>
            </w:r>
            <w:r>
              <w:rPr>
                <w:b/>
                <w:i/>
              </w:rPr>
              <w:t>calls also</w:t>
            </w:r>
            <w:r>
              <w:t xml:space="preserve"> for meaningful transparency, including on training data, to enable rights holders </w:t>
            </w:r>
            <w:r>
              <w:rPr>
                <w:b/>
                <w:i/>
              </w:rPr>
              <w:t>and, where relevant, collective management organisations acting on their behalf to effectively</w:t>
            </w:r>
            <w:r>
              <w:t xml:space="preserve"> exercise</w:t>
            </w:r>
            <w:r>
              <w:rPr>
                <w:b/>
                <w:i/>
              </w:rPr>
              <w:t>, manage and enforce these</w:t>
            </w:r>
            <w:r>
              <w:t xml:space="preserve"> rights and obtain remuneration; to that end, calls on the Commission to strengthen the Model Documentation Form under the General-Purpose AI Code of Practice by improving the traceability of the origin, composition and licensing status of training data and to revise, without delay, the Commission Template for the Public Summary of Training Content, required under Article 53(1)(d) of the AI Act, so that </w:t>
            </w:r>
            <w:r>
              <w:rPr>
                <w:b/>
                <w:i/>
              </w:rPr>
              <w:t>such</w:t>
            </w:r>
            <w:r>
              <w:t xml:space="preserve"> summaries </w:t>
            </w:r>
            <w:r>
              <w:rPr>
                <w:b/>
                <w:i/>
              </w:rPr>
              <w:t>make it possible</w:t>
            </w:r>
            <w:r>
              <w:t xml:space="preserve"> to identify relevant training data sources and effectively exercise and enforce rights;</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Lara Magoni, Ivaylo Valchev, Marco Squarta, Chiara Gemma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Calls for fair remuneration and effective value distribution for rights holders whose works are used in AI systems, and for meaningful transparency, including on training data, to enable rights holders to exercise their rights and obtain remuneration; to that end, calls on the Commission to strengthen the Model Documentation Form under the General-Purpose AI Code of Practice by improving the traceability of the origin, composition and licensing status of training data and to revise, without delay, the Commission Template for the Public Summary of Training Content, required under Article 53(1)(d) of the AI Act, so that public summaries enable rights holders to identify relevant training data sources and effectively exercise and enforce their rights;</w:t>
            </w:r>
          </w:p>
        </w:tc>
        <w:tc>
          <w:tcPr>
            <w:tcW w:w="4876" w:type="dxa"/>
            <w:tcBorders>
              <w:top w:val="nil"/>
              <w:left w:val="nil"/>
              <w:bottom w:val="nil"/>
              <w:right w:val="nil"/>
            </w:tcBorders>
          </w:tcPr>
          <w:p>
            <w:pPr>
              <w:pStyle w:val="Normal6a"/>
            </w:pPr>
            <w:r>
              <w:t>14.</w:t>
            </w:r>
            <w:r>
              <w:tab/>
            </w:r>
            <w:r>
              <w:t>Calls for fair remuneration and effective value distribution for rights holders whose works are used in AI systems, and for meaningful transparency, including on training data, to enable rights holders to exercise their rights and obtain remuneration; to that end, calls on the Commission to strengthen the Model Documentation Form under the General-Purpose AI Code of Practice by improving the traceability of the origin, composition and licensing status of training data and to revise, without delay, the Commission Template for the Public Summary of Training Content, required under Article 53(1)(d) of the AI Act, so that public summaries enable rights holders to identify relevant training data sources and effectively exercise and enforce their rights</w:t>
            </w:r>
            <w:r>
              <w:rPr>
                <w:b/>
                <w:i/>
              </w:rPr>
              <w:t>, thereby contributing to the effective application of the existing EU legal framework</w:t>
            </w:r>
            <w:r>
              <w:t xml:space="preserve">; </w:t>
            </w:r>
            <w:r>
              <w:rPr>
                <w:b/>
                <w:i/>
              </w:rPr>
              <w:t>stresses that transparency obligations must be implemented in full, with due regard for the protection of trade secrets;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Calls for fair remuneration </w:t>
            </w:r>
            <w:r>
              <w:rPr>
                <w:b/>
                <w:i/>
              </w:rPr>
              <w:t>and effective value distribution for</w:t>
            </w:r>
            <w:r>
              <w:t xml:space="preserve"> rights </w:t>
            </w:r>
            <w:r>
              <w:rPr>
                <w:b/>
                <w:i/>
              </w:rPr>
              <w:t>holders whose works are used in AI systems,</w:t>
            </w:r>
            <w:r>
              <w:t xml:space="preserve"> and for </w:t>
            </w:r>
            <w:r>
              <w:rPr>
                <w:b/>
                <w:i/>
              </w:rPr>
              <w:t>meaningful</w:t>
            </w:r>
            <w:r>
              <w:t xml:space="preserve"> transparency, including on training data, to enable rights holders to exercise their rights and obtain remuneration; to that end, calls on the Commission to strengthen the Model Documentation Form under the General-Purpose AI Code of Practice by improving the traceability of the origin, composition and licensing status of training data and to revise, without delay, the Commission Template for the Public Summary of Training Content, required under Article 53(1)(d) of the AI Act, so that public summaries enable rights holders to identify relevant training data sources and effectively exercise and enforce their rights;</w:t>
            </w:r>
          </w:p>
        </w:tc>
        <w:tc>
          <w:tcPr>
            <w:tcW w:w="4876" w:type="dxa"/>
            <w:tcBorders>
              <w:top w:val="nil"/>
              <w:left w:val="nil"/>
              <w:bottom w:val="nil"/>
              <w:right w:val="nil"/>
            </w:tcBorders>
          </w:tcPr>
          <w:p>
            <w:pPr>
              <w:pStyle w:val="Normal6a"/>
            </w:pPr>
            <w:r>
              <w:t>14.</w:t>
            </w:r>
            <w:r>
              <w:tab/>
            </w:r>
            <w:r>
              <w:t>Calls for fair remuneration</w:t>
            </w:r>
            <w:r>
              <w:rPr>
                <w:b/>
                <w:i/>
              </w:rPr>
              <w:t>, full protection of rightsholders’ exclusive</w:t>
            </w:r>
            <w:r>
              <w:t xml:space="preserve"> rights and for </w:t>
            </w:r>
            <w:r>
              <w:rPr>
                <w:b/>
                <w:i/>
              </w:rPr>
              <w:t>full</w:t>
            </w:r>
            <w:r>
              <w:t xml:space="preserve"> transparency, including on training data, to enable rights holders to exercise their rights and obtain remuneration; to that end, calls on the Commission to strengthen the Model Documentation Form under the General-Purpose AI Code of Practice by improving the traceability of the origin, composition and licensing status of training data and to revise, without delay, the Commission Template for the Public Summary of Training Content, required under Article 53(1)(d) of the AI Act, so that public summaries enable rights holders to identify relevant training data sources and effectively exercise and enforce their rights;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Carolina Morace, Mario Furore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calls on the Commission to ensure that activities funded under AgoraEU and other relevant Union programmes in the cultural and creative sectors fully comply with EU copyright law and related rights and also ensure adequate and proportionate remuneration for authors and performers;</w:t>
            </w:r>
            <w:r>
              <w:t xml:space="preserve"> </w:t>
            </w:r>
            <w:r>
              <w:rPr>
                <w:b/>
                <w:i/>
              </w:rPr>
              <w:t>considers, in addition, that EU support for creative production projects should foster meaningful and identifiable human creative contributions and should not incentivise production models that are predominantly geared towards using generative AI systems to replace creative human work;</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Brigitte van den Berg, Laurence Farreng,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Stresses that transparent attribution and revenue-distribution systems are necessary to enable rights holders to exercise their rights and obtain remuneration for their cultural or creative works; specifies that such systems should remain under human responsibility and be based on transparent, clearly defined and verifiable criteria; calls for the determination, calculation and allocation of rights holders’ remuneration to operate without the use of artificial intelligence, ensuring that creators, performers and other rights holders can understand, verify and effectively challenge the basis on which revenue is attributed and distributed;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Marcos Ros Sempere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Reiterates Parliament's call for the facilitation of voluntary, sector-specific collective licensing agreements, where appropriate, that are accessible to individual creators and SMEs and based on good-faith negotiations and transparency; recognises the role of collective management organisations in enabling authors and performers with limited bargaining power to take part in such agreements; stresses that rights holders must remain free to decide whether to license their works to generative AI systems, individually or collectively, and that their refusal to have their content used for training must be respected;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Recognises the essential role of collective management organisations in facilitating authorisation and licensing at scale, reducing transaction costs, ensuring equal access to the licensing market for individual authors and other creators, securing fair and proportionate remuneration and providing widest possible access to culturally diverse repertoires; calls on the Commission to ensure that any future framework supports collective licensing solutions and effective cooperation between providers of GenAI models, rights holders and their collective management organisations;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Bogdan Andrzej Zdrojewski, 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Raises concern about the potentially harmful impact of the market dilution caused by fully AI-generated content; Calls on the Commission to consider possible remuneration mechanisms addressing the commercial exploitation of AI-generated content that is used to unfairly substitute human-created works; stresses that such mechanisms should ensure a continuous flow of revenues towards creators and the cultural ecosystem, incentivise human creativity and respond to the needs of different cultural sectors;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Esteban González Pons, 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Calls on the Commission to define, monitor, and assess the sector-specific risks and opportunities of agentic AI systems in the CCS, including their impact on the use, distribution and monetisation of protected cultural content, within the existing EU AI Act and Digital Services Act review and risk-assessment mechanisms, and to propose targeted and proportionate measures where evidence demonstrates regulatory gaps;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Catherine Griset, Annamária Vicsek, Antonín Staněk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Believes that it is appropriate to look at the issue of liability, in addition to the ethical and moral issues, linked to AI development, including the functioning and activities of superintelligences, humanoid robots and androids that can operate autonomously;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Carolina Morace, Mario Furore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14b.</w:t>
            </w:r>
            <w:r>
              <w:tab/>
            </w:r>
            <w:r>
              <w:rPr>
                <w:b/>
                <w:i/>
              </w:rPr>
              <w:t>calls on the Commission to assess, in accordance with the principles of proportionality and legal certainty, the introduction of effective mechanisms designed to facilitate the exercise and enforcement of rights in cases in which providers of AI systems do not comply with the applicable transparency obligations governing data used for training;</w:t>
            </w:r>
            <w:r>
              <w:t xml:space="preserve"> </w:t>
            </w:r>
            <w:r>
              <w:rPr>
                <w:b/>
                <w:i/>
              </w:rPr>
              <w:t>calls, in particular, on the Commission to look into the possibility of introducing, where a rights holder provides reasonable proof indicating that certain protected works or performances may have been used, a rebuttable presumption of use if the aforementioned obligations are not fulfilled, unless the provider is able to prove the contrary;</w:t>
            </w:r>
            <w:r>
              <w:t xml:space="preserve"> </w:t>
            </w:r>
            <w:r>
              <w:rPr>
                <w:b/>
                <w:i/>
              </w:rPr>
              <w:t>also calls on the Commission to consider effective redress and compensation mechanisms for the unauthorized use of protected works and performances for the purposes of AI training;</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14b.</w:t>
            </w:r>
            <w:r>
              <w:tab/>
            </w:r>
            <w:r>
              <w:rPr>
                <w:b/>
                <w:i/>
              </w:rPr>
              <w:t>Calls on the Commission to examine possible solutions for fair and proportionate remuneration for past uses of copyright-protected works by providers of general-purpose AI models and systems, where licensing markets are not yet established; opposes, in this regard, a framework based on global licences and flat-rate payments, and considers that the value of copyright-protected content should reflect relevant factors and be determined through good-faith negotiations between rights holders or their representatives and AI providers;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14d.</w:t>
            </w:r>
            <w:r>
              <w:tab/>
            </w:r>
            <w:r>
              <w:rPr>
                <w:b/>
                <w:i/>
              </w:rPr>
              <w:t>Calls on the Commission to establish a High-Level Group on AI training and copyright, bringing together experts and representatives of AI developers and the cultural and creative sectors, including collective management organisations (CMOs), with a six-month mandate to foster dialogue, develop good practices and make recommendations for licensing and remuneration schemes that reconcile respect for copyright and related rights with access to quality data;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Eleonora Meleti, 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Calls on the Commission and the Member States to complement horizontal AI and copyright rules with tailored sector-specific policies and support measures addressing the distinct realities of the music, audiovisual, book and publishing, cultural heritage and news media sectors;</w:t>
            </w:r>
          </w:p>
        </w:tc>
        <w:tc>
          <w:tcPr>
            <w:tcW w:w="4876" w:type="dxa"/>
            <w:tcBorders>
              <w:top w:val="nil"/>
              <w:left w:val="nil"/>
              <w:bottom w:val="nil"/>
              <w:right w:val="nil"/>
            </w:tcBorders>
          </w:tcPr>
          <w:p>
            <w:pPr>
              <w:pStyle w:val="Normal6a"/>
            </w:pPr>
            <w:r>
              <w:t>15.</w:t>
            </w:r>
            <w:r>
              <w:tab/>
            </w:r>
            <w:r>
              <w:t xml:space="preserve">Calls on the Commission and the Member States to complement horizontal AI and copyright rules with tailored sector-specific policies and support measures addressing the distinct realities of the music, audiovisual, book and publishing, cultural heritage and news media sectors; </w:t>
            </w:r>
            <w:r>
              <w:rPr>
                <w:b/>
                <w:i/>
              </w:rPr>
              <w:t>calls on the Commission to address without delay practices of GenAI services that harm European creators and rights holders and, in line with Parliament's previous resolutions, to put forward, where potential gaps are identified, further legislative measures ensuring the effective protection of copyright and related rights;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Hannes Heide, Maria Guzenina, Gabriela Firea, Sandro Ruotolo, Marcos Ros Sempere, Joanna Scheuring-Wielgus, Nikos Papandreou,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Calls on the Commission and the Member States to complement horizontal AI and copyright rules with tailored sector-specific policies and support measures addressing the distinct realities of the music, audiovisual, book and publishing, cultural heritage and news media sectors;</w:t>
            </w:r>
          </w:p>
        </w:tc>
        <w:tc>
          <w:tcPr>
            <w:tcW w:w="4876" w:type="dxa"/>
            <w:tcBorders>
              <w:top w:val="nil"/>
              <w:left w:val="nil"/>
              <w:bottom w:val="nil"/>
              <w:right w:val="nil"/>
            </w:tcBorders>
          </w:tcPr>
          <w:p>
            <w:pPr>
              <w:pStyle w:val="Normal6a"/>
            </w:pPr>
            <w:r>
              <w:t>15.</w:t>
            </w:r>
            <w:r>
              <w:tab/>
            </w:r>
            <w:r>
              <w:t xml:space="preserve">Calls on the Commission and the Member States to complement horizontal AI and copyright rules with tailored sector-specific policies and </w:t>
            </w:r>
            <w:r>
              <w:rPr>
                <w:b/>
                <w:i/>
              </w:rPr>
              <w:t>effective</w:t>
            </w:r>
            <w:r>
              <w:t xml:space="preserve"> support measures</w:t>
            </w:r>
            <w:r>
              <w:rPr>
                <w:b/>
                <w:i/>
              </w:rPr>
              <w:t>, and, where an assessment identifies the need, appropriate legislative measures,</w:t>
            </w:r>
            <w:r>
              <w:t xml:space="preserve"> addressing the distinct realities of the music, audiovisual, book and publishing, cultural heritage and news media sectors</w:t>
            </w:r>
            <w:r>
              <w:rPr>
                <w:b/>
                <w:i/>
              </w:rPr>
              <w:t>, while recognising the role of social partners and collective bargaining in addressing sector-specific challenges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Catherine Griset, Annamária Vicsek, Antonín Staněk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Calls on </w:t>
            </w:r>
            <w:r>
              <w:rPr>
                <w:b/>
                <w:i/>
              </w:rPr>
              <w:t>the Commission and</w:t>
            </w:r>
            <w:r>
              <w:t xml:space="preserve"> the Member States to complement horizontal AI and copyright rules with tailored sector-specific policies and support measures addressing the distinct realities of the music, audiovisual, book and publishing, cultural heritage and news media sectors;</w:t>
            </w:r>
          </w:p>
        </w:tc>
        <w:tc>
          <w:tcPr>
            <w:tcW w:w="4876" w:type="dxa"/>
            <w:tcBorders>
              <w:top w:val="nil"/>
              <w:left w:val="nil"/>
              <w:bottom w:val="nil"/>
              <w:right w:val="nil"/>
            </w:tcBorders>
          </w:tcPr>
          <w:p>
            <w:pPr>
              <w:pStyle w:val="Normal6a"/>
            </w:pPr>
            <w:r>
              <w:t>15.</w:t>
            </w:r>
            <w:r>
              <w:tab/>
            </w:r>
            <w:r>
              <w:t xml:space="preserve">Calls on the Member States to complement horizontal AI and copyright rules with tailored sector-specific policies </w:t>
            </w:r>
            <w:r>
              <w:rPr>
                <w:b/>
                <w:i/>
              </w:rPr>
              <w:t>and negotiations,</w:t>
            </w:r>
            <w:r>
              <w:t xml:space="preserve"> and support measures addressing the distinct realities of the music, audiovisual, book and publishing, cultural heritage and news media sectors</w:t>
            </w:r>
            <w:r>
              <w:rPr>
                <w:b/>
                <w:i/>
              </w:rPr>
              <w:t>, without hampering technical and economic progress or undermining fundamental freedoms</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Lara Magoni, Ivaylo Valchev, Marco Squarta, Chiara Gemma, Guillaume Peltier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Calls on the Commission and the Member States to complement horizontal AI and copyright rules with tailored sector-specific policies and support measures addressing the distinct realities of the music, audiovisual, book and publishing, cultural heritage and news media sectors;</w:t>
            </w:r>
          </w:p>
        </w:tc>
        <w:tc>
          <w:tcPr>
            <w:tcW w:w="4876" w:type="dxa"/>
            <w:tcBorders>
              <w:top w:val="nil"/>
              <w:left w:val="nil"/>
              <w:bottom w:val="nil"/>
              <w:right w:val="nil"/>
            </w:tcBorders>
          </w:tcPr>
          <w:p>
            <w:pPr>
              <w:pStyle w:val="Normal6a"/>
            </w:pPr>
            <w:r>
              <w:t>15.</w:t>
            </w:r>
            <w:r>
              <w:tab/>
            </w:r>
            <w:r>
              <w:t>Calls on the Commission and the Member States</w:t>
            </w:r>
            <w:r>
              <w:rPr>
                <w:b/>
                <w:i/>
              </w:rPr>
              <w:t>, within their respective competences,</w:t>
            </w:r>
            <w:r>
              <w:t xml:space="preserve"> to complement horizontal AI and copyright rules with tailored sector-specific policies and support measures addressing the distinct realities of the music, audiovisual, </w:t>
            </w:r>
            <w:r>
              <w:rPr>
                <w:b/>
                <w:i/>
              </w:rPr>
              <w:t>videogames,</w:t>
            </w:r>
            <w:r>
              <w:t xml:space="preserve"> book and publishing, cultural heritage and news media sectors;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Brigitte van den Berg, Nikola Minchev, Laurence Farreng,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Calls on the Commission and the Member States to complement horizontal AI and copyright rules with tailored sector-specific policies and support measures addressing the distinct realities of the music, audiovisual, book and publishing, cultural heritage and news media sectors;</w:t>
            </w:r>
          </w:p>
        </w:tc>
        <w:tc>
          <w:tcPr>
            <w:tcW w:w="4876" w:type="dxa"/>
            <w:tcBorders>
              <w:top w:val="nil"/>
              <w:left w:val="nil"/>
              <w:bottom w:val="nil"/>
              <w:right w:val="nil"/>
            </w:tcBorders>
          </w:tcPr>
          <w:p>
            <w:pPr>
              <w:pStyle w:val="Normal6a"/>
            </w:pPr>
            <w:r>
              <w:t>15.</w:t>
            </w:r>
            <w:r>
              <w:tab/>
            </w:r>
            <w:r>
              <w:t xml:space="preserve">Calls on the Commission and the Member States to complement horizontal AI and copyright rules with tailored sector-specific policies and support measures addressing the distinct realities of the music, audiovisual, </w:t>
            </w:r>
            <w:r>
              <w:rPr>
                <w:b/>
                <w:i/>
              </w:rPr>
              <w:t>videogames,</w:t>
            </w:r>
            <w:r>
              <w:t xml:space="preserve"> book and publishing, cultural heritage and news media sectors;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Sunčana Glavak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Stresses the potential of AI to make cultural and creative content more accessible to people with disabilities, for example through automatic captioning, audio description, speech-to-text and text-to-speech conversion, and adaptable digital interfaces;</w:t>
            </w:r>
            <w:r>
              <w:t xml:space="preserve"> </w:t>
            </w:r>
            <w:r>
              <w:rPr>
                <w:b/>
                <w:i/>
              </w:rPr>
              <w:t>calls on the Commission and Member States to promote accessibility right from the phase of designing and developing the AI tools and to ensure that these solutions are reliable, easy to use, and developed in consultation with people with disabilities and their representative organisations;</w:t>
            </w:r>
          </w:p>
        </w:tc>
      </w:tr>
    </w:tbl>
    <w:p>
      <w:pPr>
        <w:pStyle w:val="AmOrLang"/>
      </w:pPr>
      <w:r>
        <w:t xml:space="preserve">Or. </w:t>
      </w:r>
      <w:r>
        <w:rPr>
          <w:rStyle w:val="HideTWBExt"/>
        </w:rPr>
        <w:t>&lt;Original&gt;</w:t>
      </w:r>
      <w:r>
        <w:rPr>
          <w:rStyle w:val="HideTWBInt"/>
        </w:rPr>
        <w:t>{HR}</w:t>
      </w:r>
      <w:r>
        <w:t>hr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Catherine Griset, Annamária Vicsek, Antonín Staněk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Points out, however, that any EU decision directly affecting the Member States' competences in the areas of culture, languages, education or media regulation must be taken unanimously by all of the Member States concerned;</w:t>
            </w:r>
            <w:r>
              <w:t xml:space="preserve"> </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Brigitte van den Berg, Nikola Minchev, Laurence Farreng,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Calls on the Commission, when developing such sector-specific policies and support measures, to build on existing grassroots and sector-led initiatives, standards and good practices, and to avoid unnecessary duplication of structures, tools or requirements;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Joanna Scheuring-Wielgus, Emma Rafowicz, Hannes Heide, Marcos Ros Sempere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Recognises that AI tools </w:t>
            </w:r>
            <w:r>
              <w:rPr>
                <w:b/>
                <w:i/>
              </w:rPr>
              <w:t>can</w:t>
            </w:r>
            <w:r>
              <w:t xml:space="preserve"> enhance the discoverability of European music and connect listeners with new artists; </w:t>
            </w:r>
            <w:r>
              <w:rPr>
                <w:b/>
                <w:i/>
              </w:rPr>
              <w:t>reminds the Commission of the request made by Parliament</w:t>
            </w:r>
            <w:r>
              <w:t xml:space="preserve">, in its resolution on cultural diversity and the conditions for authors in the European music streaming market, for action to be taken at EU level to guarantee the visibility </w:t>
            </w:r>
            <w:r>
              <w:rPr>
                <w:b/>
                <w:i/>
              </w:rPr>
              <w:t>and</w:t>
            </w:r>
            <w:r>
              <w:t xml:space="preserve"> accessibility of European musical works</w:t>
            </w:r>
            <w:r>
              <w:rPr>
                <w:b/>
                <w:i/>
              </w:rPr>
              <w:t>, considering</w:t>
            </w:r>
            <w:r>
              <w:t xml:space="preserve"> the overwhelming</w:t>
            </w:r>
            <w:r>
              <w:rPr>
                <w:b/>
                <w:i/>
              </w:rPr>
              <w:t>,</w:t>
            </w:r>
            <w:r>
              <w:t xml:space="preserve"> and constantly growing</w:t>
            </w:r>
            <w:r>
              <w:rPr>
                <w:b/>
                <w:i/>
              </w:rPr>
              <w:t>,</w:t>
            </w:r>
            <w:r>
              <w:t xml:space="preserve"> amount of content on music streaming platforms and the </w:t>
            </w:r>
            <w:r>
              <w:rPr>
                <w:b/>
                <w:i/>
              </w:rPr>
              <w:t>lack of</w:t>
            </w:r>
            <w:r>
              <w:t xml:space="preserve"> EU rules </w:t>
            </w:r>
            <w:r>
              <w:rPr>
                <w:b/>
                <w:i/>
              </w:rPr>
              <w:t>to regulate these</w:t>
            </w:r>
            <w:r>
              <w:t xml:space="preserve"> streaming platforms </w:t>
            </w:r>
            <w:r>
              <w:rPr>
                <w:b/>
                <w:i/>
              </w:rPr>
              <w:t>in a harmonised manner</w:t>
            </w:r>
            <w:r>
              <w:t>;</w:t>
            </w:r>
          </w:p>
        </w:tc>
        <w:tc>
          <w:tcPr>
            <w:tcW w:w="4876" w:type="dxa"/>
            <w:tcBorders>
              <w:top w:val="nil"/>
              <w:left w:val="nil"/>
              <w:bottom w:val="nil"/>
              <w:right w:val="nil"/>
            </w:tcBorders>
          </w:tcPr>
          <w:p>
            <w:pPr>
              <w:pStyle w:val="Normal6a"/>
            </w:pPr>
            <w:r>
              <w:t>16.</w:t>
            </w:r>
            <w:r>
              <w:tab/>
            </w:r>
            <w:r>
              <w:t xml:space="preserve">Recognises that AI tools </w:t>
            </w:r>
            <w:r>
              <w:rPr>
                <w:b/>
                <w:i/>
              </w:rPr>
              <w:t>should</w:t>
            </w:r>
            <w:r>
              <w:t xml:space="preserve"> enhance the discoverability of European music and connect listeners with new artists; </w:t>
            </w:r>
            <w:r>
              <w:rPr>
                <w:b/>
                <w:i/>
              </w:rPr>
              <w:t>reiterates Parliament's call</w:t>
            </w:r>
            <w:r>
              <w:t>, in its resolution on cultural diversity and the conditions for authors in the European music streaming market, for action to be taken at EU level to guarantee the visibility</w:t>
            </w:r>
            <w:r>
              <w:rPr>
                <w:b/>
                <w:i/>
              </w:rPr>
              <w:t>,</w:t>
            </w:r>
            <w:r>
              <w:t xml:space="preserve"> accessibility </w:t>
            </w:r>
            <w:r>
              <w:rPr>
                <w:b/>
                <w:i/>
              </w:rPr>
              <w:t>and prominence</w:t>
            </w:r>
            <w:r>
              <w:t xml:space="preserve"> of European musical works</w:t>
            </w:r>
            <w:r>
              <w:rPr>
                <w:b/>
                <w:i/>
              </w:rPr>
              <w:t>; calls on the Commission, given</w:t>
            </w:r>
            <w:r>
              <w:t xml:space="preserve"> the overwhelming and constantly growing amount of content on music streaming platforms and the </w:t>
            </w:r>
            <w:r>
              <w:rPr>
                <w:b/>
                <w:i/>
              </w:rPr>
              <w:t>absence of harmonised</w:t>
            </w:r>
            <w:r>
              <w:t xml:space="preserve"> EU rules </w:t>
            </w:r>
            <w:r>
              <w:rPr>
                <w:b/>
                <w:i/>
              </w:rPr>
              <w:t>on the prominence of European works, to consider proposing targeted legal provisions to ensure the transparency of the algorithms and content recommendation systems on all relevant music</w:t>
            </w:r>
            <w:r>
              <w:t xml:space="preserve"> streaming platforms;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Lara Magoni, Ivaylo Valchev, Marco Squarta, Chiara Gemma, Guillaume Peltier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Recognises that AI tools can enhance the discoverability of European music and connect listeners with new artists; </w:t>
            </w:r>
            <w:r>
              <w:rPr>
                <w:b/>
                <w:i/>
              </w:rPr>
              <w:t>reminds the Commission of the request made by Parliament, in its</w:t>
            </w:r>
            <w:r>
              <w:t xml:space="preserve"> resolution on cultural diversity and the conditions for authors in the European music streaming market</w:t>
            </w:r>
            <w:r>
              <w:rPr>
                <w:b/>
                <w:i/>
              </w:rPr>
              <w:t>, for action to be taken at EU level to guarantee the</w:t>
            </w:r>
            <w:r>
              <w:t xml:space="preserve"> visibility </w:t>
            </w:r>
            <w:r>
              <w:rPr>
                <w:b/>
                <w:i/>
              </w:rPr>
              <w:t>and accessibility</w:t>
            </w:r>
            <w:r>
              <w:t xml:space="preserve"> of European musical works</w:t>
            </w:r>
            <w:r>
              <w:rPr>
                <w:b/>
                <w:i/>
              </w:rPr>
              <w:t>,</w:t>
            </w:r>
            <w:r>
              <w:t xml:space="preserve"> considering </w:t>
            </w:r>
            <w:r>
              <w:rPr>
                <w:b/>
                <w:i/>
              </w:rPr>
              <w:t>the overwhelming, and constantly growing, amount of content on music streaming platforms and the lack of EU rules to regulate these streaming platforms in a harmonised manner</w:t>
            </w:r>
            <w:r>
              <w:t>;</w:t>
            </w:r>
          </w:p>
        </w:tc>
        <w:tc>
          <w:tcPr>
            <w:tcW w:w="4876" w:type="dxa"/>
            <w:tcBorders>
              <w:top w:val="nil"/>
              <w:left w:val="nil"/>
              <w:bottom w:val="nil"/>
              <w:right w:val="nil"/>
            </w:tcBorders>
          </w:tcPr>
          <w:p>
            <w:pPr>
              <w:pStyle w:val="Normal6a"/>
            </w:pPr>
            <w:r>
              <w:t>16.</w:t>
            </w:r>
            <w:r>
              <w:tab/>
            </w:r>
            <w:r>
              <w:t xml:space="preserve">Recognises that AI tools can enhance the discoverability of European music and connect listeners with new artists; </w:t>
            </w:r>
            <w:r>
              <w:rPr>
                <w:b/>
                <w:i/>
              </w:rPr>
              <w:t>recalls Parliament's</w:t>
            </w:r>
            <w:r>
              <w:t xml:space="preserve"> resolution </w:t>
            </w:r>
            <w:r>
              <w:rPr>
                <w:b/>
                <w:i/>
              </w:rPr>
              <w:t>of 17 January 2024</w:t>
            </w:r>
            <w:r>
              <w:t xml:space="preserve"> on cultural diversity and the conditions for authors in the European music streaming market</w:t>
            </w:r>
            <w:r>
              <w:rPr>
                <w:b/>
                <w:i/>
              </w:rPr>
              <w:t>; calls on the Commission to assess the effectiveness of the existing framework in addressing discoverability and</w:t>
            </w:r>
            <w:r>
              <w:t xml:space="preserve"> visibility of European musical works </w:t>
            </w:r>
            <w:r>
              <w:rPr>
                <w:b/>
                <w:i/>
              </w:rPr>
              <w:t>before</w:t>
            </w:r>
            <w:r>
              <w:t xml:space="preserve"> considering </w:t>
            </w:r>
            <w:r>
              <w:rPr>
                <w:b/>
                <w:i/>
              </w:rPr>
              <w:t>additional EU-level regulatory measures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Zsuzsanna Borvendég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rPr>
                <w:b/>
                <w:i/>
              </w:rPr>
              <w:t>Recognises that AI tools can enhance the discoverability of European</w:t>
            </w:r>
            <w:r>
              <w:t xml:space="preserve"> music </w:t>
            </w:r>
            <w:r>
              <w:rPr>
                <w:b/>
                <w:i/>
              </w:rPr>
              <w:t>and connect listeners with new artists; reminds the Commission of the request made by Parliament, in its resolution on cultural diversity and the conditions for authors in the European music streaming market, for action to be taken at EU level to guarantee the visibility and accessibility of European musical works, considering the overwhelming, and constantly growing, amount of content on music</w:t>
            </w:r>
            <w:r>
              <w:t xml:space="preserve"> streaming platforms </w:t>
            </w:r>
            <w:r>
              <w:rPr>
                <w:b/>
                <w:i/>
              </w:rPr>
              <w:t>and the lack of EU rules to regulate these streaming platforms in a harmonised manner</w:t>
            </w:r>
            <w:r>
              <w:t>;</w:t>
            </w:r>
          </w:p>
        </w:tc>
        <w:tc>
          <w:tcPr>
            <w:tcW w:w="4876" w:type="dxa"/>
            <w:tcBorders>
              <w:top w:val="nil"/>
              <w:left w:val="nil"/>
              <w:bottom w:val="nil"/>
              <w:right w:val="nil"/>
            </w:tcBorders>
          </w:tcPr>
          <w:p>
            <w:pPr>
              <w:pStyle w:val="Normal6a"/>
            </w:pPr>
            <w:r>
              <w:t>16.</w:t>
            </w:r>
            <w:r>
              <w:tab/>
            </w:r>
            <w:r>
              <w:rPr>
                <w:b/>
                <w:i/>
              </w:rPr>
              <w:t>Expresses serious concern that the rapid proliferation of AI-generated</w:t>
            </w:r>
            <w:r>
              <w:t xml:space="preserve"> music </w:t>
            </w:r>
            <w:r>
              <w:rPr>
                <w:b/>
                <w:i/>
              </w:rPr>
              <w:t>on</w:t>
            </w:r>
            <w:r>
              <w:t xml:space="preserve"> streaming platforms </w:t>
            </w:r>
            <w:r>
              <w:rPr>
                <w:b/>
                <w:i/>
              </w:rPr>
              <w:t>risks devaluing musical creativity, reducing the visibility and remuneration of human musicians and undermining the sustainability of the European music industry; warns that algorithmically generated music, including content imitating the voices, styles or performances of identifiable artists, must not be allowed to unfairly compete with or mislead audiences about authentic human performances; stresses the importance of safeguarding Europe's musical traditions, including folk music, regional musical heritage and works in smaller European languages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rPr>
                <w:b/>
                <w:i/>
              </w:rPr>
              <w:t>Recognises</w:t>
            </w:r>
            <w:r>
              <w:t xml:space="preserve"> that AI tools </w:t>
            </w:r>
            <w:r>
              <w:rPr>
                <w:b/>
                <w:i/>
              </w:rPr>
              <w:t>can</w:t>
            </w:r>
            <w:r>
              <w:t xml:space="preserve"> enhance the discoverability of European music and connect listeners with new artists; reminds the Commission of the request made by Parliament, in its resolution on cultural diversity and the conditions for authors in the European music streaming market, for action to be taken at EU level to guarantee the visibility and accessibility of European musical works, considering the overwhelming, and constantly growing, amount of content on music streaming platforms and the lack of EU rules to regulate these streaming platforms in a harmonised manner;</w:t>
            </w:r>
          </w:p>
        </w:tc>
        <w:tc>
          <w:tcPr>
            <w:tcW w:w="4876" w:type="dxa"/>
            <w:tcBorders>
              <w:top w:val="nil"/>
              <w:left w:val="nil"/>
              <w:bottom w:val="nil"/>
              <w:right w:val="nil"/>
            </w:tcBorders>
          </w:tcPr>
          <w:p>
            <w:pPr>
              <w:pStyle w:val="Normal6a"/>
            </w:pPr>
            <w:r>
              <w:t>16.</w:t>
            </w:r>
            <w:r>
              <w:tab/>
            </w:r>
            <w:r>
              <w:rPr>
                <w:b/>
                <w:i/>
              </w:rPr>
              <w:t>Requires</w:t>
            </w:r>
            <w:r>
              <w:t xml:space="preserve"> that AI tools enhance the discoverability of European music and connect listeners with new</w:t>
            </w:r>
            <w:r>
              <w:rPr>
                <w:b/>
                <w:i/>
              </w:rPr>
              <w:t> culturally diverse human authors and</w:t>
            </w:r>
            <w:r>
              <w:t xml:space="preserve"> artists; reminds the Commission of the request made by Parliament, in its resolution on cultural diversity and the conditions for authors in the European music streaming market, for action to be taken at EU level to guarantee the visibility and accessibility of European musical works, considering the overwhelming, and constantly growing, amount of content on music streaming platforms and the lack of EU rules to regulate these streaming platforms in a harmonised manner;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Carolina Morace, Mario Furore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calls on the Commission to assess the growing impact of AI-generated music on the remuneration, discoverability and market opportunities of authors and performers;</w:t>
            </w:r>
            <w:r>
              <w:t xml:space="preserve"> </w:t>
            </w:r>
            <w:r>
              <w:rPr>
                <w:b/>
                <w:i/>
              </w:rPr>
              <w:t>stresses the need to address substitution effects arising from the large-scale dissemination of synthetic content, particularly when such content is generated by using protected works and performances without authorisation;</w:t>
            </w:r>
            <w:r>
              <w:t xml:space="preserve"> </w:t>
            </w:r>
            <w:r>
              <w:rPr>
                <w:b/>
                <w:i/>
              </w:rPr>
              <w:t>calls on the Commission to ensure that recommendation, monetisation and revenue-allocation systems of streaming platforms do not give rise to unfair disadvantages for human musical creation;</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Catherine Griset, Annamária Vicsek, Antonín Staněk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Recognises, too, that listeners should always be able to ask AI to create music for them that is tailored to their specifications, accompanied by clear and visible labelling to indicate that it is AI-generated;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Zsuzsanna Borvendég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Calls for all fully AI-generated tracks on streaming platforms to carry a clear and visible label and for this to be done in a timely manner, regardless of whether the tracks qualify as deepfakes; calls for platforms to be required to ensure that such labelling is consistently displayed and effectively enforced on their services;</w:t>
            </w:r>
          </w:p>
        </w:tc>
        <w:tc>
          <w:tcPr>
            <w:tcW w:w="4876" w:type="dxa"/>
            <w:tcBorders>
              <w:top w:val="nil"/>
              <w:left w:val="nil"/>
              <w:bottom w:val="nil"/>
              <w:right w:val="nil"/>
            </w:tcBorders>
          </w:tcPr>
          <w:p>
            <w:pPr>
              <w:pStyle w:val="Normal6a"/>
            </w:pPr>
            <w:r>
              <w:t>17.</w:t>
            </w:r>
            <w:r>
              <w:tab/>
            </w:r>
            <w:r>
              <w:t xml:space="preserve">Calls for all fully AI-generated tracks on streaming platforms to carry a clear and visible label and for this to be done in a timely manner, regardless of whether the tracks qualify as deepfakes; calls for platforms to be required to ensure that such labelling is consistently displayed and effectively enforced on their services; </w:t>
            </w:r>
            <w:r>
              <w:rPr>
                <w:b/>
                <w:i/>
              </w:rPr>
              <w:t>calls on music streaming platforms to provide users with an easily accessible option to exclude fully AI-generated tracks from personalised recommendations and automated playlists; stresses that listeners should retain genuine freedom of choice regarding whether they wish to consume synthetic or human-created music;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Hannes Heide, Maria Guzenina, Gabriela Firea, Sandro Ruotolo, Marcos Ros Sempere, Joanna Scheuring-Wielgus, Nikos Papandreou,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Calls for all fully AI-generated tracks on streaming platforms to carry a clear and visible label and for this to be done in a timely manner, regardless of whether the tracks qualify as deepfakes; calls for platforms to be required to ensure that such labelling is consistently displayed and effectively enforced on their services;</w:t>
            </w:r>
          </w:p>
        </w:tc>
        <w:tc>
          <w:tcPr>
            <w:tcW w:w="4876" w:type="dxa"/>
            <w:tcBorders>
              <w:top w:val="nil"/>
              <w:left w:val="nil"/>
              <w:bottom w:val="nil"/>
              <w:right w:val="nil"/>
            </w:tcBorders>
          </w:tcPr>
          <w:p>
            <w:pPr>
              <w:pStyle w:val="Normal6a"/>
            </w:pPr>
            <w:r>
              <w:t>17.</w:t>
            </w:r>
            <w:r>
              <w:tab/>
            </w:r>
            <w:r>
              <w:t xml:space="preserve">Calls for all fully AI-generated tracks on streaming platforms to carry a clear and visible label and for this to be done in a timely manner </w:t>
            </w:r>
            <w:r>
              <w:rPr>
                <w:b/>
                <w:i/>
              </w:rPr>
              <w:t>and at the latest at the time of the first interaction or exposure to the work</w:t>
            </w:r>
            <w:r>
              <w:t>, regardless of whether the tracks qualify as deepfakes; calls for platforms to be required to ensure that such labelling is consistently displayed and effectively enforced on their services;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Calls for all fully AI-generated tracks on streaming platforms to carry a clear and visible label and for this to be done in a timely manner, regardless of whether the tracks qualify as deepfakes; calls for platforms to be required to ensure that such labelling is consistently displayed and effectively enforced on their services;</w:t>
            </w:r>
          </w:p>
        </w:tc>
        <w:tc>
          <w:tcPr>
            <w:tcW w:w="4876" w:type="dxa"/>
            <w:tcBorders>
              <w:top w:val="nil"/>
              <w:left w:val="nil"/>
              <w:bottom w:val="nil"/>
              <w:right w:val="nil"/>
            </w:tcBorders>
          </w:tcPr>
          <w:p>
            <w:pPr>
              <w:pStyle w:val="Normal6a"/>
            </w:pPr>
            <w:r>
              <w:t>17.</w:t>
            </w:r>
            <w:r>
              <w:tab/>
            </w:r>
            <w:r>
              <w:t xml:space="preserve">Calls for all fully AI-generated tracks on streaming platforms to carry a clear and visible label and for this to be done in a timely manner, regardless of whether the tracks qualify as deepfakes; calls </w:t>
            </w:r>
            <w:r>
              <w:rPr>
                <w:b/>
                <w:i/>
              </w:rPr>
              <w:t>on the Commission</w:t>
            </w:r>
            <w:r>
              <w:t xml:space="preserve"> for platforms to be required to ensure that such labelling is consistently displayed and effectively enforced on their services;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Hannes Heide, Maria Guzenina, Gabriela Firea, Sandro Ruotolo, Marcos Ros Sempere, Joanna Scheuring-Wielgus, Nikos Papandreou,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Calls on platforms to take effective action against infringing content and streaming fraud, by excluding notably fraudulent streams from monetisation and revenue-allocation mechanisms; calls for meaningful aggregate reporting on anti-fraud measures and their results, cooperation with rights holders and competent authorities, and accessible appeal procedures for affected artists, labels and distributors</w:t>
            </w:r>
            <w:r>
              <w:rPr>
                <w:b/>
                <w:i/>
              </w:rPr>
              <w:t>;</w:t>
            </w:r>
          </w:p>
        </w:tc>
        <w:tc>
          <w:tcPr>
            <w:tcW w:w="4876" w:type="dxa"/>
            <w:tcBorders>
              <w:top w:val="nil"/>
              <w:left w:val="nil"/>
              <w:bottom w:val="nil"/>
              <w:right w:val="nil"/>
            </w:tcBorders>
          </w:tcPr>
          <w:p>
            <w:pPr>
              <w:pStyle w:val="Normal6a"/>
            </w:pPr>
            <w:r>
              <w:t>18.</w:t>
            </w:r>
            <w:r>
              <w:tab/>
            </w:r>
            <w:r>
              <w:rPr>
                <w:b/>
                <w:i/>
              </w:rPr>
              <w:t>Calls on the Commission to ensure the effective application and enforcement of the existing EU framework to tackle streaming fraud and manipulation and to assess whether further measures are necessary;</w:t>
            </w:r>
            <w:r>
              <w:t xml:space="preserve"> calls on platforms to take effective action against infringing content and streaming fraud, by excluding notably fraudulent streams from monetisation and revenue-allocation mechanisms; calls for meaningful aggregate reporting on anti-fraud measures and their results, cooperation with rights holders and competent authorities, and accessible appeal procedures for affected artists, labels and distributors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Lara Magoni, Ivaylo Valchev, Marco Squarta, Chiara Gemma, Guillaume Peltier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Calls on platforms to take effective action against infringing content and streaming fraud, by excluding notably fraudulent streams from monetisation and revenue-allocation mechanisms; calls for meaningful aggregate reporting on anti-fraud measures and their results, cooperation with rights holders and competent authorities, and accessible appeal procedures for affected artists, labels and distributors;</w:t>
            </w:r>
          </w:p>
        </w:tc>
        <w:tc>
          <w:tcPr>
            <w:tcW w:w="4876" w:type="dxa"/>
            <w:tcBorders>
              <w:top w:val="nil"/>
              <w:left w:val="nil"/>
              <w:bottom w:val="nil"/>
              <w:right w:val="nil"/>
            </w:tcBorders>
          </w:tcPr>
          <w:p>
            <w:pPr>
              <w:pStyle w:val="Normal6a"/>
            </w:pPr>
            <w:r>
              <w:t>18.</w:t>
            </w:r>
            <w:r>
              <w:tab/>
            </w:r>
            <w:r>
              <w:rPr>
                <w:b/>
                <w:i/>
              </w:rPr>
              <w:t>Calls on the Commission to apply the existing EU framework to tackle the issue of streaming fraud and manipulation effectively;</w:t>
            </w:r>
            <w:r>
              <w:t xml:space="preserve"> calls on platforms to take effective action against infringing content and streaming fraud, by excluding notably fraudulent streams from monetisation and revenue-allocation mechanisms; calls for meaningful aggregate reporting on anti-fraud measures and their results, cooperation with rights holders and competent authorities, and accessible appeal procedures for affected artists, labels and distributors;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Emma Rafowicz, Hannes Heide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Calls on platforms to take effective action against infringing content and streaming fraud</w:t>
            </w:r>
            <w:r>
              <w:rPr>
                <w:b/>
                <w:i/>
              </w:rPr>
              <w:t>,</w:t>
            </w:r>
            <w:r>
              <w:t xml:space="preserve"> by excluding notably fraudulent streams from monetisation and revenue-allocation mechanisms; calls for meaningful aggregate reporting on anti-fraud measures and their results, cooperation with rights holders and competent authorities, and accessible appeal procedures for affected artists, labels and distributors;</w:t>
            </w:r>
          </w:p>
        </w:tc>
        <w:tc>
          <w:tcPr>
            <w:tcW w:w="4876" w:type="dxa"/>
            <w:tcBorders>
              <w:top w:val="nil"/>
              <w:left w:val="nil"/>
              <w:bottom w:val="nil"/>
              <w:right w:val="nil"/>
            </w:tcBorders>
          </w:tcPr>
          <w:p>
            <w:pPr>
              <w:pStyle w:val="Normal6a"/>
            </w:pPr>
            <w:r>
              <w:t>18.</w:t>
            </w:r>
            <w:r>
              <w:tab/>
            </w:r>
            <w:r>
              <w:t xml:space="preserve">Calls on platforms </w:t>
            </w:r>
            <w:r>
              <w:rPr>
                <w:b/>
                <w:i/>
              </w:rPr>
              <w:t>and music distributors</w:t>
            </w:r>
            <w:r>
              <w:t xml:space="preserve"> to take effective action against infringing content and streaming fraud </w:t>
            </w:r>
            <w:r>
              <w:rPr>
                <w:b/>
                <w:i/>
              </w:rPr>
              <w:t>by verifying the identity of their customers and preventing the submission of fraudulent content</w:t>
            </w:r>
            <w:r>
              <w:t xml:space="preserve"> by excluding notably fraudulent streams from monetisation and revenue-allocation mechanisms; calls for meaningful aggregate reporting on anti-fraud measures and their results, cooperation with rights holders and competent authorities, and accessible appeal procedures for affected artists, labels and distributors;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Marcos Ros Sempere, Hannes Heide, Joanna Scheuring-Wielgus,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Expresses concern about coercive contractual practices, in particular in the music sector, whereby authors and performers are required to transfer broad and open-ended rights, including for future AI-related uses, as a condition of engagement or of access to a service; calls on the Commission to assess an EU-level solution ensuring fair contractual conditions and appropriate remuneration, and preserving the ability of authors and performers to authorise or refuse AI-related uses of their works and performances;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Brigitte van den Berg, Nikola Minchev, Laurence Farreng,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Calls on platforms to prevent creation and distribution of AI-generated content that promotes racism, xenophobia, hatred or discrimination and to ensure that this content is not amplified through recommender systems, rankings or other algorithmic distribution mechanisms; stresses the need for effective safeguards against the automated amplification of content that undermines the value of non-discrimination enshrined in Article 2 TEU, while fully respecting freedom of expression and applicable Union law;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Carolina Morace, Mario Furore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Recognises AI’s contribution across the audiovisual value chain, from pre-production to distribution; is concerned that performers </w:t>
            </w:r>
            <w:r>
              <w:rPr>
                <w:b/>
                <w:i/>
              </w:rPr>
              <w:t>face</w:t>
            </w:r>
            <w:r>
              <w:t xml:space="preserve"> pressure to grant broad and open-ended rights for AI training and for the creation and exploitation of digital replicas and synthetic performances, notably in dubbing and video games;</w:t>
            </w:r>
          </w:p>
        </w:tc>
        <w:tc>
          <w:tcPr>
            <w:tcW w:w="4876" w:type="dxa"/>
            <w:tcBorders>
              <w:top w:val="nil"/>
              <w:left w:val="nil"/>
              <w:bottom w:val="nil"/>
              <w:right w:val="nil"/>
            </w:tcBorders>
          </w:tcPr>
          <w:p>
            <w:pPr>
              <w:pStyle w:val="Normal6a"/>
            </w:pPr>
            <w:r>
              <w:t>19.</w:t>
            </w:r>
            <w:r>
              <w:tab/>
            </w:r>
            <w:r>
              <w:t xml:space="preserve">Recognises AI’s contribution across the audiovisual value chain, from pre-production to distribution; is concerned that </w:t>
            </w:r>
            <w:r>
              <w:rPr>
                <w:b/>
                <w:i/>
              </w:rPr>
              <w:t>authors and</w:t>
            </w:r>
            <w:r>
              <w:t xml:space="preserve"> performers </w:t>
            </w:r>
            <w:r>
              <w:rPr>
                <w:b/>
                <w:i/>
              </w:rPr>
              <w:t>are under</w:t>
            </w:r>
            <w:r>
              <w:t xml:space="preserve"> pressure to grant broad and open-ended rights</w:t>
            </w:r>
            <w:r>
              <w:rPr>
                <w:b/>
                <w:i/>
              </w:rPr>
              <w:t>, including</w:t>
            </w:r>
            <w:r>
              <w:t xml:space="preserve"> for AI training and for the creation and exploitation of digital replicas and synthetic performances, notably in dubbing and video games; </w:t>
            </w:r>
            <w:r>
              <w:rPr>
                <w:b/>
                <w:i/>
              </w:rPr>
              <w:t>calls on the Commission to assess whether further guarantees are needed to ensure that the contractual clauses relating to such uses are specific, transparent, proportionate and clearly circumscribed with regard to the purpose, duration and mode of exploitation;</w:t>
            </w:r>
            <w:r>
              <w:t xml:space="preserve"> </w:t>
            </w:r>
            <w:r>
              <w:rPr>
                <w:b/>
                <w:i/>
              </w:rPr>
              <w:t>highlights that access to job opportunities should not be subject to waiving rights that are neither necessary nor proportionate to the professional service in question;</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Zsuzsanna Borvendég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Recognises AI’s contribution across the audiovisual value chain, from pre-production to distribution; is concerned that performers face pressure to grant broad and open-ended rights for AI training and for the creation and exploitation of digital replicas and synthetic performances, notably in dubbing and video games;</w:t>
            </w:r>
          </w:p>
        </w:tc>
        <w:tc>
          <w:tcPr>
            <w:tcW w:w="4876" w:type="dxa"/>
            <w:tcBorders>
              <w:top w:val="nil"/>
              <w:left w:val="nil"/>
              <w:bottom w:val="nil"/>
              <w:right w:val="nil"/>
            </w:tcBorders>
          </w:tcPr>
          <w:p>
            <w:pPr>
              <w:pStyle w:val="Normal6a"/>
            </w:pPr>
            <w:r>
              <w:t>19.</w:t>
            </w:r>
            <w:r>
              <w:tab/>
            </w:r>
            <w:r>
              <w:t xml:space="preserve">Recognises AI’s contribution across the audiovisual value chain, from pre-production to distribution; is concerned that performers face pressure to grant broad and open-ended rights for AI training and for the creation and exploitation of digital replicas and synthetic performances, notably in dubbing and video games; </w:t>
            </w:r>
            <w:r>
              <w:rPr>
                <w:b/>
                <w:i/>
              </w:rPr>
              <w:t>stresses that performers must not be required, as a condition of employment or participation in a production, to grant unrestricted or perpetual rights to reproduce their voice, image, likeness or performance using AI; emphasises that any such authorisation must be specific, informed, freely given and limited to clearly defined uses, with appropriate remuneration;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Hannes Heide, Maria Guzenina, Gabriela Firea, Sandro Ruotolo, Marcos Ros Sempere, Joanna Scheuring-Wielgus, Nikos Papandreou,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Recognises AI’s contribution across the audiovisual value chain, from pre-production to distribution; is concerned that performers face pressure to grant broad and open-ended rights for AI training and for the creation and exploitation of digital replicas and synthetic performances, notably in dubbing and video games;</w:t>
            </w:r>
          </w:p>
        </w:tc>
        <w:tc>
          <w:tcPr>
            <w:tcW w:w="4876" w:type="dxa"/>
            <w:tcBorders>
              <w:top w:val="nil"/>
              <w:left w:val="nil"/>
              <w:bottom w:val="nil"/>
              <w:right w:val="nil"/>
            </w:tcBorders>
          </w:tcPr>
          <w:p>
            <w:pPr>
              <w:pStyle w:val="Normal6a"/>
            </w:pPr>
            <w:r>
              <w:t>19.</w:t>
            </w:r>
            <w:r>
              <w:tab/>
            </w:r>
            <w:r>
              <w:t xml:space="preserve">Recognises AI’s contribution across the audiovisual value chain, from pre-production to distribution; is concerned that performers </w:t>
            </w:r>
            <w:r>
              <w:rPr>
                <w:b/>
                <w:i/>
              </w:rPr>
              <w:t>and authors, due to imbalances in bargaining power,</w:t>
            </w:r>
            <w:r>
              <w:t xml:space="preserve"> face pressure to grant broad and open-ended rights</w:t>
            </w:r>
            <w:r>
              <w:rPr>
                <w:b/>
                <w:i/>
              </w:rPr>
              <w:t>, including</w:t>
            </w:r>
            <w:r>
              <w:t xml:space="preserve"> for AI training and for the creation and exploitation of digital replicas and synthetic performances, notably </w:t>
            </w:r>
            <w:r>
              <w:rPr>
                <w:b/>
                <w:i/>
              </w:rPr>
              <w:t>through buy-out clauses or standard contract terms imposed as a condition of engagement, particularly</w:t>
            </w:r>
            <w:r>
              <w:t xml:space="preserve"> in dubbing and video games;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Brigitte van den Berg, Nikola Minchev, Laurence Farreng,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Recognises AI’s contribution across the audiovisual value chain, from pre-production to distribution; </w:t>
            </w:r>
            <w:r>
              <w:rPr>
                <w:b/>
                <w:i/>
              </w:rPr>
              <w:t>is concerned that performers face pressure to grant broad and open-ended rights for AI training and for the creation and exploitation of digital replicas and synthetic performances, notably in dubbing and video games</w:t>
            </w:r>
            <w:r>
              <w:t>;</w:t>
            </w:r>
          </w:p>
        </w:tc>
        <w:tc>
          <w:tcPr>
            <w:tcW w:w="4876" w:type="dxa"/>
            <w:tcBorders>
              <w:top w:val="nil"/>
              <w:left w:val="nil"/>
              <w:bottom w:val="nil"/>
              <w:right w:val="nil"/>
            </w:tcBorders>
          </w:tcPr>
          <w:p>
            <w:pPr>
              <w:pStyle w:val="Normal6a"/>
            </w:pPr>
            <w:r>
              <w:t>19.</w:t>
            </w:r>
            <w:r>
              <w:tab/>
            </w:r>
            <w:r>
              <w:t xml:space="preserve">Recognises AI’s contribution across the audiovisual value chain, from pre-production to distribution; </w:t>
            </w:r>
            <w:r>
              <w:rPr>
                <w:b/>
                <w:i/>
              </w:rPr>
              <w:t>cautions that a flood of AI assisted or created cultural works desensitises audiences to genuine human-centred creative and cultural works and stiffles human creativity in the process; warns that cultural audiovisual products are competing for audience attention with generic fully-AI generated content on other platforms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Brigitte van den Berg, Laurence Farreng,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Expresses concern that performers face pressure to grant broad and open-ended rights for AI training and for the creation and exploitation of digital replicas and synthetic performances, notably in dubbing and video games; calls on the Commission to address unfair contractual practices related to AI in the cultural and creative sectors, including through guidance on unfair or excessively broad AI clauses, minimum contractual standards and support for collective bargaining;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Hannes Heide, Maria Guzenina, Gabriela Firea, Sandro Ruotolo, Marcos Ros Sempere, Joanna Scheuring-Wielgus, Nikos Papandreou,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Recognises that AI can support audiovisual creation and production, including documentary research, pre-visualisation, editing, visual effects, restoration, translation, dubbing and localisation; stresses that legitimate AI-assisted uses that support and enhance human creativity must be distinguished from the unauthorised use of protected films, programmes and archive material for AI training or in AI-generated outputs;</w:t>
            </w:r>
          </w:p>
        </w:tc>
        <w:tc>
          <w:tcPr>
            <w:tcW w:w="4876" w:type="dxa"/>
            <w:tcBorders>
              <w:top w:val="nil"/>
              <w:left w:val="nil"/>
              <w:bottom w:val="nil"/>
              <w:right w:val="nil"/>
            </w:tcBorders>
          </w:tcPr>
          <w:p>
            <w:pPr>
              <w:pStyle w:val="Normal6a"/>
            </w:pPr>
            <w:r>
              <w:t>20.</w:t>
            </w:r>
            <w:r>
              <w:tab/>
            </w:r>
            <w:r>
              <w:t>Recognises that AI can support audiovisual creation and production, including documentary research, pre-visualisation, editing, visual effects, restoration, translation, dubbing and localisation</w:t>
            </w:r>
            <w:r>
              <w:rPr>
                <w:b/>
                <w:i/>
              </w:rPr>
              <w:t>, and make audiovisual creation more accessible to smaller, independent producers and creators</w:t>
            </w:r>
            <w:r>
              <w:t>; stresses that legitimate</w:t>
            </w:r>
            <w:r>
              <w:rPr>
                <w:b/>
                <w:i/>
              </w:rPr>
              <w:t>, authorised</w:t>
            </w:r>
            <w:r>
              <w:t xml:space="preserve"> AI-assisted uses that support and enhance human creativity must be distinguished from the unauthorised use of protected films, programmes and archive material for AI training or in AI-generated outputs</w:t>
            </w:r>
            <w:r>
              <w:rPr>
                <w:b/>
                <w:i/>
              </w:rPr>
              <w:t>, as well as from the use of fully AI-generated synthetic content to displace original works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Brigitte van den Berg, Nikola Minchev, Laurence Farreng,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Recognises that AI can support audiovisual creation and production, including documentary research, pre-visualisation, editing, visual effects, restoration, translation, dubbing and localisation; stresses that legitimate AI-assisted uses that support and enhance human creativity must be distinguished from the unauthorised use of protected films, programmes and archive material for AI training or in AI-generated outputs; should be subject to proportionate disclosure where AI-generated or manipulated elements materially affect what audiences perceive or understand, in accordance with the criteria referred to in paragraph [13] of this report;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Marcos Ros Sempere, Hannes Heide, Joanna Scheuring-Wielgus,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Recalls the importance of the discoverability and prominence of European works on audiovisual streaming and video-sharing services; calls on the Commission to ensure the effective application of the existing rules on European works and, in the context of the next evaluation of the Audiovisual Media Services Directive, to assess whether AI-based recommendation systems call for additional transparency and accountability obligations;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Catherine Griset, Annamária Vicsek, Antonín Staněk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Recognises that the legitimate efforts to combat deepfakes, manipulation and fraud should not result in unjustified and disproportionate restrictions on humorous and satirical content, including political or religious material, in a European society that welcomes debate and pluralism;</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Catherine Griset, Annamária Vicsek, Antonín Staněk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20b.</w:t>
            </w:r>
            <w:r>
              <w:tab/>
            </w:r>
            <w:r>
              <w:rPr>
                <w:b/>
                <w:i/>
              </w:rPr>
              <w:t>Points out, in particular, that the subtitles of European series and films are now being used to train AI language models, owing to the fact that the dialogue is so well written, accurately reflecting the flow, tone and cadence of human conversations, which allows conversational agents to produce better speech;</w:t>
            </w:r>
            <w:r>
              <w:t xml:space="preserve"> </w:t>
            </w:r>
            <w:r>
              <w:rPr>
                <w:b/>
                <w:i/>
              </w:rPr>
              <w:t>stresses, therefore, that subtitles must be protected and remunerated by AI providers that have used them to train their models, and that it is important to promote the development of European AI that is trained on the subtitles of European works, in accordance with copyright requirements, as this would create a new revenue stream for our audiovisual sector;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Calls on the Commission, to clarify the application of the current EU legal framework to player-generated content created through generative AI tools provided or integrated by games companies, particularly where such content infringes third-party rights or may affect a publisher’s ability to rely on existing hosting protections; stresses that any guidance should ensure legal certainty and avoid disproportionate obligations;</w:t>
            </w:r>
          </w:p>
        </w:tc>
        <w:tc>
          <w:tcPr>
            <w:tcW w:w="4876" w:type="dxa"/>
            <w:tcBorders>
              <w:top w:val="nil"/>
              <w:left w:val="nil"/>
              <w:bottom w:val="nil"/>
              <w:right w:val="nil"/>
            </w:tcBorders>
          </w:tcPr>
          <w:p>
            <w:pPr>
              <w:pStyle w:val="Normal6a"/>
            </w:pPr>
            <w:r>
              <w:t>21.</w:t>
            </w:r>
            <w:r>
              <w:tab/>
            </w:r>
            <w:r>
              <w:t>Calls on the Commission, to clarify the application of the current EU legal framework to player-generated content created through generative AI tools provided or integrated by games companies, particularly where such content infringes third-party rights or may affect a publisher’s ability to rely on existing hosting protections; stresses that any guidance should ensure legal certainty</w:t>
            </w:r>
            <w:r>
              <w:rPr>
                <w:b/>
                <w:i/>
              </w:rPr>
              <w:t>, consumers’ continued access after purchase</w:t>
            </w:r>
            <w:r>
              <w:t> and avoid disproportionate obligations;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Expresses concern at the large-scale dissemination of AI-generated images that compete with and substitute human works, imitate the styles of visual artists and infringe their rights, and that may mislead consumers, given the speed at which images are consumed;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Lara Magoni, Ivaylo Valchev, Marco Squarta, Chiara Gemma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Recognises that animation and comics are particularly exposed to AI-generated imitation, which puts jobs at risk, in particular entry-level positions;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Lara Magoni, Ivaylo Valchev, Marco Squarta, Chiara Gemma, Guillaume Peltier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Recognises AI’s contribution to accessibility, including through text-to-speech tools for persons with print disabilities; is concerned by the unauthorised and exploitative large-scale use of copyright-protected books for AI training where such authorisation is required under EU law, and by the proliferation of unlabelled, fully AI-generated books, including publications attributed to fictitious human authors, which may mislead readers;</w:t>
            </w:r>
          </w:p>
        </w:tc>
        <w:tc>
          <w:tcPr>
            <w:tcW w:w="4876" w:type="dxa"/>
            <w:tcBorders>
              <w:top w:val="nil"/>
              <w:left w:val="nil"/>
              <w:bottom w:val="nil"/>
              <w:right w:val="nil"/>
            </w:tcBorders>
          </w:tcPr>
          <w:p>
            <w:pPr>
              <w:pStyle w:val="Normal6a"/>
            </w:pPr>
            <w:r>
              <w:t>22.</w:t>
            </w:r>
            <w:r>
              <w:tab/>
            </w:r>
            <w:r>
              <w:t xml:space="preserve">Recognises AI’s contribution to accessibility, including through text-to-speech tools for persons with print disabilities; </w:t>
            </w:r>
            <w:r>
              <w:rPr>
                <w:b/>
                <w:i/>
              </w:rPr>
              <w:t>highlights the potential of these technologies to further improve access to cultural and creative content for people with disabilities, including through subtitles, audio description, machine translation and other assistive technologies;</w:t>
            </w:r>
            <w:r>
              <w:t xml:space="preserve"> is concerned</w:t>
            </w:r>
            <w:r>
              <w:rPr>
                <w:b/>
                <w:i/>
              </w:rPr>
              <w:t>, however,</w:t>
            </w:r>
            <w:r>
              <w:t xml:space="preserve"> by the unauthorised and exploitative large-scale use of copyright-protected books for AI training where such authorisation is required under EU law, and by the proliferation of unlabelled, fully AI-generated books, including </w:t>
            </w:r>
            <w:r>
              <w:rPr>
                <w:b/>
                <w:i/>
              </w:rPr>
              <w:t>mass-produced low-quality</w:t>
            </w:r>
            <w:r>
              <w:t xml:space="preserve"> publications attributed to fictitious human authors, which may mislead readers </w:t>
            </w:r>
            <w:r>
              <w:rPr>
                <w:b/>
                <w:i/>
              </w:rPr>
              <w:t>and dilute the revenues of legitimate authors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Hannes Heide, Maria Guzenina, Gabriela Firea, Sandro Ruotolo, Marcos Ros Sempere, Joanna Scheuring-Wielgus, Nikos Papandreou,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Recognises AI’s contribution to accessibility, including through text-to-speech tools for persons with print disabilities; is concerned by the unauthorised and exploitative large-scale use of copyright-protected books for AI training where such authorisation is required under EU law, and by the proliferation of unlabelled, fully AI-generated books, including publications attributed to fictitious human authors, which may mislead readers;</w:t>
            </w:r>
          </w:p>
        </w:tc>
        <w:tc>
          <w:tcPr>
            <w:tcW w:w="4876" w:type="dxa"/>
            <w:tcBorders>
              <w:top w:val="nil"/>
              <w:left w:val="nil"/>
              <w:bottom w:val="nil"/>
              <w:right w:val="nil"/>
            </w:tcBorders>
          </w:tcPr>
          <w:p>
            <w:pPr>
              <w:pStyle w:val="Normal6a"/>
            </w:pPr>
            <w:r>
              <w:t>22.</w:t>
            </w:r>
            <w:r>
              <w:tab/>
            </w:r>
            <w:r>
              <w:t xml:space="preserve">Recognises AI’s contribution to accessibility, including through text-to-speech tools for persons with print disabilities; is concerned by the unauthorised and exploitative large-scale use of copyright-protected books for AI training where such authorisation is required under EU law, </w:t>
            </w:r>
            <w:r>
              <w:rPr>
                <w:b/>
                <w:i/>
              </w:rPr>
              <w:t>including practices involving the destructive scanning of physical books for AI training, which may result in the irreversible loss of rare, out-of-print or out-of-commerce works; stresses that the development of AI must not come at the expense of the preservation of Europe’s physical literary and cultural heritage;</w:t>
            </w:r>
            <w:r>
              <w:t xml:space="preserve"> and by the proliferation of unlabelled, fully AI-generated books, including publications attributed to fictitious human authors, which may mislead readers;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Bogdan Andrzej Zdrojewski, Sabine Verheyen, 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Recognises AI’s contribution to accessibility, including </w:t>
            </w:r>
            <w:r>
              <w:rPr>
                <w:b/>
                <w:i/>
              </w:rPr>
              <w:t>through text-to-speech tools</w:t>
            </w:r>
            <w:r>
              <w:t xml:space="preserve"> for persons with print disabilities; is concerned by the unauthorised and exploitative large-scale use of copyright-protected books for AI training where such authorisation is required under EU law, and by the proliferation of unlabelled, fully AI-generated books, including publications attributed to fictitious human authors, which may mislead readers;</w:t>
            </w:r>
          </w:p>
        </w:tc>
        <w:tc>
          <w:tcPr>
            <w:tcW w:w="4876" w:type="dxa"/>
            <w:tcBorders>
              <w:top w:val="nil"/>
              <w:left w:val="nil"/>
              <w:bottom w:val="nil"/>
              <w:right w:val="nil"/>
            </w:tcBorders>
          </w:tcPr>
          <w:p>
            <w:pPr>
              <w:pStyle w:val="Normal6a"/>
            </w:pPr>
            <w:r>
              <w:t>22.</w:t>
            </w:r>
            <w:r>
              <w:tab/>
            </w:r>
            <w:r>
              <w:t xml:space="preserve">Recognises AI’s contribution to accessibility, including for persons with print disabilities; is concerned by the unauthorised and exploitative large-scale use of copyright-protected books for AI training where such authorisation is required under EU law, </w:t>
            </w:r>
            <w:r>
              <w:rPr>
                <w:b/>
                <w:i/>
              </w:rPr>
              <w:t>by the circumvention of EU law through the disguised purchase of books in Europe for the purpose of digitisation and AI training,</w:t>
            </w:r>
            <w:r>
              <w:t xml:space="preserve"> and by the proliferation of unlabelled, fully AI-generated books, including publications attributed to fictitious human authors, which may mislead readers </w:t>
            </w:r>
            <w:r>
              <w:rPr>
                <w:b/>
                <w:i/>
              </w:rPr>
              <w:t>and destabilise the market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Catherine Griset, Annamária Vicsek, Antonín Staněk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Recognises that large language models are becoming increasingly important across all industries due to their role in automation and efficiency improvement;</w:t>
            </w:r>
            <w:r>
              <w:t xml:space="preserve"> </w:t>
            </w:r>
            <w:r>
              <w:rPr>
                <w:b/>
                <w:i/>
              </w:rPr>
              <w:t>requests Union funding support for smaller AI models to encourage diversity, improve energy efficiency and strengthen technological sovereignty beyond those large models;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Brigitte van den Berg, Nikola Minchev, Laurence Farreng,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Notes that text-to-speech tools and AI-assisted development for audiobooks should not infringe on voice-actors copyrights and should be executed with due care to existing European legal frameworks;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Bogdan Andrzej Zdrojewski, Sabine Verheyen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Calls on the Commission, following the initial application of Article 50 of the AI Act, to assess the effectiveness, interoperability, robustness and reliability of the machine-readable marking, detection and labelling requirements for synthetic text used in publications, which are to be extended beyond AI developers to online booksellers, distributors and self-publishing platforms; calls on those intermediaries to provide clear labelling and filtering mechanisms for fully AI-generated publications and to take effective action against unlawful use of content, AI-generated imitations and misleading attribution </w:t>
            </w:r>
            <w:r>
              <w:rPr>
                <w:b/>
                <w:i/>
              </w:rPr>
              <w:t>involving</w:t>
            </w:r>
            <w:r>
              <w:t xml:space="preserve"> identifiable authors;</w:t>
            </w:r>
          </w:p>
        </w:tc>
        <w:tc>
          <w:tcPr>
            <w:tcW w:w="4876" w:type="dxa"/>
            <w:tcBorders>
              <w:top w:val="nil"/>
              <w:left w:val="nil"/>
              <w:bottom w:val="nil"/>
              <w:right w:val="nil"/>
            </w:tcBorders>
          </w:tcPr>
          <w:p>
            <w:pPr>
              <w:pStyle w:val="Normal6a"/>
            </w:pPr>
            <w:r>
              <w:t>23.</w:t>
            </w:r>
            <w:r>
              <w:tab/>
            </w:r>
            <w:r>
              <w:t xml:space="preserve">Calls on the Commission, following the initial application of Article 50 of the AI Act, to assess the effectiveness, interoperability, robustness and reliability of the machine-readable marking, detection and labelling requirements for synthetic text used in publications, which are to be extended beyond AI developers to online booksellers, distributors and self-publishing platforms; calls on those intermediaries to provide clear labelling and filtering mechanisms for fully AI-generated publications and to take effective action against unlawful use of content, </w:t>
            </w:r>
            <w:r>
              <w:rPr>
                <w:b/>
                <w:i/>
              </w:rPr>
              <w:t>transparency circumvention, unauthorised</w:t>
            </w:r>
            <w:r>
              <w:t xml:space="preserve"> AI-generated imitations and misleading attribution</w:t>
            </w:r>
            <w:r>
              <w:rPr>
                <w:b/>
                <w:i/>
              </w:rPr>
              <w:t>, including when they involve</w:t>
            </w:r>
            <w:r>
              <w:t xml:space="preserve"> identifiable authors; </w:t>
            </w:r>
            <w:r>
              <w:rPr>
                <w:b/>
                <w:i/>
              </w:rPr>
              <w:t>insists that platforms playing an active role must respect consumer law by informing consumers in case of fully AI-generated content; Underlines that Know Your Business Customer obligations should be applicable to platforms enabling and distributing self-publication;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Carolina Morace, Mario Furore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Calls on the Commission, following the initial application of Article 50 of the AI Act, to assess the effectiveness, interoperability, robustness and reliability of the machine-readable marking, detection and labelling requirements for synthetic text used in publications, which are to be extended beyond AI developers to online booksellers, distributors and self-publishing platforms; calls on those intermediaries to provide clear labelling and filtering mechanisms for fully AI-generated publications and to take effective action against unlawful use of content, AI-generated imitations and misleading attribution involving identifiable authors;</w:t>
            </w:r>
          </w:p>
        </w:tc>
        <w:tc>
          <w:tcPr>
            <w:tcW w:w="4876" w:type="dxa"/>
            <w:tcBorders>
              <w:top w:val="nil"/>
              <w:left w:val="nil"/>
              <w:bottom w:val="nil"/>
              <w:right w:val="nil"/>
            </w:tcBorders>
          </w:tcPr>
          <w:p>
            <w:pPr>
              <w:pStyle w:val="Normal6a"/>
            </w:pPr>
            <w:r>
              <w:t>23.</w:t>
            </w:r>
            <w:r>
              <w:tab/>
            </w:r>
            <w:r>
              <w:t xml:space="preserve">Calls on the Commission, following the initial application of Article 50 of the AI Act, to assess the effectiveness, interoperability, robustness and reliability of the machine-readable marking, detection and labelling requirements for synthetic text used in publications, which are to be extended beyond AI developers to online booksellers, distributors and self-publishing platforms; calls on those intermediaries to provide clear labelling and filtering mechanisms for fully AI-generated publications and to take effective action against unlawful use of content, AI-generated imitations and misleading attribution involving identifiable authors; </w:t>
            </w:r>
            <w:r>
              <w:rPr>
                <w:b/>
                <w:i/>
              </w:rPr>
              <w:t>also calls for the establishment of easily accessible and timely procedures enabling authors and other rights holders to complain about erroneous attributions or unauthorised uses of their identity or works and obtain effective redress;</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Hannes Heide, Maria Guzenina, Gabriela Firea, Sandro Ruotolo, Marcos Ros Sempere, Joanna Scheuring-Wielgus, Nikos Papandreou,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Calls on the Commission, following the initial application of Article 50 of the AI Act, to assess the effectiveness, interoperability, robustness and reliability of the machine-readable marking, detection and labelling requirements for synthetic text used in publications, which are to be extended beyond AI developers to online booksellers, distributors and self-publishing platforms; calls on those intermediaries to provide clear labelling and filtering mechanisms for fully AI-generated publications and to take effective action against unlawful use of content, AI-generated imitations and misleading attribution involving identifiable authors;</w:t>
            </w:r>
          </w:p>
        </w:tc>
        <w:tc>
          <w:tcPr>
            <w:tcW w:w="4876" w:type="dxa"/>
            <w:tcBorders>
              <w:top w:val="nil"/>
              <w:left w:val="nil"/>
              <w:bottom w:val="nil"/>
              <w:right w:val="nil"/>
            </w:tcBorders>
          </w:tcPr>
          <w:p>
            <w:pPr>
              <w:pStyle w:val="Normal6a"/>
            </w:pPr>
            <w:r>
              <w:t>23.</w:t>
            </w:r>
            <w:r>
              <w:tab/>
            </w:r>
            <w:r>
              <w:t xml:space="preserve">Calls on the Commission, following the initial application of Article 50 of the AI Act, to assess the effectiveness, interoperability, robustness and reliability of the machine-readable marking, detection and labelling requirements for synthetic text used in publications, which are to be extended beyond AI developers to online booksellers, distributors and self-publishing platforms; calls on those intermediaries to provide clear labelling and filtering mechanisms for fully AI-generated publications and to take effective action against unlawful use of content, </w:t>
            </w:r>
            <w:r>
              <w:rPr>
                <w:b/>
                <w:i/>
              </w:rPr>
              <w:t>transparency circumvention, unauthorised</w:t>
            </w:r>
            <w:r>
              <w:t xml:space="preserve"> AI-generated imitations and misleading attribution involving identifiable authors; </w:t>
            </w:r>
            <w:r>
              <w:rPr>
                <w:b/>
                <w:i/>
              </w:rPr>
              <w:t>stresses that consumers should be clearly informed when they are offered fully AI-generated publications;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Lara Magoni, Ivaylo Valchev, Marco Squarta, Chiara Gemma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Calls on the Commission, following the initial application of Article 50 of the AI Act, to assess the effectiveness, interoperability, robustness and reliability of the machine-readable marking, detection and labelling requirements for synthetic text used in publications, which are to be extended beyond AI developers to online booksellers, distributors and self-publishing platforms; calls on those intermediaries to provide clear labelling and filtering mechanisms for fully AI-generated publications and to take effective action against unlawful use of content, AI-generated imitations and misleading attribution involving identifiable authors;</w:t>
            </w:r>
          </w:p>
        </w:tc>
        <w:tc>
          <w:tcPr>
            <w:tcW w:w="4876" w:type="dxa"/>
            <w:tcBorders>
              <w:top w:val="nil"/>
              <w:left w:val="nil"/>
              <w:bottom w:val="nil"/>
              <w:right w:val="nil"/>
            </w:tcBorders>
          </w:tcPr>
          <w:p>
            <w:pPr>
              <w:pStyle w:val="Normal6a"/>
            </w:pPr>
            <w:r>
              <w:t>23.</w:t>
            </w:r>
            <w:r>
              <w:tab/>
            </w:r>
            <w:r>
              <w:t>Calls on the Commission, following the initial application of Article 50 of the AI Act, to assess the effectiveness, interoperability, robustness and reliability of the machine-readable marking, detection and labelling requirements for synthetic text used in publications, which are to be extended beyond AI developers to online booksellers, distributors and self-publishing platforms; calls on those intermediaries to provide clear labelling and filtering mechanisms for fully AI-generated publications and to take effective action against unlawful use of content, AI-generated imitations and misleading attribution involving identifiable authors</w:t>
            </w:r>
            <w:r>
              <w:rPr>
                <w:b/>
                <w:i/>
              </w:rPr>
              <w:t>, in a manner proportionate to the size of the operators, whilst safeguarding small, independent booksellers and publishers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Calls on the Commission, following the initial application of Article 50 of the AI Act, to assess the effectiveness, interoperability, robustness and reliability of the machine-readable marking, detection and labelling requirements for synthetic text used in publications, which are to be extended beyond AI developers to online booksellers, distributors and self-publishing platforms; calls on those intermediaries to provide clear labelling and filtering mechanisms for fully AI-generated publications and to take effective action against unlawful use of content, AI-generated imitations and </w:t>
            </w:r>
            <w:r>
              <w:rPr>
                <w:b/>
                <w:i/>
              </w:rPr>
              <w:t>misleading</w:t>
            </w:r>
            <w:r>
              <w:t xml:space="preserve"> attribution involving identifiable authors;</w:t>
            </w:r>
          </w:p>
        </w:tc>
        <w:tc>
          <w:tcPr>
            <w:tcW w:w="4876" w:type="dxa"/>
            <w:tcBorders>
              <w:top w:val="nil"/>
              <w:left w:val="nil"/>
              <w:bottom w:val="nil"/>
              <w:right w:val="nil"/>
            </w:tcBorders>
          </w:tcPr>
          <w:p>
            <w:pPr>
              <w:pStyle w:val="Normal6a"/>
            </w:pPr>
            <w:r>
              <w:t>23.</w:t>
            </w:r>
            <w:r>
              <w:tab/>
            </w:r>
            <w:r>
              <w:t xml:space="preserve">Calls on the Commission, following the initial application of Article 50 of the AI Act, to assess the effectiveness, interoperability, robustness and reliability of the machine-readable marking, detection and labelling requirements for synthetic text used in publications, which are to be extended beyond AI developers to online booksellers, distributors and self-publishing platforms; calls on those intermediaries to provide clear labelling and filtering mechanisms for fully </w:t>
            </w:r>
            <w:r>
              <w:rPr>
                <w:b/>
                <w:i/>
              </w:rPr>
              <w:t>or predominantly</w:t>
            </w:r>
            <w:r>
              <w:t xml:space="preserve"> AI-generated publications and to take effective action against unlawful use of </w:t>
            </w:r>
            <w:r>
              <w:rPr>
                <w:b/>
                <w:i/>
              </w:rPr>
              <w:t>protected</w:t>
            </w:r>
            <w:r>
              <w:t xml:space="preserve"> content, </w:t>
            </w:r>
            <w:r>
              <w:rPr>
                <w:b/>
                <w:i/>
              </w:rPr>
              <w:t>misleading</w:t>
            </w:r>
            <w:r>
              <w:t xml:space="preserve"> AI-generated imitations and attribution involving identifiable authors </w:t>
            </w:r>
            <w:r>
              <w:rPr>
                <w:b/>
                <w:i/>
              </w:rPr>
              <w:t>(i.e. plagiarism) and self-atribution by human of AI-generated writing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Catherine Griset, Annamária Vicsek, Antonín Staněk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Notes that the documented practice associated with the development of AI systems of dismantling books to render their content machine-readable will only be curbed through the development of European AI companies regulated by EU and Member State legislation, which means that their progress must not be hampered;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Brigitte van den Berg, Nikola Minchev, Laurence Farreng,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Calls on the Commission and Member states to formulate measures to support the book and publishing sectors to ensure a continuation of a genuine, human-created, European literary tradition;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Recognises the growing role of AI in the restoration, virtual reconstruction, preservation and accessibility of cultural heritage; warns that AI systems used to describe, curate and facilitate access to digital cultural heritage may reproduce or amplify biases in datasets and metadata, thereby reducing the visibility of under-represented collections, minority languages and less-represented cultures;</w:t>
            </w:r>
          </w:p>
        </w:tc>
        <w:tc>
          <w:tcPr>
            <w:tcW w:w="4876" w:type="dxa"/>
            <w:tcBorders>
              <w:top w:val="nil"/>
              <w:left w:val="nil"/>
              <w:bottom w:val="nil"/>
              <w:right w:val="nil"/>
            </w:tcBorders>
          </w:tcPr>
          <w:p>
            <w:pPr>
              <w:pStyle w:val="Normal6a"/>
            </w:pPr>
            <w:r>
              <w:t>24.</w:t>
            </w:r>
            <w:r>
              <w:tab/>
            </w:r>
            <w:r>
              <w:t xml:space="preserve">Recognises the growing role of AI in the restoration, virtual reconstruction, preservation and accessibility of cultural heritage; warns that AI systems used to describe, curate and facilitate access to digital cultural heritage may reproduce or amplify biases in datasets and metadata, thereby reducing the visibility of under-represented collections, minority languages and less-represented cultures; </w:t>
            </w:r>
            <w:r>
              <w:rPr>
                <w:b/>
                <w:i/>
              </w:rPr>
              <w:t>urges ongoing support for work within the heritage sector to develop relevant metadata and other information in order to provide the necessary context to support better quality outputs;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Hélder Sousa Silva, Sunčana Glavak, Sabine Verheyen, Esteban González Pons, Manuela Ripa, Milan Zver, Giusi Princi, Viktor Weisz, Bogdan Andrzej Zdrojewski, Eleonora Meleti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Recognises the growing role of AI in the restoration, virtual reconstruction, preservation and accessibility of cultural heritage; warns that AI systems used to describe, curate and facilitate access to digital cultural heritage may reproduce or amplify biases in datasets and metadata, thereby reducing the visibility of under-represented collections, minority languages and less-represented cultures;</w:t>
            </w:r>
          </w:p>
        </w:tc>
        <w:tc>
          <w:tcPr>
            <w:tcW w:w="4876" w:type="dxa"/>
            <w:tcBorders>
              <w:top w:val="nil"/>
              <w:left w:val="nil"/>
              <w:bottom w:val="nil"/>
              <w:right w:val="nil"/>
            </w:tcBorders>
          </w:tcPr>
          <w:p>
            <w:pPr>
              <w:pStyle w:val="Normal6a"/>
            </w:pPr>
            <w:r>
              <w:t>24.</w:t>
            </w:r>
            <w:r>
              <w:tab/>
            </w:r>
            <w:r>
              <w:t>Recognises the growing role of AI in the restoration, virtual reconstruction, preservation and accessibility of cultural heritage</w:t>
            </w:r>
            <w:r>
              <w:rPr>
                <w:b/>
                <w:i/>
              </w:rPr>
              <w:t>; stresses that AI-enabled accessibility and virtual experiences should complement, rather than replace, direct engagement with cultural heritage and professional cultural mediation</w:t>
            </w:r>
            <w:r>
              <w:t>; warns that AI systems used to describe, curate and facilitate access to digital cultural heritage may reproduce or amplify biases in datasets and metadata, thereby reducing the visibility of under-represented collections, minority languages and less-represented cultures;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Lara Magoni, Ivaylo Valchev, Marco Squarta, Chiara Gemma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Recognises the growing role of AI in the restoration, virtual reconstruction, preservation and accessibility of cultural heritage; warns that AI systems used to describe, curate and facilitate access to digital cultural heritage may reproduce or amplify biases in datasets and metadata, thereby reducing the visibility of under-represented collections, minority languages and less-represented cultures;</w:t>
            </w:r>
          </w:p>
        </w:tc>
        <w:tc>
          <w:tcPr>
            <w:tcW w:w="4876" w:type="dxa"/>
            <w:tcBorders>
              <w:top w:val="nil"/>
              <w:left w:val="nil"/>
              <w:bottom w:val="nil"/>
              <w:right w:val="nil"/>
            </w:tcBorders>
          </w:tcPr>
          <w:p>
            <w:pPr>
              <w:pStyle w:val="Normal6a"/>
            </w:pPr>
            <w:r>
              <w:t>24.</w:t>
            </w:r>
            <w:r>
              <w:tab/>
            </w:r>
            <w:r>
              <w:t xml:space="preserve">Recognises the growing role of AI in the restoration, virtual reconstruction, preservation and accessibility of cultural heritage; warns that AI systems used to describe, curate and facilitate access to digital cultural heritage may reproduce or amplify biases in datasets and metadata, thereby reducing the visibility of under-represented collections, minority languages and less-represented cultures; </w:t>
            </w:r>
            <w:r>
              <w:rPr>
                <w:b/>
                <w:i/>
              </w:rPr>
              <w:t>notes that such biases also affect conventional algorithms and are amplified by 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Catherine Griset, Annamária Vicsek, Antonín Staněk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Recognises the growing role of AI in the restoration, virtual reconstruction, preservation and accessibility of cultural heritage; warns that AI systems used to describe, curate and facilitate access to digital cultural heritage may reproduce or amplify biases in datasets and metadata, thereby reducing the visibility of under-represented collections, minority languages and less-represented cultures;</w:t>
            </w:r>
          </w:p>
        </w:tc>
        <w:tc>
          <w:tcPr>
            <w:tcW w:w="4876" w:type="dxa"/>
            <w:tcBorders>
              <w:top w:val="nil"/>
              <w:left w:val="nil"/>
              <w:bottom w:val="nil"/>
              <w:right w:val="nil"/>
            </w:tcBorders>
          </w:tcPr>
          <w:p>
            <w:pPr>
              <w:pStyle w:val="Normal6a"/>
            </w:pPr>
            <w:r>
              <w:t>24.</w:t>
            </w:r>
            <w:r>
              <w:tab/>
            </w:r>
            <w:r>
              <w:t xml:space="preserve">Recognises the growing role of AI in the restoration, virtual reconstruction, preservation and accessibility of cultural heritage; warns that AI systems used to describe, curate and facilitate access to digital cultural heritage may reproduce or amplify biases in datasets and metadata, thereby reducing the visibility of under-represented collections, minority languages and less-represented </w:t>
            </w:r>
            <w:r>
              <w:rPr>
                <w:b/>
                <w:i/>
              </w:rPr>
              <w:t>European</w:t>
            </w:r>
            <w:r>
              <w:t xml:space="preserve"> cultures;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Zsuzsanna Borvendég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Stresses the need to support the responsible uptake of AI by museums and other cultural institutions, accompanied by adequate funding, capacity building and human oversight; warns that large-scale AI models and recommender systems may contribute to cultural homogenisation and reduce the visibility and discoverability of European works, minority-language content and less-represented cultures;</w:t>
            </w:r>
          </w:p>
        </w:tc>
        <w:tc>
          <w:tcPr>
            <w:tcW w:w="4876" w:type="dxa"/>
            <w:tcBorders>
              <w:top w:val="nil"/>
              <w:left w:val="nil"/>
              <w:bottom w:val="nil"/>
              <w:right w:val="nil"/>
            </w:tcBorders>
          </w:tcPr>
          <w:p>
            <w:pPr>
              <w:pStyle w:val="Normal6a"/>
            </w:pPr>
            <w:r>
              <w:t>25.</w:t>
            </w:r>
            <w:r>
              <w:tab/>
            </w:r>
            <w:r>
              <w:t xml:space="preserve">Stresses the need to support the responsible uptake of AI by museums and other cultural institutions, accompanied by adequate funding, capacity building and human oversight; warns that large-scale AI models and recommender systems may contribute to cultural homogenisation and reduce the visibility and discoverability of European works, minority-language content and less-represented cultures; </w:t>
            </w:r>
            <w:r>
              <w:rPr>
                <w:b/>
                <w:i/>
              </w:rPr>
              <w:t>emphasises that the preservation and interpretation of national cultural heritage must remain under the responsibility of the competent national, regional and local authorities and cultural institutions; stresses that AI-generated reconstructions, interpretations and representations must not distort historical authenticity, replace original cultural artefacts or undermine the transmission of national traditions and collective memory to future generations;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Stresses the need to support the responsible uptake of AI by museums and other cultural institutions, accompanied by adequate funding, capacity building and human oversight; warns that large-scale AI models and recommender systems may contribute to cultural homogenisation and reduce the visibility and discoverability of European works, minority-language content and less-represented cultures;</w:t>
            </w:r>
          </w:p>
        </w:tc>
        <w:tc>
          <w:tcPr>
            <w:tcW w:w="4876" w:type="dxa"/>
            <w:tcBorders>
              <w:top w:val="nil"/>
              <w:left w:val="nil"/>
              <w:bottom w:val="nil"/>
              <w:right w:val="nil"/>
            </w:tcBorders>
          </w:tcPr>
          <w:p>
            <w:pPr>
              <w:pStyle w:val="Normal6a"/>
            </w:pPr>
            <w:r>
              <w:t>25.</w:t>
            </w:r>
            <w:r>
              <w:tab/>
            </w:r>
            <w:r>
              <w:t xml:space="preserve">Stresses the need to support the responsible </w:t>
            </w:r>
            <w:r>
              <w:rPr>
                <w:b/>
                <w:i/>
              </w:rPr>
              <w:t>and effective</w:t>
            </w:r>
            <w:r>
              <w:t xml:space="preserve"> uptake of AI by museums</w:t>
            </w:r>
            <w:r>
              <w:rPr>
                <w:b/>
                <w:i/>
              </w:rPr>
              <w:t>, libraries,</w:t>
            </w:r>
            <w:r>
              <w:t> and other cultural institutions, accompanied by adequate funding, capacity building and human oversight; warns that</w:t>
            </w:r>
            <w:r>
              <w:rPr>
                <w:b/>
                <w:i/>
              </w:rPr>
              <w:t>, without the possibility for institutions to contribute effectively to building better models</w:t>
            </w:r>
            <w:r>
              <w:t> large-scale AI models and recommender systems may contribute to cultural homogenisation and reduce the visibility and discoverability of European works, minority-language content and less-represented cultures;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Catherine Griset, Annamária Vicsek, Antonín Staněk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Stresses that European AI companies, in cooperation with our museums, could help to secure works against theft and depredations, for example using algorithmic video surveillance (VSA);</w:t>
            </w:r>
            <w:r>
              <w:t xml:space="preserve"> </w:t>
            </w:r>
            <w:r>
              <w:rPr>
                <w:b/>
                <w:i/>
              </w:rPr>
              <w:t>suggests that museum collections could in return be used for AI training in those companies;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Carolina Morace, Mario Furore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Calls for common EU standards and guidance on metadata quality, AI ethics, intellectual property and data governance in cultural heritage, including on the clear identification of AI-generated reconstructions and interpretations and on preserving the control of cultural heritage institutions over the digitised representations of their collections, with a view to facilitating broader access and research while fostering diversity and creativity across Europe;</w:t>
            </w:r>
          </w:p>
        </w:tc>
        <w:tc>
          <w:tcPr>
            <w:tcW w:w="4876" w:type="dxa"/>
            <w:tcBorders>
              <w:top w:val="nil"/>
              <w:left w:val="nil"/>
              <w:bottom w:val="nil"/>
              <w:right w:val="nil"/>
            </w:tcBorders>
          </w:tcPr>
          <w:p>
            <w:pPr>
              <w:pStyle w:val="Normal6a"/>
            </w:pPr>
            <w:r>
              <w:t>26.</w:t>
            </w:r>
            <w:r>
              <w:tab/>
            </w:r>
            <w:r>
              <w:t xml:space="preserve">Calls for common EU standards and guidance on metadata quality, AI ethics, intellectual property and data governance in cultural heritage, including on the clear identification of AI-generated reconstructions and interpretations and on preserving the control of cultural heritage institutions over the digitised representations of their collections, with a view to facilitating broader access and research while fostering diversity and creativity across Europe; </w:t>
            </w:r>
            <w:r>
              <w:rPr>
                <w:b/>
                <w:i/>
              </w:rPr>
              <w:t>highlights how AI-generated reconstructions, integrations and interpretations should be clearly distinguishable from authentic material and that any content of a hypothetical or conjectural nature that they include should be clearly identified as such;</w:t>
            </w:r>
            <w:r>
              <w:t xml:space="preserve"> </w:t>
            </w:r>
            <w:r>
              <w:rPr>
                <w:b/>
                <w:i/>
              </w:rPr>
              <w:t>also emphasises the need to maintain adequate human and scientific oversight over the use of AI for the purposes of reconstructing or interpreting cultural heritage;</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Hélder Sousa Silva, Sunčana Glavak, Sabine Verheyen, Esteban González Pons, Manuela Ripa, Milan Zver, Giusi Princi, Viktor Weisz, Bogdan Andrzej Zdrojewski, Eleonora Meleti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Calls for common EU standards and guidance on metadata quality, AI ethics, intellectual property and data governance in cultural heritage, including on the clear identification of AI-generated reconstructions and interpretations and on preserving the control of cultural heritage institutions over the digitised representations of their collections, with a view to facilitating broader access and research while fostering diversity and creativity across Europe;</w:t>
            </w:r>
          </w:p>
        </w:tc>
        <w:tc>
          <w:tcPr>
            <w:tcW w:w="4876" w:type="dxa"/>
            <w:tcBorders>
              <w:top w:val="nil"/>
              <w:left w:val="nil"/>
              <w:bottom w:val="nil"/>
              <w:right w:val="nil"/>
            </w:tcBorders>
          </w:tcPr>
          <w:p>
            <w:pPr>
              <w:pStyle w:val="Normal6a"/>
            </w:pPr>
            <w:r>
              <w:t>26.</w:t>
            </w:r>
            <w:r>
              <w:tab/>
            </w:r>
            <w:r>
              <w:t xml:space="preserve">Calls for common EU standards and guidance on metadata quality, AI ethics, intellectual property and data governance in cultural heritage, including on the clear identification of AI-generated reconstructions and interpretations and on preserving the control of cultural heritage institutions over the digitised representations of their collections, with a view to facilitating broader access and research while fostering diversity and creativity across Europe; </w:t>
            </w:r>
            <w:r>
              <w:rPr>
                <w:b/>
                <w:i/>
              </w:rPr>
              <w:t>stresses that, where applicable and technically feasible, AI-assisted cultural heritage content should indicate its provenance and level of human validation, remain traceable to the underlying source material and enable users to distinguish source material from AI-generated or AI-assisted interpretation;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Calls for common EU standards and guidance on metadata quality, AI ethics, intellectual property and data governance in cultural heritage, including on the clear identification of AI-generated reconstructions and interpretations and on preserving the </w:t>
            </w:r>
            <w:r>
              <w:rPr>
                <w:b/>
                <w:i/>
              </w:rPr>
              <w:t>control</w:t>
            </w:r>
            <w:r>
              <w:t xml:space="preserve"> of cultural heritage institutions over the digitised representations of their collections, with a view to facilitating broader access and research while fostering diversity and creativity across Europe;</w:t>
            </w:r>
          </w:p>
        </w:tc>
        <w:tc>
          <w:tcPr>
            <w:tcW w:w="4876" w:type="dxa"/>
            <w:tcBorders>
              <w:top w:val="nil"/>
              <w:left w:val="nil"/>
              <w:bottom w:val="nil"/>
              <w:right w:val="nil"/>
            </w:tcBorders>
          </w:tcPr>
          <w:p>
            <w:pPr>
              <w:pStyle w:val="Normal6a"/>
            </w:pPr>
            <w:r>
              <w:t>26.</w:t>
            </w:r>
            <w:r>
              <w:tab/>
            </w:r>
            <w:r>
              <w:t xml:space="preserve">Calls for </w:t>
            </w:r>
            <w:r>
              <w:rPr>
                <w:b/>
                <w:i/>
              </w:rPr>
              <w:t>collaboratively designed</w:t>
            </w:r>
            <w:r>
              <w:t xml:space="preserve"> common EU standards and guidance on metadata quality, AI ethics, intellectual property and data governance in cultural heritage, including on the clear identification of AI-generated reconstructions and interpretations and on preserving the </w:t>
            </w:r>
            <w:r>
              <w:rPr>
                <w:b/>
                <w:i/>
              </w:rPr>
              <w:t>stewardship</w:t>
            </w:r>
            <w:r>
              <w:t xml:space="preserve"> of cultural heritage institutions over the digitised representations of their collections, with a view to facilitating broader access and research while fostering diversity and creativity across Europe</w:t>
            </w:r>
            <w:r>
              <w:rPr>
                <w:b/>
                <w:i/>
              </w:rPr>
              <w:t>, </w:t>
            </w:r>
            <w:r>
              <w:rPr>
                <w:b/>
                <w:i/>
              </w:rPr>
              <w:t>while respecting the status of works and other subject matter in the public domain and ensuring that digitisation and AI-related uses do not create unjustified restrictions on lawful access to cultural heritage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Catherine Griset, Annamária Vicsek, Antonín Staněk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Calls for common EU </w:t>
            </w:r>
            <w:r>
              <w:rPr>
                <w:b/>
                <w:i/>
              </w:rPr>
              <w:t>standards and</w:t>
            </w:r>
            <w:r>
              <w:t xml:space="preserve"> guidance on metadata quality, AI ethics, intellectual property and data governance in cultural heritage, including on the clear identification of AI-generated reconstructions and interpretations and on preserving the control of cultural heritage institutions over the digitised representations of their collections, with a view to facilitating broader access and research while fostering diversity and creativity across Europe;</w:t>
            </w:r>
          </w:p>
        </w:tc>
        <w:tc>
          <w:tcPr>
            <w:tcW w:w="4876" w:type="dxa"/>
            <w:tcBorders>
              <w:top w:val="nil"/>
              <w:left w:val="nil"/>
              <w:bottom w:val="nil"/>
              <w:right w:val="nil"/>
            </w:tcBorders>
          </w:tcPr>
          <w:p>
            <w:pPr>
              <w:pStyle w:val="Normal6a"/>
            </w:pPr>
            <w:r>
              <w:t>26.</w:t>
            </w:r>
            <w:r>
              <w:tab/>
            </w:r>
            <w:r>
              <w:t>Calls for common EU guidance on metadata quality, AI ethics, intellectual property and data governance in cultural heritage, including on the clear identification of AI-generated reconstructions and interpretations and on preserving the control of cultural heritage institutions over the digitised representations of their collections, with a view to facilitating broader access and research while fostering diversity and creativity across Europe;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Sunčana Glavak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Stresses that AI-generated reconstructions of historical events, cultural heritage or archive material must be clearly distinguished from authentic historical sources;</w:t>
            </w:r>
            <w:r>
              <w:t xml:space="preserve"> </w:t>
            </w:r>
            <w:r>
              <w:rPr>
                <w:b/>
                <w:i/>
              </w:rPr>
              <w:t>calls for appropriate safeguards on the transparency and provenance of content in order to prevent AI-generated or -manipulated content from misleading the public about European history and cultural heritage;</w:t>
            </w:r>
          </w:p>
        </w:tc>
      </w:tr>
    </w:tbl>
    <w:p>
      <w:pPr>
        <w:pStyle w:val="AmOrLang"/>
      </w:pPr>
      <w:r>
        <w:t xml:space="preserve">Or. </w:t>
      </w:r>
      <w:r>
        <w:rPr>
          <w:rStyle w:val="HideTWBExt"/>
        </w:rPr>
        <w:t>&lt;Original&gt;</w:t>
      </w:r>
      <w:r>
        <w:rPr>
          <w:rStyle w:val="HideTWBInt"/>
        </w:rPr>
        <w:t>{HR}</w:t>
      </w:r>
      <w:r>
        <w:t>hr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Urges the Commission to review the applicable legislation to facilitate institutions’ own engagement, including through clarifying their ability to engage meaningfully and effectively in developing and using 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Zsuzsanna Borvendég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Calls for investment in the development and curation of high-quality, rights-compliant and culturally and linguistically diverse datasets, with particular attention to under-represented European languages and cultures; calls on the Commission to develop methodologies and indicators to assess the representation of European cultural and linguistic diversity in AI training datasets;</w:t>
            </w:r>
          </w:p>
        </w:tc>
        <w:tc>
          <w:tcPr>
            <w:tcW w:w="4876" w:type="dxa"/>
            <w:tcBorders>
              <w:top w:val="nil"/>
              <w:left w:val="nil"/>
              <w:bottom w:val="nil"/>
              <w:right w:val="nil"/>
            </w:tcBorders>
          </w:tcPr>
          <w:p>
            <w:pPr>
              <w:pStyle w:val="Normal6a"/>
            </w:pPr>
            <w:r>
              <w:t>27.</w:t>
            </w:r>
            <w:r>
              <w:tab/>
            </w:r>
            <w:r>
              <w:t xml:space="preserve">Calls for investment in the development and curation of high-quality, rights-compliant and culturally and linguistically diverse datasets, with particular attention to under-represented European languages and cultures; calls on the Commission to develop methodologies and indicators to assess the representation of European cultural and linguistic diversity in AI training datasets; </w:t>
            </w:r>
            <w:r>
              <w:rPr>
                <w:b/>
                <w:i/>
              </w:rPr>
              <w:t>stresses that the inclusion of minority-language and regional cultural works in AI training datasets must fully respect applicable intellectual property rights and the legitimate interests of authors and cultural institutions; underlines that the preservation of linguistic and cultural diversity must not serve as a justification for the unauthorised commercial exploitation of literary works, traditional music, folklore or other expressions of cultural heritage;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Lara Magoni, Ivaylo Valchev, Marco Squarta, Chiara Gemma, Guillaume Peltier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Calls for investment in the development and curation of high-quality, rights-compliant and culturally and linguistically diverse datasets, with particular attention to </w:t>
            </w:r>
            <w:r>
              <w:rPr>
                <w:b/>
                <w:i/>
              </w:rPr>
              <w:t>under-represented European</w:t>
            </w:r>
            <w:r>
              <w:t xml:space="preserve"> languages and cultures; calls on the Commission to develop methodologies and indicators to assess the representation of European cultural and linguistic diversity in AI training datasets;</w:t>
            </w:r>
          </w:p>
        </w:tc>
        <w:tc>
          <w:tcPr>
            <w:tcW w:w="4876" w:type="dxa"/>
            <w:tcBorders>
              <w:top w:val="nil"/>
              <w:left w:val="nil"/>
              <w:bottom w:val="nil"/>
              <w:right w:val="nil"/>
            </w:tcBorders>
          </w:tcPr>
          <w:p>
            <w:pPr>
              <w:pStyle w:val="Normal6a"/>
            </w:pPr>
            <w:r>
              <w:t>27.</w:t>
            </w:r>
            <w:r>
              <w:tab/>
            </w:r>
            <w:r>
              <w:t xml:space="preserve">Calls for investment in the development and curation of high-quality, rights-compliant and culturally and linguistically diverse datasets, with particular attention to </w:t>
            </w:r>
            <w:r>
              <w:rPr>
                <w:b/>
                <w:i/>
              </w:rPr>
              <w:t>national and regional</w:t>
            </w:r>
            <w:r>
              <w:t xml:space="preserve"> languages and </w:t>
            </w:r>
            <w:r>
              <w:rPr>
                <w:b/>
                <w:i/>
              </w:rPr>
              <w:t>underrepresented European</w:t>
            </w:r>
            <w:r>
              <w:t xml:space="preserve"> cultures</w:t>
            </w:r>
            <w:r>
              <w:rPr>
                <w:b/>
                <w:i/>
              </w:rPr>
              <w:t>, while also promoting archives, libraries and public collections of the Member States as custodians of European cultural identities and their common roots; furthermore, supports, where appropriate, the development of European AI models and tools, including open-source ones, that promote European cultural and linguistic diversity</w:t>
            </w:r>
            <w:r>
              <w:t>; calls on the Commission to develop methodologies and indicators to assess the representation of European cultural and linguistic diversity in AI training datasets;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Sunčana Glavak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Calls for investment in the development and curation of high-quality, rights-compliant and culturally and linguistically diverse datasets, with particular attention to under-represented European languages and cultures; calls on the Commission to develop methodologies and indicators </w:t>
            </w:r>
            <w:r>
              <w:rPr>
                <w:b/>
                <w:i/>
              </w:rPr>
              <w:t>to assess</w:t>
            </w:r>
            <w:r>
              <w:t xml:space="preserve"> the representation of European cultural and linguistic diversity in AI training datasets;</w:t>
            </w:r>
          </w:p>
        </w:tc>
        <w:tc>
          <w:tcPr>
            <w:tcW w:w="4876" w:type="dxa"/>
            <w:tcBorders>
              <w:top w:val="nil"/>
              <w:left w:val="nil"/>
              <w:bottom w:val="nil"/>
              <w:right w:val="nil"/>
            </w:tcBorders>
          </w:tcPr>
          <w:p>
            <w:pPr>
              <w:pStyle w:val="Normal6a"/>
            </w:pPr>
            <w:r>
              <w:t>27.</w:t>
            </w:r>
            <w:r>
              <w:tab/>
            </w:r>
            <w:r>
              <w:t xml:space="preserve">Calls for investment in the development and curation of high-quality, rights-compliant and culturally and linguistically diverse datasets, with particular attention to under-represented European languages and cultures; calls on the Commission to develop </w:t>
            </w:r>
            <w:r>
              <w:rPr>
                <w:b/>
                <w:i/>
              </w:rPr>
              <w:t>common</w:t>
            </w:r>
            <w:r>
              <w:t xml:space="preserve"> methodologies and </w:t>
            </w:r>
            <w:r>
              <w:rPr>
                <w:b/>
                <w:i/>
              </w:rPr>
              <w:t>comparable</w:t>
            </w:r>
            <w:r>
              <w:t xml:space="preserve"> indicators</w:t>
            </w:r>
            <w:r>
              <w:rPr>
                <w:b/>
                <w:i/>
              </w:rPr>
              <w:t>, drawing, as far as possible, on existing data sources and capacities, to monitor</w:t>
            </w:r>
            <w:r>
              <w:t xml:space="preserve"> the representation of European cultural and linguistic diversity in AI training </w:t>
            </w:r>
            <w:r>
              <w:rPr>
                <w:b/>
                <w:i/>
              </w:rPr>
              <w:t>systems and to support the development and availability of high-quality</w:t>
            </w:r>
            <w:r>
              <w:t xml:space="preserve"> datasets </w:t>
            </w:r>
            <w:r>
              <w:rPr>
                <w:b/>
                <w:i/>
              </w:rPr>
              <w:t>and tools for less-represented European, regional and minority languages, while avoiding unnecessary new reporting obligations for small and medium-sized enterprises</w:t>
            </w:r>
            <w:r>
              <w:t>;</w:t>
            </w:r>
          </w:p>
        </w:tc>
      </w:tr>
    </w:tbl>
    <w:p>
      <w:pPr>
        <w:pStyle w:val="AmOrLang"/>
      </w:pPr>
      <w:r>
        <w:t xml:space="preserve">Or. </w:t>
      </w:r>
      <w:r>
        <w:rPr>
          <w:rStyle w:val="HideTWBExt"/>
        </w:rPr>
        <w:t>&lt;Original&gt;</w:t>
      </w:r>
      <w:r>
        <w:rPr>
          <w:rStyle w:val="HideTWBInt"/>
        </w:rPr>
        <w:t>{HR}</w:t>
      </w:r>
      <w:r>
        <w:t>hr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Calls for investment in the development and curation of high-quality, rights-compliant and culturally and linguistically diverse datasets, with particular attention to </w:t>
            </w:r>
            <w:r>
              <w:rPr>
                <w:b/>
                <w:i/>
              </w:rPr>
              <w:t>under-represented</w:t>
            </w:r>
            <w:r>
              <w:t xml:space="preserve"> European languages and cultures; calls on the Commission to develop methodologies and indicators to assess the representation of European cultural and linguistic diversity in AI training datasets;</w:t>
            </w:r>
          </w:p>
        </w:tc>
        <w:tc>
          <w:tcPr>
            <w:tcW w:w="4876" w:type="dxa"/>
            <w:tcBorders>
              <w:top w:val="nil"/>
              <w:left w:val="nil"/>
              <w:bottom w:val="nil"/>
              <w:right w:val="nil"/>
            </w:tcBorders>
          </w:tcPr>
          <w:p>
            <w:pPr>
              <w:pStyle w:val="Normal6a"/>
            </w:pPr>
            <w:r>
              <w:t>27.</w:t>
            </w:r>
            <w:r>
              <w:tab/>
            </w:r>
            <w:r>
              <w:t xml:space="preserve">Calls for investment in the development and curation of high-quality, rights-compliant and culturally and linguistically diverse datasets, with particular attention to </w:t>
            </w:r>
            <w:r>
              <w:rPr>
                <w:b/>
                <w:i/>
              </w:rPr>
              <w:t>regional, minority languages and lesser-used</w:t>
            </w:r>
            <w:r>
              <w:t xml:space="preserve"> European languages and cultures; calls on the Commission to develop methodologies and indicators to assess the representation of European cultural and linguistic diversity in AI training datasets; </w:t>
            </w:r>
            <w:r>
              <w:rPr>
                <w:b/>
                <w:i/>
              </w:rPr>
              <w:t>recommends assessing the impact of current legal frameworks on the accessibility of such data;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Catherine Griset, Annamária Vicsek, Antonín Staněk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Calls for investment in the development and curation of high-quality, rights-compliant and culturally and linguistically diverse datasets, with particular attention to under-represented European languages and cultures; calls on the Commission to develop methodologies and indicators to assess the representation of European cultural and linguistic diversity in AI training datasets;</w:t>
            </w:r>
          </w:p>
        </w:tc>
        <w:tc>
          <w:tcPr>
            <w:tcW w:w="4876" w:type="dxa"/>
            <w:tcBorders>
              <w:top w:val="nil"/>
              <w:left w:val="nil"/>
              <w:bottom w:val="nil"/>
              <w:right w:val="nil"/>
            </w:tcBorders>
          </w:tcPr>
          <w:p>
            <w:pPr>
              <w:pStyle w:val="Normal6a"/>
            </w:pPr>
            <w:r>
              <w:t>27.</w:t>
            </w:r>
            <w:r>
              <w:tab/>
            </w:r>
            <w:r>
              <w:t xml:space="preserve">Calls for investment in the development and curation of high-quality, rights-compliant and culturally and linguistically diverse datasets, with particular attention to under-represented European </w:t>
            </w:r>
            <w:r>
              <w:rPr>
                <w:b/>
                <w:i/>
              </w:rPr>
              <w:t>national and local</w:t>
            </w:r>
            <w:r>
              <w:t xml:space="preserve"> languages and cultures; calls on the Commission to develop methodologies and indicators to assess the representation of European cultural and linguistic diversity in AI training datasets;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Hélder Sousa Silva, Sunčana Glavak, Sabine Verheyen, Esteban González Pons, Manuela Ripa, Milan Zver, Bogdan Andrzej Zdrojewski, Giusi Princi, Viktor Weisz, Eleonora Meleti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Calls for trusted arrangements for access to and reuse of cultural heritage data that preserve institutional control and support access, research, preservation and the sustainability of the cultural heritage ecosystem; calls for practical guidance on the reuse of digitised collections, including source identification and automated access, while respecting applicable rights and the public domain; stresses that necessary and proportionate restrictions may apply where disclosure could compromise the protection, conservation or integrity of cultural heritage, including sensitive archaeological or security-related information;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Sunčana Glavak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Stresses that the development and application of AI in cultural and creative sectors must not create new digital barriers or lead to discrimination against people with disabilities;</w:t>
            </w:r>
            <w:r>
              <w:t xml:space="preserve"> </w:t>
            </w:r>
            <w:r>
              <w:rPr>
                <w:b/>
                <w:i/>
              </w:rPr>
              <w:t>calls for a regular assessment of the accessibility and quality of automated solutions, particularly captions, audio descriptions, voice-activated interfaces and other assistive technologies, with appropriate human oversight where errors could significantly limit access to cultural, media or educational content;</w:t>
            </w:r>
          </w:p>
        </w:tc>
      </w:tr>
    </w:tbl>
    <w:p>
      <w:pPr>
        <w:pStyle w:val="AmOrLang"/>
      </w:pPr>
      <w:r>
        <w:t xml:space="preserve">Or. </w:t>
      </w:r>
      <w:r>
        <w:rPr>
          <w:rStyle w:val="HideTWBExt"/>
        </w:rPr>
        <w:t>&lt;Original&gt;</w:t>
      </w:r>
      <w:r>
        <w:rPr>
          <w:rStyle w:val="HideTWBInt"/>
        </w:rPr>
        <w:t>{HR}</w:t>
      </w:r>
      <w:r>
        <w:t>hr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Carolina Morace, Mario Furore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Subheading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News</w:t>
            </w:r>
            <w:r>
              <w:t xml:space="preserve"> and journalism</w:t>
            </w:r>
          </w:p>
        </w:tc>
        <w:tc>
          <w:tcPr>
            <w:tcW w:w="4876" w:type="dxa"/>
            <w:tcBorders>
              <w:top w:val="nil"/>
              <w:left w:val="nil"/>
              <w:bottom w:val="nil"/>
              <w:right w:val="nil"/>
            </w:tcBorders>
          </w:tcPr>
          <w:p>
            <w:pPr>
              <w:pStyle w:val="Normal6a"/>
            </w:pPr>
            <w:r>
              <w:rPr>
                <w:b/>
                <w:i/>
              </w:rPr>
              <w:t>Press, news media</w:t>
            </w:r>
            <w:r>
              <w:t xml:space="preserve"> and journalism</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Sabine Verheyen, 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Subheading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News and journalism</w:t>
            </w:r>
          </w:p>
        </w:tc>
        <w:tc>
          <w:tcPr>
            <w:tcW w:w="4876" w:type="dxa"/>
            <w:tcBorders>
              <w:top w:val="nil"/>
              <w:left w:val="nil"/>
              <w:bottom w:val="nil"/>
              <w:right w:val="nil"/>
            </w:tcBorders>
          </w:tcPr>
          <w:p>
            <w:pPr>
              <w:pStyle w:val="Normal6a"/>
            </w:pPr>
            <w:r>
              <w:rPr>
                <w:b/>
                <w:i/>
              </w:rPr>
              <w:t>Press,</w:t>
            </w:r>
            <w:r>
              <w:t xml:space="preserve"> news and journalism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Carolina Morace, Mario Furore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Notes with concern the acute AI-related challenges facing news media and journalism, including risks to media pluralism, editorial integrity and economic sustainability, as AI systems increasingly retrieve and synthesise journalistic content within their own interfaces, often without adequate attribution or prominent links to the original sources, thereby disintermediating newsrooms and their editorial rigour from their audiences;</w:t>
            </w:r>
          </w:p>
        </w:tc>
        <w:tc>
          <w:tcPr>
            <w:tcW w:w="4876" w:type="dxa"/>
            <w:tcBorders>
              <w:top w:val="nil"/>
              <w:left w:val="nil"/>
              <w:bottom w:val="nil"/>
              <w:right w:val="nil"/>
            </w:tcBorders>
          </w:tcPr>
          <w:p>
            <w:pPr>
              <w:pStyle w:val="Normal6a"/>
            </w:pPr>
            <w:r>
              <w:t>28.</w:t>
            </w:r>
            <w:r>
              <w:tab/>
            </w:r>
            <w:r>
              <w:t xml:space="preserve">Notes with concern the acute AI-related challenges facing </w:t>
            </w:r>
            <w:r>
              <w:rPr>
                <w:b/>
                <w:i/>
              </w:rPr>
              <w:t>the press,</w:t>
            </w:r>
            <w:r>
              <w:t xml:space="preserve"> news media and journalism, including risks to media pluralism, editorial integrity and economic sustainability, as AI systems increasingly retrieve and synthesise journalistic content within their own interfaces, often without adequate attribution or prominent links to the original sources, thereby disintermediating newsrooms and their editorial rigour from their audiences; </w:t>
            </w:r>
            <w:r>
              <w:rPr>
                <w:b/>
                <w:i/>
              </w:rPr>
              <w:t>calls on the Commission and Member States to address these challenges by ensuring the effective application of the relevant EU legislation;</w:t>
            </w:r>
            <w:r>
              <w:t xml:space="preserve"> </w:t>
            </w:r>
            <w:r>
              <w:rPr>
                <w:b/>
                <w:i/>
              </w:rPr>
              <w:t>highlights that the development and use of AI systems in the media sector should not compromise the objectives and principles of the European Media Freedom Act, particularly media pluralism, editorial independence and information diversity;</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Catherine Griset, Annamária Vicsek, Antonín Staněk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 xml:space="preserve">Notes with concern the acute AI-related challenges facing news media and journalism, including risks to media pluralism, editorial integrity and economic sustainability, as AI systems increasingly retrieve and synthesise journalistic content within their own interfaces, </w:t>
            </w:r>
            <w:r>
              <w:rPr>
                <w:b/>
                <w:i/>
              </w:rPr>
              <w:t>often</w:t>
            </w:r>
            <w:r>
              <w:t xml:space="preserve"> without </w:t>
            </w:r>
            <w:r>
              <w:rPr>
                <w:b/>
                <w:i/>
              </w:rPr>
              <w:t>adequate</w:t>
            </w:r>
            <w:r>
              <w:t xml:space="preserve"> attribution </w:t>
            </w:r>
            <w:r>
              <w:rPr>
                <w:b/>
                <w:i/>
              </w:rPr>
              <w:t>or prominent</w:t>
            </w:r>
            <w:r>
              <w:t xml:space="preserve"> links to the original sources, thereby disintermediating newsrooms and their editorial rigour from their audiences;</w:t>
            </w:r>
          </w:p>
        </w:tc>
        <w:tc>
          <w:tcPr>
            <w:tcW w:w="4876" w:type="dxa"/>
            <w:tcBorders>
              <w:top w:val="nil"/>
              <w:left w:val="nil"/>
              <w:bottom w:val="nil"/>
              <w:right w:val="nil"/>
            </w:tcBorders>
          </w:tcPr>
          <w:p>
            <w:pPr>
              <w:pStyle w:val="Normal6a"/>
            </w:pPr>
            <w:r>
              <w:t>28.</w:t>
            </w:r>
            <w:r>
              <w:tab/>
            </w:r>
            <w:r>
              <w:t xml:space="preserve">Notes with concern the acute AI-related challenges facing news media and journalism, including risks to media </w:t>
            </w:r>
            <w:r>
              <w:rPr>
                <w:b/>
                <w:i/>
              </w:rPr>
              <w:t>independence and</w:t>
            </w:r>
            <w:r>
              <w:t xml:space="preserve"> pluralism, editorial integrity and economic sustainability, as AI systems increasingly retrieve and synthesise journalistic content within their own interfaces, </w:t>
            </w:r>
            <w:r>
              <w:rPr>
                <w:b/>
                <w:i/>
              </w:rPr>
              <w:t>sometimes</w:t>
            </w:r>
            <w:r>
              <w:t xml:space="preserve"> without </w:t>
            </w:r>
            <w:r>
              <w:rPr>
                <w:b/>
                <w:i/>
              </w:rPr>
              <w:t>sufficient</w:t>
            </w:r>
            <w:r>
              <w:t xml:space="preserve"> attribution</w:t>
            </w:r>
            <w:r>
              <w:rPr>
                <w:b/>
                <w:i/>
              </w:rPr>
              <w:t>, particularly when the</w:t>
            </w:r>
            <w:r>
              <w:t xml:space="preserve"> links to the original sources </w:t>
            </w:r>
            <w:r>
              <w:rPr>
                <w:b/>
                <w:i/>
              </w:rPr>
              <w:t>are not prominent enough</w:t>
            </w:r>
            <w:r>
              <w:t xml:space="preserve">, thereby disintermediating newsrooms and their editorial rigour from their audiences; </w:t>
            </w:r>
            <w:r>
              <w:rPr>
                <w:b/>
                <w:i/>
              </w:rPr>
              <w:t>condemns, too, the misuse or disproportionate use of anti-disinformation measures where, in the absence of a clear, precise and predictable legal framework and effective guarantees, those measures are exploited to unduly restrict legitimate political expression or suppress political opponents;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Notes with concern the acute AI-related challenges facing news media and journalism, including risks to media pluralism, editorial integrity and economic sustainability, as AI systems increasingly retrieve and synthesise journalistic content within their own interfaces, often without adequate attribution or prominent links to the original sources, thereby disintermediating newsrooms and their editorial rigour from their audiences;</w:t>
            </w:r>
          </w:p>
        </w:tc>
        <w:tc>
          <w:tcPr>
            <w:tcW w:w="4876" w:type="dxa"/>
            <w:tcBorders>
              <w:top w:val="nil"/>
              <w:left w:val="nil"/>
              <w:bottom w:val="nil"/>
              <w:right w:val="nil"/>
            </w:tcBorders>
          </w:tcPr>
          <w:p>
            <w:pPr>
              <w:pStyle w:val="Normal6a"/>
            </w:pPr>
            <w:r>
              <w:t>28.</w:t>
            </w:r>
            <w:r>
              <w:tab/>
            </w:r>
            <w:r>
              <w:t>Notes with concern the acute AI-related challenges facing news media and journalism</w:t>
            </w:r>
            <w:r>
              <w:rPr>
                <w:b/>
                <w:i/>
              </w:rPr>
              <w:t>, whose services are systematically and extensively exploited by AI systems</w:t>
            </w:r>
            <w:r>
              <w:t xml:space="preserve">, including risks to media pluralism, editorial integrity and economic sustainability, as AI systems increasingly retrieve and synthesise journalistic content within their own interfaces, often without adequate attribution or prominent links to the original sources, thereby disintermediating newsrooms and their editorial rigour from their audiences; </w:t>
            </w:r>
            <w:r>
              <w:rPr>
                <w:b/>
                <w:i/>
              </w:rPr>
              <w:t>calls on the Commission to carry out an in-depth assessment of whether providers of generative AI, in view of the degree of control they exercise over the content generated, should qualify as media service providers within the meaning of Article 2(1) of the EMFA;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Joanna Scheuring-Wielgus, Emma Rafowicz, Marcos Ros Sempere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 xml:space="preserve">Notes with concern the acute AI-related challenges facing news media and journalism, including risks to media pluralism, editorial integrity and economic sustainability, as AI systems increasingly retrieve and synthesise journalistic content within their own interfaces, often without adequate attribution or prominent links to the original sources, thereby disintermediating </w:t>
            </w:r>
            <w:r>
              <w:rPr>
                <w:b/>
                <w:i/>
              </w:rPr>
              <w:t>newsrooms and their editorial rigour</w:t>
            </w:r>
            <w:r>
              <w:t xml:space="preserve"> from their audiences;</w:t>
            </w:r>
          </w:p>
        </w:tc>
        <w:tc>
          <w:tcPr>
            <w:tcW w:w="4876" w:type="dxa"/>
            <w:tcBorders>
              <w:top w:val="nil"/>
              <w:left w:val="nil"/>
              <w:bottom w:val="nil"/>
              <w:right w:val="nil"/>
            </w:tcBorders>
          </w:tcPr>
          <w:p>
            <w:pPr>
              <w:pStyle w:val="Normal6a"/>
            </w:pPr>
            <w:r>
              <w:t>28.</w:t>
            </w:r>
            <w:r>
              <w:tab/>
            </w:r>
            <w:r>
              <w:t xml:space="preserve">Notes with concern the acute AI-related challenges facing news media and journalism, including risks to media pluralism, editorial integrity and economic sustainability, as AI systems </w:t>
            </w:r>
            <w:r>
              <w:rPr>
                <w:b/>
                <w:i/>
              </w:rPr>
              <w:t>and AI-generated overviews</w:t>
            </w:r>
            <w:r>
              <w:t xml:space="preserve"> increasingly retrieve and synthesise journalistic content within their own interfaces, often without adequate attribution or prominent links to the original sources, thereby disintermediating </w:t>
            </w:r>
            <w:r>
              <w:rPr>
                <w:b/>
                <w:i/>
              </w:rPr>
              <w:t>press publishers and news media providers</w:t>
            </w:r>
            <w:r>
              <w:t xml:space="preserve"> from their audiences </w:t>
            </w:r>
            <w:r>
              <w:rPr>
                <w:b/>
                <w:i/>
              </w:rPr>
              <w:t>and diverting the traffic on which their advertising and subscription revenue depends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Sabine Verheyen, Bogdan Andrzej Zdrojewski, 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 xml:space="preserve">Notes with concern the acute AI-related challenges facing </w:t>
            </w:r>
            <w:r>
              <w:rPr>
                <w:b/>
                <w:i/>
              </w:rPr>
              <w:t>news</w:t>
            </w:r>
            <w:r>
              <w:t xml:space="preserve"> media </w:t>
            </w:r>
            <w:r>
              <w:rPr>
                <w:b/>
                <w:i/>
              </w:rPr>
              <w:t>and journalism</w:t>
            </w:r>
            <w:r>
              <w:t>, including risks to media pluralism, editorial integrity and economic sustainability, as AI systems increasingly retrieve and synthesise journalistic content within their own interfaces, often without adequate attribution or prominent links to the original sources, thereby disintermediating newsrooms and their editorial rigour from their audiences;</w:t>
            </w:r>
          </w:p>
        </w:tc>
        <w:tc>
          <w:tcPr>
            <w:tcW w:w="4876" w:type="dxa"/>
            <w:tcBorders>
              <w:top w:val="nil"/>
              <w:left w:val="nil"/>
              <w:bottom w:val="nil"/>
              <w:right w:val="nil"/>
            </w:tcBorders>
          </w:tcPr>
          <w:p>
            <w:pPr>
              <w:pStyle w:val="Normal6a"/>
            </w:pPr>
            <w:r>
              <w:t>28.</w:t>
            </w:r>
            <w:r>
              <w:tab/>
            </w:r>
            <w:r>
              <w:t xml:space="preserve">Notes with concern the acute AI-related challenges facing </w:t>
            </w:r>
            <w:r>
              <w:rPr>
                <w:b/>
                <w:i/>
              </w:rPr>
              <w:t>media service providers and press publishers as defined in the European</w:t>
            </w:r>
            <w:r>
              <w:t xml:space="preserve"> Media </w:t>
            </w:r>
            <w:r>
              <w:rPr>
                <w:b/>
                <w:i/>
              </w:rPr>
              <w:t>Freedom Act</w:t>
            </w:r>
            <w:r>
              <w:t xml:space="preserve">, including risks to media pluralism, editorial integrity and economic sustainability, as AI systems increasingly retrieve and synthesise journalistic </w:t>
            </w:r>
            <w:r>
              <w:rPr>
                <w:b/>
                <w:i/>
              </w:rPr>
              <w:t>and editorial</w:t>
            </w:r>
            <w:r>
              <w:t xml:space="preserve"> content within their own interfaces, often without adequate attribution or prominent links to the original sources, thereby disintermediating newsrooms and their editorial rigour from their audiences;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Recognises that, the protection of the press and news publishers, whose content is essential to pluralism and democratic debate, is jeopardized by the unauthorized appropriation of their publications by generative artificial intelligence models; Stresses that safeguarding an independent, pluralistic, and economically sustainable media ecosystem is a necessary condition for the effective exercise of freedom of expression, citizens' right to information, and the proper functioning of European democracy;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Lara Magoni, Ivaylo Valchev, Marco Squarta, Chiara Gemma, Guillaume Peltier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Encourages Member States to make full use of the regulatory sandboxes for AI provided for in the AI Act, in order to foster innovation in the cultural and creative sectors, ensuring in particular that micro-enterprises, SMEs and independent creators have fair and simplified access to AI tools and technologies, infrastructure, skills and funding opportunities, as well as legal certainty and conditions that prevent excessive dependence on a limited number of suppliers;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Laurence Farreng, Brigitte van den Berg, Nikola Minchev,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Recalls that, under Article 18(1)(d) of the European Media Freedom Act, media service providers can only benefit from enhanced safeguards on very large online platforms if they do not provide AI-generated content without human review or editorial control; stresses that human editorial responsibility must remain the cornerstone of trustworthy journalism;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Brigitte van den Berg, Nikola Minchev, Laurence Farreng,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Identifies AI-generated and distributed disinformation as one of the key challenges undermining news and journalism; calls on the Commission to take swift action under the new AgoraEU programme against disinformation and to support the news and media sector with measure to protect them against disinformation;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Carolina Morace, Mario Furore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 xml:space="preserve">Calls on the Commission to ensure effective and continuous enforcement of obligations for very large online search engines under the Digital Services Act, specifically in relation to AI-generated overviews; calls for meaningful transparency regarding the selection of </w:t>
            </w:r>
            <w:r>
              <w:rPr>
                <w:b/>
                <w:i/>
              </w:rPr>
              <w:t>these</w:t>
            </w:r>
            <w:r>
              <w:t xml:space="preserve"> sources </w:t>
            </w:r>
            <w:r>
              <w:rPr>
                <w:b/>
                <w:i/>
              </w:rPr>
              <w:t>and</w:t>
            </w:r>
            <w:r>
              <w:t xml:space="preserve"> clear attribution and prominent links to original sources, thus </w:t>
            </w:r>
            <w:r>
              <w:rPr>
                <w:b/>
                <w:i/>
              </w:rPr>
              <w:t>potentially reducing</w:t>
            </w:r>
            <w:r>
              <w:t xml:space="preserve"> the spread of misinformation;</w:t>
            </w:r>
          </w:p>
        </w:tc>
        <w:tc>
          <w:tcPr>
            <w:tcW w:w="4876" w:type="dxa"/>
            <w:tcBorders>
              <w:top w:val="nil"/>
              <w:left w:val="nil"/>
              <w:bottom w:val="nil"/>
              <w:right w:val="nil"/>
            </w:tcBorders>
          </w:tcPr>
          <w:p>
            <w:pPr>
              <w:pStyle w:val="Normal6a"/>
            </w:pPr>
            <w:r>
              <w:t>29.</w:t>
            </w:r>
            <w:r>
              <w:tab/>
            </w:r>
            <w:r>
              <w:t>Calls on the Commission to ensure effective and continuous enforcement of obligations for very large online search engines under the Digital Services Act, specifically in relation to AI-generated overviews</w:t>
            </w:r>
            <w:r>
              <w:rPr>
                <w:b/>
                <w:i/>
              </w:rPr>
              <w:t>, and to ensure that the systemic risks threatening media freedom and pluralism are adequately addressed</w:t>
            </w:r>
            <w:r>
              <w:t>; calls for meaningful transparency regarding the selection of sources</w:t>
            </w:r>
            <w:r>
              <w:rPr>
                <w:b/>
                <w:i/>
              </w:rPr>
              <w:t>, as well as</w:t>
            </w:r>
            <w:r>
              <w:t xml:space="preserve"> clear attribution and prominent links to original sources, thus </w:t>
            </w:r>
            <w:r>
              <w:rPr>
                <w:b/>
                <w:i/>
              </w:rPr>
              <w:t>contributing, inter alia, to making</w:t>
            </w:r>
            <w:r>
              <w:t xml:space="preserve"> the spread of misinformation </w:t>
            </w:r>
            <w:r>
              <w:rPr>
                <w:b/>
                <w:i/>
              </w:rPr>
              <w:t>less likely</w:t>
            </w:r>
            <w:r>
              <w:t xml:space="preserve">; </w:t>
            </w:r>
            <w:r>
              <w:rPr>
                <w:b/>
                <w:i/>
              </w:rPr>
              <w:t>also calls on the Commission to ensure the effective application of the Digital Markets Act, and to pay particular attention to potential attempts by large digital platforms to give priority to their own AI services over those of their competitors by taking advantage of the fact that they control access to users and digital markets;</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Marcos Ros Sempere, Hannes Heide, Joanna Scheuring-Wielgus,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Calls on the Commission to ensure effective and continuous enforcement of obligations for very large online search engines under the Digital Services Act, specifically in relation to AI-generated overviews; calls for meaningful transparency regarding the selection of these sources and clear attribution and prominent links to original sources, thus potentially reducing the spread of misinformation;</w:t>
            </w:r>
          </w:p>
        </w:tc>
        <w:tc>
          <w:tcPr>
            <w:tcW w:w="4876" w:type="dxa"/>
            <w:tcBorders>
              <w:top w:val="nil"/>
              <w:left w:val="nil"/>
              <w:bottom w:val="nil"/>
              <w:right w:val="nil"/>
            </w:tcBorders>
          </w:tcPr>
          <w:p>
            <w:pPr>
              <w:pStyle w:val="Normal6a"/>
            </w:pPr>
            <w:r>
              <w:t>29.</w:t>
            </w:r>
            <w:r>
              <w:tab/>
            </w:r>
            <w:r>
              <w:t xml:space="preserve">Calls on the Commission to ensure effective and continuous enforcement of obligations for very large online search engines under the Digital Services Act, specifically in relation to AI-generated overviews </w:t>
            </w:r>
            <w:r>
              <w:rPr>
                <w:b/>
                <w:i/>
              </w:rPr>
              <w:t>and other AI-powered conversational search services falling within its scope, in line with the principles of media pluralism and diversity of information underpinning the European Media Freedom Act</w:t>
            </w:r>
            <w:r>
              <w:t xml:space="preserve">; calls for meaningful transparency regarding the selection </w:t>
            </w:r>
            <w:r>
              <w:rPr>
                <w:b/>
                <w:i/>
              </w:rPr>
              <w:t>and ranking</w:t>
            </w:r>
            <w:r>
              <w:t xml:space="preserve"> of these sources and clear attribution and prominent links to original sources, thus potentially reducing the spread of misinformation</w:t>
            </w:r>
            <w:r>
              <w:rPr>
                <w:b/>
                <w:i/>
              </w:rPr>
              <w:t>, while stressing that attribution and links do not replace authorisation and remuneration where these are required</w:t>
            </w:r>
            <w:r>
              <w:t xml:space="preserve">; </w:t>
            </w:r>
            <w:r>
              <w:rPr>
                <w:b/>
                <w:i/>
              </w:rPr>
              <w:t>calls on the Commission to enforce the Digital Markets Act swiftly where gatekeepers favour their own AI services at the expense of fair competition among business users;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Sunčana Glavak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Calls on the Commission to ensure effective and continuous enforcement of obligations for very large online search engines under the Digital Services Act, specifically in relation to AI-generated overviews; calls for meaningful transparency regarding the selection of these sources and clear attribution and prominent links to original sources, thus potentially reducing the spread of misinformation</w:t>
            </w:r>
            <w:r>
              <w:rPr>
                <w:b/>
                <w:i/>
              </w:rPr>
              <w:t>;</w:t>
            </w:r>
          </w:p>
        </w:tc>
        <w:tc>
          <w:tcPr>
            <w:tcW w:w="4876" w:type="dxa"/>
            <w:tcBorders>
              <w:top w:val="nil"/>
              <w:left w:val="nil"/>
              <w:bottom w:val="nil"/>
              <w:right w:val="nil"/>
            </w:tcBorders>
          </w:tcPr>
          <w:p>
            <w:pPr>
              <w:pStyle w:val="Normal6a"/>
            </w:pPr>
            <w:r>
              <w:t>29.</w:t>
            </w:r>
            <w:r>
              <w:tab/>
            </w:r>
            <w:r>
              <w:t xml:space="preserve">Calls on the Commission to ensure effective and continuous enforcement of obligations for very large online search engines under the Digital Services Act, specifically in relation to AI-generated overviews; calls for meaningful transparency regarding the selection of these sources and clear attribution and prominent links to original sources </w:t>
            </w:r>
            <w:r>
              <w:rPr>
                <w:b/>
                <w:i/>
              </w:rPr>
              <w:t>in a manner that enables users to easily access original journalistic content and clearly distinguish original reporting from AI-generated summaries or responses</w:t>
            </w:r>
            <w:r>
              <w:t>, thus potentially reducing the spread of misinformation</w:t>
            </w:r>
          </w:p>
        </w:tc>
      </w:tr>
    </w:tbl>
    <w:p>
      <w:pPr>
        <w:pStyle w:val="AmOrLang"/>
      </w:pPr>
      <w:r>
        <w:t xml:space="preserve">Or. </w:t>
      </w:r>
      <w:r>
        <w:rPr>
          <w:rStyle w:val="HideTWBExt"/>
        </w:rPr>
        <w:t>&lt;Original&gt;</w:t>
      </w:r>
      <w:r>
        <w:rPr>
          <w:rStyle w:val="HideTWBInt"/>
        </w:rPr>
        <w:t>{HR}</w:t>
      </w:r>
      <w:r>
        <w:t>hr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Calls on the Commission to ensure effective and continuous enforcement of obligations for very large online search engines under the Digital Services Act, specifically in relation to AI-generated overviews; calls for meaningful transparency regarding the selection of these sources and clear attribution and prominent links to original sources, thus potentially reducing the spread of misinformation;</w:t>
            </w:r>
          </w:p>
        </w:tc>
        <w:tc>
          <w:tcPr>
            <w:tcW w:w="4876" w:type="dxa"/>
            <w:tcBorders>
              <w:top w:val="nil"/>
              <w:left w:val="nil"/>
              <w:bottom w:val="nil"/>
              <w:right w:val="nil"/>
            </w:tcBorders>
          </w:tcPr>
          <w:p>
            <w:pPr>
              <w:pStyle w:val="Normal6a"/>
            </w:pPr>
            <w:r>
              <w:t>29.</w:t>
            </w:r>
            <w:r>
              <w:tab/>
            </w:r>
            <w:r>
              <w:t xml:space="preserve">Calls on the Commission to ensure effective and continuous enforcement of obligations for very large online search engines under the Digital Services Act, specifically in relation to AI-generated overviews; calls for meaningful transparency regarding the selection of these sources and clear attribution and prominent links to original sources, thus potentially reducing the spread of misinformation; </w:t>
            </w:r>
            <w:r>
              <w:rPr>
                <w:b/>
                <w:i/>
              </w:rPr>
              <w:t>reinforcing the visibility of trustworthy sources of information and supporting the sustainability of the public information ecosystem;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Lara Magoni, Ivaylo Valchev, Marco Squarta, Chiara Gemma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Calls on the Commission to ensure effective and continuous enforcement of obligations for very large online search engines under the Digital Services Act, specifically in relation to AI-generated overviews; calls for meaningful transparency regarding the selection of these sources and clear attribution and prominent links to original sources, thus potentially reducing the spread of misinformation;</w:t>
            </w:r>
          </w:p>
        </w:tc>
        <w:tc>
          <w:tcPr>
            <w:tcW w:w="4876" w:type="dxa"/>
            <w:tcBorders>
              <w:top w:val="nil"/>
              <w:left w:val="nil"/>
              <w:bottom w:val="nil"/>
              <w:right w:val="nil"/>
            </w:tcBorders>
          </w:tcPr>
          <w:p>
            <w:pPr>
              <w:pStyle w:val="Normal6a"/>
            </w:pPr>
            <w:r>
              <w:t>29.</w:t>
            </w:r>
            <w:r>
              <w:tab/>
            </w:r>
            <w:r>
              <w:t xml:space="preserve">Calls on the Commission to ensure effective and continuous enforcement of obligations for very large online search engines under the Digital Services Act, specifically in relation to AI-generated overviews; calls for meaningful transparency regarding the selection of these sources and clear attribution and prominent links to original sources, thus potentially reducing the spread of misinformation; </w:t>
            </w:r>
            <w:r>
              <w:rPr>
                <w:b/>
                <w:i/>
              </w:rPr>
              <w:t>stresses that such measures must fully respect freedom of expression and information, and pluralism of opinion;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Sunčana Glavak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29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29a.</w:t>
            </w:r>
            <w:r>
              <w:tab/>
            </w:r>
            <w:r>
              <w:rPr>
                <w:b/>
                <w:i/>
              </w:rPr>
              <w:t>Stresses that transparency and marking obligations alone are not enough to address the challenges posed by increasingly convincing AI-generated or -manipulated content;</w:t>
            </w:r>
            <w:r>
              <w:t xml:space="preserve"> </w:t>
            </w:r>
            <w:r>
              <w:rPr>
                <w:b/>
                <w:i/>
              </w:rPr>
              <w:t>calls on the Commission and Member States to further strengthen media, digital and AI literacy, with a particular focus on children and young people, so that users are able to recognise synthetic and manipulated content, critically assess the credibility of sources, and better understand the way in the which AI-based recommendation and information systems operate;</w:t>
            </w:r>
            <w:r>
              <w:t xml:space="preserve"> </w:t>
            </w:r>
            <w:r>
              <w:rPr>
                <w:b/>
                <w:i/>
              </w:rPr>
              <w:t>calls for the development of comparable indicators to monitor the effectiveness of such measures in the Member States;</w:t>
            </w:r>
          </w:p>
        </w:tc>
      </w:tr>
    </w:tbl>
    <w:p>
      <w:pPr>
        <w:pStyle w:val="AmOrLang"/>
      </w:pPr>
      <w:r>
        <w:t xml:space="preserve">Or. </w:t>
      </w:r>
      <w:r>
        <w:rPr>
          <w:rStyle w:val="HideTWBExt"/>
        </w:rPr>
        <w:t>&lt;Original&gt;</w:t>
      </w:r>
      <w:r>
        <w:rPr>
          <w:rStyle w:val="HideTWBInt"/>
        </w:rPr>
        <w:t>{HR}</w:t>
      </w:r>
      <w:r>
        <w:t>hr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Sabine Verheyen, Bogdan Andrzej Zdrojewski, 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29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29a.</w:t>
            </w:r>
            <w:r>
              <w:tab/>
            </w:r>
            <w:r>
              <w:rPr>
                <w:b/>
                <w:i/>
              </w:rPr>
              <w:t>Calls for prominence rules ensuring that trusted press publications, including publications of general and specialised interest, and other news and media content remain visible and accessible across platforms and connected devices;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Sabine Verheyen, Bogdan Andrzej Zdrojewski, 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29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29b.</w:t>
            </w:r>
            <w:r>
              <w:tab/>
            </w:r>
            <w:r>
              <w:rPr>
                <w:b/>
                <w:i/>
              </w:rPr>
              <w:t>Calls on the Commission to assess the impact of AI-generated answers on media pluralism, including the diversity of sources represented and the visibility of press publications and national, regional and local media, with particular attention to smaller linguistic markets;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Marcos Ros Sempere, Joanna Scheuring-Wielgus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Calls on providers of AI systems and services that base their training on retrieved journalistic content to comply with the applicable EU legal framework; supports voluntary, market-based licensing and fair remuneration where applicable; asks the Commission to address the practical situation whereby publishers may lose control and remuneration if they permit access to their content, but may lose visibility in general searches if they reserve their rights;</w:t>
            </w:r>
          </w:p>
        </w:tc>
        <w:tc>
          <w:tcPr>
            <w:tcW w:w="4876" w:type="dxa"/>
            <w:tcBorders>
              <w:top w:val="nil"/>
              <w:left w:val="nil"/>
              <w:bottom w:val="nil"/>
              <w:right w:val="nil"/>
            </w:tcBorders>
          </w:tcPr>
          <w:p>
            <w:pPr>
              <w:pStyle w:val="Normal6a"/>
            </w:pPr>
            <w:r>
              <w:t>30.</w:t>
            </w:r>
            <w:r>
              <w:tab/>
            </w:r>
            <w:r>
              <w:t xml:space="preserve">Calls on providers of AI systems and services that base their training </w:t>
            </w:r>
            <w:r>
              <w:rPr>
                <w:b/>
                <w:i/>
              </w:rPr>
              <w:t>or outputs</w:t>
            </w:r>
            <w:r>
              <w:t xml:space="preserve"> on retrieved journalistic content to comply with the applicable EU legal framework; supports voluntary, market-based licensing and fair remuneration where applicable</w:t>
            </w:r>
            <w:r>
              <w:rPr>
                <w:b/>
                <w:i/>
              </w:rPr>
              <w:t>, including through collective licensing mechanisms where chosen by the sector; stresses that press publishers should retain the freedom to determine whether and under which conditions to license their content, and that journalists and other authors should receive an appropriate share of the resulting revenues</w:t>
            </w:r>
            <w:r>
              <w:t xml:space="preserve">; asks the Commission to address the practical situation whereby publishers may lose control and remuneration if they permit access to their content, but may lose visibility in general searches if they reserve their rights; </w:t>
            </w:r>
            <w:r>
              <w:rPr>
                <w:b/>
                <w:i/>
              </w:rPr>
              <w:t>underlines that the protection of journalistic content should not be limited to the training stage, and that, as Parliament has stated, uses such as live retrieval or the generation of AI-based services that compete with rights holders in their established markets should take place only with their express consent; calls on the Commission to examine whether the existing framework for related rights provides sufficient protection for such uses and, where necessary, consider extending its scope;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Carolina Morace, Mario Furore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 xml:space="preserve">Calls on providers of AI systems and services that base their training on retrieved journalistic content to comply with the applicable EU legal framework; supports voluntary, market-based licensing </w:t>
            </w:r>
            <w:r>
              <w:rPr>
                <w:b/>
                <w:i/>
              </w:rPr>
              <w:t>and fair</w:t>
            </w:r>
            <w:r>
              <w:t xml:space="preserve"> remuneration where applicable; asks the Commission to address the practical situation whereby publishers may lose control and remuneration if they permit access to their content, but may lose visibility in general searches if they reserve their rights;</w:t>
            </w:r>
          </w:p>
        </w:tc>
        <w:tc>
          <w:tcPr>
            <w:tcW w:w="4876" w:type="dxa"/>
            <w:tcBorders>
              <w:top w:val="nil"/>
              <w:left w:val="nil"/>
              <w:bottom w:val="nil"/>
              <w:right w:val="nil"/>
            </w:tcBorders>
          </w:tcPr>
          <w:p>
            <w:pPr>
              <w:pStyle w:val="Normal6a"/>
            </w:pPr>
            <w:r>
              <w:t>30.</w:t>
            </w:r>
            <w:r>
              <w:tab/>
            </w:r>
            <w:r>
              <w:t xml:space="preserve">Calls on providers of AI systems and services that base their training on retrieved journalistic content to comply with the applicable EU legal framework; supports voluntary, market-based licensing </w:t>
            </w:r>
            <w:r>
              <w:rPr>
                <w:b/>
                <w:i/>
              </w:rPr>
              <w:t>predicated on fair, transparent and non-discriminatory conditions and adequate</w:t>
            </w:r>
            <w:r>
              <w:t xml:space="preserve"> remuneration where applicable</w:t>
            </w:r>
            <w:r>
              <w:rPr>
                <w:b/>
                <w:i/>
              </w:rPr>
              <w:t>;</w:t>
            </w:r>
            <w:r>
              <w:t xml:space="preserve"> </w:t>
            </w:r>
            <w:r>
              <w:rPr>
                <w:b/>
                <w:i/>
              </w:rPr>
              <w:t>highlights that authors and journalists should effectively and fairly benefit from the value generated by the exploitation of the content they contribute</w:t>
            </w:r>
            <w:r>
              <w:t xml:space="preserve">; asks the Commission to address the practical situation whereby publishers may lose control and remuneration if they permit access to their content, but may lose visibility in general searches if they reserve their rights; </w:t>
            </w:r>
            <w:r>
              <w:rPr>
                <w:b/>
                <w:i/>
              </w:rPr>
              <w:t>emphasises that exercising one's rights should not result in one's journalistic content being put at an unfair disadvantage as regards its discoverability through digital services; calls on the Commission to assess potential contractual power imbalances among AI providers, platforms, editors and authors of journalistic content;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Sunčana Glavak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Calls on providers of AI systems and services that base their training on retrieved journalistic content to comply with the applicable EU legal framework; supports voluntary, market-based licensing and fair remuneration where applicable; asks the Commission to address the practical situation whereby publishers may lose control and remuneration if they permit access to their content, but may lose visibility in general searches if they reserve their rights;</w:t>
            </w:r>
          </w:p>
        </w:tc>
        <w:tc>
          <w:tcPr>
            <w:tcW w:w="4876" w:type="dxa"/>
            <w:tcBorders>
              <w:top w:val="nil"/>
              <w:left w:val="nil"/>
              <w:bottom w:val="nil"/>
              <w:right w:val="nil"/>
            </w:tcBorders>
          </w:tcPr>
          <w:p>
            <w:pPr>
              <w:pStyle w:val="Normal6a"/>
            </w:pPr>
            <w:r>
              <w:t>30.</w:t>
            </w:r>
            <w:r>
              <w:tab/>
            </w:r>
            <w:r>
              <w:t xml:space="preserve">Calls on providers of AI systems and services that base their training on retrieved journalistic content to comply with the applicable EU legal framework; supports voluntary, market-based licensing and fair remuneration where applicable; asks the Commission to address the practical situation whereby publishers may lose control and remuneration if they permit access to their content, but may lose visibility in general searches if they reserve their rights; </w:t>
            </w:r>
            <w:r>
              <w:rPr>
                <w:b/>
                <w:i/>
              </w:rPr>
              <w:t>stresses that publishers and news media should not be penalised in general search hits simply for exercising their rights under EU law;</w:t>
            </w:r>
            <w:r>
              <w:t xml:space="preserve"> </w:t>
            </w:r>
            <w:r>
              <w:rPr>
                <w:b/>
                <w:i/>
              </w:rPr>
              <w:t>calls, in this context, on the Commission to consider the effect of the practices of AI service providers and online search engines on media pluralism, access to credible information and the economic viability of European journalism;</w:t>
            </w:r>
          </w:p>
        </w:tc>
      </w:tr>
    </w:tbl>
    <w:p>
      <w:pPr>
        <w:pStyle w:val="AmOrLang"/>
      </w:pPr>
      <w:r>
        <w:t xml:space="preserve">Or. </w:t>
      </w:r>
      <w:r>
        <w:rPr>
          <w:rStyle w:val="HideTWBExt"/>
        </w:rPr>
        <w:t>&lt;Original&gt;</w:t>
      </w:r>
      <w:r>
        <w:rPr>
          <w:rStyle w:val="HideTWBInt"/>
        </w:rPr>
        <w:t>{HR}</w:t>
      </w:r>
      <w:r>
        <w:t>hr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Calls on providers of AI systems and services that base their training on retrieved journalistic content to comply with the applicable EU legal framework; supports voluntary, market-based licensing and fair remuneration where applicable; asks the Commission to address the practical situation whereby publishers may lose control and remuneration if they permit access to their content, but may lose visibility in general searches if they reserve their rights;</w:t>
            </w:r>
          </w:p>
        </w:tc>
        <w:tc>
          <w:tcPr>
            <w:tcW w:w="4876" w:type="dxa"/>
            <w:tcBorders>
              <w:top w:val="nil"/>
              <w:left w:val="nil"/>
              <w:bottom w:val="nil"/>
              <w:right w:val="nil"/>
            </w:tcBorders>
          </w:tcPr>
          <w:p>
            <w:pPr>
              <w:pStyle w:val="Normal6a"/>
            </w:pPr>
            <w:r>
              <w:t>30.</w:t>
            </w:r>
            <w:r>
              <w:tab/>
            </w:r>
            <w:r>
              <w:t xml:space="preserve">Calls on providers of AI systems and services that base their training on retrieved journalistic content to comply with the applicable EU legal framework; supports voluntary, market-based licensing and fair remuneration where applicable; asks the Commission to address the practical situation whereby publishers may lose control and remuneration if they permit access to their content, but may lose visibility in general searches if they reserve their rights; </w:t>
            </w:r>
            <w:r>
              <w:rPr>
                <w:b/>
                <w:i/>
              </w:rPr>
              <w:t>invites the Commission to assess whether the scope of ancillary and related rights applicable to press publishers, journalists, news editors, and broadcasters could be broadened to encompass such uses;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Catherine Griset, Annamária Vicsek, Antonín Staněk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 xml:space="preserve">Calls on providers of AI systems and services that base their training on retrieved journalistic content to comply with the applicable EU legal framework; supports </w:t>
            </w:r>
            <w:r>
              <w:rPr>
                <w:b/>
                <w:i/>
              </w:rPr>
              <w:t>voluntary, market-based licensing and fair remuneration where applicable</w:t>
            </w:r>
            <w:r>
              <w:t>; asks the Commission to address the practical situation whereby publishers may lose control and remuneration if they permit access to their content, but may lose visibility in general searches if they reserve their rights;</w:t>
            </w:r>
          </w:p>
        </w:tc>
        <w:tc>
          <w:tcPr>
            <w:tcW w:w="4876" w:type="dxa"/>
            <w:tcBorders>
              <w:top w:val="nil"/>
              <w:left w:val="nil"/>
              <w:bottom w:val="nil"/>
              <w:right w:val="nil"/>
            </w:tcBorders>
          </w:tcPr>
          <w:p>
            <w:pPr>
              <w:pStyle w:val="Normal6a"/>
            </w:pPr>
            <w:r>
              <w:t>30.</w:t>
            </w:r>
            <w:r>
              <w:tab/>
            </w:r>
            <w:r>
              <w:t xml:space="preserve">Calls on providers of AI systems and services that base their training on retrieved journalistic content to comply with the applicable EU legal framework; supports </w:t>
            </w:r>
            <w:r>
              <w:rPr>
                <w:b/>
                <w:i/>
              </w:rPr>
              <w:t>licence negotiations between IA companies and this sector, provided that the revenue collected is distributed fairly with a view to ensuring that this financing is pluralist and encompasses all of the opinions represented in the parliaments of the Member States</w:t>
            </w:r>
            <w:r>
              <w:t>; asks the Commission to address the practical situation whereby publishers may lose control and remuneration if they permit access to their content, but may lose visibility in general searches if they reserve their rights;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Sabine Verheyen, Bogdan Andrzej Zdrojewski, 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 xml:space="preserve">Calls on </w:t>
            </w:r>
            <w:r>
              <w:rPr>
                <w:b/>
                <w:i/>
              </w:rPr>
              <w:t>providers of AI systems and services that base their training on retrieved journalistic content to comply with the applicable EU legal framework; supports voluntary, market-based licensing and fair remuneration where applicable; asks</w:t>
            </w:r>
            <w:r>
              <w:t xml:space="preserve"> the Commission to address the practical situation whereby publishers may lose control and remuneration if they permit access to their content, but may lose visibility in general searches if they reserve their rights;</w:t>
            </w:r>
          </w:p>
        </w:tc>
        <w:tc>
          <w:tcPr>
            <w:tcW w:w="4876" w:type="dxa"/>
            <w:tcBorders>
              <w:top w:val="nil"/>
              <w:left w:val="nil"/>
              <w:bottom w:val="nil"/>
              <w:right w:val="nil"/>
            </w:tcBorders>
          </w:tcPr>
          <w:p>
            <w:pPr>
              <w:pStyle w:val="Normal6a"/>
            </w:pPr>
            <w:r>
              <w:t>30.</w:t>
            </w:r>
            <w:r>
              <w:tab/>
            </w:r>
            <w:r>
              <w:t xml:space="preserve">Calls on the Commission to address the practical situation whereby </w:t>
            </w:r>
            <w:r>
              <w:rPr>
                <w:b/>
                <w:i/>
              </w:rPr>
              <w:t>media service providers and press</w:t>
            </w:r>
            <w:r>
              <w:t xml:space="preserve"> publishers may lose control and remuneration if they permit access to their content, but may lose visibility in general searches if they reserve their rights; </w:t>
            </w:r>
            <w:r>
              <w:rPr>
                <w:b/>
                <w:i/>
              </w:rPr>
              <w:t>calls, in this context, for practical mechanisms enabling such publishers to make distinct choices regarding the use of their content for AI training and retrieval without losing visibility in general search or facing disadvantage in unrelated services;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Lara Magoni, Ivaylo Valchev, Marco Squarta, Chiara Gemma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 xml:space="preserve">Calls on providers of AI systems and services that base their training on retrieved journalistic content to comply with the applicable EU legal framework; supports voluntary, market-based licensing and fair remuneration </w:t>
            </w:r>
            <w:r>
              <w:rPr>
                <w:b/>
                <w:i/>
              </w:rPr>
              <w:t>where applicable</w:t>
            </w:r>
            <w:r>
              <w:t>; asks the Commission to address the practical situation whereby publishers may lose control and remuneration if they permit access to their content, but may lose visibility in general searches if they reserve their rights;</w:t>
            </w:r>
          </w:p>
        </w:tc>
        <w:tc>
          <w:tcPr>
            <w:tcW w:w="4876" w:type="dxa"/>
            <w:tcBorders>
              <w:top w:val="nil"/>
              <w:left w:val="nil"/>
              <w:bottom w:val="nil"/>
              <w:right w:val="nil"/>
            </w:tcBorders>
          </w:tcPr>
          <w:p>
            <w:pPr>
              <w:pStyle w:val="Normal6a"/>
            </w:pPr>
            <w:r>
              <w:t>30.</w:t>
            </w:r>
            <w:r>
              <w:tab/>
            </w:r>
            <w:r>
              <w:t>Calls on providers of AI systems and services that base their training on retrieved journalistic content to comply with the applicable EU legal framework; supports voluntary, market-based licensing and fair remuneration; asks the Commission to address the practical situation whereby publishers may lose control and remuneration if they permit access to their content, but may lose visibility in general searches if they reserve their rights;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Diana Riba i Giner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30a.</w:t>
            </w:r>
            <w:r>
              <w:tab/>
            </w:r>
            <w:r>
              <w:rPr>
                <w:b/>
                <w:i/>
              </w:rPr>
              <w:t>Calls on the Commission to ensure that the implementation of the transparency obligations applicable to AI-generated and manipulated content takes into account the specific risks posed by synthetic media to media pluralism, freedom of expression and informed public debate, while safeguarding the rights and legitimate interests of creators and users;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313</w:t>
      </w:r>
      <w:r>
        <w:rPr>
          <w:rStyle w:val="HideTWBExt"/>
        </w:rPr>
        <w:t>&lt;/NumAm&gt;</w:t>
      </w:r>
    </w:p>
    <w:p>
      <w:pPr>
        <w:pStyle w:val="NormalBold"/>
      </w:pPr>
      <w:r>
        <w:rPr>
          <w:rStyle w:val="HideTWBExt"/>
          <w:b w:val="0"/>
        </w:rPr>
        <w:t>&lt;RepeatBlock-By&gt;</w:t>
      </w:r>
      <w:r>
        <w:rPr>
          <w:rStyle w:val="HideTWBExt"/>
          <w:b w:val="0"/>
        </w:rPr>
        <w:t>&lt;Members&gt;</w:t>
      </w:r>
      <w:r>
        <w:t>Catherine Griset, Annamária Vicsek, Antonín Staněk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30a.</w:t>
            </w:r>
            <w:r>
              <w:tab/>
            </w:r>
            <w:r>
              <w:rPr>
                <w:b/>
                <w:i/>
              </w:rPr>
              <w:t>Opposes the exploitation of measures to counter disinformation and hate content, whether or not they are AI-generated, and where that content lacks clear definitions and a legal framework, in order to justify arbitrary decisions and the suppression of political opponents;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796.239</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168</w:t>
    </w:r>
    <w:r>
      <w:fldChar w:fldCharType="end"/>
    </w:r>
    <w:r>
      <w:t>/</w:t>
    </w:r>
    <w:r>
      <w:fldChar w:fldCharType="begin"/>
    </w:r>
    <w:r>
      <w:instrText xml:space="preserve"> NUMPAGES </w:instrText>
    </w:r>
    <w:r>
      <w:fldChar w:fldCharType="separate"/>
    </w:r>
    <w:r>
      <w:t>169</w:t>
    </w:r>
    <w:r>
      <w:fldChar w:fldCharType="end"/>
    </w:r>
    <w:r>
      <w:tab/>
    </w:r>
    <w:r>
      <w:rPr>
        <w:rStyle w:val="HideTWBExt"/>
      </w:rPr>
      <w:t>&lt;PathFdR&gt;</w:t>
    </w:r>
    <w:r>
      <w:t>AM\1351538EN.docx</w:t>
    </w:r>
    <w:r>
      <w:rPr>
        <w:rStyle w:val="HideTWBExt"/>
      </w:rPr>
      <w:t>&lt;/PathFdR&gt;</w:t>
    </w:r>
  </w:p>
  <w:p>
    <w:pPr>
      <w:pStyle w:val="EPFooter2"/>
    </w:pPr>
    <w:r>
      <w:t>EN</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AM\1351538EN.docx</w:t>
    </w:r>
    <w:r>
      <w:rPr>
        <w:rStyle w:val="HideTWBExt"/>
      </w:rPr>
      <w:t>&lt;/PathFdR&gt;</w:t>
    </w:r>
    <w:r>
      <w:tab/>
    </w:r>
    <w:r>
      <w:fldChar w:fldCharType="begin"/>
    </w:r>
    <w:r>
      <w:instrText xml:space="preserve"> PAGE </w:instrText>
    </w:r>
    <w:r>
      <w:fldChar w:fldCharType="separate"/>
    </w:r>
    <w:r>
      <w:t>169</w:t>
    </w:r>
    <w:r>
      <w:fldChar w:fldCharType="end"/>
    </w:r>
    <w:r>
      <w:t>/</w:t>
    </w:r>
    <w:r>
      <w:fldChar w:fldCharType="begin"/>
    </w:r>
    <w:r>
      <w:instrText xml:space="preserve"> NUMPAGES </w:instrText>
    </w:r>
    <w:r>
      <w:fldChar w:fldCharType="separate"/>
    </w:r>
    <w:r>
      <w:t>169</w:t>
    </w:r>
    <w:r>
      <w:fldChar w:fldCharType="end"/>
    </w:r>
    <w:r>
      <w:tab/>
    </w:r>
    <w:r>
      <w:t>PE</w:t>
    </w:r>
    <w:r>
      <w:rPr>
        <w:rStyle w:val="HideTWBExt"/>
      </w:rPr>
      <w:t>&lt;NoPE&gt;</w:t>
    </w:r>
    <w:r>
      <w:t>796.239</w:t>
    </w:r>
    <w:r>
      <w:rPr>
        <w:rStyle w:val="HideTWBExt"/>
      </w:rPr>
      <w:t>&lt;/NoPE&gt;</w:t>
    </w:r>
    <w:r>
      <w:rPr>
        <w:rStyle w:val="HideTWBExt"/>
      </w:rPr>
      <w:t>&lt;Version&gt;</w:t>
    </w:r>
    <w:r>
      <w:t>v01-00</w:t>
    </w:r>
    <w:r>
      <w:rPr>
        <w:rStyle w:val="HideTWBExt"/>
      </w:rPr>
      <w:t>&lt;/Version&gt;</w:t>
    </w:r>
  </w:p>
  <w:p>
    <w:pPr>
      <w:pStyle w:val="EPFooter2"/>
    </w:pPr>
    <w:r>
      <w:tab/>
    </w:r>
    <w:r>
      <w:tab/>
    </w:r>
    <w:r>
      <w:t>EN</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AM\1351538EN.docx</w:t>
    </w:r>
    <w:r>
      <w:rPr>
        <w:rStyle w:val="HideTWBExt"/>
      </w:rPr>
      <w:t>&lt;/PathFdR&gt;</w:t>
    </w:r>
    <w:r>
      <w:tab/>
    </w:r>
    <w:r>
      <w:tab/>
    </w:r>
    <w:r>
      <w:t>PE</w:t>
    </w:r>
    <w:r>
      <w:rPr>
        <w:rStyle w:val="HideTWBExt"/>
      </w:rPr>
      <w:t>&lt;NoPE&gt;</w:t>
    </w:r>
    <w:r>
      <w:t>796.239</w:t>
    </w:r>
    <w:r>
      <w:rPr>
        <w:rStyle w:val="HideTWBExt"/>
      </w:rPr>
      <w:t>&lt;/NoPE&gt;</w:t>
    </w:r>
    <w:r>
      <w:rPr>
        <w:rStyle w:val="HideTWBExt"/>
      </w:rPr>
      <w:t>&lt;Version&gt;</w:t>
    </w:r>
    <w:r>
      <w:t>v01-00</w:t>
    </w:r>
    <w:r>
      <w:rPr>
        <w:rStyle w:val="HideTWBExt"/>
      </w:rPr>
      <w:t>&lt;/Version&gt;</w:t>
    </w:r>
  </w:p>
  <w:p>
    <w:pPr>
      <w:pStyle w:val="EPFooter2"/>
    </w:pPr>
    <w:r>
      <w:t>EN</w:t>
    </w:r>
    <w:r>
      <w:tab/>
    </w:r>
    <w:r>
      <w:rPr>
        <w:rStyle w:val="EPFooter2Motto"/>
      </w:rPr>
      <w:t>United in diversity</w:t>
    </w:r>
    <w:r>
      <w:tab/>
    </w:r>
    <w:r>
      <w:t>EN</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overNormal">
    <w:name w:val="CoverNormal"/>
    <w:basedOn w:val="Normal"/>
    <w:pPr>
      <w:widowControl/>
      <w:ind w:left="1418"/>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169</Pages>
  <Words>39711</Words>
  <Characters>237422</Characters>
  <Application>Microsoft Office Word</Application>
  <DocSecurity>0</DocSecurity>
  <Lines>1</Lines>
  <Paragraphs>2710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1351538</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657647</vt:lpwstr>
  </property>
  <property fmtid="{D5CDD505-2E9C-101B-9397-08002B2CF9AE}" pid="7" name="dmxml.render.traceId">
    <vt:lpwstr>6ad1f34b8b68465c2a9dce72daf3b1cc</vt:lpwstr>
  </property>
  <property fmtid="{D5CDD505-2E9C-101B-9397-08002B2CF9AE}" pid="8" name="FooterPath">
    <vt:lpwstr>AM\1351538EN.docx</vt:lpwstr>
  </property>
  <property fmtid="{D5CDD505-2E9C-101B-9397-08002B2CF9AE}" pid="9" name="PE Number">
    <vt:lpwstr>796.239</vt:lpwstr>
  </property>
  <property fmtid="{D5CDD505-2E9C-101B-9397-08002B2CF9AE}" pid="10" name="UID">
    <vt:lpwstr>eu.europa.europarl-DIN1-2026-0000278872_02.00-en-01.00_text-xml</vt:lpwstr>
  </property>
</Properties>
</file>