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tbl>
      <w:tblPr>
        <w:jc w:val="center"/>
        <w:tblLayout w:type="fixed"/>
        <w:tblCellMar>
          <w:top w:w="0" w:type="dxa"/>
          <w:left w:w="108" w:type="dxa"/>
          <w:bottom w:w="0" w:type="dxa"/>
          <w:right w:w="108" w:type="dxa"/>
        </w:tblCellMar>
      </w:tblPr>
      <w:tblGrid>
        <w:gridCol w:w="6804"/>
        <w:gridCol w:w="2268"/>
      </w:tblGrid>
      <w:tr>
        <w:tblPrEx>
          <w:jc w:val="center"/>
          <w:tblLayout w:type="fixed"/>
          <w:tblCellMar>
            <w:top w:w="0" w:type="dxa"/>
            <w:left w:w="108" w:type="dxa"/>
            <w:bottom w:w="0" w:type="dxa"/>
            <w:right w:w="108" w:type="dxa"/>
          </w:tblCellMar>
        </w:tblPrEx>
        <w:trPr>
          <w:cantSplit w:val="0"/>
          <w:trHeight w:hRule="exact" w:val="1417"/>
          <w:jc w:val="center"/>
        </w:trPr>
        <w:tc>
          <w:tcPr>
            <w:tcW w:w="6804" w:type="dxa"/>
            <w:vAlign w:val="center"/>
          </w:tcPr>
          <w:p>
            <w:pPr>
              <w:pStyle w:val="EPName"/>
            </w:pPr>
            <w:r w:rsidR="00A77B3E">
              <w:t>Evropský parlament</w:t>
            </w:r>
          </w:p>
          <w:p>
            <w:pPr>
              <w:pStyle w:val="EPTerm"/>
            </w:pPr>
            <w:r>
              <w:t>2019-2024</w:t>
            </w:r>
          </w:p>
        </w:tc>
        <w:tc>
          <w:tcPr>
            <w:tcW w:w="2268" w:type="dxa"/>
            <w:vAlign w:val="top"/>
          </w:tcPr>
          <w:p>
            <w:pPr>
              <w:pStyle w:val="EPLogo"/>
            </w:pPr>
            <w:r>
              <w:drawing>
                <wp:inline>
                  <wp:extent cx="1162812" cy="647954"/>
                  <wp:docPr id="10000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747108" name=""/>
                          <pic:cNvPicPr>
                            <a:picLocks noChangeAspect="1"/>
                          </pic:cNvPicPr>
                        </pic:nvPicPr>
                        <pic:blipFill>
                          <a:blip xmlns:r="http://schemas.openxmlformats.org/officeDocument/2006/relationships" r:embed="rId4"/>
                          <a:stretch>
                            <a:fillRect/>
                          </a:stretch>
                        </pic:blipFill>
                        <pic:spPr>
                          <a:xfrm>
                            <a:off x="0" y="0"/>
                            <a:ext cx="1162812" cy="647954"/>
                          </a:xfrm>
                          <a:prstGeom prst="rect">
                            <a:avLst/>
                          </a:prstGeom>
                        </pic:spPr>
                      </pic:pic>
                    </a:graphicData>
                  </a:graphic>
                </wp:inline>
              </w:drawing>
            </w:r>
          </w:p>
        </w:tc>
      </w:tr>
    </w:tbl>
    <w:p>
      <w:pPr>
        <w:pStyle w:val="LineTop"/>
      </w:pPr>
    </w:p>
    <w:p>
      <w:pPr>
        <w:pStyle w:val="EPBody"/>
      </w:pPr>
      <w:r>
        <w:rPr>
          <w:rStyle w:val="HideTWBExt"/>
        </w:rPr>
        <w:t>&lt;</w:t>
      </w:r>
      <w:r>
        <w:rPr>
          <w:rStyle w:val="HideTWBExt"/>
        </w:rPr>
        <w:t>Commission</w:t>
      </w:r>
      <w:r>
        <w:rPr>
          <w:rStyle w:val="HideTWBExt"/>
        </w:rPr>
        <w:t>&gt;</w:t>
      </w:r>
      <w:r>
        <w:rPr>
          <w:rStyle w:val="HideTWBInt"/>
        </w:rPr>
        <w:t>{ECON}</w:t>
      </w:r>
      <w:r>
        <w:t>Hospodářský a měnový výbor</w:t>
      </w:r>
      <w:r>
        <w:rPr>
          <w:rStyle w:val="HideTWBExt"/>
        </w:rPr>
        <w:t>&lt;/</w:t>
      </w:r>
      <w:r>
        <w:rPr>
          <w:rStyle w:val="HideTWBExt"/>
        </w:rPr>
        <w:t>Commission</w:t>
      </w:r>
      <w:r>
        <w:rPr>
          <w:rStyle w:val="HideTWBExt"/>
        </w:rPr>
        <w:t>&gt;</w:t>
      </w:r>
    </w:p>
    <w:p>
      <w:pPr>
        <w:pStyle w:val="LineBottom"/>
      </w:pPr>
    </w:p>
    <w:p>
      <w:pPr>
        <w:pStyle w:val="CoverReference"/>
      </w:pPr>
      <w:r>
        <w:rPr>
          <w:rStyle w:val="HideTWBExt"/>
        </w:rPr>
        <w:t>&lt;</w:t>
      </w:r>
      <w:r>
        <w:rPr>
          <w:rStyle w:val="HideTWBExt"/>
        </w:rPr>
        <w:t>RefProc</w:t>
      </w:r>
      <w:r>
        <w:rPr>
          <w:rStyle w:val="HideTWBExt"/>
        </w:rPr>
        <w:t>&gt;</w:t>
      </w:r>
      <w:r>
        <w:t>2020/0267</w:t>
      </w:r>
      <w:r>
        <w:rPr>
          <w:rStyle w:val="HideTWBExt"/>
        </w:rPr>
        <w:t>&lt;/</w:t>
      </w:r>
      <w:r>
        <w:rPr>
          <w:rStyle w:val="HideTWBExt"/>
        </w:rPr>
        <w:t>RefProc</w:t>
      </w:r>
      <w:r>
        <w:rPr>
          <w:rStyle w:val="HideTWBExt"/>
        </w:rPr>
        <w:t>&gt;</w:t>
      </w:r>
      <w:r>
        <w:rPr>
          <w:rStyle w:val="HideTWBExt"/>
        </w:rPr>
        <w:t>&lt;</w:t>
      </w:r>
      <w:r>
        <w:rPr>
          <w:rStyle w:val="HideTWBExt"/>
        </w:rPr>
        <w:t>RefTypeProc</w:t>
      </w:r>
      <w:r>
        <w:rPr>
          <w:rStyle w:val="HideTWBExt"/>
        </w:rPr>
        <w:t>&gt;</w:t>
      </w:r>
      <w:r>
        <w:t>(COD)</w:t>
      </w:r>
      <w:r>
        <w:rPr>
          <w:rStyle w:val="HideTWBExt"/>
        </w:rPr>
        <w:t>&lt;/</w:t>
      </w:r>
      <w:r>
        <w:rPr>
          <w:rStyle w:val="HideTWBExt"/>
        </w:rPr>
        <w:t>RefTypeProc</w:t>
      </w:r>
      <w:r>
        <w:rPr>
          <w:rStyle w:val="HideTWBExt"/>
        </w:rPr>
        <w:t>&gt;</w:t>
      </w:r>
    </w:p>
    <w:p>
      <w:pPr>
        <w:pStyle w:val="CoverDate"/>
      </w:pPr>
      <w:r>
        <w:rPr>
          <w:rStyle w:val="HideTWBExt"/>
        </w:rPr>
        <w:t>&lt;</w:t>
      </w:r>
      <w:r>
        <w:rPr>
          <w:rStyle w:val="HideTWBExt"/>
        </w:rPr>
        <w:t>Date</w:t>
      </w:r>
      <w:r>
        <w:rPr>
          <w:rStyle w:val="HideTWBExt"/>
        </w:rPr>
        <w:t>&gt;</w:t>
      </w:r>
      <w:r>
        <w:rPr>
          <w:rStyle w:val="HideTWBInt"/>
        </w:rPr>
        <w:t>{</w:t>
      </w:r>
      <w:r>
        <w:rPr>
          <w:rStyle w:val="HideTWBInt"/>
        </w:rPr>
        <w:t>26/05/2021</w:t>
      </w:r>
      <w:r>
        <w:rPr>
          <w:rStyle w:val="HideTWBInt"/>
        </w:rPr>
        <w:t>}</w:t>
      </w:r>
      <w:r>
        <w:t>26. 5. 2021</w:t>
      </w:r>
      <w:r>
        <w:rPr>
          <w:rStyle w:val="HideTWBExt"/>
        </w:rPr>
        <w:t>&lt;/</w:t>
      </w:r>
      <w:r>
        <w:rPr>
          <w:rStyle w:val="HideTWBExt"/>
        </w:rPr>
        <w:t>Date</w:t>
      </w:r>
      <w:r>
        <w:rPr>
          <w:rStyle w:val="HideTWBExt"/>
        </w:rPr>
        <w:t>&gt;</w:t>
      </w:r>
    </w:p>
    <w:p>
      <w:pPr>
        <w:pStyle w:val="CoverDocType"/>
      </w:pPr>
      <w:r>
        <w:rPr>
          <w:rStyle w:val="HideTWBExt"/>
        </w:rPr>
        <w:t>&lt;</w:t>
      </w:r>
      <w:r>
        <w:rPr>
          <w:rStyle w:val="HideTWBExt"/>
        </w:rPr>
        <w:t>TypeAM</w:t>
      </w:r>
      <w:r>
        <w:rPr>
          <w:rStyle w:val="HideTWBExt"/>
        </w:rPr>
        <w:t>&gt;</w:t>
      </w:r>
      <w:r>
        <w:t>POZMĚŇOVACÍ NÁVRHY</w:t>
      </w:r>
      <w:r>
        <w:rPr>
          <w:rStyle w:val="HideTWBExt"/>
        </w:rPr>
        <w:t>&lt;/</w:t>
      </w:r>
      <w:r>
        <w:rPr>
          <w:rStyle w:val="HideTWBExt"/>
        </w:rPr>
        <w:t>TypeAM</w:t>
      </w:r>
      <w:r>
        <w:rPr>
          <w:rStyle w:val="HideTWBExt"/>
        </w:rPr>
        <w:t>&gt;</w:t>
      </w:r>
    </w:p>
    <w:p>
      <w:pPr>
        <w:pStyle w:val="CoverDocType24a"/>
      </w:pPr>
      <w:r>
        <w:rPr>
          <w:rStyle w:val="HideTWBExt"/>
        </w:rPr>
        <w:t>&lt;</w:t>
      </w:r>
      <w:r>
        <w:rPr>
          <w:rStyle w:val="HideTWBExt"/>
        </w:rPr>
        <w:t>RangeAM</w:t>
      </w:r>
      <w:r>
        <w:rPr>
          <w:rStyle w:val="HideTWBExt"/>
        </w:rPr>
        <w:t>&gt;</w:t>
      </w:r>
      <w:r>
        <w:t>135 - 334</w:t>
      </w:r>
      <w:r>
        <w:rPr>
          <w:rStyle w:val="HideTWBExt"/>
        </w:rPr>
        <w:t>&lt;/</w:t>
      </w:r>
      <w:r>
        <w:rPr>
          <w:rStyle w:val="HideTWBExt"/>
        </w:rPr>
        <w:t>RangeAM</w:t>
      </w:r>
      <w:r>
        <w:rPr>
          <w:rStyle w:val="HideTWBExt"/>
        </w:rPr>
        <w:t>&gt;</w:t>
      </w:r>
    </w:p>
    <w:p>
      <w:pPr>
        <w:pStyle w:val="CoverBold"/>
      </w:pPr>
      <w:r>
        <w:rPr>
          <w:rStyle w:val="HideTWBExt"/>
        </w:rPr>
        <w:t>&lt;</w:t>
      </w:r>
      <w:r>
        <w:rPr>
          <w:rStyle w:val="HideTWBExt"/>
        </w:rPr>
        <w:t>TitreType</w:t>
      </w:r>
      <w:r>
        <w:rPr>
          <w:rStyle w:val="HideTWBExt"/>
        </w:rPr>
        <w:t>&gt;</w:t>
      </w:r>
      <w:r>
        <w:t>Návrh zprávy</w:t>
      </w:r>
      <w:r>
        <w:rPr>
          <w:rStyle w:val="HideTWBExt"/>
        </w:rPr>
        <w:t>&lt;/</w:t>
      </w:r>
      <w:r>
        <w:rPr>
          <w:rStyle w:val="HideTWBExt"/>
        </w:rPr>
        <w:t>TitreType</w:t>
      </w:r>
      <w:r>
        <w:rPr>
          <w:rStyle w:val="HideTWBExt"/>
        </w:rPr>
        <w:t>&gt;</w:t>
      </w:r>
    </w:p>
    <w:p>
      <w:pPr>
        <w:pStyle w:val="CoverBold"/>
      </w:pPr>
      <w:r>
        <w:rPr>
          <w:rStyle w:val="HideTWBExt"/>
        </w:rPr>
        <w:t>&lt;</w:t>
      </w:r>
      <w:r>
        <w:rPr>
          <w:rStyle w:val="HideTWBExt"/>
        </w:rPr>
        <w:t>Rapporteur</w:t>
      </w:r>
      <w:r>
        <w:rPr>
          <w:rStyle w:val="HideTWBExt"/>
        </w:rPr>
        <w:t>&gt;</w:t>
      </w:r>
      <w:r>
        <w:t>Johan Van Overtveldt</w:t>
      </w:r>
      <w:r>
        <w:rPr>
          <w:rStyle w:val="HideTWBExt"/>
        </w:rPr>
        <w:t>&lt;/</w:t>
      </w:r>
      <w:r>
        <w:rPr>
          <w:rStyle w:val="HideTWBExt"/>
        </w:rPr>
        <w:t>Rapporteur</w:t>
      </w:r>
      <w:r>
        <w:rPr>
          <w:rStyle w:val="HideTWBExt"/>
        </w:rPr>
        <w:t>&gt;</w:t>
      </w:r>
    </w:p>
    <w:p>
      <w:pPr>
        <w:pStyle w:val="CoverNormal24a"/>
      </w:pPr>
      <w:r>
        <w:rPr>
          <w:rStyle w:val="HideTWBExt"/>
        </w:rPr>
        <w:t>&lt;</w:t>
      </w:r>
      <w:r>
        <w:rPr>
          <w:rStyle w:val="HideTWBExt"/>
        </w:rPr>
        <w:t>DocRefPE</w:t>
      </w:r>
      <w:r>
        <w:rPr>
          <w:rStyle w:val="HideTWBExt"/>
        </w:rPr>
        <w:t>&gt;</w:t>
      </w:r>
      <w:r>
        <w:t>(</w:t>
      </w:r>
      <w:r>
        <w:t>PE689.571v01-00</w:t>
      </w:r>
      <w:r>
        <w:t>)</w:t>
      </w:r>
      <w:r>
        <w:rPr>
          <w:rStyle w:val="HideTWBExt"/>
        </w:rPr>
        <w:t>&lt;/</w:t>
      </w:r>
      <w:r>
        <w:rPr>
          <w:rStyle w:val="HideTWBExt"/>
        </w:rPr>
        <w:t>DocRefPE</w:t>
      </w:r>
      <w:r>
        <w:rPr>
          <w:rStyle w:val="HideTWBExt"/>
        </w:rPr>
        <w:t>&gt;</w:t>
      </w:r>
    </w:p>
    <w:p>
      <w:pPr>
        <w:pStyle w:val="CoverNormal24a"/>
      </w:pPr>
      <w:r>
        <w:rPr>
          <w:rStyle w:val="HideTWBExt"/>
        </w:rPr>
        <w:t>&lt;</w:t>
      </w:r>
      <w:r>
        <w:rPr>
          <w:rStyle w:val="HideTWBExt"/>
        </w:rPr>
        <w:t>Titre</w:t>
      </w:r>
      <w:r>
        <w:rPr>
          <w:rStyle w:val="HideTWBExt"/>
        </w:rPr>
        <w:t>&gt;</w:t>
      </w:r>
      <w:r>
        <w:t>Pilotní režim pro tržní infrastrukturu založenou na technologii distribuované účetní knihy</w:t>
      </w:r>
      <w:r>
        <w:rPr>
          <w:rStyle w:val="HideTWBExt"/>
        </w:rPr>
        <w:t>&lt;/</w:t>
      </w:r>
      <w:r>
        <w:rPr>
          <w:rStyle w:val="HideTWBExt"/>
        </w:rPr>
        <w:t>Titre</w:t>
      </w:r>
      <w:r>
        <w:rPr>
          <w:rStyle w:val="HideTWBExt"/>
        </w:rPr>
        <w:t>&gt;</w:t>
      </w:r>
    </w:p>
    <w:p>
      <w:pPr>
        <w:pStyle w:val="CoverNormal"/>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CoverNormal24a"/>
      </w:pPr>
      <w:r>
        <w:rPr>
          <w:rStyle w:val="HideTWBExt"/>
        </w:rPr>
        <w:t>&lt;</w:t>
      </w:r>
      <w:r>
        <w:rPr>
          <w:rStyle w:val="HideTWBExt"/>
        </w:rPr>
        <w:t>DocRef</w:t>
      </w:r>
      <w:r>
        <w:rPr>
          <w:rStyle w:val="HideTWBExt"/>
        </w:rPr>
        <w:t>&gt;</w:t>
      </w:r>
      <w:r>
        <w:t>(</w:t>
      </w:r>
      <w:r>
        <w:t>COM(2020)0594</w:t>
      </w:r>
      <w:r>
        <w:t xml:space="preserve"> – </w:t>
      </w:r>
      <w:r>
        <w:t>C9-0305/2020</w:t>
      </w:r>
      <w:r>
        <w:t xml:space="preserve"> – </w:t>
      </w:r>
      <w:r>
        <w:t>2020/0267(COD)</w:t>
      </w:r>
      <w:r>
        <w:t>)</w:t>
      </w:r>
      <w:r>
        <w:rPr>
          <w:rStyle w:val="HideTWBExt"/>
        </w:rPr>
        <w:t>&lt;/</w:t>
      </w:r>
      <w:r>
        <w:rPr>
          <w:rStyle w:val="HideTWBExt"/>
        </w:rPr>
        <w:t>DocRef</w:t>
      </w:r>
      <w:r>
        <w:rPr>
          <w:rStyle w:val="HideTWBExt"/>
        </w:rPr>
        <w:t>&gt;</w:t>
      </w:r>
    </w:p>
    <w:p>
      <w:r>
        <w:br w:type="page"/>
      </w:r>
      <w:r>
        <w:t>AM_Com_LegReport</w:t>
      </w:r>
    </w:p>
    <w:p>
      <w:pPr>
        <w:pStyle w:val="AmNumberTabs"/>
      </w:pPr>
      <w:r>
        <w:br w:type="page"/>
      </w:r>
      <w:r>
        <w:rPr>
          <w:rStyle w:val="HideTWBExt"/>
        </w:rPr>
        <w:t>&lt;</w:t>
      </w:r>
      <w:r>
        <w:rPr>
          <w:rStyle w:val="HideTWBExt"/>
        </w:rPr>
        <w:t>RepeatBlock-AmendA</w:t>
      </w:r>
      <w:r>
        <w:rPr>
          <w:rStyle w:val="HideTWBExt"/>
        </w:rPr>
        <w:t>&gt;</w:t>
      </w:r>
      <w:r>
        <w:rPr>
          <w:rStyle w:val="HideTWBExt"/>
        </w:rPr>
        <w:t>&lt;</w:t>
      </w:r>
      <w:r>
        <w:rPr>
          <w:rStyle w:val="HideTWBExt"/>
        </w:rPr>
        <w:t>AmendA</w:t>
      </w:r>
      <w:r>
        <w:rPr>
          <w:rStyle w:val="HideTWBExt"/>
        </w:rPr>
        <w:t>&gt;</w:t>
      </w:r>
      <w:r>
        <w:t>Pozměňovací návrh</w:t>
      </w:r>
      <w:r>
        <w:tab/>
      </w:r>
      <w:r>
        <w:tab/>
      </w:r>
      <w:r>
        <w:rPr>
          <w:rStyle w:val="HideTWBExt"/>
        </w:rPr>
        <w:t>&lt;</w:t>
      </w:r>
      <w:r>
        <w:rPr>
          <w:rStyle w:val="HideTWBExt"/>
        </w:rPr>
        <w:t>NumAmA</w:t>
      </w:r>
      <w:r>
        <w:rPr>
          <w:rStyle w:val="HideTWBExt"/>
        </w:rPr>
        <w:t>&gt;</w:t>
      </w:r>
      <w:r>
        <w:t>135</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Stasys Jakeliūnas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p>
        </w:tc>
        <w:tc>
          <w:tcPr>
            <w:tcW w:w="4876" w:type="dxa"/>
            <w:vAlign w:val="top"/>
          </w:tcPr>
          <w:p>
            <w:pPr>
              <w:pStyle w:val="AmColumnHeading"/>
            </w:pPr>
            <w:r>
              <w:t>Návrh na zamítnutí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AmColumnHeading"/>
            </w:pPr>
          </w:p>
        </w:tc>
        <w:tc>
          <w:tcPr>
            <w:tcW w:w="4876" w:type="dxa"/>
            <w:vAlign w:val="top"/>
          </w:tcPr>
          <w:p>
            <w:pPr>
              <w:pStyle w:val="NormalBoldItalic6a"/>
            </w:pPr>
            <w:r>
              <w:t>Evropský parlament zamítá návrh nařízení Evropského parlamentu a Rady o pilotním režimu pro tržní infrastruktury založené na technologii distribuované účetní knihy.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Návrh není technologicky neutrální a je zbytečný.</w:t>
      </w:r>
      <w:r>
        <w:t xml:space="preserve"> </w:t>
      </w:r>
      <w:r>
        <w:t>Stávající rámec EU o finančních službách již nabízí inovace.</w:t>
      </w:r>
      <w:r>
        <w:t xml:space="preserve"> </w:t>
      </w:r>
      <w:r>
        <w:t>V navrhovaném nařízení byly některé požadavky, které se týkají ochrany investorů a integrity trhu rozvolněny.</w:t>
      </w:r>
      <w:r>
        <w:t xml:space="preserve"> </w:t>
      </w:r>
      <w:r>
        <w:t>To může vést k vyšší fragmentaci trhu a finanční nestabilitě.</w:t>
      </w:r>
      <w:r>
        <w:t xml:space="preserve"> </w:t>
      </w:r>
      <w:r>
        <w:t>Do značné míry zde také dochází k přenesení pravomocí na příslušné vnitrostátní orgány.</w:t>
      </w:r>
      <w:r>
        <w:t xml:space="preserve"> </w:t>
      </w:r>
      <w:r>
        <w:t>Vzhledem k tomu, že Evropský systém dohledu nad finančním trhem dosud není harmonizován, mohlo by navrhované nařízení vést k regulatorní arbitráži a dalšímu zvýšení fragmentace trhu.</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Pozměňovací návrh</w:t>
      </w:r>
      <w:r>
        <w:tab/>
      </w:r>
      <w:r>
        <w:tab/>
      </w:r>
      <w:r>
        <w:rPr>
          <w:rStyle w:val="HideTWBExt"/>
        </w:rPr>
        <w:t>&lt;</w:t>
      </w:r>
      <w:r>
        <w:rPr>
          <w:rStyle w:val="HideTWBExt"/>
        </w:rPr>
        <w:t>NumAmA</w:t>
      </w:r>
      <w:r>
        <w:rPr>
          <w:rStyle w:val="HideTWBExt"/>
        </w:rPr>
        <w:t>&gt;</w:t>
      </w:r>
      <w:r>
        <w:t>136</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legislativního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legislativního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ab/>
            </w:r>
            <w:r>
              <w:t>s ohledem na stanovisko Evropské centrální banky</w:t>
            </w:r>
            <w:r>
              <w:rPr>
                <w:rStyle w:val="Sup"/>
              </w:rPr>
              <w:t>2</w:t>
            </w:r>
            <w:r>
              <w:t>,</w:t>
            </w:r>
          </w:p>
        </w:tc>
        <w:tc>
          <w:tcPr>
            <w:tcW w:w="4876" w:type="dxa"/>
            <w:vAlign w:val="top"/>
          </w:tcPr>
          <w:p>
            <w:pPr>
              <w:pStyle w:val="Normal6a"/>
            </w:pPr>
            <w:r>
              <w:rPr>
                <w:b/>
                <w:i/>
                <w:strike w:val="0"/>
                <w:color w:val="auto"/>
                <w:highlight w:val="none"/>
                <w:u w:val="none" w:color="auto"/>
                <w:vertAlign w:val="baseline"/>
              </w:rPr>
              <w:t>–</w:t>
            </w:r>
            <w:r>
              <w:tab/>
            </w:r>
            <w:r>
              <w:t xml:space="preserve">s ohledem na stanovisko Evropské centrální banky </w:t>
            </w:r>
            <w:r>
              <w:rPr>
                <w:b/>
                <w:i/>
                <w:strike w:val="0"/>
                <w:color w:val="auto"/>
                <w:highlight w:val="none"/>
                <w:u w:val="none" w:color="auto"/>
                <w:vertAlign w:val="baseline"/>
              </w:rPr>
              <w:t>ze dne 28. dubna 2021</w:t>
            </w:r>
            <w:r>
              <w:rPr>
                <w:rStyle w:val="Sup"/>
              </w:rPr>
              <w:t>2</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2</w:t>
            </w:r>
            <w:r>
              <w:t xml:space="preserve"> </w:t>
            </w:r>
            <w:r>
              <w:t xml:space="preserve">Úř. věst. C </w:t>
            </w:r>
            <w:r>
              <w:rPr>
                <w:b/>
                <w:i/>
                <w:strike w:val="0"/>
                <w:color w:val="auto"/>
                <w:highlight w:val="none"/>
                <w:u w:val="none" w:color="auto"/>
                <w:vertAlign w:val="baseline"/>
              </w:rPr>
              <w:t>xxx.xx.x</w:t>
            </w:r>
            <w:r>
              <w:t>.2021, s. xx.</w:t>
            </w:r>
          </w:p>
        </w:tc>
        <w:tc>
          <w:tcPr>
            <w:tcW w:w="4876" w:type="dxa"/>
            <w:vAlign w:val="top"/>
          </w:tcPr>
          <w:p>
            <w:pPr>
              <w:pStyle w:val="Normal6a"/>
            </w:pPr>
            <w:r>
              <w:rPr>
                <w:rStyle w:val="Sup"/>
              </w:rPr>
              <w:t>2</w:t>
            </w:r>
            <w:r>
              <w:t xml:space="preserve"> </w:t>
            </w:r>
            <w:r>
              <w:t xml:space="preserve">Úř. věst. C </w:t>
            </w:r>
            <w:r>
              <w:rPr>
                <w:b/>
                <w:i/>
                <w:strike w:val="0"/>
                <w:color w:val="auto"/>
                <w:highlight w:val="none"/>
                <w:u w:val="none" w:color="auto"/>
                <w:vertAlign w:val="baseline"/>
              </w:rPr>
              <w:t>xxx, xx.x</w:t>
            </w:r>
            <w:r>
              <w:t>.2021, s. xx.</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pPr>
        <w:pStyle w:val="AmNumberTabs"/>
      </w:pPr>
      <w:r>
        <w:rPr>
          <w:rStyle w:val="HideTWBExt"/>
        </w:rPr>
        <w:t>&lt;</w:t>
      </w:r>
      <w:r>
        <w:rPr>
          <w:rStyle w:val="HideTWBExt"/>
        </w:rPr>
        <w:t>AmendA</w:t>
      </w:r>
      <w:r>
        <w:rPr>
          <w:rStyle w:val="HideTWBExt"/>
        </w:rPr>
        <w:t>&gt;</w:t>
      </w:r>
      <w:r>
        <w:t>Pozměňovací návrh</w:t>
      </w:r>
      <w:r>
        <w:tab/>
      </w:r>
      <w:r>
        <w:tab/>
      </w:r>
      <w:r>
        <w:rPr>
          <w:rStyle w:val="HideTWBExt"/>
        </w:rPr>
        <w:t>&lt;</w:t>
      </w:r>
      <w:r>
        <w:rPr>
          <w:rStyle w:val="HideTWBExt"/>
        </w:rPr>
        <w:t>NumAmA</w:t>
      </w:r>
      <w:r>
        <w:rPr>
          <w:rStyle w:val="HideTWBExt"/>
        </w:rPr>
        <w:t>&gt;</w:t>
      </w:r>
      <w:r>
        <w:t>137</w:t>
      </w:r>
      <w:r>
        <w:rPr>
          <w:rStyle w:val="HideTWBExt"/>
        </w:rPr>
        <w:t>&lt;/</w:t>
      </w:r>
      <w:r>
        <w:rPr>
          <w:rStyle w:val="HideTWBExt"/>
        </w:rPr>
        <w:t>NumAmA</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legislativního usnesení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Právní východisko 5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Návrh legislativního usnesení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w:t>
            </w:r>
            <w:r>
              <w:tab/>
            </w:r>
            <w:r>
              <w:rPr>
                <w:b/>
                <w:i/>
                <w:strike w:val="0"/>
                <w:color w:val="auto"/>
                <w:highlight w:val="none"/>
                <w:u w:val="none" w:color="auto"/>
                <w:vertAlign w:val="baseline"/>
              </w:rPr>
              <w:t>s ohledem na stanovisko evropského inspektora ochrany údajů č. 6/2021 ze dne 23. dubna 2021,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AmendA</w:t>
      </w:r>
      <w:r>
        <w:rPr>
          <w:rStyle w:val="HideTWBExt"/>
        </w:rPr>
        <w:t>&gt;</w:t>
      </w:r>
    </w:p>
    <w:p>
      <w:r>
        <w:rPr>
          <w:rStyle w:val="HideTWBExt"/>
        </w:rPr>
        <w:t>&lt;/</w:t>
      </w:r>
      <w:r>
        <w:rPr>
          <w:rStyle w:val="HideTWBExt"/>
        </w:rPr>
        <w:t>RepeatBlock-AmendA</w:t>
      </w:r>
      <w:r>
        <w:rPr>
          <w:rStyle w:val="HideTWBExt"/>
        </w:rPr>
        <w:t>&gt;</w:t>
      </w:r>
    </w:p>
    <w:p>
      <w:pPr>
        <w:pStyle w:val="AmNumberTabs"/>
      </w:pPr>
      <w:r>
        <w:rPr>
          <w:rStyle w:val="HideTWBExt"/>
        </w:rPr>
        <w:t>&lt;</w:t>
      </w:r>
      <w:r>
        <w:rPr>
          <w:rStyle w:val="HideTWBExt"/>
        </w:rPr>
        <w:t>RepeatBlock-AmendB</w:t>
      </w:r>
      <w:r>
        <w:rPr>
          <w:rStyle w:val="HideTWBExt"/>
        </w:rPr>
        <w:t>&gt;</w:t>
      </w: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Sdělení Evropské komise o strategii v oblasti digitálních financí</w:t>
            </w:r>
            <w:r>
              <w:rPr>
                <w:rStyle w:val="Sup"/>
              </w:rPr>
              <w:t>32</w:t>
            </w:r>
            <w:r>
              <w:t>si klade za cíl zajistit, aby právní předpisy Unie v oblasti finančních služeb odpovídaly potřebám digitálního věku a přispěly k vybudování ekonomiky připravené na budoucnost, která bude fungovat ve prospěch občanů, včetně toho, že umožní využívání inovativních technologií. Unie má politický zájem na rozvoji a podpoře zavádění průlomových technologií ve finančním sektoru, jako je blockchain a technologie sdíleného registru (DLT). Jeden z hlavních příkladů použití DLT v oblasti financí představují kryptoaktiva.</w:t>
            </w:r>
          </w:p>
        </w:tc>
        <w:tc>
          <w:tcPr>
            <w:tcW w:w="4876" w:type="dxa"/>
            <w:vAlign w:val="top"/>
          </w:tcPr>
          <w:p>
            <w:pPr>
              <w:pStyle w:val="Normal6a"/>
            </w:pPr>
            <w:r>
              <w:t>(1)</w:t>
            </w:r>
            <w:r>
              <w:tab/>
            </w:r>
            <w:r>
              <w:t>Sdělení Evropské komise o strategii v oblasti digitálních financí</w:t>
            </w:r>
            <w:r>
              <w:rPr>
                <w:rStyle w:val="Sup"/>
              </w:rPr>
              <w:t>32</w:t>
            </w:r>
            <w:r>
              <w:rPr>
                <w:b/>
                <w:i/>
                <w:strike w:val="0"/>
                <w:color w:val="auto"/>
                <w:highlight w:val="none"/>
                <w:u w:val="none" w:color="auto"/>
                <w:vertAlign w:val="baseline"/>
              </w:rPr>
              <w:t> </w:t>
            </w:r>
            <w:r>
              <w:t xml:space="preserve">si klade za cíl zajistit, aby právní předpisy Unie v oblasti finančních služeb odpovídaly potřebám digitálního věku a přispěly k vybudování ekonomiky připravené na budoucnost, která bude fungovat ve prospěch občanů, včetně toho, že umožní využívání inovativních technologií. Unie má politický zájem na </w:t>
            </w:r>
            <w:r>
              <w:rPr>
                <w:b/>
                <w:i/>
                <w:strike w:val="0"/>
                <w:color w:val="auto"/>
                <w:highlight w:val="none"/>
                <w:u w:val="none" w:color="auto"/>
                <w:vertAlign w:val="baseline"/>
              </w:rPr>
              <w:t>zkoumání,</w:t>
            </w:r>
            <w:r>
              <w:t xml:space="preserve"> rozvoji a podpoře zavádění průlomových technologií ve finančním sektoru, jako je blockchain a technologie sdíleného registru (DLT). Jeden z hlavních příkladů použití DLT v oblasti financí představují kryptoaktiva.</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32</w:t>
            </w:r>
            <w:r>
              <w:t xml:space="preserve"> </w:t>
            </w:r>
            <w:r>
              <w:t>Sdělení Komise Evropskému parlamentu, Radě, Evropské centrální bance, Evropskému hospodářskému a sociálnímu výboru a Výboru regionů o strategii EU v oblasti digitálních financí (COM(2020) 591).</w:t>
            </w:r>
          </w:p>
        </w:tc>
        <w:tc>
          <w:tcPr>
            <w:tcW w:w="4876" w:type="dxa"/>
            <w:vAlign w:val="top"/>
          </w:tcPr>
          <w:p>
            <w:pPr>
              <w:pStyle w:val="Normal6a"/>
            </w:pPr>
            <w:r>
              <w:rPr>
                <w:rStyle w:val="Sup"/>
              </w:rPr>
              <w:t>32</w:t>
            </w:r>
            <w:r>
              <w:t xml:space="preserve"> </w:t>
            </w:r>
            <w:r>
              <w:t>Sdělení Komise Evropskému parlamentu, Radě, Evropské centrální bance, Evropskému hospodářskému a sociálnímu výboru a Výboru regionů o strategii EU v oblasti digitálních financí (COM(2020) 591).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Sdělení Evropské komise o strategii v oblasti digitálních financí</w:t>
            </w:r>
            <w:r>
              <w:rPr>
                <w:rStyle w:val="Sup"/>
              </w:rPr>
              <w:t>32</w:t>
            </w:r>
            <w:r>
              <w:t>si klade za cíl zajistit, aby právní předpisy Unie v oblasti finančních služeb odpovídaly potřebám digitálního věku a přispěly k vybudování ekonomiky připravené na budoucnost, která bude fungovat ve prospěch občanů, včetně toho, že umožní využívání inovativních technologií. Unie má politický zájem na rozvoji a podpoře zavádění průlomových technologií ve finančním sektoru, jako je blockchain a technologie sdíleného registru (DLT). Jeden z hlavních příkladů použití DLT v oblasti financí představují kryptoaktiva.</w:t>
            </w:r>
          </w:p>
        </w:tc>
        <w:tc>
          <w:tcPr>
            <w:tcW w:w="4876" w:type="dxa"/>
            <w:vAlign w:val="top"/>
          </w:tcPr>
          <w:p>
            <w:pPr>
              <w:pStyle w:val="Normal6a"/>
            </w:pPr>
            <w:r>
              <w:t>(1)</w:t>
            </w:r>
            <w:r>
              <w:tab/>
            </w:r>
            <w:r>
              <w:t>Sdělení Evropské komise o strategii v oblasti digitálních financí</w:t>
            </w:r>
            <w:r>
              <w:rPr>
                <w:rStyle w:val="Sup"/>
              </w:rPr>
              <w:t>32</w:t>
            </w:r>
            <w:r>
              <w:rPr>
                <w:b/>
                <w:i/>
                <w:strike w:val="0"/>
                <w:color w:val="auto"/>
                <w:highlight w:val="none"/>
                <w:u w:val="none" w:color="auto"/>
                <w:vertAlign w:val="baseline"/>
              </w:rPr>
              <w:t> </w:t>
            </w:r>
            <w:r>
              <w:t xml:space="preserve">si klade za cíl zajistit, aby právní předpisy Unie v oblasti finančních služeb odpovídaly potřebám digitálního věku a přispěly k vybudování ekonomiky připravené na budoucnost, která bude fungovat ve prospěch občanů, včetně toho, že umožní využívání inovativních technologií. Unie má politický zájem na rozvoji a podpoře zavádění průlomových technologií ve finančním sektoru, jako je blockchain a technologie sdíleného registru (DLT). Jeden z hlavních příkladů použití DLT v oblasti financí představují kryptoaktiva. </w:t>
            </w:r>
            <w:r>
              <w:rPr>
                <w:b/>
                <w:i/>
                <w:strike w:val="0"/>
                <w:color w:val="auto"/>
                <w:highlight w:val="none"/>
                <w:u w:val="none" w:color="auto"/>
                <w:vertAlign w:val="baseline"/>
              </w:rPr>
              <w:t>Technologie DLT zahrnují rozmanitou škálu řešení, která kombinují databázové technologie a šifrování, pokud jde o nepřátelské chování a řeší riziko toho, že různí uživatelé spoléhají na nekonzistentní verze dat z důvodu zpoždění nebo potvrzování tzv. „conflicting forks“, a to tím, že umožňují poslední šifrovací kontrolu činnosti uživatelů a poskytují tradiční a nové mechanismy k dosažení souhlasu uživatelů o statusu databáze v čase.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32</w:t>
            </w:r>
            <w:r>
              <w:t xml:space="preserve"> </w:t>
            </w:r>
            <w:r>
              <w:t>Sdělení Komise Evropskému parlamentu, Radě, Evropské centrální bance, Evropskému hospodářskému a sociálnímu výboru a Výboru regionů o strategii EU v oblasti digitálních financí (COM(2020) 591).</w:t>
            </w:r>
          </w:p>
        </w:tc>
        <w:tc>
          <w:tcPr>
            <w:tcW w:w="4876" w:type="dxa"/>
            <w:vAlign w:val="top"/>
          </w:tcPr>
          <w:p>
            <w:pPr>
              <w:pStyle w:val="Normal6a"/>
            </w:pPr>
            <w:r>
              <w:rPr>
                <w:rStyle w:val="Sup"/>
              </w:rPr>
              <w:t>32</w:t>
            </w:r>
            <w:r>
              <w:t xml:space="preserve"> </w:t>
            </w:r>
            <w:r>
              <w:t>Sdělení Komise Evropskému parlamentu, Radě, Evropské centrální bance, Evropskému hospodářskému a sociálnímu výboru a Výboru regionů o strategii EU v oblasti digitálních financí (COM(2020) 591).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Popis fungování technologie sdíleného registrudistru (DLT), jak vyplývá ze zprávy ECB z roku 2017 „The potential impact of DLTs on securities posttrading harmonisation and on the broader EU financial market market Infrastructures for Securities and Collateral (AMI-SeCo) (Potenciální dopad DLT na harmonizaci cenných papírů po uzavření obchodu a na širší integraci finančního trhu EU)“ poradní skupiny pro tržní infrastruktury pro cenné papíry a zajištění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Většina kryptoaktiv nespadá do oblasti působnosti právních předpisů EU a přináší mimo jiné problémy týkající se ochrany investorů, integrity trhu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a směrnice Evropského parlamentu a Rady 98/26/ES (směrnice o neodvolatelnosti zúčtování)</w:t>
            </w:r>
            <w:r>
              <w:rPr>
                <w:rStyle w:val="Sup"/>
              </w:rPr>
              <w:t>39</w:t>
            </w:r>
            <w:r>
              <w:t>. Očekává se, že takzvaná tokenizace finančních nástrojů, to znamená jejich transformace na kryptoaktiva, která umožní jejich emisi, ukládání a převod ve sdíleném registru, otevře příležitosti pro zlepšení efektivity v celé obchodní a poobchodní oblasti.</w:t>
            </w:r>
          </w:p>
        </w:tc>
        <w:tc>
          <w:tcPr>
            <w:tcW w:w="4876" w:type="dxa"/>
            <w:vAlign w:val="top"/>
          </w:tcPr>
          <w:p>
            <w:pPr>
              <w:pStyle w:val="Normal6a"/>
            </w:pPr>
            <w:r>
              <w:t>(2)</w:t>
            </w:r>
            <w:r>
              <w:tab/>
            </w:r>
            <w:r>
              <w:t>Většina kryptoaktiv nespadá do oblasti působnosti právních předpisů EU a přináší mimo jiné problémy týkající se ochrany investorů, integrity trhu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 xml:space="preserve"> a směrnice Evropského parlamentu a Rady 98/26/ES (směrnice o neodvolatelnosti zúčtování)</w:t>
            </w:r>
            <w:r>
              <w:rPr>
                <w:rStyle w:val="Sup"/>
              </w:rPr>
              <w:t>39</w:t>
            </w:r>
            <w:r>
              <w:t>. Očekává se, že takzvaná tokenizace finančních nástrojů, to znamená jejich transformace na kryptoaktiva, která umožní jejich emisi, ukládání a převod ve sdíleném registru, otevře příležitosti pro zlepšení efektivity v celé obchodní a poobchodní oblasti.</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xml:space="preserve"> 1).</w:t>
            </w:r>
          </w:p>
        </w:tc>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r>
              <w:rPr>
                <w:b/>
                <w:i/>
                <w:strike w:val="0"/>
                <w:color w:val="auto"/>
                <w:highlight w:val="none"/>
                <w:u w:val="none" w:color="auto"/>
                <w:vertAlign w:val="baseline"/>
              </w:rPr>
              <w:t>.</w:t>
            </w:r>
          </w:p>
        </w:tc>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Většina kryptoaktiv nespadá do oblasti působnosti právních předpisů EU a přináší mimo jiné problémy týkající se ochrany investorů, integrity trhu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a směrnice Evropského parlamentu a Rady 98/26/ES (směrnice o neodvolatelnosti zúčtování)</w:t>
            </w:r>
            <w:r>
              <w:rPr>
                <w:rStyle w:val="Sup"/>
              </w:rPr>
              <w:t>39</w:t>
            </w:r>
            <w:r>
              <w:t xml:space="preserve">. Očekává se, že takzvaná tokenizace finančních nástrojů, to znamená jejich </w:t>
            </w:r>
            <w:r>
              <w:rPr>
                <w:b/>
                <w:i/>
                <w:strike w:val="0"/>
                <w:color w:val="auto"/>
                <w:highlight w:val="none"/>
                <w:u w:val="none" w:color="auto"/>
                <w:vertAlign w:val="baseline"/>
              </w:rPr>
              <w:t>transformace na kryptoaktiva</w:t>
            </w:r>
            <w:r>
              <w:t xml:space="preserve">, která umožní jejich emisi, ukládání a převod ve sdíleném registru, otevře příležitosti pro zlepšení efektivity v </w:t>
            </w:r>
            <w:r>
              <w:rPr>
                <w:b/>
                <w:i/>
                <w:strike w:val="0"/>
                <w:color w:val="auto"/>
                <w:highlight w:val="none"/>
                <w:u w:val="none" w:color="auto"/>
                <w:vertAlign w:val="baseline"/>
              </w:rPr>
              <w:t>celé</w:t>
            </w:r>
            <w:r>
              <w:t xml:space="preserve"> obchodní a poobchodní oblasti.</w:t>
            </w:r>
          </w:p>
        </w:tc>
        <w:tc>
          <w:tcPr>
            <w:tcW w:w="4876" w:type="dxa"/>
            <w:vAlign w:val="top"/>
          </w:tcPr>
          <w:p>
            <w:pPr>
              <w:pStyle w:val="Normal6a"/>
            </w:pPr>
            <w:r>
              <w:t>(2)</w:t>
            </w:r>
            <w:r>
              <w:tab/>
            </w:r>
            <w:r>
              <w:t>Většina kryptoaktiv nespadá do oblasti působnosti právních předpisů EU a přináší mimo jiné problémy týkající se ochrany investorů, integrity trhu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 xml:space="preserve"> a směrnice Evropského parlamentu a Rady 98/26/ES (směrnice o neodvolatelnosti zúčtování)</w:t>
            </w:r>
            <w:r>
              <w:rPr>
                <w:rStyle w:val="Sup"/>
              </w:rPr>
              <w:t>39</w:t>
            </w:r>
            <w:r>
              <w:t>. Očekává se, že takzvaná tokenizace finančních nástrojů, to znamená jejich </w:t>
            </w:r>
            <w:r>
              <w:rPr>
                <w:b/>
                <w:i/>
                <w:strike w:val="0"/>
                <w:color w:val="auto"/>
                <w:highlight w:val="none"/>
                <w:u w:val="none" w:color="auto"/>
                <w:vertAlign w:val="baseline"/>
              </w:rPr>
              <w:t>digitální zastoupení v distribuovaných účetních knihách nebo emise tradičních tříd aktiv v tokenované podobě</w:t>
            </w:r>
            <w:r>
              <w:t xml:space="preserve">, která umožní jejich emisi, ukládání a převod ve sdíleném registru, otevře příležitosti pro zlepšení efektivity v obchodní a poobchodní oblasti. </w:t>
            </w:r>
            <w:r>
              <w:rPr>
                <w:b/>
                <w:i/>
                <w:strike w:val="0"/>
                <w:color w:val="auto"/>
                <w:highlight w:val="none"/>
                <w:u w:val="none" w:color="auto"/>
                <w:vertAlign w:val="baseline"/>
              </w:rPr>
              <w:t>Technologie distribuované účetní knihy (DLT) má potenciál podporovat sdílení údajů a obchodních procesů nad úroveň dosaženou prostřednictvím stávajících distribuovaných databází, které byly dosud používány, aby účastníci mohli číst obsah souboru údajů spravovaného jedinou institucí.</w:t>
            </w:r>
            <w:r>
              <w:t xml:space="preserve"> </w:t>
            </w:r>
            <w:r>
              <w:rPr>
                <w:b/>
                <w:i/>
                <w:strike w:val="0"/>
                <w:color w:val="auto"/>
                <w:highlight w:val="none"/>
                <w:u w:val="none" w:color="auto"/>
                <w:vertAlign w:val="baseline"/>
              </w:rPr>
              <w:t>Technologie DLT má být pro účastníky trhu hodnotná tím, že umožní různým institucím sdílet správu informací v distribuované knize a řídit se stejnými postupy pro aktualizaci těchto informací.</w:t>
            </w:r>
            <w:r>
              <w:t xml:space="preserve"> </w:t>
            </w:r>
            <w:r>
              <w:rPr>
                <w:b/>
                <w:i/>
                <w:strike w:val="0"/>
                <w:color w:val="auto"/>
                <w:highlight w:val="none"/>
                <w:u w:val="none" w:color="auto"/>
                <w:vertAlign w:val="baseline"/>
              </w:rPr>
              <w:t>Každý subjekt, který se podílí na zpracovávání finančních transakcí, vede v současné době nezávislé centrální záznamy o držbě aktiv svých klientů a musí tento záznam uvést do souladu s údaji uchovávanými v jiných centrálně spravovaných databázích na různých úrovních poobchodního hodnotového řetězce.</w:t>
            </w:r>
            <w:r>
              <w:t xml:space="preserve"> </w:t>
            </w:r>
            <w:r>
              <w:rPr>
                <w:b/>
                <w:i/>
                <w:strike w:val="0"/>
                <w:color w:val="auto"/>
                <w:highlight w:val="none"/>
                <w:u w:val="none" w:color="auto"/>
                <w:vertAlign w:val="baseline"/>
              </w:rPr>
              <w:t>Technologie DLT by mohla usnadnit integraci po uzavření obchodu tím, že poskytne infrastrukturu, která zajistí, že každý uživatel bude mít konzistentní a aktualizovaný přehled o aktivech, za něž odpovídá, a že stejná aktiva mohou být převedena s vysokým stupněm automatizace.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xml:space="preserve"> 1).</w:t>
            </w:r>
          </w:p>
        </w:tc>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r>
              <w:rPr>
                <w:b/>
                <w:i/>
                <w:strike w:val="0"/>
                <w:color w:val="auto"/>
                <w:highlight w:val="none"/>
                <w:u w:val="none" w:color="auto"/>
                <w:vertAlign w:val="baseline"/>
              </w:rPr>
              <w:t>.</w:t>
            </w:r>
          </w:p>
        </w:tc>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široce používané definice (např. OECD) - abstrakt ze shrnutí zprávy ECB z roku 2017 nazvané „Potenciální dopad distribuované účetní knihy na harmonizaci cenných papírů po uzavření obchodu a na širší integraci finančního trhu EU“ Poradní skupiny pro tržní infrastruktury pro cenné papíry a zajištění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Většina kryptoaktiv nespadá do oblasti působnosti právních předpisů EU a přináší mimo jiné problémy týkající se ochrany investorů, integrity trhu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a směrnice Evropského parlamentu a Rady 98/26/ES (směrnice o neodvolatelnosti zúčtování)</w:t>
            </w:r>
            <w:r>
              <w:rPr>
                <w:rStyle w:val="Sup"/>
              </w:rPr>
              <w:t>39</w:t>
            </w:r>
            <w:r>
              <w:t>. Očekává se, že takzvaná tokenizace finančních nástrojů, to znamená jejich transformace na kryptoaktiva, která umožní jejich emisi, ukládání a převod ve sdíleném registru, otevře příležitosti pro zlepšení efektivity v celé obchodní a poobchodní oblasti.</w:t>
            </w:r>
          </w:p>
        </w:tc>
        <w:tc>
          <w:tcPr>
            <w:tcW w:w="4876" w:type="dxa"/>
            <w:vAlign w:val="top"/>
          </w:tcPr>
          <w:p>
            <w:pPr>
              <w:pStyle w:val="Normal6a"/>
            </w:pPr>
            <w:r>
              <w:t>(2)</w:t>
            </w:r>
            <w:r>
              <w:tab/>
            </w:r>
            <w:r>
              <w:t>Většina kryptoaktiv nespadá do oblasti působnosti právních předpisů EU a přináší mimo jiné problémy týkající se ochrany investorů, integrity trhu</w:t>
            </w:r>
            <w:r>
              <w:rPr>
                <w:b/>
                <w:i/>
                <w:strike w:val="0"/>
                <w:color w:val="auto"/>
                <w:highlight w:val="none"/>
                <w:u w:val="none" w:color="auto"/>
                <w:vertAlign w:val="baseline"/>
              </w:rPr>
              <w:t>, spotřeby energie</w:t>
            </w:r>
            <w:r>
              <w:t xml:space="preserve"> a finanční stability. Vyžadují proto speciální režim na úrovni Unie. Naproti tomu jiná kryptoaktiva lze považovat za finanční nástroje ve smyslu směrnice Evropského parlamentu a Rady 2014/65/EU (směrnice o trzích finančních nástrojů, MiFID II)</w:t>
            </w:r>
            <w:r>
              <w:rPr>
                <w:rStyle w:val="Sup"/>
              </w:rPr>
              <w:t>33</w:t>
            </w:r>
            <w:r>
              <w:t>. Pokud se určité kryptoaktivum považuje za finanční nástroj podle uvedené směrnice, může se na jeho emitenta a podniky, které provádějí činnosti s ním spojené, vztahovat úplný soubor finančních pravidel Unie, včetně nařízení Evropského parlamentu a Rady (EU) 2017/1129 (nařízení o prospektu)</w:t>
            </w:r>
            <w:r>
              <w:rPr>
                <w:rStyle w:val="Sup"/>
              </w:rPr>
              <w:t>34</w:t>
            </w:r>
            <w:r>
              <w:t>, Směrnice Evropského parlamentu a Rady 2013/50/EU (směrnice o průhlednosti)</w:t>
            </w:r>
            <w:r>
              <w:rPr>
                <w:rStyle w:val="Sup"/>
              </w:rPr>
              <w:t>35</w:t>
            </w:r>
            <w:r>
              <w:t>, nařízení Evropského parlamentu a Rady (EU) č. 596/2014 (nařízení o zneužívání trhu)</w:t>
            </w:r>
            <w:r>
              <w:rPr>
                <w:rStyle w:val="Sup"/>
              </w:rPr>
              <w:t>36</w:t>
            </w:r>
            <w:r>
              <w:t>, nařízení Evropského parlamentu a Rady (EU) č. 236/2012 (nařízení o krátkém prodeji)</w:t>
            </w:r>
            <w:r>
              <w:rPr>
                <w:rStyle w:val="Sup"/>
              </w:rPr>
              <w:t>37</w:t>
            </w:r>
            <w:r>
              <w:t>, nařízení Evropského parlamentu a Rady (EU) č. 909/2014 (nařízení o centrálních depozitářích cenných papírů)</w:t>
            </w:r>
            <w:r>
              <w:rPr>
                <w:rStyle w:val="Sup"/>
              </w:rPr>
              <w:t>38</w:t>
            </w:r>
            <w:r>
              <w:t xml:space="preserve"> a směrnice Evropského parlamentu a Rady 98/26/ES (směrnice o neodvolatelnosti zúčtování)</w:t>
            </w:r>
            <w:r>
              <w:rPr>
                <w:rStyle w:val="Sup"/>
              </w:rPr>
              <w:t>39</w:t>
            </w:r>
            <w:r>
              <w:t>. Očekává se, že takzvaná tokenizace finančních nástrojů, to znamená jejich transformace na kryptoaktiva, která umožní jejich emisi, ukládání a převod ve sdíleném registru, otevře příležitosti pro zlepšení efektivity v celé obchodní a poobchodní oblasti</w:t>
            </w:r>
            <w:r>
              <w:rPr>
                <w:b/>
                <w:i/>
                <w:strike w:val="0"/>
                <w:color w:val="auto"/>
                <w:highlight w:val="none"/>
                <w:u w:val="none" w:color="auto"/>
                <w:vertAlign w:val="baseline"/>
              </w:rPr>
              <w:t>, pokud jsou taková kryptoaktiva vyráběna způsobem šetrným k energii.</w:t>
            </w:r>
            <w:r>
              <w:t xml:space="preserve"> </w:t>
            </w:r>
            <w:r>
              <w:rPr>
                <w:b/>
                <w:i/>
                <w:strike w:val="0"/>
                <w:color w:val="auto"/>
                <w:highlight w:val="none"/>
                <w:u w:val="none" w:color="auto"/>
                <w:vertAlign w:val="baseline"/>
              </w:rPr>
              <w:t>Vzhledem k tomu, že finanční nástroj a související rizika zůstávají stejné bez ohledu na to, zda se používá distribuovaná účetní kniha, základní kompromisy zahrnující úvěrové riziko a likviditu v tokenizovaném světě zůstávají.</w:t>
            </w:r>
            <w:r>
              <w:t xml:space="preserve"> </w:t>
            </w:r>
            <w:r>
              <w:rPr>
                <w:b/>
                <w:i/>
                <w:strike w:val="0"/>
                <w:color w:val="auto"/>
                <w:highlight w:val="none"/>
                <w:u w:val="none" w:color="auto"/>
                <w:vertAlign w:val="baseline"/>
              </w:rPr>
              <w:t>Úspěch systémů založených na tokenech proto bude zcela záviset na tom, jak dobře budou spolupracovat s tradičními systémy založenými na účtech</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c>
          <w:tcPr>
            <w:tcW w:w="4876" w:type="dxa"/>
            <w:vAlign w:val="top"/>
          </w:tcPr>
          <w:p>
            <w:pPr>
              <w:pStyle w:val="Normal6a"/>
            </w:pPr>
            <w:r>
              <w:rPr>
                <w:rStyle w:val="Sup"/>
              </w:rPr>
              <w:t>33</w:t>
            </w:r>
            <w:r>
              <w:t xml:space="preserve"> </w:t>
            </w:r>
            <w:r>
              <w:t>Směrnice Evropského parlamentu a Rady 2014/65/EU ze dne 15. května 2014 o trzích finančních nástrojů a o změně směrnic 2002/92/ES a 2011/61/EU (Úř. věst. L 173, 12.6.2014, s. 349).</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c>
          <w:tcPr>
            <w:tcW w:w="4876" w:type="dxa"/>
            <w:vAlign w:val="top"/>
          </w:tcPr>
          <w:p>
            <w:pPr>
              <w:pStyle w:val="Normal6a"/>
            </w:pPr>
            <w:r>
              <w:rPr>
                <w:rStyle w:val="Sup"/>
              </w:rPr>
              <w:t>34</w:t>
            </w:r>
            <w:r>
              <w:t xml:space="preserve"> </w:t>
            </w:r>
            <w:r>
              <w:t>Nařízení Evropského parlamentu a Rady (EU) 2017/1129 ze dne 14. června 2017 o prospektu, který má být uveřejněn při veřejné nabídce nebo přijetí cenných papírů k obchodování na regulovaném trhu, a o zrušení směrnice 2003/71/ES (Úř. věst. L 168, 30.6.2017, s. 12).</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c>
          <w:tcPr>
            <w:tcW w:w="4876" w:type="dxa"/>
            <w:vAlign w:val="top"/>
          </w:tcPr>
          <w:p>
            <w:pPr>
              <w:pStyle w:val="Normal6a"/>
            </w:pPr>
            <w:r>
              <w:rPr>
                <w:rStyle w:val="Sup"/>
              </w:rPr>
              <w:t>35</w:t>
            </w:r>
            <w:r>
              <w:t xml:space="preserve"> </w:t>
            </w:r>
            <w:r>
              <w:t>Směrnice Evropského parlamentu a Rady 2013/50/EU ze dne 22. října 2013, kterou se mění směrnice Evropského parlamentu a Rady 2004/109/ES o harmonizaci požadavků na průhlednost týkajících se informací o emitentech, jejichž cenné papíry jsou přijaty k obchodování na regulovaném trhu, směrnice Evropského parlamentu a Rady 2003/71/ES o prospektu, který má být zveřejněn při veřejné nabídce nebo přijetí cenných papírů k obchodování a směrnice Komise 2007/14/ES, kterou se stanoví prováděcí pravidla k některým ustanovením směrnice 2004/109/ES (Úř. věst. L 294, 6.11.2013, s. 13).</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c>
          <w:tcPr>
            <w:tcW w:w="4876" w:type="dxa"/>
            <w:vAlign w:val="top"/>
          </w:tcPr>
          <w:p>
            <w:pPr>
              <w:pStyle w:val="Normal6a"/>
            </w:pPr>
            <w:r>
              <w:rPr>
                <w:rStyle w:val="Sup"/>
              </w:rPr>
              <w:t>36</w:t>
            </w:r>
            <w:r>
              <w:t xml:space="preserve"> </w:t>
            </w:r>
            <w:r>
              <w:t>Nařízení Evropského parlamentu a Rady (EU) č. 596/2014 ze dne 16. dubna 2014 o zneužívání trhu (nařízení o zneužívání trhu) a o zrušení směrnice Evropského parlamentu a Rady 2003/6/ES a směrnic Komise 2003/124/ES, 2003/125/ES a 2004/72/ES (Úř. věst. L 173, 12.6.2014,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c>
          <w:tcPr>
            <w:tcW w:w="4876" w:type="dxa"/>
            <w:vAlign w:val="top"/>
          </w:tcPr>
          <w:p>
            <w:pPr>
              <w:pStyle w:val="Normal6a"/>
            </w:pPr>
            <w:r>
              <w:rPr>
                <w:rStyle w:val="Sup"/>
              </w:rPr>
              <w:t>37</w:t>
            </w:r>
            <w:r>
              <w:t xml:space="preserve"> </w:t>
            </w:r>
            <w:r>
              <w:t>Nařízení Evropského parlamentu a Rady (EU) č. 236/2012 ze dne 14. března 2012 o prodeji na krátko a některých aspektech swapů úvěrového selhání (Úř. věst. L 86, 24.3.2012,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xml:space="preserve"> 1).</w:t>
            </w:r>
          </w:p>
        </w:tc>
        <w:tc>
          <w:tcPr>
            <w:tcW w:w="4876" w:type="dxa"/>
            <w:vAlign w:val="top"/>
          </w:tcPr>
          <w:p>
            <w:pPr>
              <w:pStyle w:val="Normal6a"/>
            </w:pPr>
            <w:r>
              <w:rPr>
                <w:rStyle w:val="Sup"/>
              </w:rPr>
              <w:t>38</w:t>
            </w:r>
            <w:r>
              <w:t xml:space="preserve"> </w:t>
            </w:r>
            <w:r>
              <w:t>Nařízení Evropského parlamentu a Rady (EU) č. 909/2014 ze dne 23. července 2014 o zlepšení vypořádání obchodů s cennými papíry v Evropské unii a centrálních depozitářích cenných papírů a o změně směrnic 98/26/ES a 2014/65/EU a nařízení (EU) č. 236/2012 (Úř. věst. L 257, 28.8.2014, s.</w:t>
            </w:r>
            <w:r>
              <w:rPr>
                <w:b/>
                <w:i/>
                <w:strike w:val="0"/>
                <w:color w:val="auto"/>
                <w:highlight w:val="none"/>
                <w:u w:val="none" w:color="auto"/>
                <w:vertAlign w:val="baseline"/>
              </w:rPr>
              <w:t>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r>
              <w:rPr>
                <w:b/>
                <w:i/>
                <w:strike w:val="0"/>
                <w:color w:val="auto"/>
                <w:highlight w:val="none"/>
                <w:u w:val="none" w:color="auto"/>
                <w:vertAlign w:val="baseline"/>
              </w:rPr>
              <w:t>.</w:t>
            </w:r>
          </w:p>
        </w:tc>
        <w:tc>
          <w:tcPr>
            <w:tcW w:w="4876" w:type="dxa"/>
            <w:vAlign w:val="top"/>
          </w:tcPr>
          <w:p>
            <w:pPr>
              <w:pStyle w:val="Normal6a"/>
            </w:pPr>
            <w:r>
              <w:rPr>
                <w:rStyle w:val="Sup"/>
              </w:rPr>
              <w:t>39</w:t>
            </w:r>
            <w:r>
              <w:t xml:space="preserve"> </w:t>
            </w:r>
            <w:r>
              <w:t>Směrnice Evropského parlamentu a Rady 98/26/ES ze dne 19. května 1998 o neodvolatelnosti zúčtování v platebních systémech a v systémech vypořádání obchodů s cennými papíry (Úř. věst. L 166, 11.6.1998, s. 45)</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Právní úprava Unie v oblasti finančních služeb nebyla vytvořena s ohledem na DLT a kryptoaktiva</w:t>
            </w:r>
            <w:r>
              <w:rPr>
                <w:rStyle w:val="Sup"/>
              </w:rPr>
              <w:t>40</w:t>
            </w:r>
            <w:r>
              <w:t xml:space="preserve">a ve stávajících právních předpisech EU v oblasti finančních služeb existují ustanovení, která mohou vyloučit nebo omezit použití DLT při emisi, obchodování a vypořádání kryptoaktiv, která jsou považována za finanční nástroje. V současné době také chybí tržní infrastruktury, které by využívaly DLT a poskytovaly pro kryptoaktiva, která jsou považována za finanční nástroje, služby obchodování a vypořádání. </w:t>
            </w:r>
            <w:r>
              <w:rPr>
                <w:b/>
                <w:i/>
                <w:strike w:val="0"/>
                <w:color w:val="auto"/>
                <w:highlight w:val="none"/>
                <w:u w:val="none" w:color="auto"/>
                <w:vertAlign w:val="baseline"/>
              </w:rPr>
              <w:t>Bez</w:t>
            </w:r>
            <w:r>
              <w:t xml:space="preserve"> sekundárního trhu </w:t>
            </w:r>
            <w:r>
              <w:rPr>
                <w:b/>
                <w:i/>
                <w:strike w:val="0"/>
                <w:color w:val="auto"/>
                <w:highlight w:val="none"/>
                <w:u w:val="none" w:color="auto"/>
                <w:vertAlign w:val="baseline"/>
              </w:rPr>
              <w:t>schopného zajistit likviditu a umožnit investorům nakupovat a prodávat taková aktiva se primární trh s kryptoaktivy, která jsou považována za finanční nástroje, nikdy nerozšíří udržitelným způsobem</w:t>
            </w:r>
            <w:r>
              <w:t>.</w:t>
            </w:r>
          </w:p>
        </w:tc>
        <w:tc>
          <w:tcPr>
            <w:tcW w:w="4876" w:type="dxa"/>
            <w:vAlign w:val="top"/>
          </w:tcPr>
          <w:p>
            <w:pPr>
              <w:pStyle w:val="Normal6a"/>
            </w:pPr>
            <w:r>
              <w:t>(3)</w:t>
            </w:r>
            <w:r>
              <w:tab/>
            </w:r>
            <w:r>
              <w:t>Právní úprava Unie v oblasti finančních služeb nebyla vytvořena s ohledem na DLT a kryptoaktiva</w:t>
            </w:r>
            <w:r>
              <w:rPr>
                <w:rStyle w:val="Sup"/>
              </w:rPr>
              <w:t>40</w:t>
            </w:r>
            <w:r>
              <w:t xml:space="preserve"> a ve stávajících právních předpisech EU v oblasti finančních služeb existují ustanovení, která mohou vyloučit nebo omezit použití DLT při emisi, obchodování a vypořádání kryptoaktiv, která jsou považována za finanční nástroje. V současné době také chybí tržní infrastruktury, které by využívaly DLT a poskytovaly pro kryptoaktiva, která jsou považována za finanční nástroje, služby obchodování a vypořádání. </w:t>
            </w:r>
            <w:r>
              <w:rPr>
                <w:b/>
                <w:i/>
                <w:strike w:val="0"/>
                <w:color w:val="auto"/>
                <w:highlight w:val="none"/>
                <w:u w:val="none" w:color="auto"/>
                <w:vertAlign w:val="baseline"/>
              </w:rPr>
              <w:t>Rozvoj</w:t>
            </w:r>
            <w:r>
              <w:t xml:space="preserve"> sekundárního trhu </w:t>
            </w:r>
            <w:r>
              <w:rPr>
                <w:b/>
                <w:i/>
                <w:strike w:val="0"/>
                <w:color w:val="auto"/>
                <w:highlight w:val="none"/>
                <w:u w:val="none" w:color="auto"/>
                <w:vertAlign w:val="baseline"/>
              </w:rPr>
              <w:t>s kryptoaktivy a tokenizovanými cennými papíry by mohl přinést četné výhody, pokud jde o vyšší účinnost, transparentnost a hospodářskou soutěž v souvislosti s obchodováním a vypořádáním</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Zpráva Evropského orgánu pro cenné papíry a trhy s doporučením týkajícím se primárních nabídek mincí a kryptoaktiv (ESMA50-157-1391).</w:t>
            </w:r>
          </w:p>
        </w:tc>
        <w:tc>
          <w:tcPr>
            <w:tcW w:w="4876" w:type="dxa"/>
            <w:vAlign w:val="top"/>
          </w:tcPr>
          <w:p>
            <w:pPr>
              <w:pStyle w:val="Normal6a"/>
            </w:pPr>
            <w:r>
              <w:rPr>
                <w:rStyle w:val="Sup"/>
              </w:rPr>
              <w:t>40</w:t>
            </w:r>
            <w:r>
              <w:t xml:space="preserve"> </w:t>
            </w:r>
            <w:r>
              <w:t>Zpráva Evropského orgánu pro cenné papíry a trhy s doporučením týkajícím se primárních nabídek mincí a kryptoaktiv (ESMA50-157-1391).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Právní úprava Unie v oblasti finančních služeb nebyla vytvořena s ohledem na DLT a kryptoaktiva</w:t>
            </w:r>
            <w:r>
              <w:rPr>
                <w:rStyle w:val="Sup"/>
              </w:rPr>
              <w:t>40</w:t>
            </w:r>
            <w:r>
              <w:t xml:space="preserve">a ve stávajících právních předpisech EU v oblasti finančních služeb existují ustanovení, která mohou vyloučit nebo omezit použití DLT při emisi, obchodování a vypořádání kryptoaktiv, která jsou považována za finanční nástroje. V současné době také chybí </w:t>
            </w:r>
            <w:r>
              <w:rPr>
                <w:b/>
                <w:i/>
                <w:strike w:val="0"/>
                <w:color w:val="auto"/>
                <w:highlight w:val="none"/>
                <w:u w:val="none" w:color="auto"/>
                <w:vertAlign w:val="baseline"/>
              </w:rPr>
              <w:t>tržní</w:t>
            </w:r>
            <w:r>
              <w:t xml:space="preserve"> infrastruktury, které by využívaly DLT a poskytovaly pro kryptoaktiva, která jsou považována za finanční nástroje, služby obchodování a vypořádání. Bez sekundárního trhu schopného zajistit likviditu a umožnit investorům nakupovat a prodávat taková aktiva se primární trh s kryptoaktivy, která jsou považována za finanční nástroje, nikdy nerozšíří udržitelným způsobem.</w:t>
            </w:r>
          </w:p>
        </w:tc>
        <w:tc>
          <w:tcPr>
            <w:tcW w:w="4876" w:type="dxa"/>
            <w:vAlign w:val="top"/>
          </w:tcPr>
          <w:p>
            <w:pPr>
              <w:pStyle w:val="Normal6a"/>
            </w:pPr>
            <w:r>
              <w:t>(3)</w:t>
            </w:r>
            <w:r>
              <w:tab/>
            </w:r>
            <w:r>
              <w:t>Právní úprava Unie v oblasti finančních služeb nebyla vytvořena s ohledem na DLT a kryptoaktiva</w:t>
            </w:r>
            <w:r>
              <w:rPr>
                <w:rStyle w:val="Sup"/>
              </w:rPr>
              <w:t>40</w:t>
            </w:r>
            <w:r>
              <w:t xml:space="preserve"> a ve stávajících právních předpisech EU v oblasti finančních služeb existují ustanovení, která mohou vyloučit nebo omezit použití DLT při emisi, obchodování a vypořádání kryptoaktiv, která jsou považována za finanční nástroje. V současné době také chybí </w:t>
            </w:r>
            <w:r>
              <w:rPr>
                <w:b/>
                <w:i/>
                <w:strike w:val="0"/>
                <w:color w:val="auto"/>
                <w:highlight w:val="none"/>
                <w:u w:val="none" w:color="auto"/>
                <w:vertAlign w:val="baseline"/>
              </w:rPr>
              <w:t>povolené</w:t>
            </w:r>
            <w:r>
              <w:t xml:space="preserve"> infrastruktury </w:t>
            </w:r>
            <w:r>
              <w:rPr>
                <w:b/>
                <w:i/>
                <w:strike w:val="0"/>
                <w:color w:val="auto"/>
                <w:highlight w:val="none"/>
                <w:u w:val="none" w:color="auto"/>
                <w:vertAlign w:val="baseline"/>
              </w:rPr>
              <w:t>finančního trhu</w:t>
            </w:r>
            <w:r>
              <w:t>, které by využívaly DLT a poskytovaly pro kryptoaktiva, která jsou považována za finanční nástroje, služby obchodování a vypořádání. Bez sekundárního trhu schopného zajistit likviditu a umožnit investorům nakupovat a prodávat taková aktiva se primární trh s kryptoaktivy, která jsou považována za finanční nástroje, nikdy nerozšíří udržitelným způsobem.</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40</w:t>
            </w:r>
            <w:r>
              <w:t xml:space="preserve"> </w:t>
            </w:r>
            <w:r>
              <w:t>Zpráva Evropského orgánu pro cenné papíry a trhy s doporučením týkajícím se primárních nabídek mincí a kryptoaktiv (ESMA50-157-1391).</w:t>
            </w:r>
          </w:p>
        </w:tc>
        <w:tc>
          <w:tcPr>
            <w:tcW w:w="4876" w:type="dxa"/>
            <w:vAlign w:val="top"/>
          </w:tcPr>
          <w:p>
            <w:pPr>
              <w:pStyle w:val="Normal6a"/>
            </w:pPr>
            <w:r>
              <w:rPr>
                <w:rStyle w:val="Sup"/>
              </w:rPr>
              <w:t>40</w:t>
            </w:r>
            <w:r>
              <w:t xml:space="preserve"> </w:t>
            </w:r>
            <w:r>
              <w:t>Zpráva Evropského orgánu pro cenné papíry a trhy s doporučením týkajícím se primárních nabídek mincí a kryptoaktiv (ESMA50-157-1391).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Čiření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V zájmu dosažení jednotného digitálního finančního trhu Unie s investičními tokeny a tokenizovanými aktivy obecně by měly být zohledněny rozdíly, které existují mezi vnitrostátními režimy členských států, včetně rozdílů v provádění směrnic Unie, jako je směrnice Evropského parlamentu a Rady 2014/65/EU (MiFIDII).</w:t>
            </w:r>
            <w:r>
              <w:t xml:space="preserve"> </w:t>
            </w:r>
            <w:r>
              <w:rPr>
                <w:b/>
                <w:i/>
                <w:strike w:val="0"/>
                <w:color w:val="auto"/>
                <w:highlight w:val="none"/>
                <w:u w:val="none" w:color="auto"/>
                <w:vertAlign w:val="baseline"/>
              </w:rPr>
              <w:t>Podle stanoviska orgánu ESMA z ledna 2019 k prvotním cenným papírům a kryptoaktivům je jednou z hlavních překážek regulace kryptoaktiv s investičními charakteristikami v celé Unii provádění různých právních předpisů Unie do vnitrostátního práva, jako je definice „finančního nástroje“ nebo „převoditelného cenného papíru“ nebo právní analýza a požadavky týkající se investičních služeb, činností a doplňkových služeb, včetně úschovy a správy finančních nástrojů jménem klientů, nebo vedení záznamů jménem klientů.</w:t>
            </w:r>
            <w:r>
              <w:t xml:space="preserve"> </w:t>
            </w:r>
            <w:r>
              <w:rPr>
                <w:b/>
                <w:i/>
                <w:strike w:val="0"/>
                <w:color w:val="auto"/>
                <w:highlight w:val="none"/>
                <w:u w:val="none" w:color="auto"/>
                <w:vertAlign w:val="baseline"/>
              </w:rPr>
              <w:t>Je nanejvýš důležité zahájit na úrovni Unie diskuse o harmonizaci vnitrostátních režimů s cílem zvýšit právní jistotu a splnit cíle unie kapitálových trhů a zároveň umožnit vznik konkurenceschopného digitálního trhu Unie s investičními tokeny a tokeny obecně.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Jak již bylo uznáno ve stanovisku orgánu ESMA k prvotním cenným papírům a kryptoaktivům, rozdíly mezi vnitrostátními právními předpisy členských států brání jednotnému uplatňování finančního rámce EU, což v důsledku ohrožuje bezproblémové přeshraniční operace v kontextu unie kapitálových trhů. Abychom vytvořili silný a konkurenceschopný digitální trh EU s investičními tokeny, musíme co nejdříve zajistit odstranění uvedených rozdílů.</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(3b)</w:t>
            </w:r>
            <w:r>
              <w:tab/>
            </w:r>
            <w:r>
              <w:rPr>
                <w:b/>
                <w:i/>
                <w:strike w:val="0"/>
                <w:color w:val="auto"/>
                <w:highlight w:val="none"/>
                <w:u w:val="none" w:color="auto"/>
                <w:vertAlign w:val="baseline"/>
              </w:rPr>
              <w:t>Pokud jde o formy technologií DLT, lze v současnosti určit alespoň tyto konkrétní druhy technologií DLT: 1) blockchainy, kde jakákoli změna identity běžného uživatele oprávněného odesílat neutracené výstupy transakcí (UTXO), které představují držbu aktiv, jsou zpracovávány v dávkách (blocích), které jsou poté propojeny prostřednictvím šifrovacích technik (hašování); 2)účetní kniha, kde je přehled zůstatků jednotlivých pohybů aktualizován v kruhu;</w:t>
            </w:r>
            <w:r>
              <w:t xml:space="preserve"> </w:t>
            </w:r>
            <w:r>
              <w:rPr>
                <w:b/>
                <w:i/>
                <w:strike w:val="0"/>
                <w:color w:val="auto"/>
                <w:highlight w:val="none"/>
                <w:u w:val="none" w:color="auto"/>
                <w:vertAlign w:val="baseline"/>
              </w:rPr>
              <w:t>a 3) synchronizované dvoustranné účetní knihy, kde smluvní strany mohou aktualizovat dílčí soubor informací, které přímo odkazují na jejich dvoustrannou činnost, případně s jinými zvolenými stranami, které mají k těmto záznamům přístup, a některé z těchto informací zpřístupnit širší skupině uživatelů.</w:t>
            </w:r>
            <w:r>
              <w:t xml:space="preserve"> </w:t>
            </w:r>
            <w:r>
              <w:rPr>
                <w:b/>
                <w:i/>
                <w:strike w:val="0"/>
                <w:color w:val="auto"/>
                <w:highlight w:val="none"/>
                <w:u w:val="none" w:color="auto"/>
                <w:vertAlign w:val="baseline"/>
              </w:rPr>
              <w:t>Inteligentní smlouvy jsou dalším typem technologie, kterou lze s technologiemi DLT spojit, jsou-li zpracovávány přes uzly sítě.</w:t>
            </w:r>
            <w:r>
              <w:t xml:space="preserve"> </w:t>
            </w:r>
            <w:r>
              <w:rPr>
                <w:b/>
                <w:i/>
                <w:strike w:val="0"/>
                <w:color w:val="auto"/>
                <w:highlight w:val="none"/>
                <w:u w:val="none" w:color="auto"/>
                <w:vertAlign w:val="baseline"/>
              </w:rPr>
              <w:t>Tyto smlouvy jsou zapsány jako vykonatelný kód.</w:t>
            </w:r>
            <w:r>
              <w:t xml:space="preserve"> </w:t>
            </w:r>
            <w:r>
              <w:rPr>
                <w:b/>
                <w:i/>
                <w:strike w:val="0"/>
                <w:color w:val="auto"/>
                <w:highlight w:val="none"/>
                <w:u w:val="none" w:color="auto"/>
                <w:vertAlign w:val="baseline"/>
              </w:rPr>
              <w:t>Podle smluv protistrany potvrzují, že příslušná aktiva mají být zaslána nebo přijata jejich jménem prostřednictvím automatizovaných postupů, které jsou zpracovávány, pokud dojde k souboru předem specifikovaných událostí buď uvnitř účetní knihy (například zůstatek uživatele), nebo mimo knihu (například cena aktiva).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zvážit zahrnutí popisu typů technologií DLT odvozených ze zprávy ECB z roku 2017 nazvané „Potenciální dopad distribuované účetní knihy na harmonizaci cenných papírů po uzavření obchodu a na širší integraci finančního trhu EU“ Poradní skupiny pro tržní infrastruktury pro cenné papíry a zajištění (AMI-SeCo).</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 Použitá technologie by také mohla přinést některé nové formy kybernetických rizik, která nejsou ve stávajících pravidlech náležitě řešena. V Unii bylo vyvinuto několik projektů pro obchodování a poobchodní služby spojené s kryptoaktivy považovanými za finanční nástroje, ale jen málokterý z nich již funguje nebo mají jen omezený rozsah. </w:t>
            </w:r>
            <w:r>
              <w:rPr>
                <w:b/>
                <w:i/>
                <w:strike w:val="0"/>
                <w:color w:val="auto"/>
                <w:highlight w:val="none"/>
                <w:u w:val="none" w:color="auto"/>
                <w:vertAlign w:val="baseline"/>
              </w:rPr>
              <w:t>Vzhledem k těmto omezeným zkušenostem, pokud jde o obchodní a poobchodní operace s kryptoaktivy, která jsou považována za finanční nástroje, by bylo v současné době předčasné provádět významné úpravy právních předpisů Unie v oblasti finančních služeb směřující k plnému zavedení těchto kryptoaktiv a technologií, jež jsou pro ně použity. Vytváření infrastruktur finančního trhu pro kryptoaktiva</w:t>
            </w:r>
            <w:r>
              <w:t xml:space="preserve">, která jsou považována za finanční nástroje, </w:t>
            </w:r>
            <w:r>
              <w:rPr>
                <w:b/>
                <w:i/>
                <w:strike w:val="0"/>
                <w:color w:val="auto"/>
                <w:highlight w:val="none"/>
                <w:u w:val="none" w:color="auto"/>
                <w:vertAlign w:val="baseline"/>
              </w:rPr>
              <w:t>je</w:t>
            </w:r>
            <w:r>
              <w:t xml:space="preserve"> v současné době </w:t>
            </w:r>
            <w:r>
              <w:rPr>
                <w:b/>
                <w:i/>
                <w:strike w:val="0"/>
                <w:color w:val="auto"/>
                <w:highlight w:val="none"/>
                <w:u w:val="none" w:color="auto"/>
                <w:vertAlign w:val="baseline"/>
              </w:rPr>
              <w:t>zároveň omezeno některými požadavky zakotvenými v</w:t>
            </w:r>
            <w:r>
              <w:t xml:space="preserve"> právních </w:t>
            </w:r>
            <w:r>
              <w:rPr>
                <w:b/>
                <w:i/>
                <w:strike w:val="0"/>
                <w:color w:val="auto"/>
                <w:highlight w:val="none"/>
                <w:u w:val="none" w:color="auto"/>
                <w:vertAlign w:val="baseline"/>
              </w:rPr>
              <w:t>předpisech</w:t>
            </w:r>
            <w:r>
              <w:t xml:space="preserve"> Unie v oblasti finančních služeb</w:t>
            </w:r>
            <w:r>
              <w:rPr>
                <w:b/>
                <w:i/>
                <w:strike w:val="0"/>
                <w:color w:val="auto"/>
                <w:highlight w:val="none"/>
                <w:u w:val="none" w:color="auto"/>
                <w:vertAlign w:val="baseline"/>
              </w:rPr>
              <w:t>, které by nebyly plně přizpůsobeny těmto kryptoaktivům a použití technologie DLT. Například obchodní platformy pro kryptoaktiva obvykle umožňují přímý přístup neprofesionálním investorům, zatímco tradiční obchodní systémy obvykle umožňují přístup prostřednictvím finančních zprostředkovatelů</w:t>
            </w:r>
            <w:r>
              <w:t>.</w:t>
            </w:r>
          </w:p>
        </w:tc>
        <w:tc>
          <w:tcPr>
            <w:tcW w:w="4876" w:type="dxa"/>
            <w:vAlign w:val="top"/>
          </w:tcPr>
          <w:p>
            <w:pPr>
              <w:pStyle w:val="Normal6a"/>
            </w:pPr>
            <w:r>
              <w:t>(4)</w:t>
            </w:r>
            <w:r>
              <w:tab/>
            </w:r>
            <w:r>
              <w:t>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w:t>
            </w:r>
            <w:r>
              <w:rPr>
                <w:b/>
                <w:i/>
                <w:strike w:val="0"/>
                <w:color w:val="auto"/>
                <w:highlight w:val="none"/>
                <w:u w:val="none" w:color="auto"/>
                <w:vertAlign w:val="baseline"/>
              </w:rPr>
              <w:t>, což je velmi problematické</w:t>
            </w:r>
            <w:r>
              <w:t xml:space="preserve">. Použitá technologie by také mohla přinést některé nové formy kybernetických rizik, která nejsou ve stávajících pravidlech náležitě řešena. V Unii bylo vyvinuto několik projektů pro obchodování a poobchodní služby spojené s kryptoaktivy považovanými za finanční nástroje, ale jen málokterý z nich již funguje nebo mají jen omezený rozsah. </w:t>
            </w:r>
            <w:r>
              <w:rPr>
                <w:b/>
                <w:i/>
                <w:strike w:val="0"/>
                <w:color w:val="auto"/>
                <w:highlight w:val="none"/>
                <w:u w:val="none" w:color="auto"/>
                <w:vertAlign w:val="baseline"/>
              </w:rPr>
              <w:t>Kromě toho, jak zdůraznily poradní skupiny ECB pro tržní infrastruktury pro cenné papíry a zajištění a pro platby, používání technologie distribuované účetní knihy by obnášelo podobné problémy jako řešení založená na konvenčních technologiích (jako je roztříštěnost a interoperabilita) a zároveň by mohlo vést k novým problémům (týkajícím se například právní platnosti tokenů).</w:t>
            </w:r>
            <w:r>
              <w:t xml:space="preserve"> </w:t>
            </w:r>
            <w:r>
              <w:rPr>
                <w:b/>
                <w:i/>
                <w:strike w:val="0"/>
                <w:color w:val="auto"/>
                <w:highlight w:val="none"/>
                <w:u w:val="none" w:color="auto"/>
                <w:vertAlign w:val="baseline"/>
              </w:rPr>
              <w:t>Vzhledem k těmto omezeným zkušenostem, pokud jde o obchodní a poobchodní operace s kryptoaktivy</w:t>
            </w:r>
            <w:r>
              <w:t xml:space="preserve">, která jsou považována za finanční nástroje, </w:t>
            </w:r>
            <w:r>
              <w:rPr>
                <w:b/>
                <w:i/>
                <w:strike w:val="0"/>
                <w:color w:val="auto"/>
                <w:highlight w:val="none"/>
                <w:u w:val="none" w:color="auto"/>
                <w:vertAlign w:val="baseline"/>
              </w:rPr>
              <w:t>by bylo</w:t>
            </w:r>
            <w:r>
              <w:t xml:space="preserve"> v současné době </w:t>
            </w:r>
            <w:r>
              <w:rPr>
                <w:b/>
                <w:i/>
                <w:strike w:val="0"/>
                <w:color w:val="auto"/>
                <w:highlight w:val="none"/>
                <w:u w:val="none" w:color="auto"/>
                <w:vertAlign w:val="baseline"/>
              </w:rPr>
              <w:t>předčasné provádět významné úpravy</w:t>
            </w:r>
            <w:r>
              <w:t xml:space="preserve"> právních </w:t>
            </w:r>
            <w:r>
              <w:rPr>
                <w:b/>
                <w:i/>
                <w:strike w:val="0"/>
                <w:color w:val="auto"/>
                <w:highlight w:val="none"/>
                <w:u w:val="none" w:color="auto"/>
                <w:vertAlign w:val="baseline"/>
              </w:rPr>
              <w:t>předpisů</w:t>
            </w:r>
            <w:r>
              <w:t xml:space="preserve"> Unie v oblasti finančních služeb </w:t>
            </w:r>
            <w:r>
              <w:rPr>
                <w:b/>
                <w:i/>
                <w:strike w:val="0"/>
                <w:color w:val="auto"/>
                <w:highlight w:val="none"/>
                <w:u w:val="none" w:color="auto"/>
                <w:vertAlign w:val="baseline"/>
              </w:rPr>
              <w:t>směřující k plnému zavedení těchto kryptoaktiv a technologií, jež jsou pro ně použity</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 Použitá technologie by také mohla přinést některé nové formy kybernetických rizik, která nejsou ve stávajících pravidlech náležitě řešena. V Unii bylo vyvinuto několik projektů pro obchodování a poobchodní služby spojené s kryptoaktivy považovanými za finanční nástroje, ale jen málokterý z nich již funguje nebo mají jen omezený rozsah. Vzhledem k těmto omezeným zkušenostem, pokud jde o obchodní a poobchodní operace s kryptoaktivy, která jsou považována za finanční nástroje, by bylo v současné době předčasné provádět významné úpravy právních předpisů Unie v oblasti finančních služeb směřující k plnému zavedení těchto kryptoaktiv a technologií, jež jsou pro ně použity. Vytváření infrastruktur finančního trhu pro kryptoaktiva, která jsou považována za finanční nástroje, je v současné době zároveň omezeno některými požadavky zakotvenými v právních předpisech Unie v oblasti finančních služeb, které </w:t>
            </w:r>
            <w:r>
              <w:rPr>
                <w:b/>
                <w:i/>
                <w:strike w:val="0"/>
                <w:color w:val="auto"/>
                <w:highlight w:val="none"/>
                <w:u w:val="none" w:color="auto"/>
                <w:vertAlign w:val="baseline"/>
              </w:rPr>
              <w:t>by nebyly</w:t>
            </w:r>
            <w:r>
              <w:t xml:space="preserve"> plně přizpůsobeny těmto kryptoaktivům a použití technologie DLT. Například obchodní platformy pro kryptoaktiva obvykle umožňují přímý přístup neprofesionálním investorům, zatímco tradiční obchodní systémy obvykle umožňují přístup prostřednictvím finančních zprostředkovatelů.</w:t>
            </w:r>
          </w:p>
        </w:tc>
        <w:tc>
          <w:tcPr>
            <w:tcW w:w="4876" w:type="dxa"/>
            <w:vAlign w:val="top"/>
          </w:tcPr>
          <w:p>
            <w:pPr>
              <w:pStyle w:val="Normal6a"/>
            </w:pPr>
            <w:r>
              <w:t>(4)</w:t>
            </w:r>
            <w:r>
              <w:tab/>
            </w:r>
            <w:r>
              <w:t xml:space="preserve">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 Použitá technologie by také mohla přinést některé nové formy kybernetických rizik, která nejsou ve stávajících pravidlech náležitě řešena. V Unii bylo vyvinuto několik projektů pro obchodování a poobchodní služby spojené s kryptoaktivy považovanými za finanční nástroje, ale jen málokterý z nich již funguje nebo mají jen omezený rozsah. Vzhledem k těmto omezeným zkušenostem, pokud jde o obchodní a poobchodní operace s kryptoaktivy, která jsou považována za finanční nástroje, by bylo v současné době předčasné provádět významné úpravy právních předpisů Unie v oblasti finančních služeb směřující k plnému zavedení těchto kryptoaktiv a technologií, jež jsou pro ně použity. Vytváření infrastruktur finančního trhu pro kryptoaktiva, která jsou považována za finanční nástroje, je v současné době zároveň omezeno některými požadavky zakotvenými v právních předpisech Unie v oblasti finančních služeb, které </w:t>
            </w:r>
            <w:r>
              <w:rPr>
                <w:b/>
                <w:i/>
                <w:strike w:val="0"/>
                <w:color w:val="auto"/>
                <w:highlight w:val="none"/>
                <w:u w:val="none" w:color="auto"/>
                <w:vertAlign w:val="baseline"/>
              </w:rPr>
              <w:t>nejsou</w:t>
            </w:r>
            <w:r>
              <w:t xml:space="preserve"> plně přizpůsobeny těmto kryptoaktivům a použití technologie DLT. Například obchodní platformy pro kryptoaktiva obvykle umožňují přímý přístup neprofesionálním investorům, zatímco tradiční obchodní systémy obvykle umožňují přístup prostřednictvím finančních zprostředkovatelů.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 Použitá technologie by také mohla přinést některé nové formy kybernetických rizik, která nejsou ve stávajících pravidlech náležitě řešena. V Unii bylo vyvinuto několik projektů pro obchodování a poobchodní služby spojené s kryptoaktivy považovanými za finanční nástroje, ale jen málokterý z nich již funguje nebo mají jen omezený rozsah. Vzhledem k těmto omezeným zkušenostem, pokud jde o obchodní a poobchodní operace s kryptoaktivy, která jsou považována za finanční nástroje, by bylo v současné době předčasné provádět významné úpravy právních předpisů Unie v oblasti finančních služeb směřující k plnému zavedení těchto kryptoaktiv a technologií, jež jsou pro ně použity. Vytváření infrastruktur finančního trhu pro kryptoaktiva, která jsou považována za finanční nástroje, je v současné době zároveň omezeno některými požadavky zakotvenými v právních předpisech Unie v oblasti finančních služeb, které by nebyly plně přizpůsobeny těmto kryptoaktivům a použití technologie DLT. Například obchodní platformy pro kryptoaktiva obvykle umožňují přímý přístup neprofesionálním investorům, zatímco tradiční obchodní systémy obvykle umožňují přístup prostřednictvím finančních zprostředkovatelů.</w:t>
            </w:r>
          </w:p>
        </w:tc>
        <w:tc>
          <w:tcPr>
            <w:tcW w:w="4876" w:type="dxa"/>
            <w:vAlign w:val="top"/>
          </w:tcPr>
          <w:p>
            <w:pPr>
              <w:pStyle w:val="Normal6a"/>
            </w:pPr>
            <w:r>
              <w:t>(4)</w:t>
            </w:r>
            <w:r>
              <w:tab/>
            </w:r>
            <w:r>
              <w:t xml:space="preserve">Zároveň existují mezery v právních předpisech způsobené právními, technologickými a provozními specifiky souvisejícími s používáním DLT a kryptoaktiv, která jsou považována za finanční nástroje. Neexistují například žádné požadavky na transparentnost, spolehlivost a bezpečnost protokolů a inteligentních smluv, o které se kryptoaktiva považovaná za finanční nástroje opírají. </w:t>
            </w:r>
            <w:r>
              <w:rPr>
                <w:b/>
                <w:i/>
                <w:strike w:val="0"/>
                <w:color w:val="auto"/>
                <w:highlight w:val="none"/>
                <w:u w:val="none" w:color="auto"/>
                <w:vertAlign w:val="baseline"/>
              </w:rPr>
              <w:t> </w:t>
            </w:r>
            <w:r>
              <w:t xml:space="preserve">Použitá technologie by také mohla přinést některé nové formy kybernetických rizik, která nejsou ve stávajících pravidlech </w:t>
            </w:r>
            <w:r>
              <w:rPr>
                <w:b/>
                <w:i/>
                <w:strike w:val="0"/>
                <w:color w:val="auto"/>
                <w:highlight w:val="none"/>
                <w:u w:val="none" w:color="auto"/>
                <w:vertAlign w:val="baseline"/>
              </w:rPr>
              <w:t>a postupech</w:t>
            </w:r>
            <w:r>
              <w:t xml:space="preserve"> náležitě řešena. V Unii bylo vyvinuto několik projektů pro obchodování a poobchodní služby spojené s kryptoaktivy považovanými za finanční nástroje, ale jen málokterý z nich již funguje nebo mají jen omezený rozsah. Vzhledem k těmto omezeným zkušenostem, pokud jde o obchodní a poobchodní operace s kryptoaktivy, která jsou považována za finanční nástroje, by bylo v současné době předčasné provádět významné úpravy právních předpisů Unie v oblasti finančních služeb směřující k plnému zavedení těchto kryptoaktiv a technologií, jež jsou pro ně použity. Vytváření infrastruktur finančního trhu pro kryptoaktiva, která jsou považována za finanční nástroje, je v současné době zároveň omezeno některými požadavky zakotvenými v právních předpisech Unie v oblasti finančních služeb, které by nebyly plně přizpůsobeny těmto kryptoaktivům a použití technologie DLT. Například obchodní platformy pro kryptoaktiva obvykle umožňují přímý přístup neprofesionálním investorům, zatímco tradiční obchodní systémy obvykle umožňují přístup prostřednictvím finančních zprostředkovatelů.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Aby byl umožněn rozvoj kryptoaktiv považovaných za finanční nástroje </w:t>
            </w:r>
            <w:r>
              <w:rPr>
                <w:b/>
                <w:i/>
                <w:strike w:val="0"/>
                <w:color w:val="auto"/>
                <w:highlight w:val="none"/>
                <w:u w:val="none" w:color="auto"/>
                <w:vertAlign w:val="baseline"/>
              </w:rPr>
              <w:t>a technologie</w:t>
            </w:r>
            <w:r>
              <w:t xml:space="preserv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w:t>
            </w:r>
            <w:r>
              <w:rPr>
                <w:b/>
                <w:i/>
                <w:strike w:val="0"/>
                <w:color w:val="auto"/>
                <w:highlight w:val="none"/>
                <w:u w:val="none" w:color="auto"/>
                <w:vertAlign w:val="baseline"/>
              </w:rPr>
              <w:t>založené na technologii</w:t>
            </w:r>
            <w:r>
              <w:t xml:space="preserv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w:t>
            </w:r>
            <w:r>
              <w:rPr>
                <w:b/>
                <w:i/>
                <w:strike w:val="0"/>
                <w:color w:val="auto"/>
                <w:highlight w:val="none"/>
                <w:u w:val="none" w:color="auto"/>
                <w:vertAlign w:val="baseline"/>
              </w:rPr>
              <w:t>Vytvořením pilotního režimu by neměly být dotčeny úkoly a povinnosti Evropské centrální banky (ECB) a národních centrálních bank v Evropském systému centrálních bank (ESCB) stanovené ve Smlouvě o fungování Evropské unie a ve stanovách ESCB a ECB, podporovat plynulé fungování platebních systémů a zajišťovat účinné a spolehlivé zúčtovací a platební systémy v Unii a ve vztahu ke třetím zemím.</w:t>
            </w:r>
            <w:r>
              <w:t xml:space="preserv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 </w:t>
            </w:r>
            <w:r>
              <w:rPr>
                <w:b/>
                <w:i/>
                <w:strike w:val="0"/>
                <w:color w:val="auto"/>
                <w:highlight w:val="none"/>
                <w:u w:val="none" w:color="auto"/>
                <w:vertAlign w:val="baseline"/>
              </w:rPr>
              <w:t>Zkušenosti s pilotním režimem by proto měly pomoci k vypracování možných praktických návrhů pro vhodný regulační rámec, aby bylo možné provést ve stávajících právních předpisech Unie cílené úpravy týkající se vydávání a ukládání aktiv, poskytování služeb souvisejících s aktivy a obchodování s finančními nástroji vedenými na DLT a vypořádání takových finančních nástrojů.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 Vzhledem k tomu, že navrhované nařízení se překrývá se základními úkoly ESCB, kterými je podpora hladkého fungování platebních systémů a zajištění účinných a spolehlivých zúčtovacích a platebních systémů v Unii a ve vztahu k ostatním zemím, je třeba výslovně uvést, že navrhovaným nařízením není dotčen tento úkol ESCB.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w:t>
            </w:r>
            <w:r>
              <w:rPr>
                <w:b/>
                <w:i/>
                <w:strike w:val="0"/>
                <w:color w:val="auto"/>
                <w:highlight w:val="none"/>
                <w:u w:val="none" w:color="auto"/>
                <w:vertAlign w:val="baseline"/>
              </w:rPr>
              <w:t>Hlavním příspěvkem pilotního režimu by mělo být otestování zamezení „zprostředkování“ prostřednictvím centrálních depozitářů při registraci cenných papírů, a to umožněním registrace v blockchainu.</w:t>
            </w:r>
            <w:r>
              <w:t xml:space="preserve"> </w:t>
            </w:r>
            <w:r>
              <w:rPr>
                <w:b/>
                <w:i/>
                <w:strike w:val="0"/>
                <w:color w:val="auto"/>
                <w:highlight w:val="none"/>
                <w:u w:val="none" w:color="auto"/>
                <w:vertAlign w:val="baseline"/>
              </w:rPr>
              <w:t>Většina regulačních důvodů nařízení (EU) č. 909/2014 (CSDR) spočívá v zajištění důvěry, pokud jde o ochranu investorů a integritu trhu, v souladu s přístupem založeným na důvěryhodné třetí straně.</w:t>
            </w:r>
            <w:r>
              <w:t xml:space="preserve"> </w:t>
            </w:r>
            <w:r>
              <w:rPr>
                <w:b/>
                <w:i/>
                <w:strike w:val="0"/>
                <w:color w:val="auto"/>
                <w:highlight w:val="none"/>
                <w:u w:val="none" w:color="auto"/>
                <w:vertAlign w:val="baseline"/>
              </w:rPr>
              <w:t>Cílem pilotního režimu by mělo být umožnit, aby byl tento přístup překvalifikován na přístup založený na důvěře tím, že pomůže pochopit, jak by měly být vytvářeny nové modely blockchainu nebo důvěry založené na technologii distribuované účetní knihy.</w:t>
            </w:r>
            <w:r>
              <w:t xml:space="preserv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r>
              <w:rPr>
                <w:b/>
                <w:i/>
                <w:strike w:val="0"/>
                <w:color w:val="auto"/>
                <w:highlight w:val="none"/>
                <w:u w:val="none" w:color="auto"/>
                <w:vertAlign w:val="baseline"/>
              </w:rPr>
              <w:t>, s cílem určit nezbytné cílené změny stávajícího právního rámce Unie, pokud jde o vydávání, úschovu a obsluhu aktiv, obchodování s finančními nástroji a jejich vypořádání na základě DLT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Dále je vhodné výslovně uvést, že pilotní režim je klíčem k otestování zprostředkovatelů při registraci cenných papírů tím, že umožňuje registraci v blockchainu. Zkušenosti získané s pilotním režimem DLT by měly být podkladem pro budoucí legislativní vývoj.</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w:t>
            </w:r>
            <w:r>
              <w:rPr>
                <w:b/>
                <w:i/>
                <w:strike w:val="0"/>
                <w:color w:val="auto"/>
                <w:highlight w:val="none"/>
                <w:u w:val="none" w:color="auto"/>
                <w:vertAlign w:val="baseline"/>
              </w:rPr>
              <w:t>Zřízením pilotního režimu by neměly být dotčeny úkoly a povinnosti Evropské centrální banky (ECB) a národních centrálních bank v Evropském systému centrálních bank (ESCB), jak je stanoveno ve Smlouvě o fungování Evropské unie a ve statutu ESCB a ECB, s cílem podpořit plynulé fungování platebních systémů a zajistit účinné a spolehlivé zúčtovací a platební systémy v Unii a ve styku s ostatními zeměmi.</w:t>
            </w:r>
            <w:r>
              <w:t xml:space="preserv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w:t>
            </w:r>
            <w:r>
              <w:rPr>
                <w:b/>
                <w:i/>
                <w:strike w:val="0"/>
                <w:color w:val="auto"/>
                <w:highlight w:val="none"/>
                <w:u w:val="none" w:color="auto"/>
                <w:vertAlign w:val="baseline"/>
              </w:rPr>
              <w:t>Vytvořením pilotního režimu by neměly být dotčeny úkoly a povinnosti Evropské centrální banky (ECB) a národních centrálních bank v Evropském systému centrálních bank (ESCB), které jsou stanoveny ve Smlouvě o fungování Evropské unie a ve stanovách ESCB a ECB, podporovat plynulé fungování platebních systémů a zajišťovat účinné a spolehlivé zúčtovací a platební systémy v Unii a ve vztahu ke třetím zemím.</w:t>
            </w:r>
            <w:r>
              <w:t xml:space="preserve">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w:t>
            </w:r>
            <w:r>
              <w:rPr>
                <w:b/>
                <w:i/>
                <w:strike w:val="0"/>
                <w:color w:val="auto"/>
                <w:highlight w:val="none"/>
                <w:u w:val="none" w:color="auto"/>
                <w:vertAlign w:val="baseline"/>
              </w:rPr>
              <w:t>pro tržní infrastruktury</w:t>
            </w:r>
            <w:r>
              <w:t xml:space="preserve">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w:t>
            </w:r>
            <w:r>
              <w:rPr>
                <w:b/>
                <w:i/>
                <w:strike w:val="0"/>
                <w:color w:val="auto"/>
                <w:highlight w:val="none"/>
                <w:u w:val="none" w:color="auto"/>
                <w:vertAlign w:val="baseline"/>
              </w:rPr>
              <w:t>a vyhnout se regulatorní arbitráži</w:t>
            </w:r>
            <w:r>
              <w:t xml:space="preserve">, bylo by užitečné vytvořit pilotní režim </w:t>
            </w:r>
            <w:r>
              <w:rPr>
                <w:b/>
                <w:i/>
                <w:strike w:val="0"/>
                <w:color w:val="auto"/>
                <w:highlight w:val="none"/>
                <w:u w:val="none" w:color="auto"/>
                <w:vertAlign w:val="baseline"/>
              </w:rPr>
              <w:t>testování tržních infrastruktur</w:t>
            </w:r>
            <w:r>
              <w:t xml:space="preserve">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w:t>
            </w:r>
            <w:r>
              <w:rPr>
                <w:b/>
                <w:i/>
                <w:strike w:val="0"/>
                <w:color w:val="auto"/>
                <w:highlight w:val="none"/>
                <w:u w:val="none" w:color="auto"/>
                <w:vertAlign w:val="baseline"/>
              </w:rPr>
              <w:t>, aniž by byly oslabeny stávající požadavky a záruky uplatňované na tradiční tržní infrastruktury.</w:t>
            </w:r>
            <w:r>
              <w:t xml:space="preserve"> </w:t>
            </w:r>
            <w:r>
              <w:rPr>
                <w:b/>
                <w:i/>
                <w:strike w:val="0"/>
                <w:color w:val="auto"/>
                <w:highlight w:val="none"/>
                <w:u w:val="none" w:color="auto"/>
                <w:vertAlign w:val="baseline"/>
              </w:rPr>
              <w:t>Tržní infrastruktury distribuované účetní knihy by kromě toho měly mít zavedeny odpovídající záruky, aby byla zajištěna účinná ochrana investorů v souvislosti s používáním technologie distribuované účetní knihy a vymezena jasná odpovědnost a odpovědnost vůči klientům za veškeré ztráty způsobené provozními selháními</w:t>
            </w:r>
            <w:r>
              <w:t xml:space="preserve">. Pilotní režim by měl rovněž umožnit Evropskému orgánu pro cenné papíry a trhy (ESMA) a příslušným orgánům </w:t>
            </w:r>
            <w:r>
              <w:rPr>
                <w:b/>
                <w:i/>
                <w:strike w:val="0"/>
                <w:color w:val="auto"/>
                <w:highlight w:val="none"/>
                <w:u w:val="none" w:color="auto"/>
                <w:vertAlign w:val="baseline"/>
              </w:rPr>
              <w:t>poučit se a</w:t>
            </w:r>
            <w:r>
              <w:t xml:space="preserve"> získat zkušenosti ohledně příležitostí a konkrétních rizik, která kryptoaktiva považovaná za finanční nástroje a jejich technologie představují.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 </w:t>
            </w:r>
            <w:r>
              <w:rPr>
                <w:b/>
                <w:i/>
                <w:strike w:val="0"/>
                <w:color w:val="auto"/>
                <w:highlight w:val="none"/>
                <w:u w:val="none" w:color="auto"/>
                <w:vertAlign w:val="baseline"/>
              </w:rPr>
              <w:t>Zkušenosti s pilotním režimem slouží k vypracování možných praktických návrhů pro vhodný regulační rámec, aby bylo možné provést ve stávajících právních předpisech Unie cílené úpravy týkající se vydávání a ukládání aktiv, poskytování služeb souvisejících s aktivy a obchodování s finančními nástroji vedenými na DLT a vypořádání takových finančních nástrojů.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a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 </w:t>
            </w:r>
            <w:r>
              <w:rPr>
                <w:b/>
                <w:i/>
                <w:strike w:val="0"/>
                <w:color w:val="auto"/>
                <w:highlight w:val="none"/>
                <w:u w:val="none" w:color="auto"/>
                <w:vertAlign w:val="baseline"/>
              </w:rPr>
              <w:t>Pilotní režim by měl zároveň pouze zavést cílené úpravy stávajících právních předpisů Unie, aniž by vedl k zásadnímu přepracování oddělení obchodních a poobchodních funkcí a struktury infrastruktur finančního trhu.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Pilotní režim DLT by neměl sloužit jako precedens pro zásadnější přezkum rámce MiFID/R a nařízení o centrálních depozitářích cenných papírů, zejména pokud jde o kategorizaci infrastruktur finančního trhu. Nemělo by se usilovat o propojení pilotního režimu s organizovanými obchodními systémy a systémy SI.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tab/>
            </w:r>
            <w:r>
              <w:t xml:space="preserve">Aby byl umožněn rozvoj kryptoaktiv považovaných za finanční nástroje a technologie DLT při současném zachování vysoké úrovně finanční stability, integrity trhu, transparentnosti </w:t>
            </w:r>
            <w:r>
              <w:rPr>
                <w:b/>
                <w:i/>
                <w:strike w:val="0"/>
                <w:color w:val="auto"/>
                <w:highlight w:val="none"/>
                <w:u w:val="none" w:color="auto"/>
                <w:vertAlign w:val="baseline"/>
              </w:rPr>
              <w:t>a</w:t>
            </w:r>
            <w:r>
              <w:t xml:space="preserve"> ochrany investorů,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p>
        </w:tc>
        <w:tc>
          <w:tcPr>
            <w:tcW w:w="4876" w:type="dxa"/>
            <w:vAlign w:val="top"/>
          </w:tcPr>
          <w:p>
            <w:pPr>
              <w:pStyle w:val="Normal6a"/>
            </w:pPr>
            <w:r>
              <w:t>(5)</w:t>
            </w:r>
            <w:r>
              <w:tab/>
            </w:r>
            <w:r>
              <w:t>Aby byl umožněn rozvoj kryptoaktiv považovaných za finanční nástroje a technologie DLT při současném zachování vysoké úrovně finanční stability, integrity trhu, transparentnosti</w:t>
            </w:r>
            <w:r>
              <w:rPr>
                <w:b/>
                <w:i/>
                <w:strike w:val="0"/>
                <w:color w:val="auto"/>
                <w:highlight w:val="none"/>
                <w:u w:val="none" w:color="auto"/>
                <w:vertAlign w:val="baseline"/>
              </w:rPr>
              <w:t>,</w:t>
            </w:r>
            <w:r>
              <w:t xml:space="preserve"> ochrany investorů </w:t>
            </w:r>
            <w:r>
              <w:rPr>
                <w:b/>
                <w:i/>
                <w:strike w:val="0"/>
                <w:color w:val="auto"/>
                <w:highlight w:val="none"/>
                <w:u w:val="none" w:color="auto"/>
                <w:vertAlign w:val="baseline"/>
              </w:rPr>
              <w:t>a nízké spotřeby energie</w:t>
            </w:r>
            <w:r>
              <w:t>, bylo by užitečné vytvořit pilotní režim pro tržní infrastruktury DLT. Pilotní režim pro tržní infrastruktury DLT by měl umožňovat dočasné osvobození těchto tržních infrastruktur DLT od některých zvláštních požadavků podle právních předpisů Unie v oblasti finančních služeb, které by jim jinak mohly bránit ve vývoji řešení pro obchodování a vypořádání transakcí s kryptoaktivy, která jsou považována za finanční nástroje. Pilotní režim by měl rovněž umožnit Evropskému orgánu pro cenné papíry a trhy (ESMA) a příslušným orgánům získat zkušenosti ohledně příležitostí a konkrétních rizik, která kryptoaktiva považovaná za finanční nástroje a jejich technologie představují</w:t>
            </w:r>
            <w:r>
              <w:rPr>
                <w:b/>
                <w:i/>
                <w:strike w:val="0"/>
                <w:color w:val="auto"/>
                <w:highlight w:val="none"/>
                <w:u w:val="none" w:color="auto"/>
                <w:vertAlign w:val="baseline"/>
              </w:rPr>
              <w:t>, což by se mělo vyznačovat nízkou spotřebou energie</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Pilotní režim tržní infrastruktury založené na technologii distribuované účetní knihy by neměl vést k vytváření regulatorní arbitráže a mezer v právních předpisech.</w:t>
            </w:r>
            <w:r>
              <w:t xml:space="preserve"> </w:t>
            </w:r>
            <w:r>
              <w:rPr>
                <w:b/>
                <w:i/>
                <w:strike w:val="0"/>
                <w:color w:val="auto"/>
                <w:highlight w:val="none"/>
                <w:u w:val="none" w:color="auto"/>
                <w:vertAlign w:val="baseline"/>
              </w:rPr>
              <w:t>Proto by se měla použít obecná zásada „stejná činnost, stejné riziko, stejná pravidla“.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(6)</w:t>
            </w:r>
            <w:r>
              <w:tab/>
            </w:r>
            <w:r>
              <w:t>K dosažení tohoto cíle by měl být v Unii vytvořen nový status tržní infrastruktury DLT. Tento status tržní infrastruktury DLT by měl být volitelný a neměl by bránit infrastrukturám finančního trhu, jako jsou obchodní systémy, centrální depozitáře cenných papírů a ústřední protistrany, v rozvíjení obchodních a poobchodních služeb a činností týkajících se kryptoaktiv, která jsou považována za finanční nástroje nebo jsou vedena na DLT, podle stávajících právních předpisů Unie v oblasti finančních služeb.</w:t>
            </w:r>
          </w:p>
        </w:tc>
        <w:tc>
          <w:tcPr>
            <w:tcW w:w="4876" w:type="dxa"/>
            <w:vAlign w:val="top"/>
          </w:tcPr>
          <w:p>
            <w:pPr>
              <w:pStyle w:val="Normal6a"/>
            </w:pPr>
            <w:r>
              <w:t>(6)</w:t>
            </w:r>
            <w:r>
              <w:tab/>
            </w:r>
            <w:r>
              <w:t>K dosažení tohoto cíle by měl být v Unii vytvořen nový status tržní infrastruktury DLT</w:t>
            </w:r>
            <w:r>
              <w:rPr>
                <w:b/>
                <w:i/>
                <w:strike w:val="0"/>
                <w:color w:val="auto"/>
                <w:highlight w:val="none"/>
                <w:u w:val="none" w:color="auto"/>
                <w:vertAlign w:val="baseline"/>
              </w:rPr>
              <w:t>, aby se zajistilo, že Unie bude schopna udržet si konkurenceschopnou vedoucí pozici, pokud jde o tokenizaci aktiv, a přispět k rozvoji sekundárního trhu s těmito aktivy</w:t>
            </w:r>
            <w:r>
              <w:t>. Tento status tržní infrastruktury DLT by měl být volitelný a neměl by bránit infrastrukturám finančního trhu, jako jsou obchodní systémy, centrální depozitáře cenných papírů a ústřední protistrany, v rozvíjení obchodních a poobchodních služeb a činností týkajících se kryptoaktiv, která jsou považována za finanční nástroje nebo jsou vedena na DLT, podle stávajících právních předpisů Unie v oblasti finančních služeb.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důležité zdůraznit, že je třeba, aby EU zůstala v čele nové globální ekonomiky založené na technologii distribuované účetní knihy, která umožní úspory z rozsahu a efektivitu na trzích s tokenizovanými aktivy.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Pokud centrální depozitáře cenných papírů provozované členy Evropského systému centrálních bank, vnitrostátními orgány členských států vykonávajícími podobné funkce nebo jinými veřejnými subjekty pověřenými správou veřejného dluhu v Unii nebo do správy veřejného dluhu zasahujícími provozují systém vypořádání obchodů s cennými papíry vedenými na DLT, neměli by mít povinnost žádat od příslušného orgánu zvláštní výjimky nebo povolení, neboť tyto centrální depozitáře nejsou povinny podávat hlášení příslušným orgánům nebo plnit své pokyny a vztahuje se na ně omezený soubor požadavků podle nařízení (EU) č. 909/2014 v souladu s čl. 1 odst. 4 uvedeného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Pokud centrální depozitáře cenných papírů provozované členy Evropského systému centrálních bank, vnitrostátními orgány členských států vykonávajícími podobné funkce nebo jinými veřejnými subjekty pověřenými správou veřejného dluhu v Unii nebo do správy veřejného dluhu zasahujícími provozují systém vypořádání obchodů s cennými papíry vedenými na DLT, neměli by mít povinnost žádat od příslušného orgánu zvláštní výjimky nebo povolení, neboť tyto centrální depozitáře nejsou povinny podávat hlášení příslušným orgánům nebo plnit své pokyny a vztahuje se na ně omezený soubor požadavků podle nařízení (EU) č. 909/2014 v souladu s čl. 1 odst. 4 uvedeného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 V zájmu právní jistoty navrhuje ECB výslovně uvést, že centrální depozitáře provozované centrálními bankami ESCB, které provozují systém vypořádání obchodů s cennými papíry vedenými na DLT, jsou vyňaty z ustanovení navrhovaného nařízení týkajících se postupu udělování výjimek a odnětí povolení.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(7)</w:t>
            </w:r>
            <w:r>
              <w:tab/>
            </w:r>
            <w:r>
              <w:t>Tržní infrastruktura DLT by měla být definována buď jako mnohostranný obchodní systém DLT (DLT MTF), nebo jako systém vypořádání cenných papírů vedených na DLT.</w:t>
            </w:r>
          </w:p>
        </w:tc>
        <w:tc>
          <w:tcPr>
            <w:tcW w:w="4876" w:type="dxa"/>
            <w:vAlign w:val="top"/>
          </w:tcPr>
          <w:p>
            <w:pPr>
              <w:pStyle w:val="Normal6a"/>
            </w:pPr>
            <w:r>
              <w:t>(7)</w:t>
            </w:r>
            <w:r>
              <w:tab/>
            </w:r>
            <w:r>
              <w:t xml:space="preserve">Tržní infrastruktura DLT by měla být definována buď jako mnohostranný obchodní systém DLT (DLT MTF), nebo jako systém vypořádání cenných papírů vedených na DLT. </w:t>
            </w:r>
            <w:r>
              <w:rPr>
                <w:b/>
                <w:i/>
                <w:strike w:val="0"/>
                <w:color w:val="auto"/>
                <w:highlight w:val="none"/>
                <w:u w:val="none" w:color="auto"/>
                <w:vertAlign w:val="baseline"/>
              </w:rPr>
              <w:t>Tyto tržní infrastruktury DLT by měly být schopny spolupracovat s ostatními účastníky trhu s cílem nalézt inovativní řešení založená na technologii distribuované účetní knihy v každém segmentu hodnotového řetězce finančních služeb.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Pilotní režim by měl poskytnout prostor účastníkům trhu, kteří se možná sami nebudou chtít stát infrastrukturou trhu distribuované účetní knihy, ale chtějí spojit síly spoluprací s tržními infrastrukturami distribuované účetní knihy, aby otestovali nové modely uchovávání informací v blockchainu.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 xml:space="preserve">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w:t>
            </w:r>
            <w:r>
              <w:rPr>
                <w:b/>
                <w:i/>
                <w:strike w:val="0"/>
                <w:color w:val="auto"/>
                <w:highlight w:val="none"/>
                <w:u w:val="none" w:color="auto"/>
                <w:vertAlign w:val="baseline"/>
              </w:rPr>
              <w:t>takový</w:t>
            </w:r>
            <w:r>
              <w:t xml:space="preserve">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 xml:space="preserve">nebo jakýchkoli jiných právní předpisů </w:t>
            </w:r>
            <w:r>
              <w:rPr>
                <w:b/>
                <w:i/>
                <w:strike w:val="0"/>
                <w:color w:val="auto"/>
                <w:highlight w:val="none"/>
                <w:u w:val="none" w:color="auto"/>
                <w:vertAlign w:val="baseline"/>
              </w:rPr>
              <w:t>EU</w:t>
            </w:r>
            <w:r>
              <w:t xml:space="preserve"> v oblasti finančních služeb, s výjimkou případů, kdy tomuto systému byla v souladu s tímto nařízením a směrnicí Evropského parlamentu a Rady (EU) .../...</w:t>
            </w:r>
            <w:r>
              <w:rPr>
                <w:rStyle w:val="Sup"/>
              </w:rPr>
              <w:t>42</w:t>
            </w:r>
            <w:r>
              <w:t>udělena jeho vnitrostátním příslušným orgánem jedna či více výjimek.</w:t>
            </w:r>
          </w:p>
        </w:tc>
        <w:tc>
          <w:tcPr>
            <w:tcW w:w="4876" w:type="dxa"/>
            <w:vAlign w:val="top"/>
          </w:tcPr>
          <w:p>
            <w:pPr>
              <w:pStyle w:val="Normal6a"/>
            </w:pPr>
            <w:r>
              <w:t>(8)</w:t>
            </w:r>
            <w:r>
              <w:tab/>
            </w:r>
            <w:r>
              <w:t xml:space="preserve">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systém DLT MTF </w:t>
            </w:r>
            <w:r>
              <w:rPr>
                <w:b/>
                <w:i/>
                <w:strike w:val="0"/>
                <w:color w:val="auto"/>
                <w:highlight w:val="none"/>
                <w:u w:val="none" w:color="auto"/>
                <w:vertAlign w:val="baseline"/>
              </w:rPr>
              <w:t>a jeho provozovatele</w:t>
            </w:r>
            <w:r>
              <w:t xml:space="preserve"> by se měly vztahovat všechny požadavky vztahující se na mnohostranný obchodní systém </w:t>
            </w:r>
            <w:r>
              <w:rPr>
                <w:b/>
                <w:i/>
                <w:strike w:val="0"/>
                <w:color w:val="auto"/>
                <w:highlight w:val="none"/>
                <w:u w:val="none" w:color="auto"/>
                <w:vertAlign w:val="baseline"/>
              </w:rPr>
              <w:t>a jeho provozovatele</w:t>
            </w:r>
            <w:r>
              <w:t xml:space="preserve"> podle směrnice 2014/65/EU (směrnice o trzích finančních nástrojů, MiFID II), nařízení Evropského parlamentu a Rady (EU) č. 600/2014 (nařízení o trzích finančních nástrojů, MiFIR)</w:t>
            </w:r>
            <w:r>
              <w:rPr>
                <w:rStyle w:val="Sup"/>
              </w:rPr>
              <w:t>41</w:t>
            </w:r>
            <w:r>
              <w:t xml:space="preserve"> nebo jakýchkoli jiných </w:t>
            </w:r>
            <w:r>
              <w:rPr>
                <w:b/>
                <w:i/>
                <w:strike w:val="0"/>
                <w:color w:val="auto"/>
                <w:highlight w:val="none"/>
                <w:u w:val="none" w:color="auto"/>
                <w:vertAlign w:val="baseline"/>
              </w:rPr>
              <w:t>platných</w:t>
            </w:r>
            <w:r>
              <w:t xml:space="preserve"> právní předpisů </w:t>
            </w:r>
            <w:r>
              <w:rPr>
                <w:b/>
                <w:i/>
                <w:strike w:val="0"/>
                <w:color w:val="auto"/>
                <w:highlight w:val="none"/>
                <w:u w:val="none" w:color="auto"/>
                <w:vertAlign w:val="baseline"/>
              </w:rPr>
              <w:t>Unie</w:t>
            </w:r>
            <w:r>
              <w:t xml:space="preserve"> v oblasti finančních služeb, s výjimkou případů, kdy tomuto systému byla v souladu s tímto nařízením a směrnicí Evropského parlamentu a Rady (EU) .../...</w:t>
            </w:r>
            <w:r>
              <w:rPr>
                <w:rStyle w:val="Sup"/>
              </w:rPr>
              <w:t>42</w:t>
            </w:r>
            <w:r>
              <w:rPr>
                <w:b/>
                <w:i/>
                <w:strike w:val="0"/>
                <w:color w:val="auto"/>
                <w:highlight w:val="none"/>
                <w:u w:val="none" w:color="auto"/>
                <w:vertAlign w:val="baseline"/>
              </w:rPr>
              <w:t> </w:t>
            </w:r>
            <w:r>
              <w:t xml:space="preserve">udělena jeho vnitrostátním příslušným orgánem jedna či více výjimek. </w:t>
            </w:r>
            <w:r>
              <w:rPr>
                <w:b/>
                <w:i/>
                <w:strike w:val="0"/>
                <w:color w:val="auto"/>
                <w:highlight w:val="none"/>
                <w:u w:val="none" w:color="auto"/>
                <w:vertAlign w:val="baseline"/>
              </w:rPr>
              <w:t>Novým účastníkům trhu nebo regulovaným subjektům, jako jsou investiční podniky nebo úvěrové instituce, které chtějí provozovat MTF v rámci DLT podle tohoto nařízení, by mělo být umožněno postupovat jednostupňovou žádost tak, že požádají svůj příslušný vnitrostátní orgán o povolení podle směrnice 2014/65/EU (MiFID II) a zároveň uvedou veškeré výjimky, které chtějí udělit, v souladu s tímto nařízením a se směrnicí Evropského parlamentu a Rady (EU).../....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 xml:space="preserve">Návrh směrnice Evropského parlamentu a Rady o změně směrnic 2006/43/ES, 2009/65/ES, </w:t>
            </w:r>
            <w:r>
              <w:rPr>
                <w:b/>
                <w:i/>
                <w:strike w:val="0"/>
                <w:color w:val="auto"/>
                <w:highlight w:val="none"/>
                <w:u w:val="none" w:color="auto"/>
                <w:vertAlign w:val="baseline"/>
              </w:rPr>
              <w:t>2009/138/ES</w:t>
            </w:r>
            <w:r>
              <w:t xml:space="preserve">, 2011/61/EU, 2013/36/EU, 2014/65/EU, (EU) 2015/2366 a (EU) 2016/2341 </w:t>
            </w:r>
            <w:r>
              <w:rPr>
                <w:b/>
                <w:i/>
                <w:strike w:val="0"/>
                <w:color w:val="auto"/>
                <w:highlight w:val="none"/>
                <w:u w:val="none" w:color="auto"/>
                <w:vertAlign w:val="baseline"/>
              </w:rPr>
              <w:t>(</w:t>
            </w:r>
            <w:r>
              <w:t>COM(2020) 596).</w:t>
            </w:r>
          </w:p>
        </w:tc>
        <w:tc>
          <w:tcPr>
            <w:tcW w:w="4876" w:type="dxa"/>
            <w:vAlign w:val="top"/>
          </w:tcPr>
          <w:p>
            <w:pPr>
              <w:pStyle w:val="Normal6a"/>
            </w:pPr>
            <w:r>
              <w:rPr>
                <w:rStyle w:val="Sup"/>
              </w:rPr>
              <w:t>42</w:t>
            </w:r>
            <w:r>
              <w:t xml:space="preserve"> </w:t>
            </w:r>
            <w:r>
              <w:t>Návrh směrnice Evropského parlamentu a Rady o změně směrnic 2006/43/ES, 2009/65/ES, </w:t>
            </w:r>
            <w:r>
              <w:rPr>
                <w:b/>
                <w:i/>
                <w:strike w:val="0"/>
                <w:color w:val="auto"/>
                <w:highlight w:val="none"/>
                <w:u w:val="none" w:color="auto"/>
                <w:vertAlign w:val="baseline"/>
              </w:rPr>
              <w:t>2009/138/EU</w:t>
            </w:r>
            <w:r>
              <w:t xml:space="preserve">, 2011/61/EU, 2013/36/EU, 2014/65/EU, (EU) 2015/2366 a (EU) 2016/2341 </w:t>
            </w:r>
            <w:r>
              <w:rPr>
                <w:b/>
                <w:i/>
                <w:strike w:val="0"/>
                <w:color w:val="auto"/>
                <w:highlight w:val="none"/>
                <w:u w:val="none" w:color="auto"/>
                <w:vertAlign w:val="baseline"/>
              </w:rPr>
              <w:t>-</w:t>
            </w:r>
            <w:r>
              <w:t xml:space="preserve"> COM(2020) 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Některé požadavky se vztahují na provozovatele tržní infrastruktury. Kromě toho je nanejvýš důležité stanovit jednostupňový povolovací postup pro nové účastníky na trhu, kteří by se chtěli zapojit do pilotního režimu tím, že by se stali mnohostranným obchodním systémem distribuované účetní knihy. Cílem je vyhnout se zbytečnému a časově náročnému dvojímu povolovacímu řízení, které by pro nového účastníka trhu představovalo významnou zátěž.</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 xml:space="preserve">nebo jakýchkoli jiných </w:t>
            </w:r>
            <w:r>
              <w:rPr>
                <w:b/>
                <w:i/>
                <w:strike w:val="0"/>
                <w:color w:val="auto"/>
                <w:highlight w:val="none"/>
                <w:u w:val="none" w:color="auto"/>
                <w:vertAlign w:val="baseline"/>
              </w:rPr>
              <w:t>právní</w:t>
            </w:r>
            <w:r>
              <w:t xml:space="preserve"> předpisů EU v oblasti finančních služeb, s výjimkou </w:t>
            </w:r>
            <w:r>
              <w:rPr>
                <w:b/>
                <w:i/>
                <w:strike w:val="0"/>
                <w:color w:val="auto"/>
                <w:highlight w:val="none"/>
                <w:u w:val="none" w:color="auto"/>
                <w:vertAlign w:val="baseline"/>
              </w:rPr>
              <w:t>případů, kdy tomuto systému byla</w:t>
            </w:r>
            <w:r>
              <w:t xml:space="preserve"> v souladu s tímto nařízením </w:t>
            </w:r>
            <w:r>
              <w:rPr>
                <w:b/>
                <w:i/>
                <w:strike w:val="0"/>
                <w:color w:val="auto"/>
                <w:highlight w:val="none"/>
                <w:u w:val="none" w:color="auto"/>
                <w:vertAlign w:val="baseline"/>
              </w:rPr>
              <w:t>a směrnicí Evropského parlamentu a Rady (EU</w:t>
            </w:r>
            <w:r>
              <w:t xml:space="preserve">) </w:t>
            </w:r>
            <w:r>
              <w:rPr>
                <w:b/>
                <w:i/>
                <w:strike w:val="0"/>
                <w:color w:val="auto"/>
                <w:highlight w:val="none"/>
                <w:u w:val="none" w:color="auto"/>
                <w:vertAlign w:val="baseline"/>
              </w:rPr>
              <w:t>.../...</w:t>
            </w:r>
            <w:r>
              <w:rPr>
                <w:rStyle w:val="SupBoldItalic"/>
              </w:rPr>
              <w:t>42</w:t>
            </w:r>
            <w:r>
              <w:rPr>
                <w:b/>
                <w:i/>
                <w:strike w:val="0"/>
                <w:color w:val="auto"/>
                <w:highlight w:val="none"/>
                <w:u w:val="none" w:color="auto"/>
                <w:vertAlign w:val="baseline"/>
              </w:rPr>
              <w:t>udělena jeho vnitrostátním příslušným orgánem jedna či více</w:t>
            </w:r>
            <w:r>
              <w:t xml:space="preserve"> výjimek.</w:t>
            </w:r>
          </w:p>
        </w:tc>
        <w:tc>
          <w:tcPr>
            <w:tcW w:w="4876" w:type="dxa"/>
            <w:vAlign w:val="top"/>
          </w:tcPr>
          <w:p>
            <w:pPr>
              <w:pStyle w:val="Normal6a"/>
            </w:pPr>
            <w:r>
              <w:t>(8)</w:t>
            </w:r>
            <w:r>
              <w:tab/>
            </w:r>
            <w:r>
              <w:t xml:space="preserve">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 </w:t>
            </w:r>
            <w:r>
              <w:rPr>
                <w:rStyle w:val="Sup"/>
              </w:rPr>
              <w:t>41</w:t>
            </w:r>
            <w:r>
              <w:t xml:space="preserve">nebo jakýchkoli jiných </w:t>
            </w:r>
            <w:r>
              <w:rPr>
                <w:b/>
                <w:i/>
                <w:strike w:val="0"/>
                <w:color w:val="auto"/>
                <w:highlight w:val="none"/>
                <w:u w:val="none" w:color="auto"/>
                <w:vertAlign w:val="baseline"/>
              </w:rPr>
              <w:t>právních</w:t>
            </w:r>
            <w:r>
              <w:t xml:space="preserve"> předpisů EU v oblasti finančních služeb, s výjimkou </w:t>
            </w:r>
            <w:r>
              <w:rPr>
                <w:b/>
                <w:i/>
                <w:strike w:val="0"/>
                <w:color w:val="auto"/>
                <w:highlight w:val="none"/>
                <w:u w:val="none" w:color="auto"/>
                <w:vertAlign w:val="baseline"/>
              </w:rPr>
              <w:t>požadavků, z nichž orgán ESMA udělil výjimku</w:t>
            </w:r>
            <w:r>
              <w:t xml:space="preserve"> v souladu s tímto nařízením</w:t>
            </w:r>
            <w:r>
              <w:rPr>
                <w:b/>
                <w:i/>
                <w:strike w:val="0"/>
                <w:color w:val="auto"/>
                <w:highlight w:val="none"/>
                <w:u w:val="none" w:color="auto"/>
                <w:vertAlign w:val="baseline"/>
              </w:rPr>
              <w:t>.</w:t>
            </w:r>
            <w:r>
              <w:t xml:space="preserve"> </w:t>
            </w:r>
            <w:r>
              <w:rPr>
                <w:b/>
                <w:i/>
                <w:strike w:val="0"/>
                <w:color w:val="auto"/>
                <w:highlight w:val="none"/>
                <w:u w:val="none" w:color="auto"/>
                <w:vertAlign w:val="baseline"/>
              </w:rPr>
              <w:t>Aby byla umožněna hospodářská soutěž a zároveň zachovány rovné podmínky a vysoké standardy, pokud jde o ochranu investorů, integritu trhu a finanční stabilitu, měli by mít noví účastníci na trhu přístup k pilotnímu režimu, pokud splňují stejné požadavky, které se vztahují na povolené investiční podniky podle směrnice 2014/65/EU (MiFID</w:t>
            </w:r>
            <w:r>
              <w:t xml:space="preserve">) </w:t>
            </w:r>
            <w:r>
              <w:rPr>
                <w:b/>
                <w:i/>
                <w:strike w:val="0"/>
                <w:color w:val="auto"/>
                <w:highlight w:val="none"/>
                <w:u w:val="none" w:color="auto"/>
                <w:vertAlign w:val="baseline"/>
              </w:rPr>
              <w:t>a jakýchkoli jiných právních předpisů Unie v oblasti finančních služeb, s výjimkou</w:t>
            </w:r>
            <w:r>
              <w:t xml:space="preserve"> výjimek </w:t>
            </w:r>
            <w:r>
              <w:rPr>
                <w:b/>
                <w:i/>
                <w:strike w:val="0"/>
                <w:color w:val="auto"/>
                <w:highlight w:val="none"/>
                <w:u w:val="none" w:color="auto"/>
                <w:vertAlign w:val="baseline"/>
              </w:rPr>
              <w:t>udělených v souladu s tímto nařízením</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42</w:t>
            </w:r>
            <w:r>
              <w:t xml:space="preserve"> </w:t>
            </w:r>
            <w:r>
              <w:rPr>
                <w:b/>
                <w:i/>
                <w:strike w:val="0"/>
                <w:color w:val="auto"/>
                <w:highlight w:val="none"/>
                <w:u w:val="none" w:color="auto"/>
                <w:vertAlign w:val="baseline"/>
              </w:rPr>
              <w:t>Návrh směrnice Evropského parlamentu a Rady o změně směrnic 2006/43/ES, 2009/65/ES, 2009/138/ES, 2011/61/EU, 2013/36/EU, 2014/65/EU, (EU) 2015/2366 a (EU) 2016/2341 (COM(2020) 596).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nebo jakýchkoli jiných právní předpisů EU v oblasti finančních služeb, s výjimkou případů, kdy tomuto systému byla v souladu s tímto nařízením a směrnicí Evropského parlamentu a Rady (EU) .../...</w:t>
            </w:r>
            <w:r>
              <w:rPr>
                <w:rStyle w:val="Sup"/>
              </w:rPr>
              <w:t>42</w:t>
            </w:r>
            <w:r>
              <w:t>udělena jeho vnitrostátním příslušným orgánem jedna či více výjimek.</w:t>
            </w:r>
          </w:p>
        </w:tc>
        <w:tc>
          <w:tcPr>
            <w:tcW w:w="4876" w:type="dxa"/>
            <w:vAlign w:val="top"/>
          </w:tcPr>
          <w:p>
            <w:pPr>
              <w:pStyle w:val="Normal6a"/>
            </w:pPr>
            <w:r>
              <w:t>(8)</w:t>
            </w:r>
            <w:r>
              <w:tab/>
            </w:r>
            <w:r>
              <w:t xml:space="preserve">DLT MTF by měl být mnohostranný obchodní systém provozovaný </w:t>
            </w:r>
            <w:r>
              <w:rPr>
                <w:b/>
                <w:i/>
                <w:strike w:val="0"/>
                <w:color w:val="auto"/>
                <w:highlight w:val="none"/>
                <w:u w:val="none" w:color="auto"/>
                <w:vertAlign w:val="baseline"/>
              </w:rPr>
              <w:t>subjektem, mimo jiné</w:t>
            </w:r>
            <w:r>
              <w:t xml:space="preserve">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 xml:space="preserve"> nebo jakýchkoli jiných právní předpisů EU v oblasti finančních služeb, s výjimkou případů, kdy tomuto systému byla v souladu s tímto nařízením a směrnicí Evropského parlamentu a Rady (EU) .../...</w:t>
            </w:r>
            <w:r>
              <w:rPr>
                <w:rStyle w:val="Sup"/>
              </w:rPr>
              <w:t>42</w:t>
            </w:r>
            <w:r>
              <w:t xml:space="preserve"> udělena jeho vnitrostátním příslušným orgánem jedna či více výjimek.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 xml:space="preserve">Návrh směrnice Evropského parlamentu a Rady o změně směrnic 2006/43/ES, 2009/65/ES, </w:t>
            </w:r>
            <w:r>
              <w:rPr>
                <w:b/>
                <w:i/>
                <w:strike w:val="0"/>
                <w:color w:val="auto"/>
                <w:highlight w:val="none"/>
                <w:u w:val="none" w:color="auto"/>
                <w:vertAlign w:val="baseline"/>
              </w:rPr>
              <w:t>2009/138/ES</w:t>
            </w:r>
            <w:r>
              <w:t xml:space="preserve">, 2011/61/EU, 2013/36/EU, 2014/65/EU, (EU) 2015/2366 a (EU) 2016/2341 </w:t>
            </w:r>
            <w:r>
              <w:rPr>
                <w:b/>
                <w:i/>
                <w:strike w:val="0"/>
                <w:color w:val="auto"/>
                <w:highlight w:val="none"/>
                <w:u w:val="none" w:color="auto"/>
                <w:vertAlign w:val="baseline"/>
              </w:rPr>
              <w:t>(</w:t>
            </w:r>
            <w:r>
              <w:t>COM(2020) 596</w:t>
            </w:r>
            <w:r>
              <w:rPr>
                <w:b/>
                <w:i/>
                <w:strike w:val="0"/>
                <w:color w:val="auto"/>
                <w:highlight w:val="none"/>
                <w:u w:val="none" w:color="auto"/>
                <w:vertAlign w:val="baseline"/>
              </w:rPr>
              <w:t>)</w:t>
            </w:r>
            <w:r>
              <w:t>.</w:t>
            </w:r>
          </w:p>
        </w:tc>
        <w:tc>
          <w:tcPr>
            <w:tcW w:w="4876" w:type="dxa"/>
            <w:vAlign w:val="top"/>
          </w:tcPr>
          <w:p>
            <w:pPr>
              <w:pStyle w:val="Normal6a"/>
            </w:pPr>
            <w:r>
              <w:rPr>
                <w:rStyle w:val="Sup"/>
              </w:rPr>
              <w:t>42</w:t>
            </w:r>
            <w:r>
              <w:t xml:space="preserve"> </w:t>
            </w:r>
            <w:r>
              <w:t xml:space="preserve">Návrh směrnice Evropského parlamentu a Rady o změně směrnic 2006/43/ES, 2009/65/ES, </w:t>
            </w:r>
            <w:r>
              <w:rPr>
                <w:b/>
                <w:i/>
                <w:strike w:val="0"/>
                <w:color w:val="auto"/>
                <w:highlight w:val="none"/>
                <w:u w:val="none" w:color="auto"/>
                <w:vertAlign w:val="baseline"/>
              </w:rPr>
              <w:t>2009/138/EU</w:t>
            </w:r>
            <w:r>
              <w:t xml:space="preserve">, 2011/61/EU, 2013/36/EU, 2014/65/EU, (EU) 2015/2366 a (EU) 2016/2341 </w:t>
            </w:r>
            <w:r>
              <w:rPr>
                <w:b/>
                <w:i/>
                <w:strike w:val="0"/>
                <w:color w:val="auto"/>
                <w:highlight w:val="none"/>
                <w:u w:val="none" w:color="auto"/>
                <w:vertAlign w:val="baseline"/>
              </w:rPr>
              <w:t>-</w:t>
            </w:r>
            <w:r>
              <w:t xml:space="preserve"> COM(2020) 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nebo jakýchkoli jiných právní předpisů EU v oblasti finančních služeb, s výjimkou případů, kdy tomuto systému byla v souladu s tímto nařízením a směrnicí Evropského parlamentu a Rady (EU) .../...</w:t>
            </w:r>
            <w:r>
              <w:rPr>
                <w:rStyle w:val="Sup"/>
              </w:rPr>
              <w:t>42</w:t>
            </w:r>
            <w:r>
              <w:t>udělena jeho vnitrostátním příslušným orgánem jedna či více výjimek.</w:t>
            </w:r>
          </w:p>
        </w:tc>
        <w:tc>
          <w:tcPr>
            <w:tcW w:w="4876" w:type="dxa"/>
            <w:vAlign w:val="top"/>
          </w:tcPr>
          <w:p>
            <w:pPr>
              <w:pStyle w:val="Normal6a"/>
            </w:pPr>
            <w:r>
              <w:t>(8)</w:t>
            </w:r>
            <w:r>
              <w:tab/>
            </w:r>
            <w:r>
              <w:t>DLT MTF by měl být mnohostranný obchodní systém provozovaný investičním podnikem</w:t>
            </w:r>
            <w:r>
              <w:rPr>
                <w:b/>
                <w:i/>
                <w:strike w:val="0"/>
                <w:color w:val="auto"/>
                <w:highlight w:val="none"/>
                <w:u w:val="none" w:color="auto"/>
                <w:vertAlign w:val="baseline"/>
              </w:rPr>
              <w:t>, emitentem kryptoaktiv</w:t>
            </w:r>
            <w:r>
              <w:t xml:space="preserve">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 xml:space="preserve"> nebo jakýchkoli jiných právní předpisů EU v oblasti finančních služeb, s výjimkou případů, kdy tomuto systému byla v souladu s tímto nařízením a směrnicí Evropského parlamentu a Rady (EU) .../...</w:t>
            </w:r>
            <w:r>
              <w:rPr>
                <w:rStyle w:val="Sup"/>
              </w:rPr>
              <w:t>42</w:t>
            </w:r>
            <w:r>
              <w:rPr>
                <w:b/>
                <w:i/>
                <w:strike w:val="0"/>
                <w:color w:val="auto"/>
                <w:highlight w:val="none"/>
                <w:u w:val="none" w:color="auto"/>
                <w:vertAlign w:val="baseline"/>
              </w:rPr>
              <w:t> </w:t>
            </w:r>
            <w:r>
              <w:t>udělena jeho vnitrostátním příslušným orgánem jedna či více výjimek.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 xml:space="preserve">Návrh směrnice Evropského parlamentu a Rady o změně směrnic 2006/43/ES, 2009/65/ES, </w:t>
            </w:r>
            <w:r>
              <w:rPr>
                <w:b/>
                <w:i/>
                <w:strike w:val="0"/>
                <w:color w:val="auto"/>
                <w:highlight w:val="none"/>
                <w:u w:val="none" w:color="auto"/>
                <w:vertAlign w:val="baseline"/>
              </w:rPr>
              <w:t>2009/138/ES</w:t>
            </w:r>
            <w:r>
              <w:t xml:space="preserve">, 2011/61/EU, 2013/36/EU, 2014/65/EU, (EU) 2015/2366 a (EU) 2016/2341 </w:t>
            </w:r>
            <w:r>
              <w:rPr>
                <w:b/>
                <w:i/>
                <w:strike w:val="0"/>
                <w:color w:val="auto"/>
                <w:highlight w:val="none"/>
                <w:u w:val="none" w:color="auto"/>
                <w:vertAlign w:val="baseline"/>
              </w:rPr>
              <w:t>(</w:t>
            </w:r>
            <w:r>
              <w:t>COM(2020) 596</w:t>
            </w:r>
            <w:r>
              <w:rPr>
                <w:b/>
                <w:i/>
                <w:strike w:val="0"/>
                <w:color w:val="auto"/>
                <w:highlight w:val="none"/>
                <w:u w:val="none" w:color="auto"/>
                <w:vertAlign w:val="baseline"/>
              </w:rPr>
              <w:t>)</w:t>
            </w:r>
            <w:r>
              <w:t>.</w:t>
            </w:r>
          </w:p>
        </w:tc>
        <w:tc>
          <w:tcPr>
            <w:tcW w:w="4876" w:type="dxa"/>
            <w:vAlign w:val="top"/>
          </w:tcPr>
          <w:p>
            <w:pPr>
              <w:pStyle w:val="Normal6a"/>
            </w:pPr>
            <w:r>
              <w:rPr>
                <w:rStyle w:val="Sup"/>
              </w:rPr>
              <w:t>42</w:t>
            </w:r>
            <w:r>
              <w:t xml:space="preserve"> </w:t>
            </w:r>
            <w:r>
              <w:t xml:space="preserve">Návrh směrnice Evropského parlamentu a Rady o změně směrnic 2006/43/ES, 2009/65/ES, </w:t>
            </w:r>
            <w:r>
              <w:rPr>
                <w:b/>
                <w:i/>
                <w:strike w:val="0"/>
                <w:color w:val="auto"/>
                <w:highlight w:val="none"/>
                <w:u w:val="none" w:color="auto"/>
                <w:vertAlign w:val="baseline"/>
              </w:rPr>
              <w:t>2009/138/EU</w:t>
            </w:r>
            <w:r>
              <w:t xml:space="preserve">, 2011/61/EU, 2013/36/EU, 2014/65/EU, (EU) 2015/2366 a (EU) 2016/2341 </w:t>
            </w:r>
            <w:r>
              <w:rPr>
                <w:b/>
                <w:i/>
                <w:strike w:val="0"/>
                <w:color w:val="auto"/>
                <w:highlight w:val="none"/>
                <w:u w:val="none" w:color="auto"/>
                <w:vertAlign w:val="baseline"/>
              </w:rPr>
              <w:t>-</w:t>
            </w:r>
            <w:r>
              <w:t xml:space="preserve"> COM(2020) 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(8)</w:t>
            </w:r>
            <w:r>
              <w:tab/>
            </w:r>
            <w:r>
              <w:t>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rPr>
                <w:b/>
                <w:i/>
                <w:strike w:val="0"/>
                <w:color w:val="auto"/>
                <w:highlight w:val="none"/>
                <w:u w:val="none" w:color="auto"/>
                <w:vertAlign w:val="baseline"/>
              </w:rPr>
              <w:t>nebo</w:t>
            </w:r>
            <w:r>
              <w:t xml:space="preserve"> jakýchkoli jiných </w:t>
            </w:r>
            <w:r>
              <w:rPr>
                <w:b/>
                <w:i/>
                <w:strike w:val="0"/>
                <w:color w:val="auto"/>
                <w:highlight w:val="none"/>
                <w:u w:val="none" w:color="auto"/>
                <w:vertAlign w:val="baseline"/>
              </w:rPr>
              <w:t>právní</w:t>
            </w:r>
            <w:r>
              <w:t xml:space="preserve"> předpisů </w:t>
            </w:r>
            <w:r>
              <w:rPr>
                <w:b/>
                <w:i/>
                <w:strike w:val="0"/>
                <w:color w:val="auto"/>
                <w:highlight w:val="none"/>
                <w:u w:val="none" w:color="auto"/>
                <w:vertAlign w:val="baseline"/>
              </w:rPr>
              <w:t>EU</w:t>
            </w:r>
            <w:r>
              <w:t xml:space="preserve"> v oblasti finančních služeb, s výjimkou případů, kdy tomuto systému byla v souladu s tímto nařízením a směrnicí Evropského parlamentu a Rady (EU) .../...</w:t>
            </w:r>
            <w:r>
              <w:rPr>
                <w:rStyle w:val="Sup"/>
              </w:rPr>
              <w:t>42</w:t>
            </w:r>
            <w:r>
              <w:t>udělena jeho vnitrostátním příslušným orgánem jedna či více výjimek.</w:t>
            </w:r>
          </w:p>
        </w:tc>
        <w:tc>
          <w:tcPr>
            <w:tcW w:w="4876" w:type="dxa"/>
            <w:vAlign w:val="top"/>
          </w:tcPr>
          <w:p>
            <w:pPr>
              <w:pStyle w:val="Normal6a"/>
            </w:pPr>
            <w:r>
              <w:t>(8)</w:t>
            </w:r>
            <w:r>
              <w:tab/>
            </w:r>
            <w:r>
              <w:t>DLT MTF by měl být mnohostranný obchodní systém provozovaný investičním podnikem nebo organizátorem trhu, který provozuje regulovaný trh a může sám být regulovaným trhem a kterému bylo uděleno povolení podle směrnice 2014/65/EU (směrnice o trzích finančních nástrojů, MiFID II) a zvláštní povolení podle tohoto nařízení. Na takový systém DLT MTF by se měly vztahovat všechny požadavky vztahující se na mnohostranný obchodní systém podle směrnice 2014/65/EU (směrnice o trzích finančních nástrojů, MiFID II), nařízení Evropského parlamentu a Rady (EU) č. 600/2014 (nařízení o trzích finančních nástrojů, MiFIR)</w:t>
            </w:r>
            <w:r>
              <w:rPr>
                <w:rStyle w:val="Sup"/>
              </w:rPr>
              <w:t>41</w:t>
            </w:r>
            <w:r>
              <w:t xml:space="preserve"> </w:t>
            </w:r>
            <w:r>
              <w:rPr>
                <w:b/>
                <w:i/>
                <w:strike w:val="0"/>
                <w:color w:val="auto"/>
                <w:highlight w:val="none"/>
                <w:u w:val="none" w:color="auto"/>
                <w:vertAlign w:val="baseline"/>
              </w:rPr>
              <w:t>a</w:t>
            </w:r>
            <w:r>
              <w:t xml:space="preserve"> jakýchkoli jiných </w:t>
            </w:r>
            <w:r>
              <w:rPr>
                <w:b/>
                <w:i/>
                <w:strike w:val="0"/>
                <w:color w:val="auto"/>
                <w:highlight w:val="none"/>
                <w:u w:val="none" w:color="auto"/>
                <w:vertAlign w:val="baseline"/>
              </w:rPr>
              <w:t>platných právních</w:t>
            </w:r>
            <w:r>
              <w:t xml:space="preserve"> předpisů </w:t>
            </w:r>
            <w:r>
              <w:rPr>
                <w:b/>
                <w:i/>
                <w:strike w:val="0"/>
                <w:color w:val="auto"/>
                <w:highlight w:val="none"/>
                <w:u w:val="none" w:color="auto"/>
                <w:vertAlign w:val="baseline"/>
              </w:rPr>
              <w:t>Unie</w:t>
            </w:r>
            <w:r>
              <w:t xml:space="preserve"> v oblasti finančních služeb, s výjimkou případů, kdy tomuto systému byla v souladu s tímto nařízením a směrnicí Evropského parlamentu a Rady (EU).../</w:t>
            </w:r>
            <w:r>
              <w:rPr>
                <w:b/>
                <w:i/>
                <w:strike w:val="0"/>
                <w:color w:val="auto"/>
                <w:highlight w:val="none"/>
                <w:u w:val="none" w:color="auto"/>
                <w:vertAlign w:val="baseline"/>
              </w:rPr>
              <w:t>.</w:t>
            </w:r>
            <w:r>
              <w:t>...</w:t>
            </w:r>
            <w:r>
              <w:rPr>
                <w:rStyle w:val="Sup"/>
              </w:rPr>
              <w:t>42</w:t>
            </w:r>
            <w:r>
              <w:t xml:space="preserve"> udělena jeho vnitrostátním příslušným orgánem jedna či více výjimek.</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c>
          <w:tcPr>
            <w:tcW w:w="4876" w:type="dxa"/>
            <w:vAlign w:val="top"/>
          </w:tcPr>
          <w:p>
            <w:pPr>
              <w:pStyle w:val="Normal6a"/>
            </w:pPr>
            <w:r>
              <w:rPr>
                <w:rStyle w:val="Sup"/>
              </w:rPr>
              <w:t>41</w:t>
            </w:r>
            <w:r>
              <w:t xml:space="preserve"> </w:t>
            </w:r>
            <w:r>
              <w:t>Nařízení Evropského parlamentu a Rady (EU) č. 600/2014 ze dne 15. května 2014 o trzích finančních nástrojů a o změně nařízení (EU) č. 648/2012 (Úř. věst. L 173, 12.6.2014, s. 84).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42</w:t>
            </w:r>
            <w:r>
              <w:t xml:space="preserve"> </w:t>
            </w:r>
            <w:r>
              <w:t xml:space="preserve">Návrh směrnice Evropského parlamentu a Rady </w:t>
            </w:r>
            <w:r>
              <w:rPr>
                <w:b/>
                <w:i/>
                <w:strike w:val="0"/>
                <w:color w:val="auto"/>
                <w:highlight w:val="none"/>
                <w:u w:val="none" w:color="auto"/>
                <w:vertAlign w:val="baseline"/>
              </w:rPr>
              <w:t>o změně směrnic</w:t>
            </w:r>
            <w:r>
              <w:t xml:space="preserve"> 2006/43/ES, 2009/65/ES, </w:t>
            </w:r>
            <w:r>
              <w:rPr>
                <w:b/>
                <w:i/>
                <w:strike w:val="0"/>
                <w:color w:val="auto"/>
                <w:highlight w:val="none"/>
                <w:u w:val="none" w:color="auto"/>
                <w:vertAlign w:val="baseline"/>
              </w:rPr>
              <w:t>2009/138/ES</w:t>
            </w:r>
            <w:r>
              <w:t xml:space="preserve">, 2011/61/EU, 2013/36/EU, 2014/65/EU, (EU) 2015/2366 a (EU) 2016/2341 </w:t>
            </w:r>
            <w:r>
              <w:rPr>
                <w:b/>
                <w:i/>
                <w:strike w:val="0"/>
                <w:color w:val="auto"/>
                <w:highlight w:val="none"/>
                <w:u w:val="none" w:color="auto"/>
                <w:vertAlign w:val="baseline"/>
              </w:rPr>
              <w:t>(</w:t>
            </w:r>
            <w:r>
              <w:t>COM(2020) 596</w:t>
            </w:r>
            <w:r>
              <w:rPr>
                <w:b/>
                <w:i/>
                <w:strike w:val="0"/>
                <w:color w:val="auto"/>
                <w:highlight w:val="none"/>
                <w:u w:val="none" w:color="auto"/>
                <w:vertAlign w:val="baseline"/>
              </w:rPr>
              <w:t>)</w:t>
            </w:r>
            <w:r>
              <w:t>.</w:t>
            </w:r>
          </w:p>
        </w:tc>
        <w:tc>
          <w:tcPr>
            <w:tcW w:w="4876" w:type="dxa"/>
            <w:vAlign w:val="top"/>
          </w:tcPr>
          <w:p>
            <w:pPr>
              <w:pStyle w:val="Normal6a"/>
            </w:pPr>
            <w:r>
              <w:rPr>
                <w:rStyle w:val="Sup"/>
              </w:rPr>
              <w:t>42</w:t>
            </w:r>
            <w:r>
              <w:t xml:space="preserve"> </w:t>
            </w:r>
            <w:r>
              <w:t>Návrh směrnice Evropského parlamentu a Rady</w:t>
            </w:r>
            <w:r>
              <w:rPr>
                <w:b/>
                <w:i/>
                <w:strike w:val="0"/>
                <w:color w:val="auto"/>
                <w:highlight w:val="none"/>
                <w:u w:val="none" w:color="auto"/>
                <w:vertAlign w:val="baseline"/>
              </w:rPr>
              <w:t>, kterou se mění směrnice</w:t>
            </w:r>
            <w:r>
              <w:t xml:space="preserve"> 2006/43/ES, 2009/65/ES, </w:t>
            </w:r>
            <w:r>
              <w:rPr>
                <w:b/>
                <w:i/>
                <w:strike w:val="0"/>
                <w:color w:val="auto"/>
                <w:highlight w:val="none"/>
                <w:u w:val="none" w:color="auto"/>
                <w:vertAlign w:val="baseline"/>
              </w:rPr>
              <w:t>2009/138/EU</w:t>
            </w:r>
            <w:r>
              <w:t xml:space="preserve">, 2011/61/EU, 2013/36/EU, 2014/65/EU, (EU) 2015/2366 a (EU) 2016/2341 </w:t>
            </w:r>
            <w:r>
              <w:rPr>
                <w:b/>
                <w:i/>
                <w:strike w:val="0"/>
                <w:color w:val="auto"/>
                <w:highlight w:val="none"/>
                <w:u w:val="none" w:color="auto"/>
                <w:vertAlign w:val="baseline"/>
              </w:rPr>
              <w:t>-</w:t>
            </w:r>
            <w:r>
              <w:t xml:space="preserve"> COM(2020) 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(8a)</w:t>
            </w:r>
            <w:r>
              <w:tab/>
            </w:r>
            <w:r>
              <w:rPr>
                <w:b/>
                <w:i/>
                <w:strike w:val="0"/>
                <w:color w:val="auto"/>
                <w:highlight w:val="none"/>
                <w:u w:val="none" w:color="auto"/>
                <w:vertAlign w:val="baseline"/>
              </w:rPr>
              <w:t>Subjektům, kterým nebylo uděleno povolení podle směrnice 2014/65/EU, by mělo být povoleno požádat o zvláštní povolení podle tohoto nařízení k provozování mnohostranného obchodního systému DLT, a to na základě zrychleného postupu.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Zrychlený postup pro nové účastníky na trhu, kteří v době podání žádosti nemají oprávnění působit jako mnohostranný obchodní systém.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Použití technologie sdíleného registru, kdy jsou všechny transakce evidovány v </w:t>
            </w:r>
            <w:r>
              <w:rPr>
                <w:b/>
                <w:i/>
                <w:strike w:val="0"/>
                <w:color w:val="auto"/>
                <w:highlight w:val="none"/>
                <w:u w:val="none" w:color="auto"/>
                <w:vertAlign w:val="baseline"/>
              </w:rPr>
              <w:t>decentralizovaném registru</w:t>
            </w:r>
            <w:r>
              <w:t>, může urychlit a zkrátit obchodování a vypořádání tak, že probíhá téměř v reálném čase</w:t>
            </w:r>
            <w:r>
              <w:rPr>
                <w:b/>
                <w:i/>
                <w:strike w:val="0"/>
                <w:color w:val="auto"/>
                <w:highlight w:val="none"/>
                <w:u w:val="none" w:color="auto"/>
                <w:vertAlign w:val="baseline"/>
              </w:rPr>
              <w:t>,</w:t>
            </w:r>
            <w:r>
              <w:t xml:space="preserve"> a může umožnit sloučení obchodních a poobchodních činností. Současná pravidla však předpokládají, že obchodní a vypořádací činnosti provádějí oddělené tržní infrastruktury Nařízení Evropského parlamentu a Rady (EU) č. 909/2014 (nařízení o centrálních depozitářích cenných papírů) vyžaduje, aby finanční nástroje přijaté k obchodování v určitém obchodním systému ve smyslu směrnice 2014/65/EU (o trzích finančních nástrojů, MiFID II) byly zaevidovány u centrálního depozitáře cenných papírů („centrální depozitář“), a sdílený registr by mohl být potenciálně použit jako decentralizovaná </w:t>
            </w:r>
            <w:r>
              <w:rPr>
                <w:b/>
                <w:i/>
                <w:strike w:val="0"/>
                <w:color w:val="auto"/>
                <w:highlight w:val="none"/>
                <w:u w:val="none" w:color="auto"/>
                <w:vertAlign w:val="baseline"/>
              </w:rPr>
              <w:t>verze</w:t>
            </w:r>
            <w:r>
              <w:t xml:space="preserve"> takového depozitáře. Bylo by tedy odůvodněné </w:t>
            </w:r>
            <w:r>
              <w:rPr>
                <w:b/>
                <w:i/>
                <w:strike w:val="0"/>
                <w:color w:val="auto"/>
                <w:highlight w:val="none"/>
                <w:u w:val="none" w:color="auto"/>
                <w:vertAlign w:val="baseline"/>
              </w:rPr>
              <w:t>povolit systému DLT MTF provádění některých činností</w:t>
            </w:r>
            <w:r>
              <w:t xml:space="preserve">, které běžně </w:t>
            </w:r>
            <w:r>
              <w:rPr>
                <w:b/>
                <w:i/>
                <w:strike w:val="0"/>
                <w:color w:val="auto"/>
                <w:highlight w:val="none"/>
                <w:u w:val="none" w:color="auto"/>
                <w:vertAlign w:val="baseline"/>
              </w:rPr>
              <w:t>vykonává</w:t>
            </w:r>
            <w:r>
              <w:t xml:space="preserve"> centrální </w:t>
            </w:r>
            <w:r>
              <w:rPr>
                <w:b/>
                <w:i/>
                <w:strike w:val="0"/>
                <w:color w:val="auto"/>
                <w:highlight w:val="none"/>
                <w:u w:val="none" w:color="auto"/>
                <w:vertAlign w:val="baseline"/>
              </w:rPr>
              <w:t>depozitář</w:t>
            </w:r>
            <w:r>
              <w:t xml:space="preserve">. Po udělení příslušných výjimek by tedy mělo </w:t>
            </w:r>
            <w:r>
              <w:rPr>
                <w:b/>
                <w:i/>
                <w:strike w:val="0"/>
                <w:color w:val="auto"/>
                <w:highlight w:val="none"/>
                <w:u w:val="none" w:color="auto"/>
                <w:vertAlign w:val="baseline"/>
              </w:rPr>
              <w:t>být systému DLT MTF</w:t>
            </w:r>
            <w:r>
              <w:t xml:space="preserve"> umožněno zajistit počáteční zaevidování převoditelných cenných papírů vedených na DLT, vypořádání transakcí s nimi a jejich úschovu.</w:t>
            </w:r>
          </w:p>
        </w:tc>
        <w:tc>
          <w:tcPr>
            <w:tcW w:w="4876" w:type="dxa"/>
            <w:vAlign w:val="top"/>
          </w:tcPr>
          <w:p>
            <w:pPr>
              <w:pStyle w:val="Normal6a"/>
            </w:pPr>
            <w:r>
              <w:t>(9)</w:t>
            </w:r>
            <w:r>
              <w:tab/>
            </w:r>
            <w:r>
              <w:t xml:space="preserve">Použití technologie sdíleného registru, kdy jsou všechny transakce evidovány v </w:t>
            </w:r>
            <w:r>
              <w:rPr>
                <w:b/>
                <w:i/>
                <w:strike w:val="0"/>
                <w:color w:val="auto"/>
                <w:highlight w:val="none"/>
                <w:u w:val="none" w:color="auto"/>
                <w:vertAlign w:val="baseline"/>
              </w:rPr>
              <w:t>decentralizované digitální databázi</w:t>
            </w:r>
            <w:r>
              <w:t>, může urychlit a zkrátit obchodování a vypořádání tak, že probíhá téměř v reálném čase a může umožnit sloučení obchodních a poobchodních činností. Současná pravidla však předpokládají, že obchodní a vypořádací činnosti provádějí oddělené tržní infrastruktury</w:t>
            </w:r>
            <w:r>
              <w:rPr>
                <w:b/>
                <w:i/>
                <w:strike w:val="0"/>
                <w:color w:val="auto"/>
                <w:highlight w:val="none"/>
                <w:u w:val="none" w:color="auto"/>
                <w:vertAlign w:val="baseline"/>
              </w:rPr>
              <w:t>.</w:t>
            </w:r>
            <w:r>
              <w:t xml:space="preserve"> Nařízení Evropského parlamentu a Rady (EU) č. 909/2014 (nařízení o centrálních depozitářích cenných papírů) vyžaduje, aby finanční nástroje přijaté k obchodování v určitém obchodním systému ve smyslu směrnice 2014/65/EU (o trzích finančních nástrojů, MiFID II) byly zaevidovány u centrálního depozitáře cenných papírů („centrální depozitář“), a sdílený registr by mohl být potenciálně použit jako decentralizovaná </w:t>
            </w:r>
            <w:r>
              <w:rPr>
                <w:b/>
                <w:i/>
                <w:strike w:val="0"/>
                <w:color w:val="auto"/>
                <w:highlight w:val="none"/>
                <w:u w:val="none" w:color="auto"/>
                <w:vertAlign w:val="baseline"/>
              </w:rPr>
              <w:t>databáze</w:t>
            </w:r>
            <w:r>
              <w:t xml:space="preserve"> takového depozitáře. Bylo by tedy odůvodněné </w:t>
            </w:r>
            <w:r>
              <w:rPr>
                <w:b/>
                <w:i/>
                <w:strike w:val="0"/>
                <w:color w:val="auto"/>
                <w:highlight w:val="none"/>
                <w:u w:val="none" w:color="auto"/>
                <w:vertAlign w:val="baseline"/>
              </w:rPr>
              <w:t>umožnit, aby infrastruktura trhu distribuované účetní knihy mohla kombinovat některé činnosti</w:t>
            </w:r>
            <w:r>
              <w:t xml:space="preserve">, které běžně </w:t>
            </w:r>
            <w:r>
              <w:rPr>
                <w:b/>
                <w:i/>
                <w:strike w:val="0"/>
                <w:color w:val="auto"/>
                <w:highlight w:val="none"/>
                <w:u w:val="none" w:color="auto"/>
                <w:vertAlign w:val="baseline"/>
              </w:rPr>
              <w:t>vykonávají jak mnohostranné obchodní systémy, tak</w:t>
            </w:r>
            <w:r>
              <w:t xml:space="preserve"> centrální </w:t>
            </w:r>
            <w:r>
              <w:rPr>
                <w:b/>
                <w:i/>
                <w:strike w:val="0"/>
                <w:color w:val="auto"/>
                <w:highlight w:val="none"/>
                <w:u w:val="none" w:color="auto"/>
                <w:vertAlign w:val="baseline"/>
              </w:rPr>
              <w:t>depozitáře cenných papírů</w:t>
            </w:r>
            <w:r>
              <w:t xml:space="preserve">. Po udělení </w:t>
            </w:r>
            <w:r>
              <w:rPr>
                <w:b/>
                <w:i/>
                <w:strike w:val="0"/>
                <w:color w:val="auto"/>
                <w:highlight w:val="none"/>
                <w:u w:val="none" w:color="auto"/>
                <w:vertAlign w:val="baseline"/>
              </w:rPr>
              <w:t>příslušné výjimky (</w:t>
            </w:r>
            <w:r>
              <w:t>příslušných výjimek</w:t>
            </w:r>
            <w:r>
              <w:rPr>
                <w:b/>
                <w:i/>
                <w:strike w:val="0"/>
                <w:color w:val="auto"/>
                <w:highlight w:val="none"/>
                <w:u w:val="none" w:color="auto"/>
                <w:vertAlign w:val="baseline"/>
              </w:rPr>
              <w:t>) a výsledného povolení</w:t>
            </w:r>
            <w:r>
              <w:t xml:space="preserve"> by tedy mělo </w:t>
            </w:r>
            <w:r>
              <w:rPr>
                <w:b/>
                <w:i/>
                <w:strike w:val="0"/>
                <w:color w:val="auto"/>
                <w:highlight w:val="none"/>
                <w:u w:val="none" w:color="auto"/>
                <w:vertAlign w:val="baseline"/>
              </w:rPr>
              <w:t>tržní infrastruktuře DLT</w:t>
            </w:r>
            <w:r>
              <w:t xml:space="preserve"> umožněno zajistit počáteční zaevidování převoditelných cenných papírů vedených na DLT</w:t>
            </w:r>
            <w:r>
              <w:rPr>
                <w:b/>
                <w:i/>
                <w:strike w:val="0"/>
                <w:color w:val="auto"/>
                <w:highlight w:val="none"/>
                <w:u w:val="none" w:color="auto"/>
                <w:vertAlign w:val="baseline"/>
              </w:rPr>
              <w:t>, které využívají technologii distribuované účetní knihy, a obchodování s nimi</w:t>
            </w:r>
            <w:r>
              <w:t>, vypořádání transakcí s nimi a jejich úschovu.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(9)</w:t>
            </w:r>
            <w:r>
              <w:tab/>
            </w:r>
            <w:r>
              <w:t xml:space="preserve">Použití technologie sdíleného registru, kdy jsou všechny transakce evidovány </w:t>
            </w:r>
            <w:r>
              <w:rPr>
                <w:b/>
                <w:i/>
                <w:strike w:val="0"/>
                <w:color w:val="auto"/>
                <w:highlight w:val="none"/>
                <w:u w:val="none" w:color="auto"/>
                <w:vertAlign w:val="baseline"/>
              </w:rPr>
              <w:t>v decentralizovaném</w:t>
            </w:r>
            <w:r>
              <w:t xml:space="preserve"> registru, může urychlit a zkrátit obchodování a vypořádání tak, že probíhá téměř v reálném čase, a může umožnit sloučení obchodních a poobchodních činností. Současná pravidla však předpokládají, že obchodní a vypořádací činnosti provádějí oddělené tržní infrastruktury Nařízení Evropského parlamentu a Rady (EU) č. 909/2014 (nařízení o centrálních depozitářích cenných papírů) vyžaduje, aby finanční nástroje přijaté k obchodování v určitém obchodním systému ve smyslu směrnice 2014/65/EU (o trzích finančních nástrojů, MiFID II) byly zaevidovány u centrálního depozitáře cenných papírů („centrální depozitář“), a sdílený registr by mohl být potenciálně použit jako decentralizovaná verze takového depozitáře. Bylo by tedy odůvodněné povolit systému DLT MTF provádění některých činností, které běžně vykonává centrální depozitář. Po udělení příslušných výjimek by tedy mělo být systému DLT MTF umožněno zajistit počáteční zaevidování převoditelných cenných papírů vedených na DLT, vypořádání transakcí s nimi a jejich úschovu.</w:t>
            </w:r>
          </w:p>
        </w:tc>
        <w:tc>
          <w:tcPr>
            <w:tcW w:w="4876" w:type="dxa"/>
            <w:vAlign w:val="top"/>
          </w:tcPr>
          <w:p>
            <w:pPr>
              <w:pStyle w:val="Normal6a"/>
            </w:pPr>
            <w:r>
              <w:t>(9)</w:t>
            </w:r>
            <w:r>
              <w:tab/>
            </w:r>
            <w:r>
              <w:t xml:space="preserve">Použití technologie sdíleného registru, kdy jsou všechny transakce evidovány </w:t>
            </w:r>
            <w:r>
              <w:rPr>
                <w:b/>
                <w:i/>
                <w:strike w:val="0"/>
                <w:color w:val="auto"/>
                <w:highlight w:val="none"/>
                <w:u w:val="none" w:color="auto"/>
                <w:vertAlign w:val="baseline"/>
              </w:rPr>
              <w:t>ve sdíleném</w:t>
            </w:r>
            <w:r>
              <w:t xml:space="preserve"> registru, může urychlit a zkrátit obchodování a vypořádání tak, že probíhá téměř v reálném čase, a může umožnit sloučení obchodních a poobchodních činností</w:t>
            </w:r>
            <w:r>
              <w:rPr>
                <w:b/>
                <w:i/>
                <w:strike w:val="0"/>
                <w:color w:val="auto"/>
                <w:highlight w:val="none"/>
                <w:u w:val="none" w:color="auto"/>
                <w:vertAlign w:val="baseline"/>
              </w:rPr>
              <w:t>.</w:t>
            </w:r>
            <w:r>
              <w:t xml:space="preserve"> </w:t>
            </w:r>
            <w:r>
              <w:rPr>
                <w:b/>
                <w:i/>
                <w:strike w:val="0"/>
                <w:color w:val="auto"/>
                <w:highlight w:val="none"/>
                <w:u w:val="none" w:color="auto"/>
                <w:vertAlign w:val="baseline"/>
              </w:rPr>
              <w:t>Stávající pravidla však předpokládají, že obchodní a vypořádací činnosti budou prováděny samostatnými tržními infrastrukturami</w:t>
            </w:r>
            <w:r>
              <w:t>. Současná pravidla však předpokládají, že obchodní a vypořádací činnosti provádějí oddělené tržní infrastruktury Nařízení Evropského parlamentu a Rady (EU) č. 909/2014 (nařízení o centrálních depozitářích cenných papírů) vyžaduje, aby finanční nástroje přijaté k obchodování v určitém obchodním systému ve smyslu směrnice 2014/65/EU (o trzích finančních nástrojů, MiFID II) byly zaevidovány u centrálního depozitáře cenných papírů („centrální depozitář“), a sdílený registr by mohl být potenciálně použit jako decentralizovaná verze takového depozitáře. Bylo by tedy odůvodněné povolit systému DLT MTF provádění některých činností, které běžně vykonává centrální depozitář. Po udělení příslušných výjimek by tedy mělo být systému DLT MTF umožněno zajistit počáteční zaevidování převoditelných cenných papírů vedených na DLT, vypořádání transakcí s nimi a jejich úschovu.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w:t>
            </w:r>
            <w:r>
              <w:rPr>
                <w:b/>
                <w:i/>
                <w:strike w:val="0"/>
                <w:color w:val="auto"/>
                <w:highlight w:val="none"/>
                <w:u w:val="none" w:color="auto"/>
                <w:vertAlign w:val="baseline"/>
              </w:rPr>
              <w:t>případů, kdy vnitrostátní příslušný</w:t>
            </w:r>
            <w:r>
              <w:t xml:space="preserve"> orgán udělil centrálnímu depozitáři provozujícímu systém vypořádání obchodů s cennými papíry vedenými na DLT jednu nebo více výjimek v souladu s tímto nařízením.</w:t>
            </w:r>
          </w:p>
        </w:tc>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w:t>
            </w:r>
            <w:r>
              <w:rPr>
                <w:b/>
                <w:i/>
                <w:strike w:val="0"/>
                <w:color w:val="auto"/>
                <w:highlight w:val="none"/>
                <w:u w:val="none" w:color="auto"/>
                <w:vertAlign w:val="baseline"/>
              </w:rPr>
              <w:t>požadavků, z nichž Evropský</w:t>
            </w:r>
            <w:r>
              <w:t xml:space="preserve"> orgán </w:t>
            </w:r>
            <w:r>
              <w:rPr>
                <w:b/>
                <w:i/>
                <w:strike w:val="0"/>
                <w:color w:val="auto"/>
                <w:highlight w:val="none"/>
                <w:u w:val="none" w:color="auto"/>
                <w:vertAlign w:val="baseline"/>
              </w:rPr>
              <w:t>pro cenné papíry a trhy</w:t>
            </w:r>
            <w:r>
              <w:t xml:space="preserve"> udělil </w:t>
            </w:r>
            <w:r>
              <w:rPr>
                <w:b/>
                <w:i/>
                <w:strike w:val="0"/>
                <w:color w:val="auto"/>
                <w:highlight w:val="none"/>
                <w:u w:val="none" w:color="auto"/>
                <w:vertAlign w:val="baseline"/>
              </w:rPr>
              <w:t>výjimku</w:t>
            </w:r>
            <w:r>
              <w:t xml:space="preserve"> centrálnímu depozitáři provozujícímu systém vypořádání obchodů s cennými papíry vedenými na DLT jednu nebo více výjimek v souladu s tímto nařízením. </w:t>
            </w:r>
            <w:r>
              <w:rPr>
                <w:b/>
                <w:i/>
                <w:strike w:val="0"/>
                <w:color w:val="auto"/>
                <w:highlight w:val="none"/>
                <w:u w:val="none" w:color="auto"/>
                <w:vertAlign w:val="baseline"/>
              </w:rPr>
              <w:t>S cílem umožnit hospodářskou soutěž a zároveň zachovat rovné podmínky a vysoké standardy, pokud jde o ochranu investorů, integritu trhu a finanční stabilitu, by noví účastníci na trhu měli mít přístup k pilotnímu režimu, pokud splňují požadavky vztahující se na povolený centrální depozitář podle nařízení (EU) č. 909/2014, a to způsobem přiměřeným povaze, rozsahu a rizikům jejich podnikání, a v souladu s jakýmikoli jinými právními předpisy Unie v oblasti finančních služeb, s výjimkou výjimek udělených v souladu s tímto nařízením.</w:t>
            </w:r>
            <w:r>
              <w:t xml:space="preserve"> </w:t>
            </w:r>
            <w:r>
              <w:rPr>
                <w:b/>
                <w:i/>
                <w:strike w:val="0"/>
                <w:color w:val="auto"/>
                <w:highlight w:val="none"/>
                <w:u w:val="none" w:color="auto"/>
                <w:vertAlign w:val="baseline"/>
              </w:rPr>
              <w:t>Aby byla zajištěna kontinuita činnosti a zároveň zajištěna spravedlivá hospodářská soutěž, měli by noví účastníci na trhu uzavřít ujednání s povoleným centrálním depozitářem, který by měl nabízet uzavírání takových ujednání nediskriminačním způsobem za přiměřený obchodní poplatek založený na skutečných nákladech.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w:t>
            </w:r>
            <w:r>
              <w:rPr>
                <w:b/>
                <w:i/>
                <w:strike w:val="0"/>
                <w:color w:val="auto"/>
                <w:highlight w:val="none"/>
                <w:u w:val="none" w:color="auto"/>
                <w:vertAlign w:val="baseline"/>
              </w:rPr>
              <w:t>,</w:t>
            </w:r>
            <w:r>
              <w:t xml:space="preserve"> kromě případů, kdy vnitrostátní příslušný orgán udělil centrálnímu depozitáři provozujícímu systém vypořádání obchodů s cennými papíry vedenými na DLT jednu nebo více výjimek v souladu s tímto nařízením.</w:t>
            </w:r>
          </w:p>
        </w:tc>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w:t>
            </w:r>
            <w:r>
              <w:rPr>
                <w:b/>
                <w:i/>
                <w:strike w:val="0"/>
                <w:color w:val="auto"/>
                <w:highlight w:val="none"/>
                <w:u w:val="none" w:color="auto"/>
                <w:vertAlign w:val="baseline"/>
              </w:rPr>
              <w:t>a veškeré další použitelné právní předpisy Unie v oblasti finančních služeb</w:t>
            </w:r>
            <w:r>
              <w:t xml:space="preserve"> kromě případů, kdy vnitrostátní příslušný orgán udělil centrálnímu depozitáři provozujícímu systém vypořádání obchodů s cennými papíry vedenými na DLT jednu nebo více výjimek v souladu s tímto nařízením.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w:t>
            </w:r>
            <w:r>
              <w:rPr>
                <w:b/>
                <w:i/>
                <w:strike w:val="0"/>
                <w:color w:val="auto"/>
                <w:highlight w:val="none"/>
                <w:u w:val="none" w:color="auto"/>
                <w:vertAlign w:val="baseline"/>
              </w:rPr>
              <w:t>centrálního depozitáře</w:t>
            </w:r>
            <w:r>
              <w:t xml:space="preserve">, který jej provozuje, by se měly vztahovat příslušné požadavky nařízení (EU) č. 909/2014 (nařízení o centrálních depozitářích cenných papírů), kromě případů, kdy vnitrostátní příslušný orgán udělil </w:t>
            </w:r>
            <w:r>
              <w:rPr>
                <w:b/>
                <w:i/>
                <w:strike w:val="0"/>
                <w:color w:val="auto"/>
                <w:highlight w:val="none"/>
                <w:u w:val="none" w:color="auto"/>
                <w:vertAlign w:val="baseline"/>
              </w:rPr>
              <w:t>centrálnímu depozitáři</w:t>
            </w:r>
            <w:r>
              <w:t xml:space="preserve"> provozujícímu systém vypořádání obchodů s cennými papíry vedenými na DLT jednu nebo více výjimek v souladu s tímto nařízením.</w:t>
            </w:r>
          </w:p>
        </w:tc>
        <w:tc>
          <w:tcPr>
            <w:tcW w:w="4876" w:type="dxa"/>
            <w:vAlign w:val="top"/>
          </w:tcPr>
          <w:p>
            <w:pPr>
              <w:pStyle w:val="Normal6a"/>
            </w:pPr>
            <w:r>
              <w:t>(10)</w:t>
            </w:r>
            <w:r>
              <w:tab/>
            </w:r>
            <w:r>
              <w:t>Systémem vypořádání obchodů s cennými papíry vedenými na DLT by měl být </w:t>
            </w:r>
            <w:r>
              <w:rPr>
                <w:b/>
                <w:i/>
                <w:strike w:val="0"/>
                <w:color w:val="auto"/>
                <w:highlight w:val="none"/>
                <w:u w:val="none" w:color="auto"/>
                <w:vertAlign w:val="baseline"/>
              </w:rPr>
              <w:t>subjekt, mimo jiné i</w:t>
            </w:r>
            <w:r>
              <w:t xml:space="preserve"> systém vypořádání obchodů s cennými papíry, který je provozován centrálním depozitářem povoleným podle nařízení (EU) č. 909/2014 (nařízení o centrálních depozitářích cenných papírů) a který získal zvláštní povolení podle tohoto nařízení.</w:t>
            </w:r>
            <w:r>
              <w:rPr>
                <w:b/>
                <w:i/>
                <w:strike w:val="0"/>
                <w:color w:val="auto"/>
                <w:highlight w:val="none"/>
                <w:u w:val="none" w:color="auto"/>
                <w:vertAlign w:val="baseline"/>
              </w:rPr>
              <w:t xml:space="preserve"> </w:t>
            </w:r>
            <w:r>
              <w:t xml:space="preserve"> Na systém vypořádání obchodů s cennými papíry vedenými na DLT a na </w:t>
            </w:r>
            <w:r>
              <w:rPr>
                <w:b/>
                <w:i/>
                <w:strike w:val="0"/>
                <w:color w:val="auto"/>
                <w:highlight w:val="none"/>
                <w:u w:val="none" w:color="auto"/>
                <w:vertAlign w:val="baseline"/>
              </w:rPr>
              <w:t>subjekt</w:t>
            </w:r>
            <w:r>
              <w:t>, který jej provozuje, by se měly vztahovat příslušné požadavky nařízení (EU) č. 909/2014 (nařízení o centrálních depozitářích cenných papírů), kromě případů, kdy vnitrostátní příslušný orgán udělil </w:t>
            </w:r>
            <w:r>
              <w:rPr>
                <w:b/>
                <w:i/>
                <w:strike w:val="0"/>
                <w:color w:val="auto"/>
                <w:highlight w:val="none"/>
                <w:u w:val="none" w:color="auto"/>
                <w:vertAlign w:val="baseline"/>
              </w:rPr>
              <w:t>subjektu</w:t>
            </w:r>
            <w:r>
              <w:t xml:space="preserve"> provozujícímu systém vypořádání obchodů s cennými papíry vedenými na DLT jednu nebo více výjimek v souladu s tímto nařízením.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případů, kdy vnitrostátní příslušný orgán udělil centrálnímu depozitáři provozujícímu systém vypořádání obchodů s cennými papíry vedenými na DLT jednu nebo více výjimek v souladu s tímto nařízením.</w:t>
            </w:r>
          </w:p>
        </w:tc>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případů, kdy vnitrostátní příslušný orgán udělil centrálnímu depozitáři provozujícímu systém vypořádání obchodů s cennými papíry vedenými na DLT jednu nebo více výjimek v souladu s tímto nařízením. </w:t>
            </w:r>
            <w:r>
              <w:rPr>
                <w:b/>
                <w:i/>
                <w:strike w:val="0"/>
                <w:color w:val="auto"/>
                <w:highlight w:val="none"/>
                <w:u w:val="none" w:color="auto"/>
                <w:vertAlign w:val="baseline"/>
              </w:rPr>
              <w:t>Novým účastníkům trhu nebo regulovaným subjektům, jako jsou investiční podniky nebo úvěrové instituce, které chtějí provozovat systém DLT SSS podle tohoto nařízení, by mělo být umožněno postupovat jednostupňově, a to tak, že požádají svůj příslušný vnitrostátní orgán o povolení podle nařízení (EU) č. 909/2014 (CSDR) a zároveň uvedou veškeré výjimky, které chtějí udělit, v souladu s tímto nařízením a se směrnicí Evropského parlamentu a Rady (EU).../....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Některé požadavky se vztahují na provozovatele tržní infrastruktury. Kromě toho je nanejvýš důležité stanovit jednostupňový schvalovací postup pro nové účastníky na trhu, kteří by se chtěli zapojit do pilotního režimu provozováním DLT SSS. Cílem je vyhnout se zbytečnému a časově náročnému dvojímu povolovacímu řízení, které by pro nového účastníka trhu představovalo významnou zátěž.</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(10)</w:t>
            </w:r>
            <w:r>
              <w:tab/>
            </w:r>
            <w:r>
              <w:t>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případů, kdy vnitrostátní příslušný orgán udělil centrálnímu depozitáři provozujícímu systém vypořádání obchodů s cennými papíry vedenými na DLT jednu nebo více výjimek v souladu s tímto nařízením.</w:t>
            </w:r>
          </w:p>
        </w:tc>
        <w:tc>
          <w:tcPr>
            <w:tcW w:w="4876" w:type="dxa"/>
            <w:vAlign w:val="top"/>
          </w:tcPr>
          <w:p>
            <w:pPr>
              <w:pStyle w:val="Normal6a"/>
            </w:pPr>
            <w:r>
              <w:t>(10)</w:t>
            </w:r>
            <w:r>
              <w:tab/>
            </w:r>
            <w:r>
              <w:t xml:space="preserve">Systémem vypořádání obchodů s cennými papíry vedenými na DLT by měl být systém vypořádání obchodů s cennými papíry, který je provozován centrálním depozitářem povoleným podle nařízení (EU) č. 909/2014 (nařízení o centrálních depozitářích cenných papírů) a který získal zvláštní povolení podle tohoto nařízení. Na systém vypořádání obchodů s cennými papíry vedenými na DLT a na centrálního depozitáře, který jej provozuje, by se měly vztahovat příslušné požadavky nařízení (EU) č. 909/2014 (nařízení o centrálních depozitářích cenných papírů), kromě případů, kdy vnitrostátní příslušný orgán udělil centrálnímu depozitáři provozujícímu systém vypořádání obchodů s cennými papíry vedenými na DLT jednu nebo více výjimek v souladu s tímto nařízením. </w:t>
            </w:r>
            <w:r>
              <w:rPr>
                <w:b/>
                <w:i/>
                <w:strike w:val="0"/>
                <w:color w:val="auto"/>
                <w:highlight w:val="none"/>
                <w:u w:val="none" w:color="auto"/>
                <w:vertAlign w:val="baseline"/>
              </w:rPr>
              <w:t>Takovou výjimku lze udělit pouze za předpokladu, že systém vypořádání obchodů s cennými papíry vedenými na DLT funguje způsobem šetrným k energii.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(10a)</w:t>
            </w:r>
            <w:r>
              <w:tab/>
            </w:r>
            <w:r>
              <w:rPr>
                <w:b/>
                <w:i/>
                <w:strike w:val="0"/>
                <w:color w:val="auto"/>
                <w:highlight w:val="none"/>
                <w:u w:val="none" w:color="auto"/>
                <w:vertAlign w:val="baseline"/>
              </w:rPr>
              <w:t>Subjektům, které nejsou povoleny podle nařízení (EU) č. 909/2014, by mělo být povoleno požádat o zvláštní povolení podle tohoto nařízení k provozování systém vypořádání cenných papírů vedených na DLT na základě zrychleného postupu.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Zrychlený postup pro nové účastníky na trhu, kteří v době podání žádosti nemají oprávnění působit jako centrální depozitář.</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Systém DLT MTF nebo centrální depozitář, který provozuje systém vypořádání obchodů s cennými papíry vedenými na DLT, by měly přijímat k obchodování nebo evidovat ve </w:t>
            </w:r>
            <w:r>
              <w:rPr>
                <w:b/>
                <w:i/>
                <w:strike w:val="0"/>
                <w:color w:val="auto"/>
                <w:highlight w:val="none"/>
                <w:u w:val="none" w:color="auto"/>
                <w:vertAlign w:val="baseline"/>
              </w:rPr>
              <w:t>svém</w:t>
            </w:r>
            <w:r>
              <w:t xml:space="preserve"> sdíleném registru výlučně převoditelné cenné papíry vedené na DLT</w:t>
            </w:r>
            <w:r>
              <w:rPr>
                <w:b/>
                <w:i/>
                <w:strike w:val="0"/>
                <w:color w:val="auto"/>
                <w:highlight w:val="none"/>
                <w:u w:val="none" w:color="auto"/>
                <w:vertAlign w:val="baseline"/>
              </w:rPr>
              <w:t>.</w:t>
            </w:r>
            <w:r>
              <w:t xml:space="preserve">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c>
          <w:tcPr>
            <w:tcW w:w="4876" w:type="dxa"/>
            <w:vAlign w:val="top"/>
          </w:tcPr>
          <w:p>
            <w:pPr>
              <w:pStyle w:val="Normal6a"/>
            </w:pPr>
            <w:r>
              <w:t>(11)</w:t>
            </w:r>
            <w:r>
              <w:tab/>
            </w:r>
            <w:r>
              <w:t xml:space="preserve">Systém DLT MTF nebo centrální depozitář, který provozuje systém vypořádání obchodů s cennými papíry vedenými na DLT </w:t>
            </w:r>
            <w:r>
              <w:rPr>
                <w:b/>
                <w:i/>
                <w:strike w:val="0"/>
                <w:color w:val="auto"/>
                <w:highlight w:val="none"/>
                <w:u w:val="none" w:color="auto"/>
                <w:vertAlign w:val="baseline"/>
              </w:rPr>
              <w:t>(DLT SSS)</w:t>
            </w:r>
            <w:r>
              <w:t xml:space="preserve">, by měly přijímat k obchodování nebo evidovat ve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 </w:t>
            </w:r>
            <w:r>
              <w:rPr>
                <w:b/>
                <w:i/>
                <w:strike w:val="0"/>
                <w:color w:val="auto"/>
                <w:highlight w:val="none"/>
                <w:u w:val="none" w:color="auto"/>
                <w:vertAlign w:val="baseline"/>
              </w:rPr>
              <w:t>Toto nařízení by mělo upřesnit převoditelné cenné papíry vedené na DLT, s nimiž lze obchodovat nebo které lze evidovat.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Vzhledem k tomu, že definice „převoditelných cenných papírů DLT“ odkazuje na čl. 4 odst. 1 bod 44 písm. a) a b) směrnice MiFID II, který zahrnuje více než to, co předpokládá čl. 3 odst. 1 tohoto nařízení.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Systém DLT MTF nebo centrální depozitář, který provozuje systém vypořádání obchodů s cennými papíry vedenými na DLT, by měly přijímat k obchodování nebo evidovat ve </w:t>
            </w:r>
            <w:r>
              <w:rPr>
                <w:b/>
                <w:i/>
                <w:strike w:val="0"/>
                <w:color w:val="auto"/>
                <w:highlight w:val="none"/>
                <w:u w:val="none" w:color="auto"/>
                <w:vertAlign w:val="baseline"/>
              </w:rPr>
              <w:t>svém</w:t>
            </w:r>
            <w:r>
              <w:t xml:space="preserve">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c>
          <w:tcPr>
            <w:tcW w:w="4876" w:type="dxa"/>
            <w:vAlign w:val="top"/>
          </w:tcPr>
          <w:p>
            <w:pPr>
              <w:pStyle w:val="Normal6a"/>
            </w:pPr>
            <w:r>
              <w:t>(11)</w:t>
            </w:r>
            <w:r>
              <w:tab/>
            </w:r>
            <w:r>
              <w:t>Systém DLT MTF nebo centrální depozitář, který provozuje systém vypořádání obchodů s cennými papíry vedenými na DLT, by měly přijímat k obchodování nebo evidovat ve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 xml:space="preserve">Systém DLT MTF nebo </w:t>
            </w:r>
            <w:r>
              <w:rPr>
                <w:b/>
                <w:i/>
                <w:strike w:val="0"/>
                <w:color w:val="auto"/>
                <w:highlight w:val="none"/>
                <w:u w:val="none" w:color="auto"/>
                <w:vertAlign w:val="baseline"/>
              </w:rPr>
              <w:t>centrální depozitář</w:t>
            </w:r>
            <w:r>
              <w:t>, který provozuje systém vypořádání obchodů s cennými papíry vedenými na DLT, by měly přijímat k obchodování nebo evidovat ve svém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c>
          <w:tcPr>
            <w:tcW w:w="4876" w:type="dxa"/>
            <w:vAlign w:val="top"/>
          </w:tcPr>
          <w:p>
            <w:pPr>
              <w:pStyle w:val="Normal6a"/>
            </w:pPr>
            <w:r>
              <w:t>(11)</w:t>
            </w:r>
            <w:r>
              <w:tab/>
            </w:r>
            <w:r>
              <w:t xml:space="preserve">Systém DLT MTF nebo </w:t>
            </w:r>
            <w:r>
              <w:rPr>
                <w:b/>
                <w:i/>
                <w:strike w:val="0"/>
                <w:color w:val="auto"/>
                <w:highlight w:val="none"/>
                <w:u w:val="none" w:color="auto"/>
                <w:vertAlign w:val="baseline"/>
              </w:rPr>
              <w:t>subjekt</w:t>
            </w:r>
            <w:r>
              <w:t>, který provozuje systém vypořádání obchodů s cennými papíry vedenými na DLT, by měly přijímat k obchodování nebo evidovat ve svém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(11)</w:t>
            </w:r>
            <w:r>
              <w:tab/>
            </w:r>
            <w:r>
              <w:t>Systém DLT MTF nebo centrální depozitář, který provozuje systém vypořádání obchodů s cennými papíry vedenými na DLT, by měly přijímat k obchodování nebo evidovat ve svém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c>
          <w:tcPr>
            <w:tcW w:w="4876" w:type="dxa"/>
            <w:vAlign w:val="top"/>
          </w:tcPr>
          <w:p>
            <w:pPr>
              <w:pStyle w:val="Normal6a"/>
            </w:pPr>
            <w:r>
              <w:t>(11)</w:t>
            </w:r>
            <w:r>
              <w:tab/>
            </w:r>
            <w:r>
              <w:t>Systém DLT MTF nebo centrální depozitář, který provozuje systém vypořádání obchodů s cennými papíry vedenými na DLT, by měly přijímat k obchodování nebo evidovat ve svém sdíleném registru výlučně převoditelné cenné papíry vedené na DLT. Převoditelnými cennými papíry vedenými na DLT by měla být kryptoaktiva, která jsou považována za „převoditelné cenné papíry“ ve smyslu směrnice 2014/65/EU (směrnice o trzích finančních nástrojů, MiFID II) a která jsou emitována, převáděna a uchovávána ve sdíleném registru.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Tržní infrastruktury DLT by měly nést odpovědnost za rizika související s fungováním DLT, kterou provozují, zejména za riziko transparentnosti registru, kybernetická rizika a provozní rizika.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V zájmu umožnění inovací a experimentování ve zdravém právním prostředí při současném zachování finanční stability by měl být typ převoditelných cenných papírů přijatých k obchodování </w:t>
            </w:r>
            <w:r>
              <w:rPr>
                <w:b/>
                <w:i/>
                <w:strike w:val="0"/>
                <w:color w:val="auto"/>
                <w:highlight w:val="none"/>
                <w:u w:val="none" w:color="auto"/>
                <w:vertAlign w:val="baseline"/>
              </w:rPr>
              <w:t>na DLT MTF</w:t>
            </w:r>
            <w:r>
              <w:t xml:space="preserve"> nebo evidovaných </w:t>
            </w:r>
            <w:r>
              <w:rPr>
                <w:b/>
                <w:i/>
                <w:strike w:val="0"/>
                <w:color w:val="auto"/>
                <w:highlight w:val="none"/>
                <w:u w:val="none" w:color="auto"/>
                <w:vertAlign w:val="baseline"/>
              </w:rPr>
              <w:t>u centrálního depozitáře, který provozuje systém vypořádání obchodů s cennými papíry vedenými na DLT,</w:t>
            </w:r>
            <w:r>
              <w:t xml:space="preserve"> omezen na cenné papíry, jako jsou akcie </w:t>
            </w:r>
            <w:r>
              <w:rPr>
                <w:b/>
                <w:i/>
                <w:strike w:val="0"/>
                <w:color w:val="auto"/>
                <w:highlight w:val="none"/>
                <w:u w:val="none" w:color="auto"/>
                <w:vertAlign w:val="baseline"/>
              </w:rPr>
              <w:t>a</w:t>
            </w:r>
            <w:r>
              <w:t xml:space="preserve"> dluhopisy, </w:t>
            </w:r>
            <w:r>
              <w:rPr>
                <w:b/>
                <w:i/>
                <w:strike w:val="0"/>
                <w:color w:val="auto"/>
                <w:highlight w:val="none"/>
                <w:u w:val="none" w:color="auto"/>
                <w:vertAlign w:val="baseline"/>
              </w:rPr>
              <w:t>které nejsou likvidní.  Toto nařízení by mělo stanovit určité prahové</w:t>
            </w:r>
            <w:r>
              <w:t xml:space="preserve"> hodnoty</w:t>
            </w:r>
            <w:r>
              <w:rPr>
                <w:b/>
                <w:i/>
                <w:strike w:val="0"/>
                <w:color w:val="auto"/>
                <w:highlight w:val="none"/>
                <w:u w:val="none" w:color="auto"/>
                <w:vertAlign w:val="baseline"/>
              </w:rPr>
              <w:t>, dle nichž by</w:t>
            </w:r>
            <w:r>
              <w:t xml:space="preserve"> bylo možné určit, zda </w:t>
            </w:r>
            <w:r>
              <w:rPr>
                <w:b/>
                <w:i/>
                <w:strike w:val="0"/>
                <w:color w:val="auto"/>
                <w:highlight w:val="none"/>
                <w:u w:val="none" w:color="auto"/>
                <w:vertAlign w:val="baseline"/>
              </w:rPr>
              <w:t>je</w:t>
            </w:r>
            <w:r>
              <w:t xml:space="preserve"> akcie </w:t>
            </w:r>
            <w:r>
              <w:rPr>
                <w:b/>
                <w:i/>
                <w:strike w:val="0"/>
                <w:color w:val="auto"/>
                <w:highlight w:val="none"/>
                <w:u w:val="none" w:color="auto"/>
                <w:vertAlign w:val="baseline"/>
              </w:rPr>
              <w:t>nebo dluhopis</w:t>
            </w:r>
            <w:r>
              <w:t xml:space="preserve"> likvidní, </w:t>
            </w:r>
            <w:r>
              <w:rPr>
                <w:b/>
                <w:i/>
                <w:strike w:val="0"/>
                <w:color w:val="auto"/>
                <w:highlight w:val="none"/>
                <w:u w:val="none" w:color="auto"/>
                <w:vertAlign w:val="baseline"/>
              </w:rPr>
              <w:t>či nikoli</w:t>
            </w:r>
            <w:r>
              <w:t xml:space="preserve">. Aby se zabránilo vzniku jakéhokoli rizika pro finanční stabilitu, měla by být rovněž omezena celková tržní hodnota převoditelných cenných papírů vedených na DLT evidovaných centrálním depozitářem, který provozuje systém </w:t>
            </w:r>
            <w:r>
              <w:rPr>
                <w:b/>
                <w:i/>
                <w:strike w:val="0"/>
                <w:color w:val="auto"/>
                <w:highlight w:val="none"/>
                <w:u w:val="none" w:color="auto"/>
                <w:vertAlign w:val="baseline"/>
              </w:rPr>
              <w:t>vypořádání obchodů s cennými papíry vedenými na</w:t>
            </w:r>
            <w:r>
              <w:t xml:space="preserve"> DLT, nebo přijatých k obchodování systémem DLT MTF. </w:t>
            </w:r>
            <w:r>
              <w:rPr>
                <w:b/>
                <w:i/>
                <w:strike w:val="0"/>
                <w:color w:val="auto"/>
                <w:highlight w:val="none"/>
                <w:u w:val="none" w:color="auto"/>
                <w:vertAlign w:val="baseline"/>
              </w:rPr>
              <w:t>Tržním infrastrukturám DLT by rovněž mělo být zabráněno, aby přijímaly k obchodování nebo evidovaly ve sdíleném registru státní dluhopisy.</w:t>
            </w:r>
            <w:r>
              <w:t xml:space="preserve">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předkládání zpráv.</w:t>
            </w:r>
          </w:p>
        </w:tc>
        <w:tc>
          <w:tcPr>
            <w:tcW w:w="4876" w:type="dxa"/>
            <w:vAlign w:val="top"/>
          </w:tcPr>
          <w:p>
            <w:pPr>
              <w:pStyle w:val="Normal6a"/>
            </w:pPr>
            <w:r>
              <w:t>(12)</w:t>
            </w:r>
            <w:r>
              <w:tab/>
            </w:r>
            <w:r>
              <w:t xml:space="preserve">V zájmu umožnění inovací a experimentování ve zdravém právním prostředí při současném zachování finanční stability by měl být typ převoditelných cenných papírů přijatých k obchodování nebo evidovaných </w:t>
            </w:r>
            <w:r>
              <w:rPr>
                <w:b/>
                <w:i/>
                <w:strike w:val="0"/>
                <w:color w:val="auto"/>
                <w:highlight w:val="none"/>
                <w:u w:val="none" w:color="auto"/>
                <w:vertAlign w:val="baseline"/>
              </w:rPr>
              <w:t>na tržní infrastruktuře DLT</w:t>
            </w:r>
            <w:r>
              <w:t xml:space="preserve"> omezen na cenné papíry, jako jsou akcie</w:t>
            </w:r>
            <w:r>
              <w:rPr>
                <w:b/>
                <w:i/>
                <w:strike w:val="0"/>
                <w:color w:val="auto"/>
                <w:highlight w:val="none"/>
                <w:u w:val="none" w:color="auto"/>
                <w:vertAlign w:val="baseline"/>
              </w:rPr>
              <w:t>,</w:t>
            </w:r>
            <w:r>
              <w:t xml:space="preserve"> dluhopisy, </w:t>
            </w:r>
            <w:r>
              <w:rPr>
                <w:b/>
                <w:i/>
                <w:strike w:val="0"/>
                <w:color w:val="auto"/>
                <w:highlight w:val="none"/>
                <w:u w:val="none" w:color="auto"/>
                <w:vertAlign w:val="baseline"/>
              </w:rPr>
              <w:t>včetně státních dluhopisů, a fondy obchodované na burze (ETF) až do</w:t>
            </w:r>
            <w:r>
              <w:t xml:space="preserve"> hodnoty </w:t>
            </w:r>
            <w:r>
              <w:rPr>
                <w:b/>
                <w:i/>
                <w:strike w:val="0"/>
                <w:color w:val="auto"/>
                <w:highlight w:val="none"/>
                <w:u w:val="none" w:color="auto"/>
                <w:vertAlign w:val="baseline"/>
              </w:rPr>
              <w:t>prahových hodnot stanovených v tomto nařízení.</w:t>
            </w:r>
            <w:r>
              <w:t xml:space="preserve"> </w:t>
            </w:r>
            <w:r>
              <w:rPr>
                <w:b/>
                <w:i/>
                <w:strike w:val="0"/>
                <w:color w:val="auto"/>
                <w:highlight w:val="none"/>
                <w:u w:val="none" w:color="auto"/>
                <w:vertAlign w:val="baseline"/>
              </w:rPr>
              <w:t>Aby</w:t>
            </w:r>
            <w:r>
              <w:t xml:space="preserve"> bylo možné určit, zda </w:t>
            </w:r>
            <w:r>
              <w:rPr>
                <w:b/>
                <w:i/>
                <w:strike w:val="0"/>
                <w:color w:val="auto"/>
                <w:highlight w:val="none"/>
                <w:u w:val="none" w:color="auto"/>
                <w:vertAlign w:val="baseline"/>
              </w:rPr>
              <w:t>jsou</w:t>
            </w:r>
            <w:r>
              <w:t xml:space="preserve"> akcie</w:t>
            </w:r>
            <w:r>
              <w:rPr>
                <w:b/>
                <w:i/>
                <w:strike w:val="0"/>
                <w:color w:val="auto"/>
                <w:highlight w:val="none"/>
                <w:u w:val="none" w:color="auto"/>
                <w:vertAlign w:val="baseline"/>
              </w:rPr>
              <w:t>, dluhopisy, fondy obchodované v obchodním systému, SKIPCP nebo alternativní investiční fondy</w:t>
            </w:r>
            <w:r>
              <w:t xml:space="preserve"> likvidní, </w:t>
            </w:r>
            <w:r>
              <w:rPr>
                <w:b/>
                <w:i/>
                <w:strike w:val="0"/>
                <w:color w:val="auto"/>
                <w:highlight w:val="none"/>
                <w:u w:val="none" w:color="auto"/>
                <w:vertAlign w:val="baseline"/>
              </w:rPr>
              <w:t>mělo by toto nařízení stanovit určité prahové hodnoty</w:t>
            </w:r>
            <w:r>
              <w:t xml:space="preserve">. Aby se zabránilo vzniku jakéhokoli rizika pro finanční stabilitu, měla by být rovněž omezena celková tržní hodnota převoditelných cenných papírů vedených na DLT evidovaných centrálním depozitářem, který provozuje systém DLT </w:t>
            </w:r>
            <w:r>
              <w:rPr>
                <w:b/>
                <w:i/>
                <w:strike w:val="0"/>
                <w:color w:val="auto"/>
                <w:highlight w:val="none"/>
                <w:u w:val="none" w:color="auto"/>
                <w:vertAlign w:val="baseline"/>
              </w:rPr>
              <w:t>SSS</w:t>
            </w:r>
            <w:r>
              <w:t xml:space="preserve">, nebo přijatých k obchodování systémem DLT MTF.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w:t>
            </w:r>
            <w:r>
              <w:rPr>
                <w:b/>
                <w:i/>
                <w:strike w:val="0"/>
                <w:color w:val="auto"/>
                <w:highlight w:val="none"/>
                <w:u w:val="none" w:color="auto"/>
                <w:vertAlign w:val="baseline"/>
              </w:rPr>
              <w:t>pravidelné</w:t>
            </w:r>
            <w:r>
              <w:t xml:space="preserve"> předkládání zpráv</w:t>
            </w:r>
            <w:r>
              <w:rPr>
                <w:b/>
                <w:i/>
                <w:strike w:val="0"/>
                <w:color w:val="auto"/>
                <w:highlight w:val="none"/>
                <w:u w:val="none" w:color="auto"/>
                <w:vertAlign w:val="baseline"/>
              </w:rPr>
              <w:t>, jak je stanoveno v tomto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rozšířit oblast působnosti přípustných převoditelných cenných papírů tak, aby zahrnovala fondy obchodované v obchodním systému, které investují do převoditelných cenných papírů distribuované účetní knihy a/nebo jsou obchodovány, vypořádány a skladovány pomocí technologie distribuované účetní knihy, aby bylo možné rozšířit rozsah experimentů při dodržení zde stanovených prahových hodnot. V neposlední řadě je třeba výslovně uvést, že tržní infrastruktury distribuované účetní knihy musí uvedené prahové hodnoty trvale dodržovat, pokud provozují svou činnost v souladu s tímto povolením.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V zájmu umožnění inovací a experimentování ve zdravém právním prostředí při současném zachování finanční stability by měl být typ převoditelných cenných papírů přijatých k obchodování na DLT MTF nebo evidovaných u centrálního depozitáře, který provozuje systém vypořádání obchodů s cennými papíry vedenými na DLT, omezen na cenné papíry, jako jsou akcie a dluhopisy, </w:t>
            </w:r>
            <w:r>
              <w:rPr>
                <w:b/>
                <w:i/>
                <w:strike w:val="0"/>
                <w:color w:val="auto"/>
                <w:highlight w:val="none"/>
                <w:u w:val="none" w:color="auto"/>
                <w:vertAlign w:val="baseline"/>
              </w:rPr>
              <w:t>které nejsou likvidní</w:t>
            </w:r>
            <w:r>
              <w:t>.</w:t>
            </w:r>
            <w:r>
              <w:rPr>
                <w:b/>
                <w:i/>
                <w:strike w:val="0"/>
                <w:color w:val="auto"/>
                <w:highlight w:val="none"/>
                <w:u w:val="none" w:color="auto"/>
                <w:vertAlign w:val="baseline"/>
              </w:rPr>
              <w:t xml:space="preserve">  </w:t>
            </w:r>
            <w:r>
              <w:t>Toto nařízení by mělo stanovit určité prahové hodnoty, dle nichž by bylo možné určit, zda je akcie nebo dluhopis likvidní, či nikoli. Aby se zabránilo vzniku jakéhokoli rizika pro finanční stabilitu, měla by být rovněž omezena celková tržní hodnota převoditelných cenných papírů vedených na DLT evidovaných centrálním depozitářem, který provozuje systém vypořádání obchodů s cennými papíry vedenými na DLT, nebo přijatých k obchodování systémem DLT MTF. Tržním infrastrukturám DLT by rovněž mělo být zabráněno, aby přijímaly k obchodování nebo evidovaly ve sdíleném registru státní dluhopisy.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předkládání zpráv.</w:t>
            </w:r>
          </w:p>
        </w:tc>
        <w:tc>
          <w:tcPr>
            <w:tcW w:w="4876" w:type="dxa"/>
            <w:vAlign w:val="top"/>
          </w:tcPr>
          <w:p>
            <w:pPr>
              <w:pStyle w:val="Normal6a"/>
            </w:pPr>
            <w:r>
              <w:t>(12)</w:t>
            </w:r>
            <w:r>
              <w:tab/>
            </w:r>
            <w:r>
              <w:t>V zájmu umožnění inovací a experimentování ve zdravém právním prostředí při současném zachování finanční stability by měl být typ převoditelných cenných papírů přijatých k obchodování na DLT MTF nebo evidovaných u centrálního depozitáře, který provozuje systém vypořádání obchodů s cennými papíry vedenými na DLT, omezen na cenné papíry, jako jsou akcie a dluhopisy, </w:t>
            </w:r>
            <w:r>
              <w:rPr>
                <w:b/>
                <w:i/>
                <w:strike w:val="0"/>
                <w:color w:val="auto"/>
                <w:highlight w:val="none"/>
                <w:u w:val="none" w:color="auto"/>
                <w:vertAlign w:val="baseline"/>
              </w:rPr>
              <w:t>na něž se vztahují prahové hodnoty stanovené v tomto nařízení</w:t>
            </w:r>
            <w:r>
              <w:t>. Toto nařízení by mělo stanovit určité prahové hodnoty, dle nichž by bylo možné určit, zda je akcie nebo dluhopis likvidní, či nikoli. Aby se zabránilo vzniku jakéhokoli rizika pro finanční stabilitu, měla by být rovněž omezena celková tržní hodnota převoditelných cenných papírů vedených na DLT evidovaných centrálním depozitářem, který provozuje systém vypořádání obchodů s cennými papíry vedenými na DLT, nebo přijatých k obchodování systémem DLT MTF. Tržním infrastrukturám DLT by rovněž mělo být zabráněno, aby přijímaly k obchodování nebo evidovaly ve sdíleném registru státní dluhopisy.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předkládání zpráv.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(12)</w:t>
            </w:r>
            <w:r>
              <w:tab/>
            </w:r>
            <w:r>
              <w:t xml:space="preserve">V zájmu umožnění inovací a experimentování ve zdravém právním prostředí při současném zachování finanční stability by měl být typ převoditelných cenných papírů přijatých k obchodování na DLT MTF nebo evidovaných u </w:t>
            </w:r>
            <w:r>
              <w:rPr>
                <w:b/>
                <w:i/>
                <w:strike w:val="0"/>
                <w:color w:val="auto"/>
                <w:highlight w:val="none"/>
                <w:u w:val="none" w:color="auto"/>
                <w:vertAlign w:val="baseline"/>
              </w:rPr>
              <w:t>centrálního depozitáře</w:t>
            </w:r>
            <w:r>
              <w:t>, který provozuje systém vypořádání obchodů s cennými papíry vedenými na DLT, omezen na cenné papíry, jako jsou akcie a dluhopisy, které nejsou likvidní.</w:t>
            </w:r>
            <w:r>
              <w:rPr>
                <w:b/>
                <w:i/>
                <w:strike w:val="0"/>
                <w:color w:val="auto"/>
                <w:highlight w:val="none"/>
                <w:u w:val="none" w:color="auto"/>
                <w:vertAlign w:val="baseline"/>
              </w:rPr>
              <w:t xml:space="preserve">  </w:t>
            </w:r>
            <w:r>
              <w:t xml:space="preserve">Toto nařízení by mělo stanovit určité prahové hodnoty, dle nichž by bylo možné určit, zda je akcie nebo dluhopis likvidní, či nikoli. Aby se zabránilo vzniku jakéhokoli rizika pro finanční stabilitu, měla by být rovněž omezena celková tržní hodnota převoditelných cenných papírů vedených na DLT evidovaných </w:t>
            </w:r>
            <w:r>
              <w:rPr>
                <w:b/>
                <w:i/>
                <w:strike w:val="0"/>
                <w:color w:val="auto"/>
                <w:highlight w:val="none"/>
                <w:u w:val="none" w:color="auto"/>
                <w:vertAlign w:val="baseline"/>
              </w:rPr>
              <w:t>centrálním depozitářem</w:t>
            </w:r>
            <w:r>
              <w:t>, který provozuje systém vypořádání obchodů s cennými papíry vedenými na DLT, nebo přijatých k obchodování systémem DLT MTF. Tržním infrastrukturám DLT by rovněž mělo být zabráněno, aby přijímaly k obchodování nebo evidovaly ve sdíleném registru státní dluhopisy.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předkládání zpráv.</w:t>
            </w:r>
          </w:p>
        </w:tc>
        <w:tc>
          <w:tcPr>
            <w:tcW w:w="4876" w:type="dxa"/>
            <w:vAlign w:val="top"/>
          </w:tcPr>
          <w:p>
            <w:pPr>
              <w:pStyle w:val="Normal6a"/>
            </w:pPr>
            <w:r>
              <w:t>(12)</w:t>
            </w:r>
            <w:r>
              <w:tab/>
            </w:r>
            <w:r>
              <w:t>V zájmu umožnění inovací a experimentování ve zdravém právním prostředí při současném zachování finanční stability by měl být typ převoditelných cenných papírů přijatých k obchodování na DLT MTF nebo evidovaných u </w:t>
            </w:r>
            <w:r>
              <w:rPr>
                <w:b/>
                <w:i/>
                <w:strike w:val="0"/>
                <w:color w:val="auto"/>
                <w:highlight w:val="none"/>
                <w:u w:val="none" w:color="auto"/>
                <w:vertAlign w:val="baseline"/>
              </w:rPr>
              <w:t>subjektu</w:t>
            </w:r>
            <w:r>
              <w:t xml:space="preserve">, který provozuje systém vypořádání obchodů s cennými papíry vedenými na DLT, omezen na cenné papíry, jako jsou akcie a dluhopisy, které nejsou likvidní. Toto nařízení by mělo stanovit určité prahové hodnoty, dle nichž by bylo možné určit, zda je akcie nebo dluhopis likvidní, či nikoli. Aby se zabránilo vzniku jakéhokoli rizika pro finanční stabilitu, měla by být rovněž omezena celková tržní hodnota převoditelných cenných papírů vedených na DLT evidovaných </w:t>
            </w:r>
            <w:r>
              <w:rPr>
                <w:b/>
                <w:i/>
                <w:strike w:val="0"/>
                <w:color w:val="auto"/>
                <w:highlight w:val="none"/>
                <w:u w:val="none" w:color="auto"/>
                <w:vertAlign w:val="baseline"/>
              </w:rPr>
              <w:t>subjektem</w:t>
            </w:r>
            <w:r>
              <w:t>, který provozuje systém vypořádání obchodů s cennými papíry vedenými na DLT, nebo přijatých k obchodování systémem DLT MTF. Tržním infrastrukturám DLT by rovněž mělo být zabráněno, aby přijímaly k obchodování nebo evidovaly ve sdíleném registru státní dluhopisy. Aby bylo možné ověřit, zda převoditelné cenné papíry vedené na DLT obchodované v rámci tržní infrastruktury DLT nebo touto infrastrukturou evidované splňují podmínky stanovené tímto nařízením, měly by mít příslušné vnitrostátní orgány oprávnění požadovat od uvedených tržních infrastruktur DLT předkládání zpráv.</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Aby byly zajištěny rovné podmínky pro převoditelné cenné papíry přijaté k obchodování v tradičním obchodním systému ve smyslu směrnice 2014/65/EU (směrnice o trzích finančních nástrojů, MiFID II) a vysoká úroveň integrity trhu, měly by převoditelné cenné papíry vedené na DLT přijaté k obchodování v systému DLT MTF vždy podléhat ustanovením nařízení (EU) č. 596/2014 (nařízení o zneužívání trhu), která zakazují zneužívání trhu.</w:t>
            </w:r>
          </w:p>
        </w:tc>
        <w:tc>
          <w:tcPr>
            <w:tcW w:w="4876" w:type="dxa"/>
            <w:vAlign w:val="top"/>
          </w:tcPr>
          <w:p>
            <w:pPr>
              <w:pStyle w:val="Normal6a"/>
            </w:pPr>
            <w:r>
              <w:t>(13)</w:t>
            </w:r>
            <w:r>
              <w:tab/>
            </w:r>
            <w:r>
              <w:t xml:space="preserve">Aby byly zajištěny rovné podmínky pro převoditelné cenné papíry přijaté k obchodování v tradičním obchodním systému ve smyslu směrnice 2014/65/EU (směrnice o trzích finančních nástrojů, MiFID II) a </w:t>
            </w:r>
            <w:r>
              <w:rPr>
                <w:b/>
                <w:i/>
                <w:strike w:val="0"/>
                <w:color w:val="auto"/>
                <w:highlight w:val="none"/>
                <w:u w:val="none" w:color="auto"/>
                <w:vertAlign w:val="baseline"/>
              </w:rPr>
              <w:t>aby se zajistila</w:t>
            </w:r>
            <w:r>
              <w:t xml:space="preserve"> vysoká úroveň integrity trhu</w:t>
            </w:r>
            <w:r>
              <w:rPr>
                <w:b/>
                <w:i/>
                <w:strike w:val="0"/>
                <w:color w:val="auto"/>
                <w:highlight w:val="none"/>
                <w:u w:val="none" w:color="auto"/>
                <w:vertAlign w:val="baseline"/>
              </w:rPr>
              <w:t>, ochrany investorů a finanční stability</w:t>
            </w:r>
            <w:r>
              <w:t>, měly by převoditelné cenné papíry vedené na DLT přijaté k obchodování v systému DLT MTF vždy podléhat ustanovením nařízení (EU) č. 596/2014 (nařízení o zneužívání trhu), která zakazují zneužívání trhu.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tab/>
            </w:r>
            <w:r>
              <w:t>Aby byly zajištěny rovné podmínky pro převoditelné cenné papíry přijaté k obchodování v tradičním obchodním systému ve smyslu směrnice 2014/65/EU (směrnice o trzích finančních nástrojů, MiFID II) a vysoká úroveň integrity trhu, měly by převoditelné cenné papíry vedené na DLT přijaté k obchodování v systému DLT MTF vždy podléhat ustanovením nařízení (EU) č. 596/2014 (nařízení o zneužívání trhu), která zakazují zneužívání trhu.</w:t>
            </w:r>
          </w:p>
        </w:tc>
        <w:tc>
          <w:tcPr>
            <w:tcW w:w="4876" w:type="dxa"/>
            <w:vAlign w:val="top"/>
          </w:tcPr>
          <w:p>
            <w:pPr>
              <w:pStyle w:val="Normal6a"/>
            </w:pPr>
            <w:r>
              <w:t>(13)</w:t>
            </w:r>
            <w:r>
              <w:tab/>
            </w:r>
            <w:r>
              <w:t>Aby byly zajištěny rovné podmínky pro převoditelné cenné papíry přijaté</w:t>
            </w:r>
            <w:r>
              <w:rPr>
                <w:b/>
                <w:i/>
                <w:strike w:val="0"/>
                <w:color w:val="auto"/>
                <w:highlight w:val="none"/>
                <w:u w:val="none" w:color="auto"/>
                <w:vertAlign w:val="baseline"/>
              </w:rPr>
              <w:t xml:space="preserve">  </w:t>
            </w:r>
            <w:r>
              <w:t xml:space="preserve">k obchodování v tradičním obchodním systému ve smyslu směrnice 2014/65/EU (směrnice o trzích finančních nástrojů, MiFID II) a </w:t>
            </w:r>
            <w:r>
              <w:rPr>
                <w:b/>
                <w:i/>
                <w:strike w:val="0"/>
                <w:color w:val="auto"/>
                <w:highlight w:val="none"/>
                <w:u w:val="none" w:color="auto"/>
                <w:vertAlign w:val="baseline"/>
              </w:rPr>
              <w:t>aby se zajistila</w:t>
            </w:r>
            <w:r>
              <w:t xml:space="preserve"> vysoká úroveň integrity trhu</w:t>
            </w:r>
            <w:r>
              <w:rPr>
                <w:b/>
                <w:i/>
                <w:strike w:val="0"/>
                <w:color w:val="auto"/>
                <w:highlight w:val="none"/>
                <w:u w:val="none" w:color="auto"/>
                <w:vertAlign w:val="baseline"/>
              </w:rPr>
              <w:t>, ochrany investorů a finanční stability</w:t>
            </w:r>
            <w:r>
              <w:t>, měly by převoditelné cenné papíry vedené na DLT přijaté k obchodování v systému DLT MTF vždy podléhat ustanovením nařízení (EU) č. 596/2014 (nařízení o zneužívání trhu), která zakazují zneužívání trhu.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Systém DLT MTF by měl mít možnost požádat o udělení jedné nebo více dočasných výjimek, které jsou uvedeny v tomto nařízení a které uděluje příslušný orgán, pokud splňuje podmínky spojené s takovými výjimkami a další požadavky stanovené tímto nařízením pro řešení nových forem rizik vyvolaných používáním DLT. Systém DLT MTF by rovněž měl dodržovat všechna kompenzační opatření uložená příslušným orgánem za účelem plnění cílů sledovaných ustanovením, pro které byla požadována výjimka.</w:t>
            </w:r>
          </w:p>
        </w:tc>
        <w:tc>
          <w:tcPr>
            <w:tcW w:w="4876" w:type="dxa"/>
            <w:vAlign w:val="top"/>
          </w:tcPr>
          <w:p>
            <w:pPr>
              <w:pStyle w:val="Normal6a"/>
            </w:pPr>
            <w:r>
              <w:t>(14)</w:t>
            </w:r>
            <w:r>
              <w:tab/>
            </w:r>
            <w:r>
              <w:t xml:space="preserve">Systém DLT MTF by měl mít možnost požádat o udělení jedné nebo více dočasných výjimek, které jsou uvedeny v tomto nařízení a které uděluje příslušný orgán </w:t>
            </w:r>
            <w:r>
              <w:rPr>
                <w:b/>
                <w:i/>
                <w:strike w:val="0"/>
                <w:color w:val="auto"/>
                <w:highlight w:val="none"/>
                <w:u w:val="none" w:color="auto"/>
                <w:vertAlign w:val="baseline"/>
              </w:rPr>
              <w:t>na základě doporučení vydaného orgánem ESMA</w:t>
            </w:r>
            <w:r>
              <w:t>, pokud splňuje podmínky spojené s takovými výjimkami a další požadavky stanovené tímto nařízením pro řešení nových forem rizik vyvolaných používáním DLT.</w:t>
            </w:r>
            <w:r>
              <w:rPr>
                <w:b/>
                <w:i/>
                <w:strike w:val="0"/>
                <w:color w:val="auto"/>
                <w:highlight w:val="none"/>
                <w:u w:val="none" w:color="auto"/>
                <w:vertAlign w:val="baseline"/>
              </w:rPr>
              <w:t> </w:t>
            </w:r>
            <w:r>
              <w:t xml:space="preserve"> Systém DLT MTF by rovněž měl dodržovat všechna kompenzační </w:t>
            </w:r>
            <w:r>
              <w:rPr>
                <w:b/>
                <w:i/>
                <w:strike w:val="0"/>
                <w:color w:val="auto"/>
                <w:highlight w:val="none"/>
                <w:u w:val="none" w:color="auto"/>
                <w:vertAlign w:val="baseline"/>
              </w:rPr>
              <w:t>nebo nápravná</w:t>
            </w:r>
            <w:r>
              <w:t xml:space="preserve"> opatření uložená příslušným orgánem </w:t>
            </w:r>
            <w:r>
              <w:rPr>
                <w:b/>
                <w:i/>
                <w:strike w:val="0"/>
                <w:color w:val="auto"/>
                <w:highlight w:val="none"/>
                <w:u w:val="none" w:color="auto"/>
                <w:vertAlign w:val="baseline"/>
              </w:rPr>
              <w:t>nebo doporučená orgánem ESMA</w:t>
            </w:r>
            <w:r>
              <w:t xml:space="preserve"> za účelem plnění cílů sledovaných ustanovením, pro které byla požadována výjimka.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S ohledem na sbližování dohledu, soudržnost a přiměřenost výjimek udělených podle tohoto nařízení různými příslušnými vnitrostátními orgány v celé Unii, které nemusí sdílet stejnou úroveň technologických vědomostí, a tím podporovat rovné podmínky a odrazovat od regulatorní arbitráže, se navrhuje posílit úlohu orgánu ESMA. V souladu s opatřením č. 16 nového akčního plánu Unie kapitálových trhů vypracovaného Komisí.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rPr>
                <w:b/>
                <w:i/>
                <w:strike w:val="0"/>
                <w:color w:val="auto"/>
                <w:highlight w:val="none"/>
                <w:u w:val="none" w:color="auto"/>
                <w:vertAlign w:val="baseline"/>
              </w:rPr>
              <w:t>Systém DLT MTF by měl mít</w:t>
            </w:r>
            <w:r>
              <w:t xml:space="preserve"> možnost požádat o udělení jedné nebo více dočasných výjimek, které jsou uvedeny v tomto nařízení a které uděluje příslušný orgán, pokud splňuje podmínky spojené s takovými výjimkami a další požadavky stanovené tímto nařízením pro řešení nových forem rizik vyvolaných používáním DLT. Systém DLT MTF by rovněž měl dodržovat všechna kompenzační opatření uložená příslušným orgánem za účelem plnění cílů sledovaných ustanovením, pro které byla požadována výjimka.</w:t>
            </w:r>
          </w:p>
        </w:tc>
        <w:tc>
          <w:tcPr>
            <w:tcW w:w="4876" w:type="dxa"/>
            <w:vAlign w:val="top"/>
          </w:tcPr>
          <w:p>
            <w:pPr>
              <w:pStyle w:val="Normal6a"/>
            </w:pPr>
            <w:r>
              <w:t>(14)</w:t>
            </w:r>
            <w:r>
              <w:tab/>
            </w:r>
            <w:r>
              <w:rPr>
                <w:b/>
                <w:i/>
                <w:strike w:val="0"/>
                <w:color w:val="auto"/>
                <w:highlight w:val="none"/>
                <w:u w:val="none" w:color="auto"/>
                <w:vertAlign w:val="baseline"/>
              </w:rPr>
              <w:t>Poté, co orgán ESMA vydá doporučení, měl by mít systém DLT MTF</w:t>
            </w:r>
            <w:r>
              <w:t xml:space="preserve"> možnost požádat o udělení jedné nebo více dočasných výjimek, které jsou uvedeny v tomto nařízení a které uděluje příslušný orgán, pokud splňuje podmínky spojené s takovými výjimkami a další požadavky stanovené tímto nařízením pro řešení nových forem rizik vyvolaných používáním DLT. Systém DLT MTF by rovněž měl dodržovat všechna kompenzační </w:t>
            </w:r>
            <w:r>
              <w:rPr>
                <w:b/>
                <w:i/>
                <w:strike w:val="0"/>
                <w:color w:val="auto"/>
                <w:highlight w:val="none"/>
                <w:u w:val="none" w:color="auto"/>
                <w:vertAlign w:val="baseline"/>
              </w:rPr>
              <w:t>nebo nápravná</w:t>
            </w:r>
            <w:r>
              <w:t xml:space="preserve"> opatření uložená příslušným orgánem za účelem plnění cílů sledovaných ustanovením, pro které byla požadována výjimka.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tab/>
            </w:r>
            <w:r>
              <w:t>Systém DLT MTF by měl mít možnost požádat o udělení jedné nebo více dočasných výjimek, které jsou uvedeny v tomto nařízení a které uděluje příslušný orgán, pokud splňuje podmínky spojené s takovými výjimkami a další požadavky stanovené tímto nařízením pro řešení nových forem rizik vyvolaných používáním DLT. Systém DLT MTF by rovněž měl dodržovat všechna kompenzační opatření uložená příslušným orgánem za účelem plnění cílů sledovaných ustanovením, pro které byla požadována výjimka.</w:t>
            </w:r>
          </w:p>
        </w:tc>
        <w:tc>
          <w:tcPr>
            <w:tcW w:w="4876" w:type="dxa"/>
            <w:vAlign w:val="top"/>
          </w:tcPr>
          <w:p>
            <w:pPr>
              <w:pStyle w:val="Normal6a"/>
            </w:pPr>
            <w:r>
              <w:t>(14)</w:t>
            </w:r>
            <w:r>
              <w:tab/>
            </w:r>
            <w:r>
              <w:t xml:space="preserve">Systém DLT MTF by </w:t>
            </w:r>
            <w:r>
              <w:rPr>
                <w:b/>
                <w:i/>
                <w:strike w:val="0"/>
                <w:color w:val="auto"/>
                <w:highlight w:val="none"/>
                <w:u w:val="none" w:color="auto"/>
                <w:vertAlign w:val="baseline"/>
              </w:rPr>
              <w:t>poté, co orgán ESMA vydá nezávazné stanovisko,</w:t>
            </w:r>
            <w:r>
              <w:t xml:space="preserve"> měl mít možnost požádat o udělení jedné nebo více dočasných výjimek, které jsou uvedeny v tomto nařízení a které uděluje příslušný orgán, pokud splňuje podmínky spojené s takovými výjimkami a další požadavky stanovené tímto nařízením pro řešení nových forem rizik vyvolaných používáním DLT. Systém DLT MTF by rovněž měl dodržovat všechna kompenzační opatření uložená příslušným orgánem za účelem plnění cílů sledovaných ustanovením, pro které byla požadována výjimka.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Pokud je finanční nástroj přijat k obchodování v systému MTF, musí být zaevidován u povoleného centrálního depozitáře cenných papírů v souladu s nařízením (EU) č. 909/2014 (nařízení o centrálním depozitáři cenných papírů). Zatímco k zaevidování převoditelného cenného papíru a k vypořádání souvisejících transakcí by mohlo potenciálně docházet ve sdíleném registru, nařízení (EU) č. 909/2014 ukládá zprostředkování ze strany centrálního depozitáře, přičemž povinnost replikovat záznam ve sdíleném registru u centrálního depozitáře by mohla znamenat funkčně nadbytečný krok v životním cyklu obchodu s finančním nástrojem zpracovávaným tržními infrastrukturami DLT, na které se vztahuje toto nařízení. Systém DLT MTF by proto měl mít možnost požádat o výjimku z požadavku na zápis a evidenci u centrálního depozitáře stanoveného nařízením (EU) č. 909/2014, pokud DLT MTF splňuje požadavky rovnocenné těm, které se vztahují na centrální depozitář. Systém DLT MTF by měl evidovat převoditelné cenné papíry ve svém sdíleném registru, zajistit integritu emisí ve sdíleném registru, zavést a udržovat postupy k zajištění úschovy převoditelných cenných papírů vedených na DLT, v plném rozsahu provádět vypořádání transakcí a zabraňovat selhání vypořádání.</w:t>
            </w:r>
          </w:p>
        </w:tc>
        <w:tc>
          <w:tcPr>
            <w:tcW w:w="4876" w:type="dxa"/>
            <w:vAlign w:val="top"/>
          </w:tcPr>
          <w:p>
            <w:pPr>
              <w:pStyle w:val="Normal6a"/>
            </w:pPr>
            <w:r>
              <w:t>(15)</w:t>
            </w:r>
            <w:r>
              <w:tab/>
            </w:r>
            <w:r>
              <w:t xml:space="preserve">Pokud je finanční nástroj přijat k obchodování v systému MTF, musí být zaevidován u povoleného centrálního depozitáře cenných papírů </w:t>
            </w:r>
            <w:r>
              <w:rPr>
                <w:b/>
                <w:i/>
                <w:strike w:val="0"/>
                <w:color w:val="auto"/>
                <w:highlight w:val="none"/>
                <w:u w:val="none" w:color="auto"/>
                <w:vertAlign w:val="baseline"/>
              </w:rPr>
              <w:t>(CSD)</w:t>
            </w:r>
            <w:r>
              <w:t xml:space="preserve"> v souladu s nařízením (EU) č. 909/2014 (nařízení o centrálním depozitáři cenných papírů </w:t>
            </w:r>
            <w:r>
              <w:rPr>
                <w:b/>
                <w:i/>
                <w:strike w:val="0"/>
                <w:color w:val="auto"/>
                <w:highlight w:val="none"/>
                <w:u w:val="none" w:color="auto"/>
                <w:vertAlign w:val="baseline"/>
              </w:rPr>
              <w:t>- CSDR</w:t>
            </w:r>
            <w:r>
              <w:t>). Zatímco k zaevidování převoditelného cenného papíru a k vypořádání souvisejících transakcí by mohlo potenciálně docházet ve sdíleném registru, nařízení (EU) č. 909/2014 ukládá zprostředkování ze strany centrálního depozitáře, přičemž povinnost replikovat záznam ve sdíleném registru u centrálního depozitáře by mohla znamenat funkčně nadbytečný krok v životním cyklu obchodu s finančním nástrojem zpracovávaným tržními infrastrukturami DLT, na které se vztahuje toto nařízení. Systém DLT MTF by proto měl mít možnost požádat o výjimku z požadavku na zápis a evidenci u centrálního depozitáře stanoveného nařízením (EU) č. 909/2014, pokud DLT MTF splňuje požadavky rovnocenné těm, které se vztahují na centrální depozitář. Systém DLT MTF by měl evidovat převoditelné cenné papíry ve svém sdíleném registru, zajistit integritu emisí ve sdíleném registru, zavést a udržovat postupy k zajištění úschovy převoditelných cenných papírů vedených na DLT, v plném rozsahu provádět vypořádání transakcí a zabraňovat selhání vypořádání.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Možnost používat technologii blockchain pro veřejnost, s povolením nebo konsorcii, která již byla použita v evropských projektech DLT, by pilotnímu režimu umožnila vyzkoušet a vyvinout nové modely/úlohy a obstát i v budoucnu. U každého zvoleného druhu DLT (veřejného, konsorciálního nebo soukromého) by během procesu udělování povolení vnitrostátními příslušnými orgány a orgánem ESMA musel systém DLT MTF nebo systém DLT SSS zdokumentovat a zajistit ochranu investorů, integritu trhu a finanční stabilitu.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(15)</w:t>
            </w:r>
            <w:r>
              <w:tab/>
            </w:r>
            <w:r>
              <w:t xml:space="preserve">Pokud je finanční nástroj přijat k obchodování v systému MTF, musí být zaevidován u povoleného centrálního depozitáře cenných papírů v souladu s nařízením (EU) č. 909/2014 (nařízení o centrálním depozitáři cenných papírů). Zatímco k zaevidování převoditelného cenného papíru a k vypořádání souvisejících transakcí by mohlo potenciálně docházet ve sdíleném registru, nařízení (EU) č. 909/2014 ukládá zprostředkování ze strany centrálního depozitáře, přičemž povinnost replikovat záznam ve sdíleném registru u centrálního depozitáře by mohla znamenat funkčně nadbytečný krok v životním cyklu obchodu s finančním nástrojem zpracovávaným tržními infrastrukturami DLT, na které se vztahuje toto nařízení. Systém DLT MTF by proto měl mít možnost požádat o výjimku z požadavku na zápis a evidenci u centrálního depozitáře stanoveného nařízením (EU) č. 909/2014, pokud DLT MTF splňuje požadavky rovnocenné těm, které se vztahují na centrální depozitář. Systém DLT MTF by měl evidovat převoditelné cenné papíry ve </w:t>
            </w:r>
            <w:r>
              <w:rPr>
                <w:b/>
                <w:i/>
                <w:strike w:val="0"/>
                <w:color w:val="auto"/>
                <w:highlight w:val="none"/>
                <w:u w:val="none" w:color="auto"/>
                <w:vertAlign w:val="baseline"/>
              </w:rPr>
              <w:t>svém</w:t>
            </w:r>
            <w:r>
              <w:t xml:space="preserve"> sdíleném registru, zajistit integritu emisí ve sdíleném registru, zavést a udržovat postupy k zajištění úschovy převoditelných cenných papírů vedených na DLT, v plném rozsahu provádět vypořádání transakcí a zabraňovat selhání vypořádání.</w:t>
            </w:r>
          </w:p>
        </w:tc>
        <w:tc>
          <w:tcPr>
            <w:tcW w:w="4876" w:type="dxa"/>
            <w:vAlign w:val="top"/>
          </w:tcPr>
          <w:p>
            <w:pPr>
              <w:pStyle w:val="Normal6a"/>
            </w:pPr>
            <w:r>
              <w:t>(15)</w:t>
            </w:r>
            <w:r>
              <w:tab/>
            </w:r>
            <w:r>
              <w:t>Pokud je finanční nástroj přijat k obchodování v systému MTF, musí být zaevidován u povoleného centrálního depozitáře cenných papírů v souladu s nařízením (EU) č. 909/2014 (nařízení o centrálním depozitáři cenných papírů). Zatímco k zaevidování převoditelného cenného papíru a k vypořádání souvisejících transakcí by mohlo potenciálně docházet ve sdíleném registru, nařízení (EU) č. 909/2014 ukládá zprostředkování ze strany centrálního depozitáře, přičemž povinnost replikovat záznam ve sdíleném registru u centrálního depozitáře by mohla znamenat funkčně nadbytečný krok v životním cyklu obchodu s finančním nástrojem zpracovávaným tržními infrastrukturami DLT, na které se vztahuje toto nařízení. Systém DLT MTF by proto měl mít možnost požádat o výjimku z požadavku na zápis a evidenci u centrálního depozitáře stanoveného nařízením (EU) č. 909/2014, pokud DLT MTF splňuje požadavky rovnocenné těm, které se vztahují na centrální depozitář. Systém DLT MTF by měl evidovat převoditelné cenné papíry ve sdíleném registru, zajistit integritu emisí ve sdíleném registru, zavést a udržovat postupy k zajištění úschovy převoditelných cenných papírů vedených na DLT, v plném rozsahu provádět vypořádání transakcí a zabraňovat selhání vypořádání.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(16)</w:t>
            </w:r>
            <w:r>
              <w:tab/>
            </w:r>
            <w:r>
              <w:t xml:space="preserve">Při provádění vypořádání transakcí s převoditelnými cennými papíry vedenými na DLT by systém DLT MTF měl zajistit, aby k platbě za převoditelné cenné papíry vedené na DLT ze strany kupujícího došlo současně s dodáním těchto cenných papírů ze strany prodávajícího (dodání proti zaplacení). Pokud je to možné a dostupné, </w:t>
            </w:r>
            <w:r>
              <w:rPr>
                <w:b/>
                <w:i/>
                <w:strike w:val="0"/>
                <w:color w:val="auto"/>
                <w:highlight w:val="none"/>
                <w:u w:val="none" w:color="auto"/>
                <w:vertAlign w:val="baseline"/>
              </w:rPr>
              <w:t>měly</w:t>
            </w:r>
            <w:r>
              <w:t xml:space="preserve"> by být </w:t>
            </w:r>
            <w:r>
              <w:rPr>
                <w:b/>
                <w:i/>
                <w:strike w:val="0"/>
                <w:color w:val="auto"/>
                <w:highlight w:val="none"/>
                <w:u w:val="none" w:color="auto"/>
                <w:vertAlign w:val="baseline"/>
              </w:rPr>
              <w:t>peněžní platby vypořádány</w:t>
            </w:r>
            <w:r>
              <w:t xml:space="preserve"> prostřednictvím peněz centrální banky, a pokud to možné nebo dostupné není, prostřednictvím peněz komerčních bank. Aby bylo možné zkoušet inovativní řešení a umožnit ve sdíleném registru provádění </w:t>
            </w:r>
            <w:r>
              <w:rPr>
                <w:b/>
                <w:i/>
                <w:strike w:val="0"/>
                <w:color w:val="auto"/>
                <w:highlight w:val="none"/>
                <w:u w:val="none" w:color="auto"/>
                <w:vertAlign w:val="baseline"/>
              </w:rPr>
              <w:t>peněžních plateb</w:t>
            </w:r>
            <w:r>
              <w:t>, mělo by být systému DLT MTF také umožněno používat tzv. settlement coins, tj. peníze komerčních bank v tokenizované podobě, nebo elektronické peněžní tokeny definované v nařízení 2021/XX o trzích s kryptoaktivy</w:t>
            </w:r>
            <w:r>
              <w:rPr>
                <w:rStyle w:val="SupBoldItalic"/>
              </w:rPr>
              <w:t>43</w:t>
            </w:r>
            <w:r>
              <w:t xml:space="preserve">. Při používání peněz komerčních bank pro </w:t>
            </w:r>
            <w:r>
              <w:rPr>
                <w:b/>
                <w:i/>
                <w:strike w:val="0"/>
                <w:color w:val="auto"/>
                <w:highlight w:val="none"/>
                <w:u w:val="none" w:color="auto"/>
                <w:vertAlign w:val="baseline"/>
              </w:rPr>
              <w:t>peněžní platby</w:t>
            </w:r>
            <w:r>
              <w:t xml:space="preserve"> by systém DLT MTF měl omezit riziko protistrany stanovením striktních kritérií pro úvěrové instituce provádějící vypořádání hotovostních plateb (jako je jejich regulace a dohled nad nimi, úvěruschopnost, kapitalizace, přístup k likviditě a provozní spolehlivost) a také sledováním, zda je tyto instituce splňují.</w:t>
            </w:r>
          </w:p>
        </w:tc>
        <w:tc>
          <w:tcPr>
            <w:tcW w:w="4876" w:type="dxa"/>
            <w:vAlign w:val="top"/>
          </w:tcPr>
          <w:p>
            <w:pPr>
              <w:pStyle w:val="Normal6a"/>
            </w:pPr>
            <w:r>
              <w:t>(16)</w:t>
            </w:r>
            <w:r>
              <w:tab/>
            </w:r>
            <w:r>
              <w:t>Při provádění vypořádání transakcí s převoditelnými cennými papíry vedenými na DLT by systém DLT MTF měl zajistit, aby k platbě za převoditelné cenné papíry vedené na DLT ze strany kupujícího došlo současně s dodáním těchto cenných papírů ze strany prodávajícího (dodání proti zaplacení</w:t>
            </w:r>
            <w:r>
              <w:rPr>
                <w:b/>
                <w:i/>
                <w:strike w:val="0"/>
                <w:color w:val="auto"/>
                <w:highlight w:val="none"/>
                <w:u w:val="none" w:color="auto"/>
                <w:vertAlign w:val="baseline"/>
              </w:rPr>
              <w:t>, DvP</w:t>
            </w:r>
            <w:r>
              <w:t>). Pokud je to možné a dostupné, </w:t>
            </w:r>
            <w:r>
              <w:rPr>
                <w:b/>
                <w:i/>
                <w:strike w:val="0"/>
                <w:color w:val="auto"/>
                <w:highlight w:val="none"/>
                <w:u w:val="none" w:color="auto"/>
                <w:vertAlign w:val="baseline"/>
              </w:rPr>
              <w:t>měla</w:t>
            </w:r>
            <w:r>
              <w:t> by být </w:t>
            </w:r>
            <w:r>
              <w:rPr>
                <w:b/>
                <w:i/>
                <w:strike w:val="0"/>
                <w:color w:val="auto"/>
                <w:highlight w:val="none"/>
                <w:u w:val="none" w:color="auto"/>
                <w:vertAlign w:val="baseline"/>
              </w:rPr>
              <w:t>platební komponenta vypořádána</w:t>
            </w:r>
            <w:r>
              <w:t xml:space="preserve"> prostřednictvím peněz centrální banky, a pokud to možné nebo dostupné není, prostřednictvím peněz komerčních bank. Aby bylo možné zkoušet inovativní řešení a umožnit ve sdíleném registru provádění </w:t>
            </w:r>
            <w:r>
              <w:rPr>
                <w:b/>
                <w:i/>
                <w:strike w:val="0"/>
                <w:color w:val="auto"/>
                <w:highlight w:val="none"/>
                <w:u w:val="none" w:color="auto"/>
                <w:vertAlign w:val="baseline"/>
              </w:rPr>
              <w:t>platební komponenty</w:t>
            </w:r>
            <w:r>
              <w:t xml:space="preserve">, mělo by být systému DLT MTF také umožněno používat tzv. settlement coins, tj. peníze komerčních bank v tokenizované podobě, nebo elektronické peněžní tokeny definované v nařízení 2021/XX o trzích s kryptoaktivy. Při používání peněz komerčních bank pro </w:t>
            </w:r>
            <w:r>
              <w:rPr>
                <w:b/>
                <w:i/>
                <w:strike w:val="0"/>
                <w:color w:val="auto"/>
                <w:highlight w:val="none"/>
                <w:u w:val="none" w:color="auto"/>
                <w:vertAlign w:val="baseline"/>
              </w:rPr>
              <w:t>platební komponenty</w:t>
            </w:r>
            <w:r>
              <w:t xml:space="preserve"> by systém DLT MTF měl omezit riziko protistrany stanovením striktních kritérií pro úvěrové instituce provádějící vypořádání hotovostních plateb (jako je jejich regulace a dohled nad nimi, úvěruschopnost, kapitalizace, přístup k likviditě a provozní spolehlivost) a také sledováním, zda je tyto instituce splňují. </w:t>
            </w:r>
            <w:r>
              <w:rPr>
                <w:b/>
                <w:i/>
                <w:strike w:val="0"/>
                <w:color w:val="auto"/>
                <w:highlight w:val="none"/>
                <w:u w:val="none" w:color="auto"/>
                <w:vertAlign w:val="baseline"/>
              </w:rPr>
              <w:t>Při použití elektronických peněžních tokenů pro platební komponentu by účastníci DLT MTF měli mít možnost otevřít účty přímo u DLT MTF pro účely zúčtování platební komponenty v elektronických peněžních tokenech, nebo alternativně by DLT MTF a jeho účastníci měli mít možnost otevřít účet u třetí strany poskytující služby týkající se elektronických peněžních tokenů.</w:t>
            </w:r>
            <w:r>
              <w:t xml:space="preserve"> </w:t>
            </w:r>
            <w:r>
              <w:rPr>
                <w:b/>
                <w:i/>
                <w:strike w:val="0"/>
                <w:color w:val="auto"/>
                <w:highlight w:val="none"/>
                <w:u w:val="none" w:color="auto"/>
                <w:vertAlign w:val="baseline"/>
              </w:rPr>
              <w:t>V těchto případech by systém DLT MTF nebo třetí strana měly být emitentem elektronických peněžních tokenů a měly by zajistit, aby vypořádání platební komponenty probíhalo v elektronických peněžních tokenech.</w:t>
            </w:r>
            <w:r>
              <w:t xml:space="preserve"> </w:t>
            </w:r>
            <w:r>
              <w:rPr>
                <w:b/>
                <w:i/>
                <w:strike w:val="0"/>
                <w:color w:val="auto"/>
                <w:highlight w:val="none"/>
                <w:u w:val="none" w:color="auto"/>
                <w:vertAlign w:val="baseline"/>
              </w:rPr>
              <w:t>Vzhledem k tomu, že elektronické peněžní tokeny mohou vydávat pouze úvěrové instituce nebo instituce elektronických peněz podle nařízení č.2021/XX o trzích s kryptoaktivy, výjimka stanovená tímto nařízením, pokud jde o ustanovení o vypořádání plateb stanovená v nařízení o centrálních depozitářích cenných papírů, nemá za cíl osvobodit systém DLT MTF nebo třetí stranu, která vydává elektronické peněžní tokeny a vypořádává platební komponentu transakcí s cennými papíry prostřednictvím vlastních účtů, od požadavků na udělování licencí podle nařízení č. 2021/XX o trzích s kryptoaktivy.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43</w:t>
            </w:r>
            <w:r>
              <w:t xml:space="preserve"> </w:t>
            </w:r>
            <w:r>
              <w:rPr>
                <w:b/>
                <w:i/>
                <w:strike w:val="0"/>
                <w:color w:val="auto"/>
                <w:highlight w:val="none"/>
                <w:u w:val="none" w:color="auto"/>
                <w:vertAlign w:val="baseline"/>
              </w:rPr>
              <w:t>Návrh nařízení Evropského parlamentu a Rady o trzích s kryptoaktivy a o změně směrnice (EU) 2019/1937 (COM(2020) 593).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Dále se navrhuje začlenit bod 3.3.7 stanoviska ECB k pilotnímu režimu DLT ze dne 28. dubna, pokud jde o vypořádání v elektronických peněžních tokenech.</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Aby byla systému DLT MTF udělena výjimka podle tohoto nařízení, měl by prokázat, že výjimka je přiměřená a omezená na použití DLT, jak je popsáno v jeho obchodním plánu, a že požadovaná výjimka je omezena na systém DLT MTF a nevztahuje se na žádné jiné systémy MTF provozované stejným investičním podnikem nebo organizátorem trhu.</w:t>
            </w:r>
          </w:p>
        </w:tc>
        <w:tc>
          <w:tcPr>
            <w:tcW w:w="4876" w:type="dxa"/>
            <w:vAlign w:val="top"/>
          </w:tcPr>
          <w:p>
            <w:pPr>
              <w:pStyle w:val="Normal6a"/>
            </w:pPr>
            <w:r>
              <w:t>(18)</w:t>
            </w:r>
            <w:r>
              <w:tab/>
            </w:r>
            <w:r>
              <w:t xml:space="preserve">Aby byla systému DLT MTF udělena výjimka podle tohoto nařízení, měl by prokázat, že </w:t>
            </w:r>
            <w:r>
              <w:rPr>
                <w:b/>
                <w:i/>
                <w:strike w:val="0"/>
                <w:color w:val="auto"/>
                <w:highlight w:val="none"/>
                <w:u w:val="none" w:color="auto"/>
                <w:vertAlign w:val="baseline"/>
              </w:rPr>
              <w:t>požadovaná</w:t>
            </w:r>
            <w:r>
              <w:t xml:space="preserve"> výjimka je přiměřená a omezená na použití DLT, jak je popsáno v jeho obchodním plánu, a že požadovaná výjimka je omezena na systém DLT MTF a nevztahuje se na žádné jiné systémy MTF provozované stejným investičním podnikem nebo organizátorem trhu. </w:t>
            </w:r>
            <w:r>
              <w:rPr>
                <w:b/>
                <w:i/>
                <w:strike w:val="0"/>
                <w:color w:val="auto"/>
                <w:highlight w:val="none"/>
                <w:u w:val="none" w:color="auto"/>
                <w:vertAlign w:val="baseline"/>
              </w:rPr>
              <w:t>Kromě toho, pokud provozovatel systému DLT MTF provozuje jakýkoli jiný MTF, mělo by být prokázáno, že provoz systému DLT MTF nebude mít za žádných okolností vliv na provoz a odolnost jakéhokoli jiného MTF, například pokud se jeden nebo více subjektů účastní jak pravidelného MTF, tak DLT MTF provozovaného stejným provozovatelem.</w:t>
            </w:r>
            <w:r>
              <w:t xml:space="preserve"> </w:t>
            </w:r>
            <w:r>
              <w:rPr>
                <w:b/>
                <w:i/>
                <w:strike w:val="0"/>
                <w:color w:val="auto"/>
                <w:highlight w:val="none"/>
                <w:u w:val="none" w:color="auto"/>
                <w:vertAlign w:val="baseline"/>
              </w:rPr>
              <w:t>Za těchto okolností by měl provozovatel systému DLT MTF jasně vysvětlit rizika platební neschopnosti a neodvolatelnosti zúčtování, jimž jsou jeho účastníci vystaveni, jakož i veškerá opatření, která zavedl ke zmírnění těchto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poznámky. Kromě toho se navrhuje začlenit druhou poznámku v bodě 3.4 „Stanoviska ECB k pilotnímu režimu DLT“ ze dne 28. dubna, aby se zajistilo účelové vázání mnohostranného obchodního systému DLT v případě, že jejich provozovatel provozuje i jiné mnohostranné obchodní systémy.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(18)</w:t>
            </w:r>
            <w:r>
              <w:tab/>
            </w:r>
            <w:r>
              <w:t>Aby byla systému DLT MTF udělena výjimka podle tohoto nařízení, měl by prokázat, že výjimka je přiměřená a omezená na použití DLT, jak je popsáno v jeho obchodním plánu, a že požadovaná výjimka je omezena na systém DLT MTF a nevztahuje se na žádné jiné systémy MTF provozované stejným investičním podnikem nebo organizátorem trhu.</w:t>
            </w:r>
          </w:p>
        </w:tc>
        <w:tc>
          <w:tcPr>
            <w:tcW w:w="4876" w:type="dxa"/>
            <w:vAlign w:val="top"/>
          </w:tcPr>
          <w:p>
            <w:pPr>
              <w:pStyle w:val="Normal6a"/>
            </w:pPr>
            <w:r>
              <w:t>(18)</w:t>
            </w:r>
            <w:r>
              <w:tab/>
            </w:r>
            <w:r>
              <w:t>Aby byla systému DLT MTF udělena výjimka podle tohoto nařízení, měl by prokázat, že výjimka je přiměřená a omezená na použití DLT, jak je popsáno v jeho obchodním plánu, a že požadovaná výjimka je omezena na systém DLT MTF a</w:t>
            </w:r>
            <w:r>
              <w:rPr>
                <w:b/>
                <w:i/>
                <w:strike w:val="0"/>
                <w:color w:val="auto"/>
                <w:highlight w:val="none"/>
                <w:u w:val="none" w:color="auto"/>
                <w:vertAlign w:val="baseline"/>
              </w:rPr>
              <w:t>, pokud je subjekt provozující DLT MTF investičním ponikem nebo organizátorem trhu,</w:t>
            </w:r>
            <w:r>
              <w:t xml:space="preserve"> nevztahuje se na žádné jiné systémy MTF provozované stejným investičním podnikem nebo organizátorem trhu.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t xml:space="preserve">Centrální depozitář provozující systém </w:t>
            </w:r>
            <w:r>
              <w:rPr>
                <w:b/>
                <w:i/>
                <w:strike w:val="0"/>
                <w:color w:val="auto"/>
                <w:highlight w:val="none"/>
                <w:u w:val="none" w:color="auto"/>
                <w:vertAlign w:val="baseline"/>
              </w:rPr>
              <w:t>vypořádání obchodů s cennými papíry vedenými na DLT</w:t>
            </w:r>
            <w:r>
              <w:t xml:space="preserve"> by měl mít možnost požádat o udělení jedné nebo více dočasných výjimek uvedených v tomto nařízení, které uděluje příslušný orgán, pokud splňuje podmínky spojené s takovými výjimkami a další požadavky pro řešení nových forem rizik vyvolaných používáním DLT. Centrální depozitář provozující systém </w:t>
            </w:r>
            <w:r>
              <w:rPr>
                <w:b/>
                <w:i/>
                <w:strike w:val="0"/>
                <w:color w:val="auto"/>
                <w:highlight w:val="none"/>
                <w:u w:val="none" w:color="auto"/>
                <w:vertAlign w:val="baseline"/>
              </w:rPr>
              <w:t>vypořádání obchodů s cennými papíry vedenými na DLT</w:t>
            </w:r>
            <w:r>
              <w:t xml:space="preserve"> by měl dodržovat veškerá kompenzační opatření uložená příslušným orgánem za účelem plnění cílů sledovaných ustanovením, pro které byla výjimka požadována.</w:t>
            </w:r>
          </w:p>
        </w:tc>
        <w:tc>
          <w:tcPr>
            <w:tcW w:w="4876" w:type="dxa"/>
            <w:vAlign w:val="top"/>
          </w:tcPr>
          <w:p>
            <w:pPr>
              <w:pStyle w:val="Normal6a"/>
            </w:pPr>
            <w:r>
              <w:t>(19)</w:t>
            </w:r>
            <w:r>
              <w:tab/>
            </w:r>
            <w:r>
              <w:t xml:space="preserve">Centrální depozitář provozující systém </w:t>
            </w:r>
            <w:r>
              <w:rPr>
                <w:b/>
                <w:i/>
                <w:strike w:val="0"/>
                <w:color w:val="auto"/>
                <w:highlight w:val="none"/>
                <w:u w:val="none" w:color="auto"/>
                <w:vertAlign w:val="baseline"/>
              </w:rPr>
              <w:t>DLT SSS</w:t>
            </w:r>
            <w:r>
              <w:t xml:space="preserve"> by měl mít možnost požádat o udělení jedné nebo více dočasných výjimek uvedených v tomto nařízení, které uděluje příslušný orgán </w:t>
            </w:r>
            <w:r>
              <w:rPr>
                <w:b/>
                <w:i/>
                <w:strike w:val="0"/>
                <w:color w:val="auto"/>
                <w:highlight w:val="none"/>
                <w:u w:val="none" w:color="auto"/>
                <w:vertAlign w:val="baseline"/>
              </w:rPr>
              <w:t>na základě doporučení vydaného orgánem ESMA</w:t>
            </w:r>
            <w:r>
              <w:t xml:space="preserve">, pokud splňuje podmínky spojené s takovými výjimkami a další požadavky pro řešení nových forem rizik vyvolaných používáním DLT </w:t>
            </w:r>
            <w:r>
              <w:rPr>
                <w:b/>
                <w:i/>
                <w:strike w:val="0"/>
                <w:color w:val="auto"/>
                <w:highlight w:val="none"/>
                <w:u w:val="none" w:color="auto"/>
                <w:vertAlign w:val="baseline"/>
              </w:rPr>
              <w:t>stanovené v tomto nařízení</w:t>
            </w:r>
            <w:r>
              <w:t xml:space="preserve">. Centrální depozitář provozující systém </w:t>
            </w:r>
            <w:r>
              <w:rPr>
                <w:b/>
                <w:i/>
                <w:strike w:val="0"/>
                <w:color w:val="auto"/>
                <w:highlight w:val="none"/>
                <w:u w:val="none" w:color="auto"/>
                <w:vertAlign w:val="baseline"/>
              </w:rPr>
              <w:t>DLT SSS</w:t>
            </w:r>
            <w:r>
              <w:t xml:space="preserve"> by měl </w:t>
            </w:r>
            <w:r>
              <w:rPr>
                <w:b/>
                <w:i/>
                <w:strike w:val="0"/>
                <w:color w:val="auto"/>
                <w:highlight w:val="none"/>
                <w:u w:val="none" w:color="auto"/>
                <w:vertAlign w:val="baseline"/>
              </w:rPr>
              <w:t>rovněž</w:t>
            </w:r>
            <w:r>
              <w:t xml:space="preserve"> dodržovat veškerá kompenzační </w:t>
            </w:r>
            <w:r>
              <w:rPr>
                <w:b/>
                <w:i/>
                <w:strike w:val="0"/>
                <w:color w:val="auto"/>
                <w:highlight w:val="none"/>
                <w:u w:val="none" w:color="auto"/>
                <w:vertAlign w:val="baseline"/>
              </w:rPr>
              <w:t>nebo nápravná</w:t>
            </w:r>
            <w:r>
              <w:t xml:space="preserve"> opatření uložená příslušným orgánem </w:t>
            </w:r>
            <w:r>
              <w:rPr>
                <w:b/>
                <w:i/>
                <w:strike w:val="0"/>
                <w:color w:val="auto"/>
                <w:highlight w:val="none"/>
                <w:u w:val="none" w:color="auto"/>
                <w:vertAlign w:val="baseline"/>
              </w:rPr>
              <w:t>nebo doporučená orgánem ESMA</w:t>
            </w:r>
            <w:r>
              <w:t> za účelem plnění cílů sledovaných ustanovením, pro které byla výjimka požadována.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19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(19)</w:t>
            </w:r>
            <w:r>
              <w:tab/>
            </w:r>
            <w:r>
              <w:rPr>
                <w:b/>
                <w:i/>
                <w:strike w:val="0"/>
                <w:color w:val="auto"/>
                <w:highlight w:val="none"/>
                <w:u w:val="none" w:color="auto"/>
                <w:vertAlign w:val="baseline"/>
              </w:rPr>
              <w:t>Centrální depozitář</w:t>
            </w:r>
            <w:r>
              <w:t xml:space="preserve"> provozující systém vypořádání obchodů s cennými papíry vedenými na DLT by měl mít možnost požádat o udělení jedné nebo více dočasných výjimek uvedených v tomto nařízení, které uděluje příslušný orgán, pokud splňuje podmínky spojené s takovými výjimkami a další požadavky pro řešení nových forem rizik vyvolaných používáním DLT. </w:t>
            </w:r>
            <w:r>
              <w:rPr>
                <w:b/>
                <w:i/>
                <w:strike w:val="0"/>
                <w:color w:val="auto"/>
                <w:highlight w:val="none"/>
                <w:u w:val="none" w:color="auto"/>
                <w:vertAlign w:val="baseline"/>
              </w:rPr>
              <w:t>Centrální depozitář</w:t>
            </w:r>
            <w:r>
              <w:t xml:space="preserve"> provozující systém vypořádání obchodů s cennými papíry vedenými na DLT by měl dodržovat veškerá kompenzační opatření uložená příslušným orgánem za účelem plnění cílů sledovaných ustanovením, pro které byla výjimka požadována.</w:t>
            </w:r>
          </w:p>
        </w:tc>
        <w:tc>
          <w:tcPr>
            <w:tcW w:w="4876" w:type="dxa"/>
            <w:vAlign w:val="top"/>
          </w:tcPr>
          <w:p>
            <w:pPr>
              <w:pStyle w:val="Normal6a"/>
            </w:pPr>
            <w:r>
              <w:t>(19)</w:t>
            </w:r>
            <w:r>
              <w:tab/>
            </w:r>
            <w:r>
              <w:rPr>
                <w:b/>
                <w:i/>
                <w:strike w:val="0"/>
                <w:color w:val="auto"/>
                <w:highlight w:val="none"/>
                <w:u w:val="none" w:color="auto"/>
                <w:vertAlign w:val="baseline"/>
              </w:rPr>
              <w:t>Subjekt</w:t>
            </w:r>
            <w:r>
              <w:t xml:space="preserve"> provozující systém vypořádání obchodů s cennými papíry vedenými na DLT by měl mít možnost požádat o udělení jedné nebo více dočasných výjimek uvedených v tomto nařízení, které uděluje příslušný orgán, pokud splňuje podmínky spojené s takovými výjimkami a další požadavky pro řešení nových forem rizik vyvolaných používáním DLT. </w:t>
            </w:r>
            <w:r>
              <w:rPr>
                <w:b/>
                <w:i/>
                <w:strike w:val="0"/>
                <w:color w:val="auto"/>
                <w:highlight w:val="none"/>
                <w:u w:val="none" w:color="auto"/>
                <w:vertAlign w:val="baseline"/>
              </w:rPr>
              <w:t>Subjekt</w:t>
            </w:r>
            <w:r>
              <w:t xml:space="preserve"> provozující systém vypořádání obchodů s cennými papíry vedenými na DLT by měl dodržovat veškerá kompenzační opatření uložená příslušným orgánem za účelem plnění cílů sledovaných ustanovením, pro které byla výjimka požadována.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Centrálnímu depozitáři provozujícímu systém vypořádání obchodů s cennými papíry by mělo být umožněno požadovat výjimky z různých ustanovení, která pravděpodobně tvoří regulační překážky pro rozvoj systémů vypořádání obchodů s cennými papíry pro převoditelné cenné papíry. Centrální depozitář by například měl mít možnost požádat o výjimku z některých definic zakotvených v nařízení (EU) č. 909/2014 (nařízení o centrálních depozitářích cenných papírů), například z definice pojmu „zaknihovaná podoba“, „účet cenných papírů“ nebo „převodní příkaz“, a o výjimky z ustanovení, která odkazují na pojem „účet cenných papírů“, jako jsou ustanovení obsahující pravidla pro evidenci cenných papírů, celistvost emise nebo oddělení účtů. Centrální depozitáře provozují systém vypořádání obchodů s cennými papíry </w:t>
            </w:r>
            <w:r>
              <w:rPr>
                <w:b/>
                <w:i/>
                <w:strike w:val="0"/>
                <w:color w:val="auto"/>
                <w:highlight w:val="none"/>
                <w:u w:val="none" w:color="auto"/>
                <w:vertAlign w:val="baseline"/>
              </w:rPr>
              <w:t>připisováním cenných papírů</w:t>
            </w:r>
            <w:r>
              <w:t xml:space="preserve"> na účty cenných papírů </w:t>
            </w:r>
            <w:r>
              <w:rPr>
                <w:b/>
                <w:i/>
                <w:strike w:val="0"/>
                <w:color w:val="auto"/>
                <w:highlight w:val="none"/>
                <w:u w:val="none" w:color="auto"/>
                <w:vertAlign w:val="baseline"/>
              </w:rPr>
              <w:t>jejich</w:t>
            </w:r>
            <w:r>
              <w:t xml:space="preserve"> účastníků a </w:t>
            </w:r>
            <w:r>
              <w:rPr>
                <w:b/>
                <w:i/>
                <w:strike w:val="0"/>
                <w:color w:val="auto"/>
                <w:highlight w:val="none"/>
                <w:u w:val="none" w:color="auto"/>
                <w:vertAlign w:val="baseline"/>
              </w:rPr>
              <w:t>odepisováním cenných papírů z těchto účtů. V systému DLT však nemusí vždy existovat účty cenných papírů vedené metodou podvojného (nebo vícečetného) zápisu</w:t>
            </w:r>
            <w:r>
              <w:t>. Centrální depozitář provozující systém vypořádání obchodů s cennými papíry vedenými na DLT by proto měl mít možnost požádat o výjimku z pravidel, která se týkají pojmu „účet cenných papírů“ nebo „forma zápisu do evidence cenných papírů“, pokud by to bylo nutné pro zaevidování převoditelných cenných papírů vedených na DLT do sdíleného registru</w:t>
            </w:r>
            <w:r>
              <w:rPr>
                <w:b/>
                <w:i/>
                <w:strike w:val="0"/>
                <w:color w:val="auto"/>
                <w:highlight w:val="none"/>
                <w:u w:val="none" w:color="auto"/>
                <w:vertAlign w:val="baseline"/>
              </w:rPr>
              <w:t>, zajištění integrity</w:t>
            </w:r>
            <w:r>
              <w:t xml:space="preserve"> emise převoditelných cenných papírů </w:t>
            </w:r>
            <w:r>
              <w:rPr>
                <w:b/>
                <w:i/>
                <w:strike w:val="0"/>
                <w:color w:val="auto"/>
                <w:highlight w:val="none"/>
                <w:u w:val="none" w:color="auto"/>
                <w:vertAlign w:val="baseline"/>
              </w:rPr>
              <w:t>vedených na DLT ve sdíleném registru</w:t>
            </w:r>
            <w:r>
              <w:t xml:space="preserve"> a oddělení převoditelných cenných papírů </w:t>
            </w:r>
            <w:r>
              <w:rPr>
                <w:b/>
                <w:i/>
                <w:strike w:val="0"/>
                <w:color w:val="auto"/>
                <w:highlight w:val="none"/>
                <w:u w:val="none" w:color="auto"/>
                <w:vertAlign w:val="baseline"/>
              </w:rPr>
              <w:t>vedených na DLT patřících</w:t>
            </w:r>
            <w:r>
              <w:t xml:space="preserve"> různým účastníkům.</w:t>
            </w:r>
          </w:p>
        </w:tc>
        <w:tc>
          <w:tcPr>
            <w:tcW w:w="4876" w:type="dxa"/>
            <w:vAlign w:val="top"/>
          </w:tcPr>
          <w:p>
            <w:pPr>
              <w:pStyle w:val="Normal6a"/>
            </w:pPr>
            <w:r>
              <w:t>(20)</w:t>
            </w:r>
            <w:r>
              <w:tab/>
            </w:r>
            <w:r>
              <w:t xml:space="preserve">Centrálnímu depozitáři provozujícímu systém vypořádání obchodů s cennými papíry by mělo být umožněno požadovat výjimky z různých ustanovení, která pravděpodobně tvoří regulační překážky pro rozvoj systémů vypořádání obchodů s cennými papíry pro převoditelné cenné papíry. Centrální depozitář by například měl mít možnost požádat o výjimku z některých definic zakotvených v nařízení (EU) č. 909/2014 (nařízení o centrálních depozitářích cenných papírů), například z definice pojmu „zaknihovaná podoba“, „účet cenných papírů“ nebo „převodní příkaz“, a o výjimky z ustanovení, která odkazují na pojem „účet cenných papírů“, jako jsou ustanovení obsahující pravidla pro evidenci cenných papírů, celistvost emise nebo oddělení účtů. Centrální depozitáře provozují systém vypořádání obchodů s cennými papíry </w:t>
            </w:r>
            <w:r>
              <w:rPr>
                <w:b/>
                <w:i/>
                <w:strike w:val="0"/>
                <w:color w:val="auto"/>
                <w:highlight w:val="none"/>
                <w:u w:val="none" w:color="auto"/>
                <w:vertAlign w:val="baseline"/>
              </w:rPr>
              <w:t>tím, že připisují částky</w:t>
            </w:r>
            <w:r>
              <w:t xml:space="preserve"> na účty cenných papírů </w:t>
            </w:r>
            <w:r>
              <w:rPr>
                <w:b/>
                <w:i/>
                <w:strike w:val="0"/>
                <w:color w:val="auto"/>
                <w:highlight w:val="none"/>
                <w:u w:val="none" w:color="auto"/>
                <w:vertAlign w:val="baseline"/>
              </w:rPr>
              <w:t>svých</w:t>
            </w:r>
            <w:r>
              <w:t xml:space="preserve"> účastníků a </w:t>
            </w:r>
            <w:r>
              <w:rPr>
                <w:b/>
                <w:i/>
                <w:strike w:val="0"/>
                <w:color w:val="auto"/>
                <w:highlight w:val="none"/>
                <w:u w:val="none" w:color="auto"/>
                <w:vertAlign w:val="baseline"/>
              </w:rPr>
              <w:t>odepisují je</w:t>
            </w:r>
            <w:r>
              <w:t xml:space="preserve">. Centrální depozitář provozující systém vypořádání obchodů s cennými papíry vedenými na DLT </w:t>
            </w:r>
            <w:r>
              <w:rPr>
                <w:b/>
                <w:i/>
                <w:strike w:val="0"/>
                <w:color w:val="auto"/>
                <w:highlight w:val="none"/>
                <w:u w:val="none" w:color="auto"/>
                <w:vertAlign w:val="baseline"/>
              </w:rPr>
              <w:t>(DLT SSS)</w:t>
            </w:r>
            <w:r>
              <w:t xml:space="preserve"> by proto měl mít možnost požádat o výjimku z pravidel, která se týkají pojmu „účet cenných papírů“ nebo „forma zápisu do evidence cenných papírů“, pokud by to bylo nutné pro zaevidování převoditelných cenných papírů vedených na DLT do sdíleného registru</w:t>
            </w:r>
            <w:r>
              <w:rPr>
                <w:b/>
                <w:i/>
                <w:strike w:val="0"/>
                <w:color w:val="auto"/>
                <w:highlight w:val="none"/>
                <w:u w:val="none" w:color="auto"/>
                <w:vertAlign w:val="baseline"/>
              </w:rPr>
              <w:t>.</w:t>
            </w:r>
            <w:r>
              <w:t xml:space="preserve"> </w:t>
            </w:r>
            <w:r>
              <w:rPr>
                <w:b/>
                <w:i/>
                <w:strike w:val="0"/>
                <w:color w:val="auto"/>
                <w:highlight w:val="none"/>
                <w:u w:val="none" w:color="auto"/>
                <w:vertAlign w:val="baseline"/>
              </w:rPr>
              <w:t>Každý centrální depozitář provozující DLT SSS by však měl mít i nadále povinnost zajistit integritu</w:t>
            </w:r>
            <w:r>
              <w:t xml:space="preserve"> emise převoditelných cenných papírů </w:t>
            </w:r>
            <w:r>
              <w:rPr>
                <w:b/>
                <w:i/>
                <w:strike w:val="0"/>
                <w:color w:val="auto"/>
                <w:highlight w:val="none"/>
                <w:u w:val="none" w:color="auto"/>
                <w:vertAlign w:val="baseline"/>
              </w:rPr>
              <w:t>DLT v distribuované knize</w:t>
            </w:r>
            <w:r>
              <w:t xml:space="preserve"> a oddělení převoditelných cenných papírů </w:t>
            </w:r>
            <w:r>
              <w:rPr>
                <w:b/>
                <w:i/>
                <w:strike w:val="0"/>
                <w:color w:val="auto"/>
                <w:highlight w:val="none"/>
                <w:u w:val="none" w:color="auto"/>
                <w:vertAlign w:val="baseline"/>
              </w:rPr>
              <w:t>distribuované účetní knihy, které patří</w:t>
            </w:r>
            <w:r>
              <w:t xml:space="preserve"> různým účastníkům.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Je třeba zajistit, aby centrální depozitáře cenných papírů provozující DLT SSS byli pověřeni zajištěním integrity emise cenných papírů převoditelných DLT jinými prostředky, pokud nepoužívají zajišťovací účty, jak je požadováno v případě mnohostranných obchodních systémů.</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(20)</w:t>
            </w:r>
            <w:r>
              <w:tab/>
            </w:r>
            <w:r>
              <w:t xml:space="preserve">Centrálnímu depozitáři provozujícímu systém vypořádání obchodů s cennými papíry by mělo být umožněno požadovat výjimky z </w:t>
            </w:r>
            <w:r>
              <w:rPr>
                <w:b/>
                <w:i/>
                <w:strike w:val="0"/>
                <w:color w:val="auto"/>
                <w:highlight w:val="none"/>
                <w:u w:val="none" w:color="auto"/>
                <w:vertAlign w:val="baseline"/>
              </w:rPr>
              <w:t>různých</w:t>
            </w:r>
            <w:r>
              <w:t xml:space="preserve"> ustanovení, která pravděpodobně tvoří regulační překážky pro rozvoj systémů vypořádání obchodů s cennými papíry pro převoditelné cenné papíry. Centrální depozitář by například měl mít možnost požádat o výjimku z některých definic zakotvených v nařízení (EU) č. 909/2014 (nařízení o centrálních depozitářích cenných papírů), například z definice pojmu „zaknihovaná podoba“, „účet cenných papírů“ nebo „převodní příkaz“, a o výjimky z ustanovení, která odkazují na pojem „účet cenných papírů“, jako jsou ustanovení obsahující pravidla pro evidenci cenných papírů, celistvost emise nebo oddělení účtů. Centrální depozitáře provozují systém vypořádání obchodů s cennými papíry připisováním cenných papírů na účty cenných papírů jejich účastníků a odepisováním cenných papírů z těchto účtů. </w:t>
            </w:r>
            <w:r>
              <w:rPr>
                <w:b/>
                <w:i/>
                <w:strike w:val="0"/>
                <w:color w:val="auto"/>
                <w:highlight w:val="none"/>
                <w:u w:val="none" w:color="auto"/>
                <w:vertAlign w:val="baseline"/>
              </w:rPr>
              <w:t>V systému DLT však nemusí vždy existovat účty cenných papírů vedené metodou podvojného (nebo vícečetného) zápisu.</w:t>
            </w:r>
            <w:r>
              <w:t xml:space="preserve"> Centrální depozitář provozující systém </w:t>
            </w:r>
            <w:r>
              <w:rPr>
                <w:b/>
                <w:i/>
                <w:strike w:val="0"/>
                <w:color w:val="auto"/>
                <w:highlight w:val="none"/>
                <w:u w:val="none" w:color="auto"/>
                <w:vertAlign w:val="baseline"/>
              </w:rPr>
              <w:t>vypořádání obchodů s cennými papíry vedenými na DLT</w:t>
            </w:r>
            <w:r>
              <w:t xml:space="preserve"> by proto měl mít možnost požádat o výjimku z pravidel, která se týkají pojmu „účet cenných papírů“ nebo „forma zápisu do evidence cenných papírů“, pokud by to bylo nutné pro zaevidování převoditelných cenných papírů vedených na DLT do sdíleného registru, zajištění integrity emise převoditelných cenných papírů vedených na DLT ve sdíleném registru a oddělení převoditelných cenných papírů vedených na DLT patřících různým účastníkům.</w:t>
            </w:r>
          </w:p>
        </w:tc>
        <w:tc>
          <w:tcPr>
            <w:tcW w:w="4876" w:type="dxa"/>
            <w:vAlign w:val="top"/>
          </w:tcPr>
          <w:p>
            <w:pPr>
              <w:pStyle w:val="Normal6a"/>
            </w:pPr>
            <w:r>
              <w:t>(20)</w:t>
            </w:r>
            <w:r>
              <w:tab/>
            </w:r>
            <w:r>
              <w:t xml:space="preserve">Centrálnímu depozitáři provozujícímu systém vypořádání obchodů s cennými papíry by mělo být umožněno požadovat výjimky z </w:t>
            </w:r>
            <w:r>
              <w:rPr>
                <w:b/>
                <w:i/>
                <w:strike w:val="0"/>
                <w:color w:val="auto"/>
                <w:highlight w:val="none"/>
                <w:u w:val="none" w:color="auto"/>
                <w:vertAlign w:val="baseline"/>
              </w:rPr>
              <w:t>určitých</w:t>
            </w:r>
            <w:r>
              <w:t xml:space="preserve"> ustanovení, která pravděpodobně tvoří regulační překážky pro rozvoj systémů vypořádání obchodů s cennými papíry pro převoditelné cenné papíry. Centrální depozitář by například měl mít možnost požádat o výjimku z některých definic zakotvených v nařízení (EU) č. 909/2014 (nařízení o centrálních depozitářích cenných papírů), například z definice pojmu „zaknihovaná podoba“, „účet cenných papírů“ nebo „převodní příkaz“, a o výjimky z ustanovení, která odkazují na pojem „účet cenných papírů“, jako jsou ustanovení obsahující pravidla pro evidenci cenných papírů, celistvost emise nebo oddělení účtů. Centrální depozitáře provozují systém vypořádání obchodů s cennými papíry připisováním cenných papírů na účty cenných papírů jejich účastníků a odepisováním cenných papírů z těchto účtů. Centrální depozitář provozující systém </w:t>
            </w:r>
            <w:r>
              <w:rPr>
                <w:b/>
                <w:i/>
                <w:strike w:val="0"/>
                <w:color w:val="auto"/>
                <w:highlight w:val="none"/>
                <w:u w:val="none" w:color="auto"/>
                <w:vertAlign w:val="baseline"/>
              </w:rPr>
              <w:t>DLT SSS</w:t>
            </w:r>
            <w:r>
              <w:t xml:space="preserve"> by proto měl mít možnost požádat o výjimku z pravidel, která se týkají pojmu „účet cenných papírů“ nebo „forma zápisu do evidence cenných papírů“, pokud by to bylo nutné pro zaevidování převoditelných cenných papírů vedených na DLT do sdíleného registru, zajištění integrity emise převoditelných cenných papírů vedených na DLT ve sdíleném registru a oddělení převoditelných cenných papírů vedených na DLT patřících různým účastníkům.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Podle nařízení (EU) č. 909/2014 (nařízení o centrálních depozitářích cenných papírů)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centrální depozitář provozující systém vypořádání obchodů s cennými papíry vedenými na DLT mohl mít zájem na sdílení odpovědnosti za </w:t>
            </w:r>
            <w:r>
              <w:rPr>
                <w:b/>
                <w:i/>
                <w:strike w:val="0"/>
                <w:color w:val="auto"/>
                <w:highlight w:val="none"/>
                <w:u w:val="none" w:color="auto"/>
                <w:vertAlign w:val="baseline"/>
              </w:rPr>
              <w:t>vedení</w:t>
            </w:r>
            <w:r>
              <w:t xml:space="preserve"> sdíleného registru, v němž jsou převoditelné cenné papíry zaevidovány, s jinými subjekty, včetně jeho účastníků. </w:t>
            </w:r>
            <w:r>
              <w:rPr>
                <w:b/>
                <w:i/>
                <w:strike w:val="0"/>
                <w:color w:val="auto"/>
                <w:highlight w:val="none"/>
                <w:u w:val="none" w:color="auto"/>
                <w:vertAlign w:val="baseline"/>
              </w:rPr>
              <w:t>Systém vypořádání obchodů s cennými papíry vedenými na DLT</w:t>
            </w:r>
            <w:r>
              <w:t xml:space="preserve">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c>
          <w:tcPr>
            <w:tcW w:w="4876" w:type="dxa"/>
            <w:vAlign w:val="top"/>
          </w:tcPr>
          <w:p>
            <w:pPr>
              <w:pStyle w:val="Normal6a"/>
            </w:pPr>
            <w:r>
              <w:t>(21)</w:t>
            </w:r>
            <w:r>
              <w:tab/>
            </w:r>
            <w:r>
              <w:t xml:space="preserve">Podle nařízení (EU) č. 909/2014 (nařízení o centrálních depozitářích cenných papírů </w:t>
            </w:r>
            <w:r>
              <w:rPr>
                <w:b/>
                <w:i/>
                <w:strike w:val="0"/>
                <w:color w:val="auto"/>
                <w:highlight w:val="none"/>
                <w:u w:val="none" w:color="auto"/>
                <w:vertAlign w:val="baseline"/>
              </w:rPr>
              <w:t>- CSDR</w:t>
            </w:r>
            <w:r>
              <w:t xml:space="preserve">)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centrální depozitář provozující systém vypořádání obchodů s cennými papíry vedenými na DLT mohl mít zájem na sdílení odpovědnosti za </w:t>
            </w:r>
            <w:r>
              <w:rPr>
                <w:b/>
                <w:i/>
                <w:strike w:val="0"/>
                <w:color w:val="auto"/>
                <w:highlight w:val="none"/>
                <w:u w:val="none" w:color="auto"/>
                <w:vertAlign w:val="baseline"/>
              </w:rPr>
              <w:t>provozování</w:t>
            </w:r>
            <w:r>
              <w:t xml:space="preserve"> sdíleného registru, v němž jsou převoditelné cenné papíry zaevidovány, s jinými subjekty, včetně jeho účastníků. </w:t>
            </w:r>
            <w:r>
              <w:rPr>
                <w:b/>
                <w:i/>
                <w:strike w:val="0"/>
                <w:color w:val="auto"/>
                <w:highlight w:val="none"/>
                <w:u w:val="none" w:color="auto"/>
                <w:vertAlign w:val="baseline"/>
              </w:rPr>
              <w:t>Centrální depozitář provozující DLT SSS</w:t>
            </w:r>
            <w:r>
              <w:t xml:space="preserve">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199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Podle nařízení (EU) č. 909/2014 (nařízení o centrálních depozitářích cenných papírů)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w:t>
            </w:r>
            <w:r>
              <w:rPr>
                <w:b/>
                <w:i/>
                <w:strike w:val="0"/>
                <w:color w:val="auto"/>
                <w:highlight w:val="none"/>
                <w:u w:val="none" w:color="auto"/>
                <w:vertAlign w:val="baseline"/>
              </w:rPr>
              <w:t>centrální depozitář</w:t>
            </w:r>
            <w:r>
              <w:t xml:space="preserve"> provozující systém vypořádání obchodů s cennými papíry vedenými na DLT mohl mít zájem na sdílení odpovědnosti za vedení sdíleného registru, v němž jsou převoditelné cenné papíry zaevidovány, s jinými subjekty, včetně jeho účastníků. Systém vypořádání obchodů s cennými papíry vedenými na DLT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c>
          <w:tcPr>
            <w:tcW w:w="4876" w:type="dxa"/>
            <w:vAlign w:val="top"/>
          </w:tcPr>
          <w:p>
            <w:pPr>
              <w:pStyle w:val="Normal6a"/>
            </w:pPr>
            <w:r>
              <w:t>(21)</w:t>
            </w:r>
            <w:r>
              <w:tab/>
            </w:r>
            <w:r>
              <w:t xml:space="preserve">Podle nařízení (EU) č. 909/2014 (nařízení o centrálních depozitářích cenných papírů)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w:t>
            </w:r>
            <w:r>
              <w:rPr>
                <w:b/>
                <w:i/>
                <w:strike w:val="0"/>
                <w:color w:val="auto"/>
                <w:highlight w:val="none"/>
                <w:u w:val="none" w:color="auto"/>
                <w:vertAlign w:val="baseline"/>
              </w:rPr>
              <w:t>subjekt</w:t>
            </w:r>
            <w:r>
              <w:t xml:space="preserve"> provozující systém vypořádání obchodů s cennými papíry vedenými na DLT mohl mít zájem na sdílení odpovědnosti za vedení sdíleného registru, v němž jsou převoditelné cenné papíry zaevidovány, s jinými subjekty, včetně jeho účastníků. Systém vypořádání obchodů s cennými papíry vedenými na DLT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 pro nové účastníky na trhu &amp; technologická neutralita ve vztahu k vlastním a veřejným distribuovaným účetním knihám.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(21)</w:t>
            </w:r>
            <w:r>
              <w:tab/>
            </w:r>
            <w:r>
              <w:t xml:space="preserve">Podle nařízení (EU) č. 909/2014 (nařízení o centrálních depozitářích cenných papírů)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centrální depozitář provozující systém vypořádání obchodů s cennými papíry vedenými na DLT mohl mít zájem na sdílení odpovědnosti za </w:t>
            </w:r>
            <w:r>
              <w:rPr>
                <w:b/>
                <w:i/>
                <w:strike w:val="0"/>
                <w:color w:val="auto"/>
                <w:highlight w:val="none"/>
                <w:u w:val="none" w:color="auto"/>
                <w:vertAlign w:val="baseline"/>
              </w:rPr>
              <w:t>vedení</w:t>
            </w:r>
            <w:r>
              <w:t xml:space="preserve"> sdíleného registru, v němž jsou převoditelné cenné papíry zaevidovány, s jinými subjekty, včetně jeho účastníků. Systém vypořádání obchodů s cennými papíry vedenými na DLT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c>
          <w:tcPr>
            <w:tcW w:w="4876" w:type="dxa"/>
            <w:vAlign w:val="top"/>
          </w:tcPr>
          <w:p>
            <w:pPr>
              <w:pStyle w:val="Normal6a"/>
            </w:pPr>
            <w:r>
              <w:t>(21)</w:t>
            </w:r>
            <w:r>
              <w:tab/>
            </w:r>
            <w:r>
              <w:t xml:space="preserve">Podle nařízení (EU) č. 909/2014 (nařízení o centrálních depozitářích cenných papírů) může centrální depozitář zajišťovat výkon některé své hlavní činnosti externě, pouze pokud obdrží povolení od příslušného orgánu. Centrální depozitář je rovněž povinen dodržovat několik podmínek, aby externí zajišťování výkonu jeho činnosti nevedlo k přenesení jeho odpovědnosti nebo ke změně jeho povinností vůči jeho účastníkům nebo emitentům. V závislosti na svém obchodním plánu by centrální depozitář provozující systém vypořádání obchodů s cennými papíry vedenými na DLT mohl mít zájem na sdílení odpovědnosti za </w:t>
            </w:r>
            <w:r>
              <w:rPr>
                <w:b/>
                <w:i/>
                <w:strike w:val="0"/>
                <w:color w:val="auto"/>
                <w:highlight w:val="none"/>
                <w:u w:val="none" w:color="auto"/>
                <w:vertAlign w:val="baseline"/>
              </w:rPr>
              <w:t>provoz</w:t>
            </w:r>
            <w:r>
              <w:t xml:space="preserve"> sdíleného registru, v němž jsou převoditelné cenné papíry zaevidovány, s jinými subjekty, včetně jeho účastníků. Systém vypořádání obchodů s cennými papíry vedenými na DLT by měl mít možnost požádat o výjimku z požadavků na externí zajišťování výkonu činnosti za účelem vývoje takových inovativních obchodních modelů. V takovém případě by měl prokázat, že ustanovení o externím zajišťování výkonu činnosti jsou neslučitelná s použitím DLT předpokládaným jeho obchodním plánem, a měl by rovněž prokázat splnění některých minimálních požadavků na externí zajišťování výkonu činnosti.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(22)</w:t>
            </w:r>
            <w:r>
              <w:tab/>
            </w:r>
            <w:r>
              <w:t>Povinnost zprostředkování prostřednictvím úvěrové instituce nebo investičního podniku, v jejímž důsledku nemohou neprofesionální investoři získat přímý přístup k vypořádacím a doručovacím systémům provozovaným centrálním depozitářem, by mohla potenciálně vytvořit regulatorní překážku pro rozvoj alternativních modelů vypořádání založených na DLT, které umožňují neprofesionálním zákazníkům přímý přístup. Centrálnímu depozitáři provozujícímu systém vypořádání obchodů s cennými papíry vedenými na DLT by proto mělo být umožněno požádat o výjimku ohledně definice pojmu účastník, jak jej stanoví nařízení (EU) č. 909/2014 (nařízení o centrálních depozitářích cenných papírů). Pokud požádá o výjimku z povinnosti zprostředkování podle nařízení (EU) č. 909/2014 (nařízení o centrálních depozitářích cenných papírů), měl by centrální depozitář provozující systém vypořádání obchodů s cennými papíry zajistit, aby se jednalo o osoby s dostatečně dobrou pověstí, které jsou způsobilé pro účely boje proti praní peněz a boje proti financování terorismu. Centrální depozitář provozující systém vypořádání obchodů s cennými papíry by měl rovněž zajistit, aby tito účastníci měli dostatečnou úroveň schopností, kompetencí, zkušeností a znalostí týkajících se poobchodní oblasti a fungování DLT.</w:t>
            </w:r>
          </w:p>
        </w:tc>
        <w:tc>
          <w:tcPr>
            <w:tcW w:w="4876" w:type="dxa"/>
            <w:vAlign w:val="top"/>
          </w:tcPr>
          <w:p>
            <w:pPr>
              <w:pStyle w:val="Normal6a"/>
            </w:pPr>
            <w:r>
              <w:t>(22)</w:t>
            </w:r>
            <w:r>
              <w:tab/>
            </w:r>
            <w:r>
              <w:t xml:space="preserve">Povinnost zprostředkování prostřednictvím úvěrové instituce nebo investičního podniku, v jejímž důsledku nemohou neprofesionální investoři získat přímý přístup k vypořádacím a doručovacím systémům provozovaným centrálním depozitářem, by mohla potenciálně vytvořit regulatorní překážku pro rozvoj alternativních modelů vypořádání založených na DLT, které umožňují neprofesionálním zákazníkům přímý přístup. Centrálnímu depozitáři provozujícímu systém vypořádání obchodů s cennými papíry vedenými na DLT by proto mělo být umožněno požádat o výjimku ohledně definice pojmu účastník, jak jej stanoví nařízení (EU) č. 909/2014 (nařízení o centrálních depozitářích cenných papírů </w:t>
            </w:r>
            <w:r>
              <w:rPr>
                <w:b/>
                <w:i/>
                <w:strike w:val="0"/>
                <w:color w:val="auto"/>
                <w:highlight w:val="none"/>
                <w:u w:val="none" w:color="auto"/>
                <w:vertAlign w:val="baseline"/>
              </w:rPr>
              <w:t>- CSDR</w:t>
            </w:r>
            <w:r>
              <w:t xml:space="preserve">). Pokud požádá o výjimku z povinnosti zprostředkování podle nařízení (EU) č. 909/2014 (nařízení o centrálních depozitářích cenných papírů </w:t>
            </w:r>
            <w:r>
              <w:rPr>
                <w:b/>
                <w:i/>
                <w:strike w:val="0"/>
                <w:color w:val="auto"/>
                <w:highlight w:val="none"/>
                <w:u w:val="none" w:color="auto"/>
                <w:vertAlign w:val="baseline"/>
              </w:rPr>
              <w:t>- CSDR</w:t>
            </w:r>
            <w:r>
              <w:t>), měl by centrální depozitář provozující systém vypořádání obchodů s cennými papíry zajistit, aby se jednalo o osoby s dostatečně dobrou pověstí, které jsou způsobilé pro účely boje proti praní peněz a boje proti financování terorismu. Centrální depozitář provozující systém vypořádání obchodů s cennými papíry by měl rovněž zajistit, aby tito účastníci měli dostatečnou úroveň schopností, kompetencí, zkušeností a znalostí týkajících se poobchodní oblasti a fungování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(23)</w:t>
            </w:r>
            <w:r>
              <w:tab/>
            </w:r>
            <w:r>
              <w:t xml:space="preserve">Způsobilost subjektů být účastníky centrálního depozitáře podle nařízení (EU) č. 909/2014 (nařízení o centrálních depozitářích cenných papírů) je založena na způsobilosti subjektů být účastníky systému vypořádání obchodů s cennými papíry, který je určen a oznámen v souladu se směrnicí 98/26/ES (směrnice o neodvolatelnosti zúčtování), protože nařízení (EU) č. 909/2014 (nařízení o centrálních depozitářích cenných papírů) vyžaduje, aby systémy vypořádání obchodů s cennými papíry provozované centrálním depozitářem byly určeny a oznámeny podle směrnice 98/26/ES. </w:t>
            </w:r>
            <w:r>
              <w:rPr>
                <w:b/>
                <w:i/>
                <w:strike w:val="0"/>
                <w:color w:val="auto"/>
                <w:highlight w:val="none"/>
                <w:u w:val="none" w:color="auto"/>
                <w:vertAlign w:val="baseline"/>
              </w:rPr>
              <w:t>Systém vypořádání obchodů s cennými papíry vedenými na DLT</w:t>
            </w:r>
            <w:r>
              <w:t xml:space="preserve">, který žádá o výjimku z požadavků na účast podle nařízení (EU) č. 909/2014 (nařízení </w:t>
            </w:r>
            <w:r>
              <w:rPr>
                <w:b/>
                <w:i/>
                <w:strike w:val="0"/>
                <w:color w:val="auto"/>
                <w:highlight w:val="none"/>
                <w:u w:val="none" w:color="auto"/>
                <w:vertAlign w:val="baseline"/>
              </w:rPr>
              <w:t>o centrálních depozitářích cenných papírů</w:t>
            </w:r>
            <w:r>
              <w:t xml:space="preserve">), by nebyl v souladu s požadavky na účast </w:t>
            </w:r>
            <w:r>
              <w:rPr>
                <w:b/>
                <w:i/>
                <w:strike w:val="0"/>
                <w:color w:val="auto"/>
                <w:highlight w:val="none"/>
                <w:u w:val="none" w:color="auto"/>
                <w:vertAlign w:val="baseline"/>
              </w:rPr>
              <w:t>podle směrnice 98/26/ES</w:t>
            </w:r>
            <w:r>
              <w:t xml:space="preserve">. V důsledku toho by takový systém </w:t>
            </w:r>
            <w:r>
              <w:rPr>
                <w:b/>
                <w:i/>
                <w:strike w:val="0"/>
                <w:color w:val="auto"/>
                <w:highlight w:val="none"/>
                <w:u w:val="none" w:color="auto"/>
                <w:vertAlign w:val="baseline"/>
              </w:rPr>
              <w:t>vypořádání obchodů s cennými papíry vedenými na DLT</w:t>
            </w:r>
            <w:r>
              <w:t xml:space="preserve"> nemohl být určen a oznámen podle uvedené směrnice.</w:t>
            </w:r>
            <w:r>
              <w:rPr>
                <w:b/>
                <w:i/>
                <w:strike w:val="0"/>
                <w:color w:val="auto"/>
                <w:highlight w:val="none"/>
                <w:u w:val="none" w:color="auto"/>
                <w:vertAlign w:val="baseline"/>
              </w:rPr>
              <w:t xml:space="preserve">  </w:t>
            </w:r>
            <w:r>
              <w:t xml:space="preserve">To by však nebránilo tomu, aby byl takto určen a oznámen systém vypořádání obchodů s cennými papíry </w:t>
            </w:r>
            <w:r>
              <w:rPr>
                <w:b/>
                <w:i/>
                <w:strike w:val="0"/>
                <w:color w:val="auto"/>
                <w:highlight w:val="none"/>
                <w:u w:val="none" w:color="auto"/>
                <w:vertAlign w:val="baseline"/>
              </w:rPr>
              <w:t>vedenými na DLT, který všechny požadavky směrnice 98/26/ES splňuje</w:t>
            </w:r>
            <w:r>
              <w:t>.</w:t>
            </w:r>
          </w:p>
        </w:tc>
        <w:tc>
          <w:tcPr>
            <w:tcW w:w="4876" w:type="dxa"/>
            <w:vAlign w:val="top"/>
          </w:tcPr>
          <w:p>
            <w:pPr>
              <w:pStyle w:val="Normal6a"/>
            </w:pPr>
            <w:r>
              <w:t>(23)</w:t>
            </w:r>
            <w:r>
              <w:tab/>
            </w:r>
            <w:r>
              <w:t xml:space="preserve">Způsobilost subjektů být účastníky centrálního depozitáře podle nařízení (EU) č. 909/2014 (nařízení o centrálních depozitářích cenných papírů </w:t>
            </w:r>
            <w:r>
              <w:rPr>
                <w:b/>
                <w:i/>
                <w:strike w:val="0"/>
                <w:color w:val="auto"/>
                <w:highlight w:val="none"/>
                <w:u w:val="none" w:color="auto"/>
                <w:vertAlign w:val="baseline"/>
              </w:rPr>
              <w:t>- CSDR</w:t>
            </w:r>
            <w:r>
              <w:t xml:space="preserve">) je založena na způsobilosti subjektů být účastníky systému vypořádání obchodů s cennými papíry </w:t>
            </w:r>
            <w:r>
              <w:rPr>
                <w:b/>
                <w:i/>
                <w:strike w:val="0"/>
                <w:color w:val="auto"/>
                <w:highlight w:val="none"/>
                <w:u w:val="none" w:color="auto"/>
                <w:vertAlign w:val="baseline"/>
              </w:rPr>
              <w:t>(SSS)</w:t>
            </w:r>
            <w:r>
              <w:t xml:space="preserve">, který je určen a oznámen v souladu se směrnicí 98/26/ES (směrnice o neodvolatelnosti zúčtování </w:t>
            </w:r>
            <w:r>
              <w:rPr>
                <w:b/>
                <w:i/>
                <w:strike w:val="0"/>
                <w:color w:val="auto"/>
                <w:highlight w:val="none"/>
                <w:u w:val="none" w:color="auto"/>
                <w:vertAlign w:val="baseline"/>
              </w:rPr>
              <w:t>- SFD</w:t>
            </w:r>
            <w:r>
              <w:t xml:space="preserve">), protože nařízení (EU) č. 909/2014 (nařízení o centrálních depozitářích cenných papírů </w:t>
            </w:r>
            <w:r>
              <w:rPr>
                <w:b/>
                <w:i/>
                <w:strike w:val="0"/>
                <w:color w:val="auto"/>
                <w:highlight w:val="none"/>
                <w:u w:val="none" w:color="auto"/>
                <w:vertAlign w:val="baseline"/>
              </w:rPr>
              <w:t>CSDR</w:t>
            </w:r>
            <w:r>
              <w:t xml:space="preserve">) vyžaduje, aby systémy vypořádání obchodů s cennými papíry provozované centrálním depozitářem byly určeny a oznámeny podle směrnice 98/26/ES. </w:t>
            </w:r>
            <w:r>
              <w:rPr>
                <w:b/>
                <w:i/>
                <w:strike w:val="0"/>
                <w:color w:val="auto"/>
                <w:highlight w:val="none"/>
                <w:u w:val="none" w:color="auto"/>
                <w:vertAlign w:val="baseline"/>
              </w:rPr>
              <w:t>DLT SSS</w:t>
            </w:r>
            <w:r>
              <w:t xml:space="preserve">, který žádá o výjimku z požadavků na účast podle nařízení (EU) č. 909/2014 (nařízení </w:t>
            </w:r>
            <w:r>
              <w:rPr>
                <w:b/>
                <w:i/>
                <w:strike w:val="0"/>
                <w:color w:val="auto"/>
                <w:highlight w:val="none"/>
                <w:u w:val="none" w:color="auto"/>
                <w:vertAlign w:val="baseline"/>
              </w:rPr>
              <w:t>CSDR</w:t>
            </w:r>
            <w:r>
              <w:t xml:space="preserve">), by nebyl v souladu s požadavky na účast </w:t>
            </w:r>
            <w:r>
              <w:rPr>
                <w:b/>
                <w:i/>
                <w:strike w:val="0"/>
                <w:color w:val="auto"/>
                <w:highlight w:val="none"/>
                <w:u w:val="none" w:color="auto"/>
                <w:vertAlign w:val="baseline"/>
              </w:rPr>
              <w:t>stanovenými ve směrnici98/26/ES</w:t>
            </w:r>
            <w:r>
              <w:t xml:space="preserve">. V důsledku toho by takový systém </w:t>
            </w:r>
            <w:r>
              <w:rPr>
                <w:b/>
                <w:i/>
                <w:strike w:val="0"/>
                <w:color w:val="auto"/>
                <w:highlight w:val="none"/>
                <w:u w:val="none" w:color="auto"/>
                <w:vertAlign w:val="baseline"/>
              </w:rPr>
              <w:t>DLT SSS</w:t>
            </w:r>
            <w:r>
              <w:t xml:space="preserve"> nemohl být určen a oznámen podle uvedené směrnice. To by však nebránilo tomu, aby byl takto určen a oznámen systém </w:t>
            </w:r>
            <w:r>
              <w:rPr>
                <w:b/>
                <w:i/>
                <w:strike w:val="0"/>
                <w:color w:val="auto"/>
                <w:highlight w:val="none"/>
                <w:u w:val="none" w:color="auto"/>
                <w:vertAlign w:val="baseline"/>
              </w:rPr>
              <w:t>DLT SSS, který všechny požadavky směrnice 98/26/ES splňuje.</w:t>
            </w:r>
            <w:r>
              <w:t xml:space="preserve"> </w:t>
            </w:r>
            <w:r>
              <w:rPr>
                <w:b/>
                <w:i/>
                <w:strike w:val="0"/>
                <w:color w:val="auto"/>
                <w:highlight w:val="none"/>
                <w:u w:val="none" w:color="auto"/>
                <w:vertAlign w:val="baseline"/>
              </w:rPr>
              <w:t>Pokud navíc systém DLT SSS neodpovídá provozu „systému“ definovaného ve směrnici o neodvolatelnosti zúčtování, v neposlední řadě proto, že fyzické osoby jsou způsobilými účastníky DLT SSS, neměla by se ochrana pro případ platební neschopnosti podle této směrnice vztahovat na samotný systém DLT SSS.</w:t>
            </w:r>
            <w:r>
              <w:t xml:space="preserve"> </w:t>
            </w:r>
            <w:r>
              <w:rPr>
                <w:b/>
                <w:i/>
                <w:strike w:val="0"/>
                <w:color w:val="auto"/>
                <w:highlight w:val="none"/>
                <w:u w:val="none" w:color="auto"/>
                <w:vertAlign w:val="baseline"/>
              </w:rPr>
              <w:t>Kromě toho, pokud provozovatel systému DLT SSS provozuje jakýkoli jiný centrální depozitář, mělo by být prokázáno, že operace DLT SSS neovlivní za žádných okolností operace a spolehlivost jakéhokoli jiného centrálního depozitáře, například pokud se jeden nebo více subjektů účastní jak pravidelného systému</w:t>
            </w:r>
            <w:r>
              <w:t xml:space="preserve"> vypořádání obchodů s cennými papíry</w:t>
            </w:r>
            <w:r>
              <w:rPr>
                <w:b/>
                <w:i/>
                <w:strike w:val="0"/>
                <w:color w:val="auto"/>
                <w:highlight w:val="none"/>
                <w:u w:val="none" w:color="auto"/>
                <w:vertAlign w:val="baseline"/>
              </w:rPr>
              <w:t>, tak i DLT SSS provozovaných stejným centrálním depozitářem.</w:t>
            </w:r>
            <w:r>
              <w:t xml:space="preserve"> </w:t>
            </w:r>
            <w:r>
              <w:rPr>
                <w:b/>
                <w:i/>
                <w:strike w:val="0"/>
                <w:color w:val="auto"/>
                <w:highlight w:val="none"/>
                <w:u w:val="none" w:color="auto"/>
                <w:vertAlign w:val="baseline"/>
              </w:rPr>
              <w:t>Za těchto okolností by centrální depozitář provozující DLT SSS měl jasně vysvětlit rizika platební neschopnosti a neodvolatelnosti vypořádání, jimž jsou jeho účastníci vystaveni, jakož i opatření, která byla zavedena za účelem zmírnění těchto rizik</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poznámky. Kromě toho se navrhuje začlenit určité souvislosti do bodu 3.4 „Stanoviska ECB k pilotnímu režimu DLT“ ze dne 28. dubna s cílem stanovit systém vypořádání obchodů s cennými papíry DLT v případě, že jejich provozovatel provozuje i jiné centrální depozitáře.</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(24)</w:t>
            </w:r>
            <w:r>
              <w:tab/>
            </w:r>
            <w:r>
              <w:t xml:space="preserve">Nařízení (EU) č. 909/2014 (nařízení </w:t>
            </w:r>
            <w:r>
              <w:rPr>
                <w:b/>
                <w:i/>
                <w:strike w:val="0"/>
                <w:color w:val="auto"/>
                <w:highlight w:val="none"/>
                <w:u w:val="none" w:color="auto"/>
                <w:vertAlign w:val="baseline"/>
              </w:rPr>
              <w:t>o centrálních depozitářích cenných papírů</w:t>
            </w:r>
            <w:r>
              <w:t xml:space="preserve">) podporuje vypořádání transakcí v penězích centrální banky. Pokud není vypořádání </w:t>
            </w:r>
            <w:r>
              <w:rPr>
                <w:b/>
                <w:i/>
                <w:strike w:val="0"/>
                <w:color w:val="auto"/>
                <w:highlight w:val="none"/>
                <w:u w:val="none" w:color="auto"/>
                <w:vertAlign w:val="baseline"/>
              </w:rPr>
              <w:t>peněžních plateb</w:t>
            </w:r>
            <w:r>
              <w:t xml:space="preserve"> v penězích centrální banky dostupné a proveditelné, lze toto vypořádání provést v penězích komerčních bank. Použití tohoto ustanovení může být pro centrální depozitář provozující systém vypořádání obchodů s cennými papíry vedenými na DLT obtížné, protože takový centrální depozitář by musel provádět pohyby na peněžních účtech současně s dodáním cenných papírů na </w:t>
            </w:r>
            <w:r>
              <w:rPr>
                <w:b/>
                <w:i/>
                <w:strike w:val="0"/>
                <w:color w:val="auto"/>
                <w:highlight w:val="none"/>
                <w:u w:val="none" w:color="auto"/>
                <w:vertAlign w:val="baseline"/>
              </w:rPr>
              <w:t>DLT</w:t>
            </w:r>
            <w:r>
              <w:t xml:space="preserve">. Centrálnímu depozitáři provozujícímu systém </w:t>
            </w:r>
            <w:r>
              <w:rPr>
                <w:b/>
                <w:i/>
                <w:strike w:val="0"/>
                <w:color w:val="auto"/>
                <w:highlight w:val="none"/>
                <w:u w:val="none" w:color="auto"/>
                <w:vertAlign w:val="baseline"/>
              </w:rPr>
              <w:t>vypořádání obchodů s cennými papíry vedenými na DLT</w:t>
            </w:r>
            <w:r>
              <w:t xml:space="preserve"> by mělo být umožněno požádat o výjimku z pravidel pro peněžní vypořádání stanovených nařízením (EU) č. 909/2014 (nařízení o centrálních depozitářích cenných papírů) s cílem umožnit rozvoj inovativních řešení, jako je používání tzv. settlement coins nebo elektronických peněžních tokenů definovaných v nařízení 2021/XX o trzích s kryptoaktivy</w:t>
            </w:r>
            <w:r>
              <w:rPr>
                <w:rStyle w:val="SupBoldItalic"/>
              </w:rPr>
              <w:t>45</w:t>
            </w:r>
            <w:r>
              <w:t>.</w:t>
            </w:r>
          </w:p>
        </w:tc>
        <w:tc>
          <w:tcPr>
            <w:tcW w:w="4876" w:type="dxa"/>
            <w:vAlign w:val="top"/>
          </w:tcPr>
          <w:p>
            <w:pPr>
              <w:pStyle w:val="Normal6a"/>
            </w:pPr>
            <w:r>
              <w:t>(24)</w:t>
            </w:r>
            <w:r>
              <w:tab/>
            </w:r>
            <w:r>
              <w:t xml:space="preserve">Nařízení (EU) č. 909/2014 (nařízení </w:t>
            </w:r>
            <w:r>
              <w:rPr>
                <w:b/>
                <w:i/>
                <w:strike w:val="0"/>
                <w:color w:val="auto"/>
                <w:highlight w:val="none"/>
                <w:u w:val="none" w:color="auto"/>
                <w:vertAlign w:val="baseline"/>
              </w:rPr>
              <w:t>CSDR</w:t>
            </w:r>
            <w:r>
              <w:t xml:space="preserve">) podporuje vypořádání transakcí v penězích centrální banky. Pokud není vypořádání </w:t>
            </w:r>
            <w:r>
              <w:rPr>
                <w:b/>
                <w:i/>
                <w:strike w:val="0"/>
                <w:color w:val="auto"/>
                <w:highlight w:val="none"/>
                <w:u w:val="none" w:color="auto"/>
                <w:vertAlign w:val="baseline"/>
              </w:rPr>
              <w:t>platební komponenty</w:t>
            </w:r>
            <w:r>
              <w:t xml:space="preserve"> v penězích centrální banky dostupné a proveditelné, lze toto vypořádání provést v penězích komerčních bank. Použití tohoto ustanovení může být pro centrální depozitář provozující systém vypořádání obchodů s cennými papíry vedenými na DLT obtížné, protože takový centrální depozitář by musel provádět pohyby na peněžních účtech současně s dodáním cenných papírů na </w:t>
            </w:r>
            <w:r>
              <w:rPr>
                <w:b/>
                <w:i/>
                <w:strike w:val="0"/>
                <w:color w:val="auto"/>
                <w:highlight w:val="none"/>
                <w:u w:val="none" w:color="auto"/>
                <w:vertAlign w:val="baseline"/>
              </w:rPr>
              <w:t>distribuované účetní knize</w:t>
            </w:r>
            <w:r>
              <w:t xml:space="preserve">. Centrálnímu depozitáři provozujícímu systém </w:t>
            </w:r>
            <w:r>
              <w:rPr>
                <w:b/>
                <w:i/>
                <w:strike w:val="0"/>
                <w:color w:val="auto"/>
                <w:highlight w:val="none"/>
                <w:u w:val="none" w:color="auto"/>
                <w:vertAlign w:val="baseline"/>
              </w:rPr>
              <w:t>DLT SSS</w:t>
            </w:r>
            <w:r>
              <w:t xml:space="preserve"> by mělo být umožněno požádat o výjimku z pravidel pro peněžní vypořádání stanovených nařízením (EU) č. 909/2014 (nařízení o centrálních depozitářích cenných papírů) s cílem umožnit rozvoj inovativních řešení, jako je používání tzv. settlement coins nebo elektronických peněžních tokenů definovaných v nařízení 2021/XX o trzích s kryptoaktivy</w:t>
            </w:r>
            <w:r>
              <w:rPr>
                <w:b/>
                <w:i/>
                <w:strike w:val="0"/>
                <w:color w:val="auto"/>
                <w:highlight w:val="none"/>
                <w:u w:val="none" w:color="auto"/>
                <w:vertAlign w:val="baseline"/>
              </w:rPr>
              <w:t>.</w:t>
            </w:r>
            <w:r>
              <w:t xml:space="preserve"> </w:t>
            </w:r>
            <w:r>
              <w:rPr>
                <w:b/>
                <w:i/>
                <w:strike w:val="0"/>
                <w:color w:val="auto"/>
                <w:highlight w:val="none"/>
                <w:u w:val="none" w:color="auto"/>
                <w:vertAlign w:val="baseline"/>
              </w:rPr>
              <w:t>Při použití elektronických peněžních tokenů pro platební komponentu by účastníci systému DLT SSS měli mít možnost otevřít účty</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45</w:t>
            </w:r>
            <w:r>
              <w:t xml:space="preserve"> </w:t>
            </w:r>
            <w:r>
              <w:rPr>
                <w:b/>
                <w:i/>
                <w:strike w:val="0"/>
                <w:color w:val="auto"/>
                <w:highlight w:val="none"/>
                <w:u w:val="none" w:color="auto"/>
                <w:vertAlign w:val="baseline"/>
              </w:rPr>
              <w:t>Návrh nařízení Evropského parlamentu a Rady o trzích s kryptoaktivy a o změně směrnice (EU) 2019/1937 (COM(2020) 593).</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Dále se navrhuje začlenit bod 3.3.7 stanoviska ECB k pilotnímu režimu DLT ze dne 28. dubna, pokud jde o vypořádání v elektronických peněžních tokenech.</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(24a)</w:t>
            </w:r>
            <w:r>
              <w:tab/>
            </w:r>
            <w:r>
              <w:rPr>
                <w:b/>
                <w:i/>
                <w:strike w:val="0"/>
                <w:color w:val="auto"/>
                <w:highlight w:val="none"/>
                <w:u w:val="none" w:color="auto"/>
                <w:vertAlign w:val="baseline"/>
              </w:rPr>
              <w:t>Fyzické osoby by se mohly přímo podílet na infrastrukturách trhu DLT a pokud by platební komponenta transakcí s převoditelnými cennými papíry DLT proběhla v účetnictví osoby, která není licencovanou úvěrovou institucí, výsledkem by byly peněžní účty fyzických osob, jakož i právnických osob, jako jsou mikropodniky a malé a střední podniky, s infrastrukturami trhu distribuované účetní knihy, které nevyužívají ochrany systému pojištění vkladů podle směrnice Evropského parlamentu a Rady 2014/49/EU (směrnice o systémech pojištění vkladů) a preferenci vkladatelů podle směrnice Evropského parlamentu a Rady o ozdravných postupech a řešení krize bank 2014/59/EU.</w:t>
            </w:r>
            <w:r>
              <w:t xml:space="preserve"> </w:t>
            </w:r>
            <w:r>
              <w:rPr>
                <w:b/>
                <w:i/>
                <w:strike w:val="0"/>
                <w:color w:val="auto"/>
                <w:highlight w:val="none"/>
                <w:u w:val="none" w:color="auto"/>
                <w:vertAlign w:val="baseline"/>
              </w:rPr>
              <w:t>Směrnice o systémech pojištění vkladů a preference vkladatelů podle směrnice o ozdravných postupech a řešení krize bank se vztahují pouze na vklady ve formě kreditního zůstatku, který vyplývá z finančních prostředků zbylých na účtu nebo z dočasných situací vyplývajících z běžných bankovních operací a které musí úvěrová instituce vyplatit.</w:t>
            </w:r>
            <w:r>
              <w:t xml:space="preserve"> </w:t>
            </w:r>
            <w:r>
              <w:rPr>
                <w:b/>
                <w:i/>
                <w:strike w:val="0"/>
                <w:color w:val="auto"/>
                <w:highlight w:val="none"/>
                <w:u w:val="none" w:color="auto"/>
                <w:vertAlign w:val="baseline"/>
              </w:rPr>
              <w:t>Za těchto okolností by tržní infrastruktury DLT měly svým účastníkům výslovně sdělit, že nejsou chráněny podle příslušných ustanovení směrnice o systémech pojištění vkladů a směrnice o ozdravných postupech a řešení krize bank.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 základě bodu 3.3.9 stanoviska ECB k DLT ze dne 28. dubna je v duchu posílených ustanovení o ochraně investorů, integritě trhu a finanční stabilitě nanejvýš důležité výslovně stanovit pro infrastruktury trhu distribuované účetní knihy povinnost zveřejňovat všechny případy, kdy systémy pojištění vkladů nemusí být účinné.</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(25)</w:t>
            </w:r>
            <w:r>
              <w:tab/>
            </w:r>
            <w:r>
              <w:t xml:space="preserve">Nařízení (EU) č. 909/2014 (nařízení </w:t>
            </w:r>
            <w:r>
              <w:rPr>
                <w:b/>
                <w:i/>
                <w:strike w:val="0"/>
                <w:color w:val="auto"/>
                <w:highlight w:val="none"/>
                <w:u w:val="none" w:color="auto"/>
                <w:vertAlign w:val="baseline"/>
              </w:rPr>
              <w:t>o centrálních depozitářích cenných papírů</w:t>
            </w:r>
            <w:r>
              <w:t xml:space="preserve">) vyžaduje, aby centrální depozitář poskytoval přístup jinému centrálnímu depozitáři nebo jiným tržním infrastrukturám. Přístup k centrálnímu depozitáři provozujícímu </w:t>
            </w:r>
            <w:r>
              <w:rPr>
                <w:b/>
                <w:i/>
                <w:strike w:val="0"/>
                <w:color w:val="auto"/>
                <w:highlight w:val="none"/>
                <w:u w:val="none" w:color="auto"/>
                <w:vertAlign w:val="baseline"/>
              </w:rPr>
              <w:t>systém vypořádání obchodů s cennými papíry vedenými na DLT může být obtížný</w:t>
            </w:r>
            <w:r>
              <w:t xml:space="preserve"> nebo obtížně dosažitelný, protože interoperabilita starších systémů s DLT dosud nebyla testována. </w:t>
            </w:r>
            <w:r>
              <w:rPr>
                <w:b/>
                <w:i/>
                <w:strike w:val="0"/>
                <w:color w:val="auto"/>
                <w:highlight w:val="none"/>
                <w:u w:val="none" w:color="auto"/>
                <w:vertAlign w:val="baseline"/>
              </w:rPr>
              <w:t>Systém vypořádání obchodů s cennými papíry vedenými na DLT by</w:t>
            </w:r>
            <w:r>
              <w:t xml:space="preserve"> měl mít rovněž možnost požádat o výjimku z těchto pravidel, pokud je schopen prokázat, že jejich použití je nepřiměřené vzhledem k </w:t>
            </w:r>
            <w:r>
              <w:rPr>
                <w:b/>
                <w:i/>
                <w:strike w:val="0"/>
                <w:color w:val="auto"/>
                <w:highlight w:val="none"/>
                <w:u w:val="none" w:color="auto"/>
                <w:vertAlign w:val="baseline"/>
              </w:rPr>
              <w:t>jeho velikosti</w:t>
            </w:r>
            <w:r>
              <w:t>.</w:t>
            </w:r>
          </w:p>
        </w:tc>
        <w:tc>
          <w:tcPr>
            <w:tcW w:w="4876" w:type="dxa"/>
            <w:vAlign w:val="top"/>
          </w:tcPr>
          <w:p>
            <w:pPr>
              <w:pStyle w:val="Normal6a"/>
            </w:pPr>
            <w:r>
              <w:t>(25)</w:t>
            </w:r>
            <w:r>
              <w:tab/>
            </w:r>
            <w:r>
              <w:t xml:space="preserve">Nařízení (EU) č. 909/2014 (nařízení </w:t>
            </w:r>
            <w:r>
              <w:rPr>
                <w:b/>
                <w:i/>
                <w:strike w:val="0"/>
                <w:color w:val="auto"/>
                <w:highlight w:val="none"/>
                <w:u w:val="none" w:color="auto"/>
                <w:vertAlign w:val="baseline"/>
              </w:rPr>
              <w:t>CSDR</w:t>
            </w:r>
            <w:r>
              <w:t xml:space="preserve">) vyžaduje, aby centrální depozitář poskytoval přístup jinému centrálnímu depozitáři nebo jiným tržním infrastrukturám. Přístup k centrálnímu depozitáři provozujícímu </w:t>
            </w:r>
            <w:r>
              <w:rPr>
                <w:b/>
                <w:i/>
                <w:strike w:val="0"/>
                <w:color w:val="auto"/>
                <w:highlight w:val="none"/>
                <w:u w:val="none" w:color="auto"/>
                <w:vertAlign w:val="baseline"/>
              </w:rPr>
              <w:t>DLT SSS může být technicky náročnější, zatěžující</w:t>
            </w:r>
            <w:r>
              <w:t xml:space="preserve"> nebo obtížně dosažitelný, protože interoperabilita starších systémů s DLT dosud nebyla testována. </w:t>
            </w:r>
            <w:r>
              <w:rPr>
                <w:b/>
                <w:i/>
                <w:strike w:val="0"/>
                <w:color w:val="auto"/>
                <w:highlight w:val="none"/>
                <w:u w:val="none" w:color="auto"/>
                <w:vertAlign w:val="baseline"/>
              </w:rPr>
              <w:t>DLT SSS by rovněž</w:t>
            </w:r>
            <w:r>
              <w:t xml:space="preserve"> měl mít rovněž možnost požádat o výjimku z těchto pravidel, pokud je schopen prokázat, že jejich použití je nepřiměřené vzhledem k </w:t>
            </w:r>
            <w:r>
              <w:rPr>
                <w:b/>
                <w:i/>
                <w:strike w:val="0"/>
                <w:color w:val="auto"/>
                <w:highlight w:val="none"/>
                <w:u w:val="none" w:color="auto"/>
                <w:vertAlign w:val="baseline"/>
              </w:rPr>
              <w:t>velikosti DLT SSS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poznámky. Kromě toho se navrhuje zvážit možnou standardizaci definic údajů nebo protokolů pro zasílání zpráv, které jsou nezbytné pro usnadnění přístupu k různým systémům a pro podporu interoperability.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(26)</w:t>
            </w:r>
            <w:r>
              <w:tab/>
            </w:r>
            <w:r>
              <w:t xml:space="preserve">Bez ohledu na pravidlo, z něhož požaduje výjimku, by centrální depozitář provozující systém </w:t>
            </w:r>
            <w:r>
              <w:rPr>
                <w:b/>
                <w:i/>
                <w:strike w:val="0"/>
                <w:color w:val="auto"/>
                <w:highlight w:val="none"/>
                <w:u w:val="none" w:color="auto"/>
                <w:vertAlign w:val="baseline"/>
              </w:rPr>
              <w:t>vypořádání obchodů s cennými papíry vedenými na DLT</w:t>
            </w:r>
            <w:r>
              <w:t xml:space="preserve"> měl prokázat, že požadovaná výjimka je přiměřená a odůvodněná použitím DLT. Výjimka by měla být rovněž omezena na </w:t>
            </w:r>
            <w:r>
              <w:rPr>
                <w:b/>
                <w:i/>
                <w:strike w:val="0"/>
                <w:color w:val="auto"/>
                <w:highlight w:val="none"/>
                <w:u w:val="none" w:color="auto"/>
                <w:vertAlign w:val="baseline"/>
              </w:rPr>
              <w:t>systém vypořádání obchodů s cennými papíry vedenými na DLT</w:t>
            </w:r>
            <w:r>
              <w:t xml:space="preserve"> a neměla by se vztahovat na jiné systémy vypořádání obchodů s cennými papíry provozované stejným centrálním depozitářem.</w:t>
            </w:r>
          </w:p>
        </w:tc>
        <w:tc>
          <w:tcPr>
            <w:tcW w:w="4876" w:type="dxa"/>
            <w:vAlign w:val="top"/>
          </w:tcPr>
          <w:p>
            <w:pPr>
              <w:pStyle w:val="Normal6a"/>
            </w:pPr>
            <w:r>
              <w:t>(26)</w:t>
            </w:r>
            <w:r>
              <w:tab/>
            </w:r>
            <w:r>
              <w:t xml:space="preserve">Bez ohledu na pravidlo, z něhož požaduje výjimku, by centrální depozitář provozující systém </w:t>
            </w:r>
            <w:r>
              <w:rPr>
                <w:b/>
                <w:i/>
                <w:strike w:val="0"/>
                <w:color w:val="auto"/>
                <w:highlight w:val="none"/>
                <w:u w:val="none" w:color="auto"/>
                <w:vertAlign w:val="baseline"/>
              </w:rPr>
              <w:t>DLT SSS</w:t>
            </w:r>
            <w:r>
              <w:t xml:space="preserve"> měl prokázat, že požadovaná výjimka je přiměřená a odůvodněná použitím DLT. Výjimka by měla být rovněž omezena na </w:t>
            </w:r>
            <w:r>
              <w:rPr>
                <w:b/>
                <w:i/>
                <w:strike w:val="0"/>
                <w:color w:val="auto"/>
                <w:highlight w:val="none"/>
                <w:u w:val="none" w:color="auto"/>
                <w:vertAlign w:val="baseline"/>
              </w:rPr>
              <w:t>DLT SSS</w:t>
            </w:r>
            <w:r>
              <w:t xml:space="preserve"> a neměla by se vztahovat na jiné systémy vypořádání obchodů s cennými papíry provozované stejným centrálním depozitářem.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 xml:space="preserve">Ve srovnání s tradičními tržními infrastrukturami by tržní infrastruktury DLT </w:t>
            </w:r>
            <w:r>
              <w:rPr>
                <w:b/>
                <w:i/>
                <w:strike w:val="0"/>
                <w:color w:val="auto"/>
                <w:highlight w:val="none"/>
                <w:u w:val="none" w:color="auto"/>
                <w:vertAlign w:val="baseline"/>
              </w:rPr>
              <w:t>měly</w:t>
            </w:r>
            <w:r>
              <w:t xml:space="preserve"> podléhat také dalším požadavkům. Tyto požadavky jsou nezbytné, aby se zabránilo rizikům spojeným s používáním DLT nebo s novým způsobem výkonu činností tržní infrastrukturou DLT. Tržní </w:t>
            </w:r>
            <w:r>
              <w:rPr>
                <w:b/>
                <w:i/>
                <w:strike w:val="0"/>
                <w:color w:val="auto"/>
                <w:highlight w:val="none"/>
                <w:u w:val="none" w:color="auto"/>
                <w:vertAlign w:val="baseline"/>
              </w:rPr>
              <w:t>infrastruktura DLT</w:t>
            </w:r>
            <w:r>
              <w:t xml:space="preserve"> by proto </w:t>
            </w:r>
            <w:r>
              <w:rPr>
                <w:b/>
                <w:i/>
                <w:strike w:val="0"/>
                <w:color w:val="auto"/>
                <w:highlight w:val="none"/>
                <w:u w:val="none" w:color="auto"/>
                <w:vertAlign w:val="baseline"/>
              </w:rPr>
              <w:t>měla</w:t>
            </w:r>
            <w:r>
              <w:t xml:space="preserve"> vytvořit jasný obchodní plán, který podrobně stanoví, jak bude DLT používána a jaká budou zavedena právní opatření.</w:t>
            </w:r>
          </w:p>
        </w:tc>
        <w:tc>
          <w:tcPr>
            <w:tcW w:w="4876" w:type="dxa"/>
            <w:vAlign w:val="top"/>
          </w:tcPr>
          <w:p>
            <w:pPr>
              <w:pStyle w:val="Normal6a"/>
            </w:pPr>
            <w:r>
              <w:t>(27)</w:t>
            </w:r>
            <w:r>
              <w:tab/>
            </w:r>
            <w:r>
              <w:t xml:space="preserve">Ve srovnání s tradičními tržními infrastrukturami by tržní infrastruktury DLT </w:t>
            </w:r>
            <w:r>
              <w:rPr>
                <w:b/>
                <w:i/>
                <w:strike w:val="0"/>
                <w:color w:val="auto"/>
                <w:highlight w:val="none"/>
                <w:u w:val="none" w:color="auto"/>
                <w:vertAlign w:val="baseline"/>
              </w:rPr>
              <w:t>a jejich provozovatelé měli</w:t>
            </w:r>
            <w:r>
              <w:t xml:space="preserve"> podléhat také dalším požadavkům. Tyto požadavky jsou nezbytné, aby se zabránilo rizikům spojeným s používáním DLT nebo s novým způsobem výkonu činností tržní infrastrukturou DLT. Tržní </w:t>
            </w:r>
            <w:r>
              <w:rPr>
                <w:b/>
                <w:i/>
                <w:strike w:val="0"/>
                <w:color w:val="auto"/>
                <w:highlight w:val="none"/>
                <w:u w:val="none" w:color="auto"/>
                <w:vertAlign w:val="baseline"/>
              </w:rPr>
              <w:t>infrastruktury DLT a jejich provozovatelé</w:t>
            </w:r>
            <w:r>
              <w:t xml:space="preserve"> by proto </w:t>
            </w:r>
            <w:r>
              <w:rPr>
                <w:b/>
                <w:i/>
                <w:strike w:val="0"/>
                <w:color w:val="auto"/>
                <w:highlight w:val="none"/>
                <w:u w:val="none" w:color="auto"/>
                <w:vertAlign w:val="baseline"/>
              </w:rPr>
              <w:t>měli</w:t>
            </w:r>
            <w:r>
              <w:t xml:space="preserve"> vytvořit jasný obchodní plán, který podrobně stanoví, jak bude DLT používána a jaká budou zavedena právní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Některé požadavky se vztahují na provozovatele tržní infrastruktury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(27)</w:t>
            </w:r>
            <w:r>
              <w:tab/>
            </w:r>
            <w:r>
              <w:t>Ve srovnání s tradičními tržními infrastrukturami by tržní infrastruktury DLT měly podléhat také dalším požadavkům. Tyto požadavky jsou nezbytné, aby se zabránilo rizikům spojeným s používáním DLT nebo s novým způsobem výkonu činností tržní infrastrukturou DLT. Tržní infrastruktura DLT by proto měla vytvořit jasný obchodní plán, který podrobně stanoví, jak bude DLT používána a jaká budou zavedena právní opatření.</w:t>
            </w:r>
          </w:p>
        </w:tc>
        <w:tc>
          <w:tcPr>
            <w:tcW w:w="4876" w:type="dxa"/>
            <w:vAlign w:val="top"/>
          </w:tcPr>
          <w:p>
            <w:pPr>
              <w:pStyle w:val="Normal6a"/>
            </w:pPr>
            <w:r>
              <w:t>(27)</w:t>
            </w:r>
            <w:r>
              <w:tab/>
            </w:r>
            <w:r>
              <w:t>Ve srovnání s tradičními tržními infrastrukturami by tržní infrastruktury DLT měly podléhat také dalším požadavkům. Tyto požadavky jsou nezbytné, aby se zabránilo rizikům spojeným s používáním DLT nebo s novým způsobem výkonu činností tržní infrastrukturou DLT. Tržní infrastruktura DLT by proto měla vytvořit jasný obchodní plán, který podrobně stanoví, jak bude DLT používána a jaká budou zavedena právní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rPr>
                <w:b/>
                <w:i/>
                <w:strike w:val="0"/>
                <w:color w:val="auto"/>
                <w:highlight w:val="none"/>
                <w:u w:val="none" w:color="auto"/>
                <w:vertAlign w:val="baseline"/>
              </w:rPr>
              <w:t>Centrální depozitář</w:t>
            </w:r>
            <w:r>
              <w:t xml:space="preserve"> provozující systém vypořádání obchodů s cennými papíry vedenými na DLT nebo systém DLT MTF, které mají povolení sami vypořádávat transakce s převoditelnými cennými papíry vedenými na DLT, by měly stanovit pravidla pro fungování vlastní DLT, kterou provozují, včetně pravidel pro přístup a přijetí na DLT, pravidel pro zúčastněné uzly a pravidel pro řešení potenciálních střetů zájmů, jakož i opatření k řízení rizik.</w:t>
            </w:r>
          </w:p>
        </w:tc>
        <w:tc>
          <w:tcPr>
            <w:tcW w:w="4876" w:type="dxa"/>
            <w:vAlign w:val="top"/>
          </w:tcPr>
          <w:p>
            <w:pPr>
              <w:pStyle w:val="Normal6a"/>
            </w:pPr>
            <w:r>
              <w:t>(28)</w:t>
            </w:r>
            <w:r>
              <w:tab/>
            </w:r>
            <w:r>
              <w:rPr>
                <w:b/>
                <w:i/>
                <w:strike w:val="0"/>
                <w:color w:val="auto"/>
                <w:highlight w:val="none"/>
                <w:u w:val="none" w:color="auto"/>
                <w:vertAlign w:val="baseline"/>
              </w:rPr>
              <w:t>Pokud používají vlastní DLT, subjekt</w:t>
            </w:r>
            <w:r>
              <w:t xml:space="preserve"> provozující systém vypořádání obchodů s cennými papíry vedenými na DLT nebo systém DLT MTF, které mají povolení sami vypořádávat transakce s převoditelnými cennými papíry vedenými na DLT, by měly stanovit pravidla pro fungování vlastní DLT, kterou provozují, včetně pravidel pro přístup a přijetí na DLT, pravidel pro zúčastněné uzly a pravidel pro řešení potenciálních střetů zájmů, jakož i opatření k řízení rizik.</w:t>
            </w:r>
            <w:r>
              <w:br/>
            </w:r>
            <w:r>
              <w:br/>
            </w:r>
            <w:r>
              <w:rPr>
                <w:b/>
                <w:i/>
                <w:strike w:val="0"/>
                <w:color w:val="auto"/>
                <w:highlight w:val="none"/>
                <w:u w:val="none" w:color="auto"/>
                <w:vertAlign w:val="baseline"/>
              </w:rPr>
              <w:t>Pokud používají veřejnou DLT, subjekt provozující systém vypořádání obchodů s cennými papíry vedenými na DLT nebo DLT MTF, které mají povolení sami vypořádávat transakce s převoditelnými cennými papíry vedenými na DLT, by měl příslušnému orgánu řádně popsat fungování DLT, které používají, způsob, jakým řeší potenciální střety zájmů, jakož i opatření k řízení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 pro nové účastníky na trhu &amp; technologická neutralita ve vztahu k patentovým a veřejným distribuovaným účetním knihám.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 xml:space="preserve">Centrální depozitář provozující systém </w:t>
            </w:r>
            <w:r>
              <w:rPr>
                <w:b/>
                <w:i/>
                <w:strike w:val="0"/>
                <w:color w:val="auto"/>
                <w:highlight w:val="none"/>
                <w:u w:val="none" w:color="auto"/>
                <w:vertAlign w:val="baseline"/>
              </w:rPr>
              <w:t>vypořádání obchodů s cennými papíry vedenými na</w:t>
            </w:r>
            <w:r>
              <w:t xml:space="preserve"> DLT nebo systém DLT MTF, které mají povolení sami vypořádávat transakce s převoditelnými cennými papíry vedenými na DLT, by měly stanovit pravidla pro fungování vlastní DLT, kterou provozují, včetně pravidel pro přístup a přijetí na DLT, pravidel pro zúčastněné uzly a pravidel pro řešení potenciálních střetů zájmů, jakož i opatření k řízení rizik.</w:t>
            </w:r>
          </w:p>
        </w:tc>
        <w:tc>
          <w:tcPr>
            <w:tcW w:w="4876" w:type="dxa"/>
            <w:vAlign w:val="top"/>
          </w:tcPr>
          <w:p>
            <w:pPr>
              <w:pStyle w:val="Normal6a"/>
            </w:pPr>
            <w:r>
              <w:t>(28)</w:t>
            </w:r>
            <w:r>
              <w:tab/>
            </w:r>
            <w:r>
              <w:t xml:space="preserve">Centrální depozitář provozující systém DLT </w:t>
            </w:r>
            <w:r>
              <w:rPr>
                <w:b/>
                <w:i/>
                <w:strike w:val="0"/>
                <w:color w:val="auto"/>
                <w:highlight w:val="none"/>
                <w:u w:val="none" w:color="auto"/>
                <w:vertAlign w:val="baseline"/>
              </w:rPr>
              <w:t>SSS</w:t>
            </w:r>
            <w:r>
              <w:t xml:space="preserve"> nebo systém DLT MTF, které mají povolení sami vypořádávat transakce s převoditelnými cennými papíry vedenými na DLT, by měly stanovit </w:t>
            </w:r>
            <w:r>
              <w:rPr>
                <w:b/>
                <w:i/>
                <w:strike w:val="0"/>
                <w:color w:val="auto"/>
                <w:highlight w:val="none"/>
                <w:u w:val="none" w:color="auto"/>
                <w:vertAlign w:val="baseline"/>
              </w:rPr>
              <w:t>nebo zdokumentovat</w:t>
            </w:r>
            <w:r>
              <w:t xml:space="preserve"> pravidla pro fungování vlastní DLT, kterou provozují, včetně pravidel pro přístup a přijetí na DLT, pravidel pro zúčastněné uzly a pravidel pro řešení potenciálních střetů zájmů, jakož i opatření k řízení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Měla by být dodržována zásada technologické neutrality, aby byl ponechán prostor pro testování různých modelů DLT. Řádná správa jakékoli tržní infrastruktury je důležitá pro zajištění její bezpečnosti a účinnosti. Potřeba zajistit, aby odpovědnost za nakládání s údaji byla jasná a aby rámec kybernetické odolnosti mohl být přijat způsobem, který zajistí plné zapojení všech. Odpovědnost za fungování používané technologie distribuované účetní knihy by měla zůstat v infrastruktuře trhu DLT bez ohledu na typ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(28)</w:t>
            </w:r>
            <w:r>
              <w:tab/>
            </w:r>
            <w:r>
              <w:t>Centrální depozitář provozující systém vypořádání obchodů s cennými papíry vedenými na DLT nebo systém DLT MTF, které mají povolení sami vypořádávat transakce s převoditelnými cennými papíry vedenými na DLT, by měly stanovit pravidla pro fungování vlastní DLT, kterou provozují, včetně pravidel pro přístup a přijetí na DLT, pravidel pro zúčastněné uzly a pravidel pro řešení potenciálních střetů zájmů, jakož i opatření k řízení rizik.</w:t>
            </w:r>
          </w:p>
        </w:tc>
        <w:tc>
          <w:tcPr>
            <w:tcW w:w="4876" w:type="dxa"/>
            <w:vAlign w:val="top"/>
          </w:tcPr>
          <w:p>
            <w:pPr>
              <w:pStyle w:val="Normal6a"/>
            </w:pPr>
            <w:r>
              <w:t>(28)</w:t>
            </w:r>
            <w:r>
              <w:tab/>
            </w:r>
            <w:r>
              <w:t xml:space="preserve">Centrální depozitář provozující systém vypořádání obchodů s cennými papíry vedenými na DLT nebo systém DLT MTF, které mají povolení sami vypořádávat transakce s převoditelnými cennými papíry vedenými na DLT, by měly stanovit </w:t>
            </w:r>
            <w:r>
              <w:rPr>
                <w:b/>
                <w:i/>
                <w:strike w:val="0"/>
                <w:color w:val="auto"/>
                <w:highlight w:val="none"/>
                <w:u w:val="none" w:color="auto"/>
                <w:vertAlign w:val="baseline"/>
              </w:rPr>
              <w:t>nebo případně zdokumentovat</w:t>
            </w:r>
            <w:r>
              <w:t xml:space="preserve"> pravidla pro fungování vlastní DLT, kterou provozují, včetně pravidel pro přístup a přijetí na DLT, pravidel pro zúčastněné uzly a pravidel pro řešení potenciálních střetů zájmů, jakož i opatření k řízení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29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(29)</w:t>
            </w:r>
            <w:r>
              <w:tab/>
            </w:r>
            <w:r>
              <w:t>Tržní infrastruktura DLT by měla mít povinnost informovat členy, účastníky, emitenty a klienty o tom, jak hodlá vykonávat své činnosti a zda použití DLT způsobí odchylky od běžného způsobu poskytování služby tradičním systémem MTF nebo centrálním depozitářem provozujícím systém vypořádání obchodů s cennými papíry.</w:t>
            </w:r>
          </w:p>
        </w:tc>
        <w:tc>
          <w:tcPr>
            <w:tcW w:w="4876" w:type="dxa"/>
            <w:vAlign w:val="top"/>
          </w:tcPr>
          <w:p>
            <w:pPr>
              <w:pStyle w:val="Normal6a"/>
            </w:pPr>
            <w:r>
              <w:t>(29)</w:t>
            </w:r>
            <w:r>
              <w:tab/>
            </w:r>
            <w:r>
              <w:t>Tržní infrastruktura DLT by měla mít povinnost informovat členy, účastníky, emitenty a klienty o tom, jak hodlá vykonávat své činnosti a zda použití DLT způsobí odchylky od běžného způsobu poskytování služby tradičním systémem MTF nebo centrálním depozitářem provozujícím systém vypořádání obchodů s cennými papíry.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Tržní infrastruktura DLT by měla mít zavedena zvláštní a kvalitní IT a kybernetická opatření související s používáním DLT. </w:t>
            </w:r>
            <w:r>
              <w:rPr>
                <w:b/>
                <w:i/>
                <w:strike w:val="0"/>
                <w:color w:val="auto"/>
                <w:highlight w:val="none"/>
                <w:u w:val="none" w:color="auto"/>
                <w:vertAlign w:val="baseline"/>
              </w:rPr>
              <w:t>Tato opatření by měla být</w:t>
            </w:r>
            <w:r>
              <w:t xml:space="preserve"> přiměřená povaze, rozsahu a složitosti obchodního plánu tržní infrastruktury DLT. Tato opatření by měla rovněž zajistit trvalou spolehlivost, kontinuitu a bezpečnost poskytovaných služeb, včetně spolehlivosti potenciálně používaných inteligentních smluv. Tržní infrastruktury DLT by rovněž měly zajistit integritu, bezpečnost, důvěrnost, dostupnost a přístupnost údajů uložených na DLT. </w:t>
            </w:r>
            <w:r>
              <w:rPr>
                <w:b/>
                <w:i/>
                <w:strike w:val="0"/>
                <w:color w:val="auto"/>
                <w:highlight w:val="none"/>
                <w:u w:val="none" w:color="auto"/>
                <w:vertAlign w:val="baseline"/>
              </w:rPr>
              <w:t>Příslušnému orgánu tržní infrastruktury DLT by mělo být umožněno požádat o audit s cílem ujistit se, že celková IT a kybernetická opatření odpovídají danému účelu. Náklady na takový audit by měla nést tržní infrastruktura DLT.</w:t>
            </w:r>
          </w:p>
        </w:tc>
        <w:tc>
          <w:tcPr>
            <w:tcW w:w="4876" w:type="dxa"/>
            <w:vAlign w:val="top"/>
          </w:tcPr>
          <w:p>
            <w:pPr>
              <w:pStyle w:val="Normal6a"/>
            </w:pPr>
            <w:r>
              <w:t>(30)</w:t>
            </w:r>
            <w:r>
              <w:tab/>
            </w:r>
            <w:r>
              <w:t xml:space="preserve">Tržní infrastruktura DLT by měla mít zavedena zvláštní a kvalitní IT a kybernetická opatření související s používáním DLT. </w:t>
            </w:r>
            <w:r>
              <w:rPr>
                <w:b/>
                <w:i/>
                <w:strike w:val="0"/>
                <w:color w:val="auto"/>
                <w:highlight w:val="none"/>
                <w:u w:val="none" w:color="auto"/>
                <w:vertAlign w:val="baseline"/>
              </w:rPr>
              <w:t>Před udělením výjimky by měl příslušný orgán provést audit těchto opatření s cílem ověřit, zda jsou vhodná pro daný účel a</w:t>
            </w:r>
            <w:r>
              <w:t xml:space="preserve"> přiměřená povaze, rozsahu a složitosti obchodního plánu tržní infrastruktury DLT. </w:t>
            </w:r>
            <w:r>
              <w:rPr>
                <w:b/>
                <w:i/>
                <w:strike w:val="0"/>
                <w:color w:val="auto"/>
                <w:highlight w:val="none"/>
                <w:u w:val="none" w:color="auto"/>
                <w:vertAlign w:val="baseline"/>
              </w:rPr>
              <w:t>Náklady na takový audit by měla nést tržní infrastruktura DLT.</w:t>
            </w:r>
            <w:r>
              <w:t xml:space="preserve"> Tato opatření by měla rovněž zajistit trvalou spolehlivost, kontinuitu a bezpečnost poskytovaných služeb, včetně spolehlivosti potenciálně používaných inteligentních smluv. Tržní infrastruktury DLT by rovněž měly zajistit integritu, bezpečnost, důvěrnost, dostupnost a přístupnost údajů uložených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Tržní infrastruktura DLT by měla mít zavedena zvláštní a kvalitní IT a kybernetická opatření související s používáním DLT. Tato opatření by měla být přiměřená povaze, rozsahu a složitosti obchodního plánu tržní infrastruktury DLT. Tato opatření by měla rovněž zajistit trvalou spolehlivost, kontinuitu a bezpečnost poskytovaných služeb, včetně spolehlivosti potenciálně používaných inteligentních smluv. Tržní infrastruktury DLT by rovněž měly zajistit integritu, bezpečnost, důvěrnost, dostupnost a přístupnost údajů uložených na DLT. Příslušnému orgánu tržní infrastruktury DLT by mělo být umožněno požádat o audit s cílem ujistit se, že celková IT a kybernetická opatření odpovídají danému účelu. Náklady na takový audit by měla nést tržní infrastruktura DLT.</w:t>
            </w:r>
          </w:p>
        </w:tc>
        <w:tc>
          <w:tcPr>
            <w:tcW w:w="4876" w:type="dxa"/>
            <w:vAlign w:val="top"/>
          </w:tcPr>
          <w:p>
            <w:pPr>
              <w:pStyle w:val="Normal6a"/>
            </w:pPr>
            <w:r>
              <w:t>(30)</w:t>
            </w:r>
            <w:r>
              <w:tab/>
            </w:r>
            <w:r>
              <w:t xml:space="preserve">Tržní infrastruktura DLT by měla mít zavedena zvláštní a kvalitní IT a kybernetická opatření související s používáním DLT. Tato opatření by měla být přiměřená povaze, rozsahu a složitosti obchodního plánu tržní infrastruktury DLT. Tato opatření by měla rovněž zajistit trvalou spolehlivost, kontinuitu a bezpečnost poskytovaných služeb, včetně spolehlivosti potenciálně používaných inteligentních smluv. Tržní infrastruktury DLT by rovněž měly zajistit integritu, bezpečnost, důvěrnost, dostupnost a přístupnost údajů uložených na DLT. </w:t>
            </w:r>
            <w:r>
              <w:rPr>
                <w:b/>
                <w:i/>
                <w:strike w:val="0"/>
                <w:color w:val="auto"/>
                <w:highlight w:val="none"/>
                <w:u w:val="none" w:color="auto"/>
                <w:vertAlign w:val="baseline"/>
              </w:rPr>
              <w:t>Tato opatření by měla být v souladu s povinnostmi stanovenými v článku 32 nařízení (EU) 2016/679 („obecné nařízení o ochraně osobních údajů“), pokud jde o provádění technických a organizačních bezpečnostních opatření, která mohou zajistit úroveň bezpečnosti odpovídající danému riziku.</w:t>
            </w:r>
            <w:r>
              <w:t xml:space="preserve"> </w:t>
            </w:r>
            <w:r>
              <w:rPr>
                <w:b/>
                <w:i/>
                <w:strike w:val="0"/>
                <w:color w:val="auto"/>
                <w:highlight w:val="none"/>
                <w:u w:val="none" w:color="auto"/>
                <w:vertAlign w:val="baseline"/>
              </w:rPr>
              <w:t>Pokud jde o inteligentní smlouvy, měl by se použít čl. 22 odst. 1 obecného nařízení o ochraně údajů, podle něhož má subjekt údajů právo nebýt předmětem rozhodnutí založeného výhradně na automatizovaném zpracování, včetně profilování, které má pro něj právní účinky nebo se ho obdobným způsobem významně dotýká.</w:t>
            </w:r>
            <w:r>
              <w:t xml:space="preserve"> Příslušnému orgánu tržní infrastruktury DLT by mělo být umožněno požádat o audit s cílem ujistit se, že celková IT a kybernetická opatření odpovídají danému účelu. Náklady na takový audit by měla nést tržní infrastruktura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(30)</w:t>
            </w:r>
            <w:r>
              <w:tab/>
            </w:r>
            <w:r>
              <w:t xml:space="preserve">Tržní infrastruktura DLT by měla mít zavedena zvláštní a kvalitní IT a kybernetická opatření související s používáním DLT. Tato opatření by měla být přiměřená povaze, rozsahu a složitosti obchodního plánu tržní infrastruktury DLT. Tato opatření by měla rovněž zajistit trvalou spolehlivost, kontinuitu a bezpečnost poskytovaných služeb, včetně spolehlivosti potenciálně používaných inteligentních smluv. Tržní infrastruktury DLT by rovněž měly zajistit integritu, bezpečnost, důvěrnost, dostupnost a přístupnost údajů uložených na DLT. Příslušnému orgánu tržní infrastruktury DLT by mělo být umožněno </w:t>
            </w:r>
            <w:r>
              <w:rPr>
                <w:b/>
                <w:i/>
                <w:strike w:val="0"/>
                <w:color w:val="auto"/>
                <w:highlight w:val="none"/>
                <w:u w:val="none" w:color="auto"/>
                <w:vertAlign w:val="baseline"/>
              </w:rPr>
              <w:t>požádat o audit</w:t>
            </w:r>
            <w:r>
              <w:t xml:space="preserve"> s cílem ujistit se, že celková IT a kybernetická opatření odpovídají danému účelu. Náklady na takový audit by měla nést tržní infrastruktura DLT.</w:t>
            </w:r>
          </w:p>
        </w:tc>
        <w:tc>
          <w:tcPr>
            <w:tcW w:w="4876" w:type="dxa"/>
            <w:vAlign w:val="top"/>
          </w:tcPr>
          <w:p>
            <w:pPr>
              <w:pStyle w:val="Normal6a"/>
            </w:pPr>
            <w:r>
              <w:t>(30)</w:t>
            </w:r>
            <w:r>
              <w:tab/>
            </w:r>
            <w:r>
              <w:t>Tržní infrastruktura DLT by měla mít zavedena zvláštní a kvalitní IT a kybernetická opatření související s používáním DLT. Tato opatření by měla být přiměřená povaze, rozsahu a složitosti obchodního plánu tržní infrastruktury DLT. Tato opatření by měla rovněž zajistit trvalou spolehlivost, kontinuitu a bezpečnost poskytovaných služeb, včetně spolehlivosti potenciálně používaných inteligentních smluv</w:t>
            </w:r>
            <w:r>
              <w:rPr>
                <w:b/>
                <w:i/>
                <w:strike w:val="0"/>
                <w:color w:val="auto"/>
                <w:highlight w:val="none"/>
                <w:u w:val="none" w:color="auto"/>
                <w:vertAlign w:val="baseline"/>
              </w:rPr>
              <w:t>, buď vytvořených tržní infrastrukturou DLT nebo třetí stranou na základě postupů externího zajišťování služeb</w:t>
            </w:r>
            <w:r>
              <w:t xml:space="preserve">. Tržní infrastruktury DLT by rovněž měly zajistit integritu, bezpečnost, důvěrnost, dostupnost a přístupnost údajů uložených na DLT. Příslušnému orgánu tržní infrastruktury DLT by mělo být umožněno </w:t>
            </w:r>
            <w:r>
              <w:rPr>
                <w:b/>
                <w:i/>
                <w:strike w:val="0"/>
                <w:color w:val="auto"/>
                <w:highlight w:val="none"/>
                <w:u w:val="none" w:color="auto"/>
                <w:vertAlign w:val="baseline"/>
              </w:rPr>
              <w:t>nařídit dodržování určitých norem vhodných pro operace DLT nebo auditu</w:t>
            </w:r>
            <w:r>
              <w:t xml:space="preserve"> s cílem ujistit se, že celková IT a kybernetická opatření odpovídají danému účelu. Náklady na takový audit by měla nést tržní infrastruktura DLT. </w:t>
            </w:r>
            <w:r>
              <w:rPr>
                <w:b/>
                <w:i/>
                <w:strike w:val="0"/>
                <w:color w:val="auto"/>
                <w:highlight w:val="none"/>
                <w:u w:val="none" w:color="auto"/>
                <w:vertAlign w:val="baseline"/>
              </w:rPr>
              <w:t>Náklady na soulad s normami nebo na takový audit by měla nést tržní infrastruktura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třeba zajistit, aby odpovědnost vyplývající z inteligentní smlouvy, kterou používá tržní infrastruktura DLT, zůstala na této straně, a to bez ohledu na to, zda je tato inteligentní smlouva vytvořena samotnou tržní infrastrukturou DLT nebo třetí stranou na základě postupů zadávání zakázek externím dodavatelům. Kromě toho se navrhuje stanovit soulad s určitými normami, jako jsou SOC2 nebo ISO27001, které jsou vhodné pro provoz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Antonio Maria Rinaldi</w:t>
      </w:r>
      <w:r>
        <w:t xml:space="preserve">, </w:t>
      </w:r>
      <w:r>
        <w:t>Francesca Donato</w:t>
      </w:r>
      <w:r>
        <w:t xml:space="preserve">, </w:t>
      </w:r>
      <w:r>
        <w:t>Valentino Grant</w:t>
      </w:r>
      <w:r>
        <w:t xml:space="preserve">, </w:t>
      </w:r>
      <w:r>
        <w:t>Marco Zanni</w:t>
      </w:r>
      <w:r>
        <w:t xml:space="preserve">, </w:t>
      </w:r>
      <w:r>
        <w:t>Gunnar Beck</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(30a)</w:t>
            </w:r>
            <w:r>
              <w:tab/>
            </w:r>
            <w:r>
              <w:rPr>
                <w:b/>
                <w:i/>
                <w:strike w:val="0"/>
                <w:color w:val="auto"/>
                <w:highlight w:val="none"/>
                <w:u w:val="none" w:color="auto"/>
                <w:vertAlign w:val="baseline"/>
              </w:rPr>
              <w:t>V případě narušení bezpečnosti osobních údajů by měl operátor tržní infrastruktury DLT v souladu s obecným nařízením o ochraně údajů rovněž informovat příslušný dozorový úřad pro ochranu údajů.</w:t>
            </w:r>
            <w:r>
              <w:t xml:space="preserve"> </w:t>
            </w:r>
            <w:r>
              <w:rPr>
                <w:b/>
                <w:i/>
                <w:strike w:val="0"/>
                <w:color w:val="auto"/>
                <w:highlight w:val="none"/>
                <w:u w:val="none" w:color="auto"/>
                <w:vertAlign w:val="baseline"/>
              </w:rPr>
              <w:t>Oznámení uvedené v čl. 9 odst. 1 písm. b) by nemělo být chápáno jako alternativa nebo náhrada oznámení uvedeného v článku 33 uvedeného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IT</w:t>
      </w:r>
      <w:r>
        <w:rPr>
          <w:rStyle w:val="HideTWBInt"/>
        </w:rPr>
        <w:t>}</w:t>
      </w:r>
      <w:r>
        <w:t>it</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 xml:space="preserve">Pokud by obchodní plán tržní infrastruktury DLT předpokládal úschovu peněžních prostředků klientů, jako jsou peníze a peněžní ekvivalenty, nebo převoditelných cenných papírů vedených na DLT či prostředků přístupu k těmto převoditelným cenným papírům vedeným na DLT, včetně prostředků ve formě kryptografických klíčů, měla by mít tržní infrastruktura DLT zavedena odpovídající opatření k ochraně aktiv svých klientů. Tržní </w:t>
            </w:r>
            <w:r>
              <w:rPr>
                <w:b/>
                <w:i/>
                <w:strike w:val="0"/>
                <w:color w:val="auto"/>
                <w:highlight w:val="none"/>
                <w:u w:val="none" w:color="auto"/>
                <w:vertAlign w:val="baseline"/>
              </w:rPr>
              <w:t>infrastruktura</w:t>
            </w:r>
            <w:r>
              <w:t xml:space="preserve"> DLT by bez předchozího výslovného souhlasu svých klientů </w:t>
            </w:r>
            <w:r>
              <w:rPr>
                <w:b/>
                <w:i/>
                <w:strike w:val="0"/>
                <w:color w:val="auto"/>
                <w:highlight w:val="none"/>
                <w:u w:val="none" w:color="auto"/>
                <w:vertAlign w:val="baseline"/>
              </w:rPr>
              <w:t>neměla</w:t>
            </w:r>
            <w:r>
              <w:t xml:space="preserve"> používat jejich aktiva na vlastní účet. Tržní infrastruktura DLT by měla oddělit peněžní prostředky svých klientů, jejich převoditelné cenné papíry vedené na DLT nebo prostředky přístupu k těmto aktivům od svých vlastních aktiv nebo aktiv jiných klientů. Celková IT a kybernetická opatření tržních infrastruktur DLT by měla zajistit ochranu aktiv klientů před podvody, kybernetickými hrozbami nebo jinými selháními.</w:t>
            </w:r>
          </w:p>
        </w:tc>
        <w:tc>
          <w:tcPr>
            <w:tcW w:w="4876" w:type="dxa"/>
            <w:vAlign w:val="top"/>
          </w:tcPr>
          <w:p>
            <w:pPr>
              <w:pStyle w:val="Normal6a"/>
            </w:pPr>
            <w:r>
              <w:t>(31)</w:t>
            </w:r>
            <w:r>
              <w:tab/>
            </w:r>
            <w:r>
              <w:t xml:space="preserve">Pokud by obchodní plán tržní infrastruktury DLT předpokládal úschovu peněžních prostředků klientů, jako jsou peníze a peněžní ekvivalenty, nebo převoditelných cenných papírů vedených na DLT či prostředků přístupu k těmto převoditelným cenným papírům vedeným na DLT, včetně prostředků ve formě kryptografických klíčů, měla by mít tržní infrastruktura DLT zavedena odpovídající opatření k ochraně aktiv svých klientů. </w:t>
            </w:r>
            <w:r>
              <w:rPr>
                <w:b/>
                <w:i/>
                <w:strike w:val="0"/>
                <w:color w:val="auto"/>
                <w:highlight w:val="none"/>
                <w:u w:val="none" w:color="auto"/>
                <w:vertAlign w:val="baseline"/>
              </w:rPr>
              <w:t>Tato opatření minimalizují riziko ztráty finančních prostředků klientů, jako jsou peníze nebo peněžní ekvivalenty, nebo převoditelné cenné papíry DLT nebo práva s nimi spojená, nebo prostředky přístupu k nim v důsledku podvodu, kybernetických hrozeb nebo nedbalosti.</w:t>
            </w:r>
            <w:r>
              <w:t xml:space="preserve"> Tržní </w:t>
            </w:r>
            <w:r>
              <w:rPr>
                <w:b/>
                <w:i/>
                <w:strike w:val="0"/>
                <w:color w:val="auto"/>
                <w:highlight w:val="none"/>
                <w:u w:val="none" w:color="auto"/>
                <w:vertAlign w:val="baseline"/>
              </w:rPr>
              <w:t>infrastruktury</w:t>
            </w:r>
            <w:r>
              <w:t xml:space="preserve"> DLT by bez předchozího výslovného souhlasu svých klientů </w:t>
            </w:r>
            <w:r>
              <w:rPr>
                <w:b/>
                <w:i/>
                <w:strike w:val="0"/>
                <w:color w:val="auto"/>
                <w:highlight w:val="none"/>
                <w:u w:val="none" w:color="auto"/>
                <w:vertAlign w:val="baseline"/>
              </w:rPr>
              <w:t>neměly</w:t>
            </w:r>
            <w:r>
              <w:t xml:space="preserve"> používat jejich aktiva na vlastní účet. Tržní infrastruktura DLT by měla oddělit peněžní prostředky svých klientů, jejich převoditelné cenné papíry vedené na DLT nebo prostředky přístupu k těmto aktivům od svých vlastních aktiv nebo aktiv jiných klientů. Celková IT a kybernetická opatření tržních infrastruktur DLT by měla zajistit ochranu aktiv klientů před podvody, kybernetickými hrozbami nebo jinými selháními.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třeba zajistit, aby uvedená opatření minimalizovala riziko ztráty finančních prostředků klientů, jako jsou peníze nebo peněžní ekvivalenty nebo převoditelné cenné papíry vedené na DLT, nebo práva s nimi spojená nebo prostředky přístupu k nim v důsledku podvodů, kybernetických hrozeb nebo nedbalosti.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(31)</w:t>
            </w:r>
            <w:r>
              <w:tab/>
            </w:r>
            <w:r>
              <w:t>Pokud by obchodní plán tržní infrastruktury DLT předpokládal úschovu peněžních prostředků klientů, jako jsou peníze a peněžní ekvivalenty, nebo převoditelných cenných papírů vedených na DLT či prostředků přístupu k těmto převoditelným cenným papírům vedeným na DLT, včetně prostředků ve formě kryptografických klíčů, měla by mít tržní infrastruktura DLT zavedena odpovídající opatření k ochraně aktiv svých klientů. Tržní infrastruktura DLT by bez předchozího výslovného souhlasu svých klientů neměla používat jejich aktiva na vlastní účet. Tržní infrastruktura DLT by měla oddělit peněžní prostředky svých klientů, jejich převoditelné cenné papíry vedené na DLT nebo prostředky přístupu k těmto aktivům od svých vlastních aktiv nebo aktiv jiných klientů. Celková IT a kybernetická opatření tržních infrastruktur DLT by měla zajistit ochranu aktiv klientů před podvody, kybernetickými hrozbami nebo jinými selháními.</w:t>
            </w:r>
          </w:p>
        </w:tc>
        <w:tc>
          <w:tcPr>
            <w:tcW w:w="4876" w:type="dxa"/>
            <w:vAlign w:val="top"/>
          </w:tcPr>
          <w:p>
            <w:pPr>
              <w:pStyle w:val="Normal6a"/>
            </w:pPr>
            <w:r>
              <w:t>(31)</w:t>
            </w:r>
            <w:r>
              <w:tab/>
            </w:r>
            <w:r>
              <w:t>Pokud by obchodní plán tržní infrastruktury DLT předpokládal úschovu peněžních prostředků klientů, jako jsou peníze a peněžní ekvivalenty, nebo převoditelných cenných papírů vedených na DLT či prostředků přístupu k těmto převoditelným cenným papírům vedeným na DLT, včetně prostředků ve formě kryptografických klíčů, měla by mít tržní infrastruktura DLT zavedena odpovídající opatření k ochraně aktiv svých klientů</w:t>
            </w:r>
            <w:r>
              <w:rPr>
                <w:b/>
                <w:i/>
                <w:strike w:val="0"/>
                <w:color w:val="auto"/>
                <w:highlight w:val="none"/>
                <w:u w:val="none" w:color="auto"/>
                <w:vertAlign w:val="baseline"/>
              </w:rPr>
              <w:t>, která by měla být před udělením výjimky schválena příslušným orgánem</w:t>
            </w:r>
            <w:r>
              <w:t>. Tržní infrastruktura DLT by bez předchozího výslovného souhlasu svých klientů neměla používat jejich aktiva na vlastní účet. Tržní infrastruktura DLT by měla oddělit peněžní prostředky svých klientů, jejich převoditelné cenné papíry vedené na DLT nebo prostředky přístupu k těmto aktivům od svých vlastních aktiv nebo aktiv jiných klientů. Celková IT a kybernetická opatření tržních infrastruktur DLT by měla zajistit ochranu aktiv klientů před podvody, kybernetickými hrozbami nebo jinými selháními.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(32)</w:t>
            </w:r>
            <w:r>
              <w:tab/>
            </w:r>
            <w:r>
              <w:t>V okamžiku udělení zvláštního povolení by tržní infrastruktury DLT měly mít rovněž připravenou důvěryhodnou výstupní strategii pro případ, že by měl být režim pro tržní infrastruktury DLT ukončen nebo by bylo odňato zvláštní povolení nebo některá z udělených výjimek.</w:t>
            </w:r>
          </w:p>
        </w:tc>
        <w:tc>
          <w:tcPr>
            <w:tcW w:w="4876" w:type="dxa"/>
            <w:vAlign w:val="top"/>
          </w:tcPr>
          <w:p>
            <w:pPr>
              <w:pStyle w:val="Normal6a"/>
            </w:pPr>
            <w:r>
              <w:t>(32)</w:t>
            </w:r>
            <w:r>
              <w:tab/>
            </w:r>
            <w:r>
              <w:t>V okamžiku udělení zvláštního povolení by tržní infrastruktury DLT měly mít rovněž připravenou důvěryhodnou výstupní strategii</w:t>
            </w:r>
            <w:r>
              <w:rPr>
                <w:b/>
                <w:i/>
                <w:strike w:val="0"/>
                <w:color w:val="auto"/>
                <w:highlight w:val="none"/>
                <w:u w:val="none" w:color="auto"/>
                <w:vertAlign w:val="baseline"/>
              </w:rPr>
              <w:t>, včetně přechodu nebo návratu svých operací DLT na tradiční infrastruktury,</w:t>
            </w:r>
            <w:r>
              <w:t xml:space="preserve"> pro případ, že by měl být režim pro tržní infrastruktury DLT ukončen nebo by bylo odňato zvláštní povolení nebo některá z udělených výjimek </w:t>
            </w:r>
            <w:r>
              <w:rPr>
                <w:b/>
                <w:i/>
                <w:strike w:val="0"/>
                <w:color w:val="auto"/>
                <w:highlight w:val="none"/>
                <w:u w:val="none" w:color="auto"/>
                <w:vertAlign w:val="baseline"/>
              </w:rPr>
              <w:t>nebo by měly být dosaženy prahové hodnoty stanovené v tomto nařízení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každém případě musí být tržní infrastruktury DLT připraveny vrátit se k tradičním tržním infrastrukturám, a to po jasné strategii pro ukončení činnosti/přechod.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w:t>
            </w:r>
            <w:r>
              <w:rPr>
                <w:b/>
                <w:i/>
                <w:strike w:val="0"/>
                <w:color w:val="auto"/>
                <w:highlight w:val="none"/>
                <w:u w:val="none" w:color="auto"/>
                <w:vertAlign w:val="baseline"/>
              </w:rPr>
              <w:t>Při podání žádosti o povolení</w:t>
            </w:r>
            <w:r>
              <w:t xml:space="preserve"> by však </w:t>
            </w:r>
            <w:r>
              <w:rPr>
                <w:b/>
                <w:i/>
                <w:strike w:val="0"/>
                <w:color w:val="auto"/>
                <w:highlight w:val="none"/>
                <w:u w:val="none" w:color="auto"/>
                <w:vertAlign w:val="baseline"/>
              </w:rPr>
              <w:t>měla žádající infrastruktura DLT uvést výjimky, o</w:t>
            </w:r>
            <w:r>
              <w:t xml:space="preserve"> které </w:t>
            </w:r>
            <w:r>
              <w:rPr>
                <w:b/>
                <w:i/>
                <w:strike w:val="0"/>
                <w:color w:val="auto"/>
                <w:highlight w:val="none"/>
                <w:u w:val="none" w:color="auto"/>
                <w:vertAlign w:val="baseline"/>
              </w:rPr>
              <w:t>má v úmyslu požádat. Před udělením</w:t>
            </w:r>
            <w:r>
              <w:t xml:space="preserve"> povolení </w:t>
            </w:r>
            <w:r>
              <w:rPr>
                <w:b/>
                <w:i/>
                <w:strike w:val="0"/>
                <w:color w:val="auto"/>
                <w:highlight w:val="none"/>
                <w:u w:val="none" w:color="auto"/>
                <w:vertAlign w:val="baseline"/>
              </w:rPr>
              <w:t>tržní infrastruktuře DLT by měl příslušný orgán konzultovat orgán ESMA. Orgán ESMA by měl vydat nezávazné stanovisko a učinit doporučení týkající se</w:t>
            </w:r>
            <w:r>
              <w:t xml:space="preserve"> žádosti </w:t>
            </w:r>
            <w:r>
              <w:rPr>
                <w:b/>
                <w:i/>
                <w:strike w:val="0"/>
                <w:color w:val="auto"/>
                <w:highlight w:val="none"/>
                <w:u w:val="none" w:color="auto"/>
                <w:vertAlign w:val="baseline"/>
              </w:rPr>
              <w:t>nebo požadovaných výjimek. Orgán ESMA by měl rovněž konzultovat příslušné orgány ostatních členských států. Při vydávání svého nezávazného stanoviska by se orgán ESMA měl zaměřit na zajištění finanční stability, integrity trhu a ochrany investorů. Aby byly zajištěny rovné podmínky a spravedlivá hospodářská soutěž na celém jednotném trhu, mělo by se nezávazné stanovisko orgánu ESMA zaměřit rovněž na zajištění soudržnosti a proporcionality výjimek udělovaných různými příslušnými orgány v celé Unii</w:t>
            </w:r>
            <w:r>
              <w:t>.</w:t>
            </w:r>
          </w:p>
        </w:tc>
        <w:tc>
          <w:tcPr>
            <w:tcW w:w="4876" w:type="dxa"/>
            <w:vAlign w:val="top"/>
          </w:tcPr>
          <w:p>
            <w:pPr>
              <w:pStyle w:val="Normal6a"/>
            </w:pPr>
            <w:r>
              <w:t>(33)</w:t>
            </w:r>
            <w:r>
              <w:tab/>
            </w:r>
            <w:r>
              <w:t>Udělování zvláštního povolení tržní infrastruktuře DLT by se mělo řídit stejnými postupy jako povolování tradičního MTF</w:t>
            </w:r>
            <w:r>
              <w:rPr>
                <w:b/>
                <w:i/>
                <w:strike w:val="0"/>
                <w:color w:val="auto"/>
                <w:highlight w:val="none"/>
                <w:u w:val="none" w:color="auto"/>
                <w:vertAlign w:val="baseline"/>
              </w:rPr>
              <w:t>, pokud je subjekt provozující DLT MTF investičním podnikem nebo tržním operátorem,</w:t>
            </w:r>
            <w:r>
              <w:t xml:space="preserve"> nebo centrálního depozitáře, pokud má tento centrální depozitář v úmyslu provozovat nový systém vypořádání obchodů s cennými papíry. </w:t>
            </w:r>
            <w:r>
              <w:rPr>
                <w:b/>
                <w:i/>
                <w:strike w:val="0"/>
                <w:color w:val="auto"/>
                <w:highlight w:val="none"/>
                <w:u w:val="none" w:color="auto"/>
                <w:vertAlign w:val="baseline"/>
              </w:rPr>
              <w:t>Příslušné orgány</w:t>
            </w:r>
            <w:r>
              <w:t xml:space="preserve"> by však </w:t>
            </w:r>
            <w:r>
              <w:rPr>
                <w:b/>
                <w:i/>
                <w:strike w:val="0"/>
                <w:color w:val="auto"/>
                <w:highlight w:val="none"/>
                <w:u w:val="none" w:color="auto"/>
                <w:vertAlign w:val="baseline"/>
              </w:rPr>
              <w:t>měly zavést zrychlený postup pro subjekty,</w:t>
            </w:r>
            <w:r>
              <w:t xml:space="preserve"> které </w:t>
            </w:r>
            <w:r>
              <w:rPr>
                <w:b/>
                <w:i/>
                <w:strike w:val="0"/>
                <w:color w:val="auto"/>
                <w:highlight w:val="none"/>
                <w:u w:val="none" w:color="auto"/>
                <w:vertAlign w:val="baseline"/>
              </w:rPr>
              <w:t>v době podání žádosti o zvláštní</w:t>
            </w:r>
            <w:r>
              <w:t xml:space="preserve"> povolení </w:t>
            </w:r>
            <w:r>
              <w:rPr>
                <w:b/>
                <w:i/>
                <w:strike w:val="0"/>
                <w:color w:val="auto"/>
                <w:highlight w:val="none"/>
                <w:u w:val="none" w:color="auto"/>
                <w:vertAlign w:val="baseline"/>
              </w:rPr>
              <w:t>podle tohoto nařízení nemají oprávnění působit jako MTF ani jako centrální depozitář.</w:t>
            </w:r>
            <w:r>
              <w:t xml:space="preserve"> </w:t>
            </w:r>
            <w:r>
              <w:rPr>
                <w:b/>
                <w:i/>
                <w:strike w:val="0"/>
                <w:color w:val="auto"/>
                <w:highlight w:val="none"/>
                <w:u w:val="none" w:color="auto"/>
                <w:vertAlign w:val="baseline"/>
              </w:rPr>
              <w:t>Při podání</w:t>
            </w:r>
            <w:r>
              <w:t xml:space="preserve"> žádosti </w:t>
            </w:r>
            <w:r>
              <w:rPr>
                <w:b/>
                <w:i/>
                <w:strike w:val="0"/>
                <w:color w:val="auto"/>
                <w:highlight w:val="none"/>
                <w:u w:val="none" w:color="auto"/>
                <w:vertAlign w:val="baseline"/>
              </w:rPr>
              <w:t>o povolení by žadatel o infrastrukturu DLT měl uvést výjimky, o něž žádá</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Zrychlený postup pro nové účastníky na trhu, kteří nemají v době podání žádosti oprávnění působit jako MTF ani jako centrální depozitář</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infrastruktura DLT uvést výjimky, o které má v úmyslu požádat. </w:t>
            </w:r>
            <w:r>
              <w:rPr>
                <w:b/>
                <w:i/>
                <w:strike w:val="0"/>
                <w:color w:val="auto"/>
                <w:highlight w:val="none"/>
                <w:u w:val="none" w:color="auto"/>
                <w:vertAlign w:val="baseline"/>
              </w:rPr>
              <w:t>Před udělením povolení tržní infrastruktuře DLT by měl příslušný orgán konzultovat orgán ESMA. Orgán ESMA by měl vydat nezávazné stanovisko a učinit doporučení týkající se žádosti nebo požadovaných výjimek.</w:t>
            </w:r>
            <w:r>
              <w:t xml:space="preserve"> Orgán ESMA </w:t>
            </w:r>
            <w:r>
              <w:rPr>
                <w:b/>
                <w:i/>
                <w:strike w:val="0"/>
                <w:color w:val="auto"/>
                <w:highlight w:val="none"/>
                <w:u w:val="none" w:color="auto"/>
                <w:vertAlign w:val="baseline"/>
              </w:rPr>
              <w:t>by měl rovněž konzultovat příslušné orgány ostatních členských států. Při vydávání svého nezávazného stanoviska by se</w:t>
            </w:r>
            <w:r>
              <w:t xml:space="preserve"> orgán ESMA </w:t>
            </w:r>
            <w:r>
              <w:rPr>
                <w:b/>
                <w:i/>
                <w:strike w:val="0"/>
                <w:color w:val="auto"/>
                <w:highlight w:val="none"/>
                <w:u w:val="none" w:color="auto"/>
                <w:vertAlign w:val="baseline"/>
              </w:rPr>
              <w:t>měl zaměřit na zajištění finanční stability, integrity trhu a ochrany investorů. Aby byly zajištěny rovné podmínky a spravedlivá hospodářská soutěž na celém jednotném trhu, mělo</w:t>
            </w:r>
            <w:r>
              <w:t xml:space="preserve"> by se </w:t>
            </w:r>
            <w:r>
              <w:rPr>
                <w:b/>
                <w:i/>
                <w:strike w:val="0"/>
                <w:color w:val="auto"/>
                <w:highlight w:val="none"/>
                <w:u w:val="none" w:color="auto"/>
                <w:vertAlign w:val="baseline"/>
              </w:rPr>
              <w:t>nezávazné stanovisko orgánu ESMA</w:t>
            </w:r>
            <w:r>
              <w:t xml:space="preserve"> zaměřit </w:t>
            </w:r>
            <w:r>
              <w:rPr>
                <w:b/>
                <w:i/>
                <w:strike w:val="0"/>
                <w:color w:val="auto"/>
                <w:highlight w:val="none"/>
                <w:u w:val="none" w:color="auto"/>
                <w:vertAlign w:val="baseline"/>
              </w:rPr>
              <w:t>rovněž</w:t>
            </w:r>
            <w:r>
              <w:t xml:space="preserve"> na zajištění </w:t>
            </w:r>
            <w:r>
              <w:rPr>
                <w:b/>
                <w:i/>
                <w:strike w:val="0"/>
                <w:color w:val="auto"/>
                <w:highlight w:val="none"/>
                <w:u w:val="none" w:color="auto"/>
                <w:vertAlign w:val="baseline"/>
              </w:rPr>
              <w:t>soudržnosti a proporcionality výjimek udělovaných různými příslušnými orgány v celé Unii</w:t>
            </w:r>
            <w:r>
              <w:t>.</w:t>
            </w:r>
          </w:p>
        </w:tc>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infrastruktura DLT uvést výjimky, o které má v úmyslu požádat. </w:t>
            </w:r>
            <w:r>
              <w:rPr>
                <w:b/>
                <w:i/>
                <w:strike w:val="0"/>
                <w:color w:val="auto"/>
                <w:highlight w:val="none"/>
                <w:u w:val="none" w:color="auto"/>
                <w:vertAlign w:val="baseline"/>
              </w:rPr>
              <w:t>V souladu s cílem Unie pokročit směrem ke skutečné unii kapitálových trhů a s cílem zajistit soudržné a jednotné uplatňování pilotního režimu a zároveň zabránit roztříštěnosti dohledu by měl mít</w:t>
            </w:r>
            <w:r>
              <w:t xml:space="preserve"> orgán ESMA </w:t>
            </w:r>
            <w:r>
              <w:rPr>
                <w:b/>
                <w:i/>
                <w:strike w:val="0"/>
                <w:color w:val="auto"/>
                <w:highlight w:val="none"/>
                <w:u w:val="none" w:color="auto"/>
                <w:vertAlign w:val="baseline"/>
              </w:rPr>
              <w:t>přímý dohledový mandát pro udělování povolení tržní infrastruktuře DLT a jakékoli výjimky podle tohoto nařízení.</w:t>
            </w:r>
            <w:r>
              <w:t xml:space="preserve"> </w:t>
            </w:r>
            <w:r>
              <w:rPr>
                <w:b/>
                <w:i/>
                <w:strike w:val="0"/>
                <w:color w:val="auto"/>
                <w:highlight w:val="none"/>
                <w:u w:val="none" w:color="auto"/>
                <w:vertAlign w:val="baseline"/>
              </w:rPr>
              <w:t>V zájmu zajištění účinné spolupráce a výměny relevantních informací by měl</w:t>
            </w:r>
            <w:r>
              <w:t xml:space="preserve"> orgán ESMA </w:t>
            </w:r>
            <w:r>
              <w:rPr>
                <w:b/>
                <w:i/>
                <w:strike w:val="0"/>
                <w:color w:val="auto"/>
                <w:highlight w:val="none"/>
                <w:u w:val="none" w:color="auto"/>
                <w:vertAlign w:val="baseline"/>
              </w:rPr>
              <w:t>konzultovat vnitrostátní příslušné orgány a případně další relevantní orgány ohledně provozovatelů tržních infrastruktur DLT povolených v jejich členských státech.</w:t>
            </w:r>
            <w:r>
              <w:t xml:space="preserve"> </w:t>
            </w:r>
            <w:r>
              <w:rPr>
                <w:b/>
                <w:i/>
                <w:strike w:val="0"/>
                <w:color w:val="auto"/>
                <w:highlight w:val="none"/>
                <w:u w:val="none" w:color="auto"/>
                <w:vertAlign w:val="baseline"/>
              </w:rPr>
              <w:t>Při posuzování žádosti a požadovaných výjimek</w:t>
            </w:r>
            <w:r>
              <w:t xml:space="preserve"> by se </w:t>
            </w:r>
            <w:r>
              <w:rPr>
                <w:b/>
                <w:i/>
                <w:strike w:val="0"/>
                <w:color w:val="auto"/>
                <w:highlight w:val="none"/>
                <w:u w:val="none" w:color="auto"/>
                <w:vertAlign w:val="baseline"/>
              </w:rPr>
              <w:t>orgán ESMA měl</w:t>
            </w:r>
            <w:r>
              <w:t xml:space="preserve"> zaměřit na zajištění </w:t>
            </w:r>
            <w:r>
              <w:rPr>
                <w:b/>
                <w:i/>
                <w:strike w:val="0"/>
                <w:color w:val="auto"/>
                <w:highlight w:val="none"/>
                <w:u w:val="none" w:color="auto"/>
                <w:vertAlign w:val="baseline"/>
              </w:rPr>
              <w:t>finanční stability, integrity trhu a ochrany investorů, jakož i rovných podmínek a spravedlivé hospodářské soutěže na celém jednotném trhu</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infrastruktura DLT uvést výjimky, o které má v úmyslu požádat. Před udělením povolení tržní infrastruktuře DLT by měl příslušný orgán konzultovat orgán ESMA. Orgán ESMA by měl vydat </w:t>
            </w:r>
            <w:r>
              <w:rPr>
                <w:b/>
                <w:i/>
                <w:strike w:val="0"/>
                <w:color w:val="auto"/>
                <w:highlight w:val="none"/>
                <w:u w:val="none" w:color="auto"/>
                <w:vertAlign w:val="baseline"/>
              </w:rPr>
              <w:t>nezávazné stanovisko a učinit</w:t>
            </w:r>
            <w:r>
              <w:t xml:space="preserve"> doporučení týkající se žádosti nebo požadovaných výjimek. Orgán ESMA by měl rovněž konzultovat příslušné orgány ostatních členských států. Při vydávání svého </w:t>
            </w:r>
            <w:r>
              <w:rPr>
                <w:b/>
                <w:i/>
                <w:strike w:val="0"/>
                <w:color w:val="auto"/>
                <w:highlight w:val="none"/>
                <w:u w:val="none" w:color="auto"/>
                <w:vertAlign w:val="baseline"/>
              </w:rPr>
              <w:t>nezávazného stanoviska</w:t>
            </w:r>
            <w:r>
              <w:t xml:space="preserve"> by se orgán ESMA měl zaměřit na zajištění finanční stability, integrity trhu a ochrany investorů. Aby byly zajištěny rovné podmínky a spravedlivá hospodářská soutěž na celém jednotném trhu, mělo by se </w:t>
            </w:r>
            <w:r>
              <w:rPr>
                <w:b/>
                <w:i/>
                <w:strike w:val="0"/>
                <w:color w:val="auto"/>
                <w:highlight w:val="none"/>
                <w:u w:val="none" w:color="auto"/>
                <w:vertAlign w:val="baseline"/>
              </w:rPr>
              <w:t>nezávazné stanovisko</w:t>
            </w:r>
            <w:r>
              <w:t xml:space="preserve"> orgánu ESMA zaměřit rovněž na zajištění soudržnosti a proporcionality výjimek udělovaných různými příslušnými orgány v celé Unii.</w:t>
            </w:r>
          </w:p>
        </w:tc>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w:t>
            </w:r>
            <w:r>
              <w:rPr>
                <w:b/>
                <w:i/>
                <w:strike w:val="0"/>
                <w:color w:val="auto"/>
                <w:highlight w:val="none"/>
                <w:u w:val="none" w:color="auto"/>
                <w:vertAlign w:val="baseline"/>
              </w:rPr>
              <w:t>tržní</w:t>
            </w:r>
            <w:r>
              <w:t xml:space="preserve"> infrastruktura DLT uvést </w:t>
            </w:r>
            <w:r>
              <w:rPr>
                <w:b/>
                <w:i/>
                <w:strike w:val="0"/>
                <w:color w:val="auto"/>
                <w:highlight w:val="none"/>
                <w:u w:val="none" w:color="auto"/>
                <w:vertAlign w:val="baseline"/>
              </w:rPr>
              <w:t>rovněž</w:t>
            </w:r>
            <w:r>
              <w:t xml:space="preserve"> výjimky, o které má v úmyslu požádat. Před udělením povolení tržní infrastruktuře DLT by měl příslušný orgán konzultovat orgán ESMA. Orgán ESMA by měl vydat doporučení týkající se žádosti nebo požadovaných výjimek. Orgán ESMA by měl rovněž konzultovat příslušné orgány ostatních členských států. Při vydávání svého </w:t>
            </w:r>
            <w:r>
              <w:rPr>
                <w:b/>
                <w:i/>
                <w:strike w:val="0"/>
                <w:color w:val="auto"/>
                <w:highlight w:val="none"/>
                <w:u w:val="none" w:color="auto"/>
                <w:vertAlign w:val="baseline"/>
              </w:rPr>
              <w:t>doporučení</w:t>
            </w:r>
            <w:r>
              <w:t xml:space="preserve"> by se orgán ESMA měl zaměřit na zajištění finanční stability, integrity trhu a ochrany investorů. Aby byly zajištěny rovné podmínky a spravedlivá hospodářská soutěž na celém jednotném trhu, mělo by se </w:t>
            </w:r>
            <w:r>
              <w:rPr>
                <w:b/>
                <w:i/>
                <w:strike w:val="0"/>
                <w:color w:val="auto"/>
                <w:highlight w:val="none"/>
                <w:u w:val="none" w:color="auto"/>
                <w:vertAlign w:val="baseline"/>
              </w:rPr>
              <w:t>doporučení</w:t>
            </w:r>
            <w:r>
              <w:t xml:space="preserve"> orgánu ESMA zaměřit rovněž na zajištění </w:t>
            </w:r>
            <w:r>
              <w:rPr>
                <w:b/>
                <w:i/>
                <w:strike w:val="0"/>
                <w:color w:val="auto"/>
                <w:highlight w:val="none"/>
                <w:u w:val="none" w:color="auto"/>
                <w:vertAlign w:val="baseline"/>
              </w:rPr>
              <w:t>sbližování dohledu,</w:t>
            </w:r>
            <w:r>
              <w:t xml:space="preserve"> soudržnosti a proporcionality výjimek udělovaných různými příslušnými orgány v celé Unii.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zapotřebí posílit úlohu orgánu ESMA, aby se zabránilo regulatorní arbitráži a zajistilo se sbližování dohledu a jednotné uplatňování/prosazování v celé EU. V tomto ohledu je nanejvýš důležité, aby orgán ESMA vydal místo nezávazného stanoviska doporučení („dodržuj, nebo vysvětli“). To je důležitější vzhledem k tomu, že ne všechny členské státy/vnitrostátní regulační orgány sdílejí stejnou úroveň technologické gramotnosti a vědění, jak již bylo vysvětleno ve 14. bodě odůvodnění.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(33)</w:t>
            </w:r>
            <w:r>
              <w:tab/>
            </w:r>
            <w:r>
              <w:t>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infrastruktura DLT uvést výjimky, o které má v úmyslu požádat. Před udělením povolení tržní infrastruktuře DLT by měl příslušný orgán konzultovat orgán ESMA. Orgán ESMA by měl vydat nezávazné stanovisko a učinit doporučení týkající se žádosti nebo požadovaných výjimek. Orgán ESMA by měl rovněž konzultovat příslušné orgány ostatních členských států. Při vydávání svého nezávazného stanoviska by se orgán ESMA měl zaměřit na zajištění finanční stability, integrity trhu a ochrany investorů. Aby byly zajištěny rovné podmínky a spravedlivá hospodářská soutěž na celém jednotném trhu, mělo by se nezávazné stanovisko orgánu ESMA zaměřit rovněž na zajištění soudržnosti a proporcionality výjimek udělovaných různými příslušnými orgány v celé Unii.</w:t>
            </w:r>
          </w:p>
        </w:tc>
        <w:tc>
          <w:tcPr>
            <w:tcW w:w="4876" w:type="dxa"/>
            <w:vAlign w:val="top"/>
          </w:tcPr>
          <w:p>
            <w:pPr>
              <w:pStyle w:val="Normal6a"/>
            </w:pPr>
            <w:r>
              <w:t>(33)</w:t>
            </w:r>
            <w:r>
              <w:tab/>
            </w:r>
            <w:r>
              <w:t xml:space="preserve">Udělování zvláštního povolení tržní infrastruktuře DLT by se mělo řídit stejnými postupy jako povolování tradičního MTF nebo centrálního depozitáře, pokud má tento centrální depozitář v úmyslu provozovat nový systém vypořádání obchodů s cennými papíry. Při podání žádosti o povolení by však měla žádající infrastruktura DLT uvést výjimky, o které má v úmyslu požádat. Před udělením povolení tržní infrastruktuře DLT by měl příslušný orgán konzultovat orgán ESMA. Orgán ESMA by měl vydat nezávazné stanovisko a učinit </w:t>
            </w:r>
            <w:r>
              <w:rPr>
                <w:b/>
                <w:i/>
                <w:strike w:val="0"/>
                <w:color w:val="auto"/>
                <w:highlight w:val="none"/>
                <w:u w:val="none" w:color="auto"/>
                <w:vertAlign w:val="baseline"/>
              </w:rPr>
              <w:t>nezávazná</w:t>
            </w:r>
            <w:r>
              <w:t xml:space="preserve"> doporučení týkající se žádosti nebo požadovaných výjimek. Orgán ESMA by měl rovněž konzultovat příslušné orgány ostatních členských států. Při vydávání svého nezávazného stanoviska by se orgán ESMA měl zaměřit na zajištění finanční stability, integrity trhu a ochrany investorů. Aby byly zajištěny rovné podmínky a spravedlivá hospodářská soutěž na celém jednotném trhu, mělo by se nezávazné stanovisko orgánu ESMA zaměřit rovněž na zajištění soudržnosti a proporcionality výjimek udělovaných různými příslušnými orgány v celé Unii.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(33a)</w:t>
            </w:r>
            <w:r>
              <w:tab/>
            </w:r>
            <w:r>
              <w:rPr>
                <w:b/>
                <w:i/>
                <w:strike w:val="0"/>
                <w:color w:val="auto"/>
                <w:highlight w:val="none"/>
                <w:u w:val="none" w:color="auto"/>
                <w:vertAlign w:val="baseline"/>
              </w:rPr>
              <w:t>Před udělením povolení tržní infrastruktuře DLT by měl příslušný orgán konzultovat orgán ESMA.</w:t>
            </w:r>
            <w:r>
              <w:t xml:space="preserve"> </w:t>
            </w:r>
            <w:r>
              <w:rPr>
                <w:b/>
                <w:i/>
                <w:strike w:val="0"/>
                <w:color w:val="auto"/>
                <w:highlight w:val="none"/>
                <w:u w:val="none" w:color="auto"/>
                <w:vertAlign w:val="baseline"/>
              </w:rPr>
              <w:t>Orgán ESMA by měl vydat nezávazné stanovisko a učinit doporučení týkající se žádosti nebo požadovaných výjimek.</w:t>
            </w:r>
            <w:r>
              <w:t xml:space="preserve"> </w:t>
            </w:r>
            <w:r>
              <w:rPr>
                <w:b/>
                <w:i/>
                <w:strike w:val="0"/>
                <w:color w:val="auto"/>
                <w:highlight w:val="none"/>
                <w:u w:val="none" w:color="auto"/>
                <w:vertAlign w:val="baseline"/>
              </w:rPr>
              <w:t>Orgán ESMA by měl rovněž konzultovat příslušné orgány ostatních členských států.</w:t>
            </w:r>
            <w:r>
              <w:t xml:space="preserve"> </w:t>
            </w:r>
            <w:r>
              <w:rPr>
                <w:b/>
                <w:i/>
                <w:strike w:val="0"/>
                <w:color w:val="auto"/>
                <w:highlight w:val="none"/>
                <w:u w:val="none" w:color="auto"/>
                <w:vertAlign w:val="baseline"/>
              </w:rPr>
              <w:t>Při vydávání nezávazného stanoviska by měl orgán ESMA usilovat o zajištění finanční stability, integrity trhu a ochrany investorů.</w:t>
            </w:r>
            <w:r>
              <w:t xml:space="preserve"> </w:t>
            </w:r>
            <w:r>
              <w:rPr>
                <w:b/>
                <w:i/>
                <w:strike w:val="0"/>
                <w:color w:val="auto"/>
                <w:highlight w:val="none"/>
                <w:u w:val="none" w:color="auto"/>
                <w:vertAlign w:val="baseline"/>
              </w:rPr>
              <w:t>Aby byly zajištěny rovné podmínky a spravedlivá hospodářská soutěž na celém vnitřním trhu, mělo by se nezávazné stanovisko orgánu ESMA rovněž zaměřit na zajištění soudržnosti a přiměřenosti výjimek udělených různými příslušnými orgány v celé Unii.</w:t>
            </w:r>
            <w:r>
              <w:t xml:space="preserve"> </w:t>
            </w:r>
            <w:r>
              <w:rPr>
                <w:b/>
                <w:i/>
                <w:strike w:val="0"/>
                <w:color w:val="auto"/>
                <w:highlight w:val="none"/>
                <w:u w:val="none" w:color="auto"/>
                <w:vertAlign w:val="baseline"/>
              </w:rPr>
              <w:t>Orgán ESMA může na základě relevantních zkušeností příslušných orgánů a na základě svých nezávazných stanovisek přijmout obecné pokyny k dalšímu upřesnění podmínek pro udělování výjimek a vyžadování kompenzačních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Nový bod odůvodnění v zájmu jasnosti. Kromě nezávazných stanovisek může orgán ESMA v případě neexistence společného, soudržného a jednotného uplatňování pilotního režimu v celé Unii přijmout další pokyny ve formě pokynů.</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(33a)</w:t>
            </w:r>
            <w:r>
              <w:tab/>
            </w:r>
            <w:r>
              <w:rPr>
                <w:b/>
                <w:i/>
                <w:strike w:val="0"/>
                <w:color w:val="auto"/>
                <w:highlight w:val="none"/>
                <w:u w:val="none" w:color="auto"/>
                <w:vertAlign w:val="baseline"/>
              </w:rPr>
              <w:t>Přístup k pilotnímu režimu by neměl být omezen na zavedené subjekty, ale měl by být otevřen novým účastníkům.</w:t>
            </w:r>
            <w:r>
              <w:t xml:space="preserve"> </w:t>
            </w:r>
            <w:r>
              <w:rPr>
                <w:b/>
                <w:i/>
                <w:strike w:val="0"/>
                <w:color w:val="auto"/>
                <w:highlight w:val="none"/>
                <w:u w:val="none" w:color="auto"/>
                <w:vertAlign w:val="baseline"/>
              </w:rPr>
              <w:t>Pokud tedy subjekt, který není povolen podle směrnice MiFID II nebo podle nařízení o centrálních depozitářích cenných papírů, požádá o povolení podle těchto právních aktů a současně požádá o zvláštní povolení podle tohoto nařízení, měl by příslušný orgán při posuzování žádosti o povolení podle směrnice MiFID II nebo podle nařízení o centrálních depozitářích cenných papírů ověřit pouze soulad s požadavky, pro něž nebyla v rámci pilotního režimu požadována a udělena výjimka.</w:t>
            </w:r>
            <w:r>
              <w:t xml:space="preserve"> </w:t>
            </w:r>
            <w:r>
              <w:rPr>
                <w:b/>
                <w:i/>
                <w:strike w:val="0"/>
                <w:color w:val="auto"/>
                <w:highlight w:val="none"/>
                <w:u w:val="none" w:color="auto"/>
                <w:vertAlign w:val="baseline"/>
              </w:rPr>
              <w:t>V takových případech by povolení podle směrnice MiFID II nebo podle nařízení o centrálních depozitářích cenných papírů mělo být uděleno pouze pro účely provozování tržní infrastruktury DLT podle tohoto nařízení.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Příslušný orgán posuzující žádost předloženou potenciální tržní infrastrukturou DLT by měl </w:t>
            </w:r>
            <w:r>
              <w:rPr>
                <w:b/>
                <w:i/>
                <w:strike w:val="0"/>
                <w:color w:val="auto"/>
                <w:highlight w:val="none"/>
                <w:u w:val="none" w:color="auto"/>
                <w:vertAlign w:val="baseline"/>
              </w:rPr>
              <w:t>mít možnost zamítnout udělení povolení</w:t>
            </w:r>
            <w:r>
              <w:t>, pokud by bylo důvodné se domnívat, že by tržní infrastruktura DLT představovala hrozbu pro finanční stabilitu, ochranu investorů nebo integritu trhu, nebo pokud by žádost byla pokusem o obcházení stávajících požadavků.</w:t>
            </w:r>
          </w:p>
        </w:tc>
        <w:tc>
          <w:tcPr>
            <w:tcW w:w="4876" w:type="dxa"/>
            <w:vAlign w:val="top"/>
          </w:tcPr>
          <w:p>
            <w:pPr>
              <w:pStyle w:val="Normal6a"/>
            </w:pPr>
            <w:r>
              <w:t>(34)</w:t>
            </w:r>
            <w:r>
              <w:tab/>
            </w:r>
            <w:r>
              <w:t xml:space="preserve">Příslušný orgán posuzující žádost předloženou potenciální tržní infrastrukturou DLT by měl </w:t>
            </w:r>
            <w:r>
              <w:rPr>
                <w:b/>
                <w:i/>
                <w:strike w:val="0"/>
                <w:color w:val="auto"/>
                <w:highlight w:val="none"/>
                <w:u w:val="none" w:color="auto"/>
                <w:vertAlign w:val="baseline"/>
              </w:rPr>
              <w:t>povolení odmítnout</w:t>
            </w:r>
            <w:r>
              <w:t>, pokud by bylo důvodné se domnívat, že by tržní infrastruktura DLT představovala hrozbu pro finanční stabilitu, ochranu investorů nebo integritu trhu, nebo pokud by žádost byla pokusem o obcházení stávajících požadavků.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(34)</w:t>
            </w:r>
            <w:r>
              <w:tab/>
            </w:r>
            <w:r>
              <w:t xml:space="preserve">Příslušný orgán </w:t>
            </w:r>
            <w:r>
              <w:rPr>
                <w:b/>
                <w:i/>
                <w:strike w:val="0"/>
                <w:color w:val="auto"/>
                <w:highlight w:val="none"/>
                <w:u w:val="none" w:color="auto"/>
                <w:vertAlign w:val="baseline"/>
              </w:rPr>
              <w:t>posuzující</w:t>
            </w:r>
            <w:r>
              <w:t xml:space="preserve"> žádost předloženou potenciální tržní infrastrukturou DLT by měl mít možnost zamítnout udělení povolení, pokud by bylo důvodné se domnívat, že by tržní infrastruktura DLT představovala hrozbu pro finanční stabilitu, ochranu investorů nebo integritu trhu, nebo pokud by žádost byla pokusem o obcházení stávajících požadavků.</w:t>
            </w:r>
          </w:p>
        </w:tc>
        <w:tc>
          <w:tcPr>
            <w:tcW w:w="4876" w:type="dxa"/>
            <w:vAlign w:val="top"/>
          </w:tcPr>
          <w:p>
            <w:pPr>
              <w:pStyle w:val="Normal6a"/>
            </w:pPr>
            <w:r>
              <w:t>(34)</w:t>
            </w:r>
            <w:r>
              <w:tab/>
            </w:r>
            <w:r>
              <w:t>Příslušný orgán</w:t>
            </w:r>
            <w:r>
              <w:rPr>
                <w:b/>
                <w:i/>
                <w:strike w:val="0"/>
                <w:color w:val="auto"/>
                <w:highlight w:val="none"/>
                <w:u w:val="none" w:color="auto"/>
                <w:vertAlign w:val="baseline"/>
              </w:rPr>
              <w:t>, který bude posuzovat</w:t>
            </w:r>
            <w:r>
              <w:t xml:space="preserve"> žádost předloženou potenciální tržní infrastrukturou DLT</w:t>
            </w:r>
            <w:r>
              <w:rPr>
                <w:b/>
                <w:i/>
                <w:strike w:val="0"/>
                <w:color w:val="auto"/>
                <w:highlight w:val="none"/>
                <w:u w:val="none" w:color="auto"/>
                <w:vertAlign w:val="baseline"/>
              </w:rPr>
              <w:t>,</w:t>
            </w:r>
            <w:r>
              <w:t xml:space="preserve"> by měl mít možnost zamítnout udělení povolení, pokud by bylo důvodné se domnívat, že by tržní infrastruktura DLT představovala hrozbu pro finanční stabilitu, ochranu investorů nebo integritu trhu, nebo pokud by žádost byla pokusem o obcházení stávajících požadavků.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(35)</w:t>
            </w:r>
            <w:r>
              <w:tab/>
            </w:r>
            <w:r>
              <w:t>Ve zvláštním povolení vydaném příslušným orgánem dané tržní infrastruktuře DLT by měly být vyznačeny výjimky udělené této infrastruktuře. Takové povolení by mělo platit v rámci Unie. Orgán ESMA by měl na svých internetových stránkách zveřejnit seznam tržních infrastruktur DLT a seznam výjimek udělených každé z nich.</w:t>
            </w:r>
          </w:p>
        </w:tc>
        <w:tc>
          <w:tcPr>
            <w:tcW w:w="4876" w:type="dxa"/>
            <w:vAlign w:val="top"/>
          </w:tcPr>
          <w:p>
            <w:pPr>
              <w:pStyle w:val="Normal6a"/>
            </w:pPr>
            <w:r>
              <w:t>(35)</w:t>
            </w:r>
            <w:r>
              <w:tab/>
            </w:r>
            <w:r>
              <w:t xml:space="preserve">Ve zvláštním povolení vydaném příslušným orgánem dané tržní infrastruktuře DLT by měly být vyznačeny výjimky udělené této infrastruktuře. Takové povolení by mělo platit v rámci Unie </w:t>
            </w:r>
            <w:r>
              <w:rPr>
                <w:b/>
                <w:i/>
                <w:strike w:val="0"/>
                <w:color w:val="auto"/>
                <w:highlight w:val="none"/>
                <w:u w:val="none" w:color="auto"/>
                <w:vertAlign w:val="baseline"/>
              </w:rPr>
              <w:t>a pouze po dobu, po kterou bude fungovat pilotní režim DLT</w:t>
            </w:r>
            <w:r>
              <w:t>. Orgán ESMA by měl na svých internetových stránkách zveřejnit seznam tržních infrastruktur DLT a seznam výjimek udělených každé z nich.</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Mělo by být výslovně uvedeno, že povolení podléhá době, po kterou bude pilotní režim fungovat, aniž je dotčeno posouzení předčasného odchodu popsané v 36. bodě odůvodnění.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36</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(36)</w:t>
            </w:r>
            <w:r>
              <w:tab/>
            </w:r>
            <w:r>
              <w:t xml:space="preserve">Zvláštní povolení a výjimky udělené příslušnými vnitrostátními orgány by měly být udělovány dočasně, a to na dobu maximálně šesti let od data udělení zvláštního </w:t>
            </w:r>
            <w:r>
              <w:rPr>
                <w:b/>
                <w:i/>
                <w:strike w:val="0"/>
                <w:color w:val="auto"/>
                <w:highlight w:val="none"/>
                <w:u w:val="none" w:color="auto"/>
                <w:vertAlign w:val="baseline"/>
              </w:rPr>
              <w:t>povolení</w:t>
            </w:r>
            <w:r>
              <w:t xml:space="preserve">. Orgán ESMA a Komise by měly </w:t>
            </w:r>
            <w:r>
              <w:rPr>
                <w:b/>
                <w:i/>
                <w:strike w:val="0"/>
                <w:color w:val="auto"/>
                <w:highlight w:val="none"/>
                <w:u w:val="none" w:color="auto"/>
                <w:vertAlign w:val="baseline"/>
              </w:rPr>
              <w:t>mít povinnost</w:t>
            </w:r>
            <w:r>
              <w:t xml:space="preserve"> provést po uplynutí pěti let od data použitelnosti tohoto nařízení posouzení tohoto pilotního režimu </w:t>
            </w:r>
            <w:r>
              <w:rPr>
                <w:b/>
                <w:i/>
                <w:strike w:val="0"/>
                <w:color w:val="auto"/>
                <w:highlight w:val="none"/>
                <w:u w:val="none" w:color="auto"/>
                <w:vertAlign w:val="baseline"/>
              </w:rPr>
              <w:t>pro tržní infrastruktury vedené na technologii sdíleného registru</w:t>
            </w:r>
            <w:r>
              <w:t xml:space="preserve">. Výše zmíněné šestileté období poskytuje tržním infrastrukturám DLT dostatek času, aby své obchodní modely přizpůsobily případným změnám tohoto pilotního režimu a fungovaly v jeho rámci ekonomicky životaschopným způsobem. Orgánu ESMA a Komisi by umožnilo shromáždit užitečný soubor údajů zahrnující přibližně tři kalendářní roky provozu pilotního režimu od udělení kritického množství zvláštních povolení a souvisejících výjimek a podat o </w:t>
            </w:r>
            <w:r>
              <w:rPr>
                <w:b/>
                <w:i/>
                <w:strike w:val="0"/>
                <w:color w:val="auto"/>
                <w:highlight w:val="none"/>
                <w:u w:val="none" w:color="auto"/>
                <w:vertAlign w:val="baseline"/>
              </w:rPr>
              <w:t>tom</w:t>
            </w:r>
            <w:r>
              <w:t xml:space="preserve"> zprávu. Rovněž by poskytlo tržním infrastrukturám DLT čas na přijetí nezbytných kroků vedoucích buď k ukončení jejich provozu, nebo k přechodu na nový regulační rámec v návaznosti na zprávy orgánu ESMA a Komise.</w:t>
            </w:r>
          </w:p>
        </w:tc>
        <w:tc>
          <w:tcPr>
            <w:tcW w:w="4876" w:type="dxa"/>
            <w:vAlign w:val="top"/>
          </w:tcPr>
          <w:p>
            <w:pPr>
              <w:pStyle w:val="Normal6a"/>
            </w:pPr>
            <w:r>
              <w:t>(36)</w:t>
            </w:r>
            <w:r>
              <w:tab/>
            </w:r>
            <w:r>
              <w:t xml:space="preserve">Zvláštní povolení a výjimky udělené příslušnými vnitrostátními orgány </w:t>
            </w:r>
            <w:r>
              <w:rPr>
                <w:b/>
                <w:i/>
                <w:strike w:val="0"/>
                <w:color w:val="auto"/>
                <w:highlight w:val="none"/>
                <w:u w:val="none" w:color="auto"/>
                <w:vertAlign w:val="baseline"/>
              </w:rPr>
              <w:t>na základě doporučení orgánu ESMA</w:t>
            </w:r>
            <w:r>
              <w:t xml:space="preserve"> by měly být udělovány dočasně, a to na dobu maximálně šesti let od data udělení zvláštního </w:t>
            </w:r>
            <w:r>
              <w:rPr>
                <w:b/>
                <w:i/>
                <w:strike w:val="0"/>
                <w:color w:val="auto"/>
                <w:highlight w:val="none"/>
                <w:u w:val="none" w:color="auto"/>
                <w:vertAlign w:val="baseline"/>
              </w:rPr>
              <w:t>povoleníí a měly by být platné pouze po dobu trvání fungování pilotního režimu DLT v návaznosti na plánovaná posouzení orgánu ESMA a Komise</w:t>
            </w:r>
            <w:r>
              <w:t xml:space="preserve">. Orgán ESMA a Komise by měly </w:t>
            </w:r>
            <w:r>
              <w:rPr>
                <w:b/>
                <w:i/>
                <w:strike w:val="0"/>
                <w:color w:val="auto"/>
                <w:highlight w:val="none"/>
                <w:u w:val="none" w:color="auto"/>
                <w:vertAlign w:val="baseline"/>
              </w:rPr>
              <w:t>každý zvlášť</w:t>
            </w:r>
            <w:r>
              <w:t xml:space="preserve"> provést po uplynutí </w:t>
            </w:r>
            <w:r>
              <w:rPr>
                <w:b/>
                <w:i/>
                <w:strike w:val="0"/>
                <w:color w:val="auto"/>
                <w:highlight w:val="none"/>
                <w:u w:val="none" w:color="auto"/>
                <w:vertAlign w:val="baseline"/>
              </w:rPr>
              <w:t>tří a</w:t>
            </w:r>
            <w:r>
              <w:t xml:space="preserve"> pěti let od data použitelnosti tohoto nařízení posouzení </w:t>
            </w:r>
            <w:r>
              <w:rPr>
                <w:b/>
                <w:i/>
                <w:strike w:val="0"/>
                <w:color w:val="auto"/>
                <w:highlight w:val="none"/>
                <w:u w:val="none" w:color="auto"/>
                <w:vertAlign w:val="baseline"/>
              </w:rPr>
              <w:t>předčasného ukončení a závěrečné posouzení </w:t>
            </w:r>
            <w:r>
              <w:t xml:space="preserve">tohoto pilotního režimu </w:t>
            </w:r>
            <w:r>
              <w:rPr>
                <w:b/>
                <w:i/>
                <w:strike w:val="0"/>
                <w:color w:val="auto"/>
                <w:highlight w:val="none"/>
                <w:u w:val="none" w:color="auto"/>
                <w:vertAlign w:val="baseline"/>
              </w:rPr>
              <w:t>DLT.</w:t>
            </w:r>
            <w:r>
              <w:t xml:space="preserve"> </w:t>
            </w:r>
            <w:r>
              <w:rPr>
                <w:b/>
                <w:i/>
                <w:strike w:val="0"/>
                <w:color w:val="auto"/>
                <w:highlight w:val="none"/>
                <w:u w:val="none" w:color="auto"/>
                <w:vertAlign w:val="baseline"/>
              </w:rPr>
              <w:t>Posouzení tříletého období týkající se posouzení předčasného ukončení by mělo být počítáno ode dne vstupu tohoto nařízení v platnost, tedy včetně 12měsíčního období potřebného pro přípravu návrhů regulačních technických norem, jak je stanoveno v tomto nařízení</w:t>
            </w:r>
            <w:r>
              <w:t>. Výše zmíněné šestileté období poskytuje tržním infrastrukturám DLT dostatek času, aby své obchodní modely přizpůsobily případným změnám tohoto pilotního režimu a fungovaly v jeho rámci ekonomicky životaschopným způsobem. Orgánu ESMA a Komisi by umožnilo shromáždit užitečný soubor údajů zahrnující přibližně tři kalendářní roky provozu pilotního režimu od udělení kritického množství zvláštních povolení a souvisejících výjimek a podat o </w:t>
            </w:r>
            <w:r>
              <w:rPr>
                <w:b/>
                <w:i/>
                <w:strike w:val="0"/>
                <w:color w:val="auto"/>
                <w:highlight w:val="none"/>
                <w:u w:val="none" w:color="auto"/>
                <w:vertAlign w:val="baseline"/>
              </w:rPr>
              <w:t>něm</w:t>
            </w:r>
            <w:r>
              <w:t xml:space="preserve"> zprávu. Rovněž by poskytlo tržním infrastrukturám DLT čas na přijetí nezbytných kroků vedoucích buď k ukončení jejich provozu, nebo k přechodu na nový regulační rámec</w:t>
            </w:r>
            <w:r>
              <w:rPr>
                <w:b/>
                <w:i/>
                <w:strike w:val="0"/>
                <w:color w:val="auto"/>
                <w:highlight w:val="none"/>
                <w:u w:val="none" w:color="auto"/>
                <w:vertAlign w:val="baseline"/>
              </w:rPr>
              <w:t>, který by měl mimo jiné stanovit postup pro přizpůsobení trvalých povolení novému regulačnímu rámci,</w:t>
            </w:r>
            <w:r>
              <w:t> v návaznosti na zprávy orgánu ESMA a Komise.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Vzhledem k rychlému tempu technologického vývoje a s cílem udržet krok s vývojem a vytvořit právní rámec, který obstojí i v budoucnu, se domníváme, že je vhodné zavést posouzení předčasného ukončení vypracované orgánem ESMA, které by informovalo a doporučilo Komisi, aby Evropskému parlamentu a Radě předložilo počáteční posouzení možné úpravy nebo ukončení pilotního režimu DLT po třech letech.</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37</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(37)</w:t>
            </w:r>
            <w:r>
              <w:tab/>
            </w:r>
            <w:r>
              <w:t xml:space="preserve">Aniž jsou dotčena příslušná ustanovení směrnice 2014/65/EU (směrnice o trzích finančních nástrojů, MiFID II) nebo nařízení (EU) č. 909/2014 (nařízení </w:t>
            </w:r>
            <w:r>
              <w:rPr>
                <w:b/>
                <w:i/>
                <w:strike w:val="0"/>
                <w:color w:val="auto"/>
                <w:highlight w:val="none"/>
                <w:u w:val="none" w:color="auto"/>
                <w:vertAlign w:val="baseline"/>
              </w:rPr>
              <w:t>o centrálních depozitářích cenných papírů</w:t>
            </w:r>
            <w:r>
              <w:t xml:space="preserve">), příslušné orgány by měly mít pravomoc odejmout zvláštní povolení nebo jakékoli výjimky udělené tržní infrastruktuře DLT, pokud by byly zjištěny nedostatky v použité technologii či ve službách nebo činnostech poskytovaných tržní infrastrukturou DLT a za předpokladu, že by tyto nedostatky převážily nad výhodami, které daná služba přináší, nebo pokud by tržní infrastruktura DLT porušila jakékoli podmínky spojené s výjimkami uložené příslušným orgánem při udělení zvláštního povolení nebo pokud by tržní infrastruktura DLT zaevidovala finanční nástroje, které nesplňují podmínky pro převoditelné cenné papíry vedené na DLT podle tohoto nařízení. Během provozování své činnosti by tržní infrastruktura DLT měla mít možnost požádat o další výjimky kromě těch, o které žádala v době povolení. V takovém případě by tyto dodatečné výjimky </w:t>
            </w:r>
            <w:r>
              <w:rPr>
                <w:b/>
                <w:i/>
                <w:strike w:val="0"/>
                <w:color w:val="auto"/>
                <w:highlight w:val="none"/>
                <w:u w:val="none" w:color="auto"/>
                <w:vertAlign w:val="baseline"/>
              </w:rPr>
              <w:t>požadované tržními infrastrukturami DLT měly podléhat zvláštnímu povolení</w:t>
            </w:r>
            <w:r>
              <w:t xml:space="preserve"> příslušných orgánů stejně jako výjimky, které byly požadovány v době prvotního povolení tržní infrastruktury DLT.</w:t>
            </w:r>
          </w:p>
        </w:tc>
        <w:tc>
          <w:tcPr>
            <w:tcW w:w="4876" w:type="dxa"/>
            <w:vAlign w:val="top"/>
          </w:tcPr>
          <w:p>
            <w:pPr>
              <w:pStyle w:val="Normal6a"/>
            </w:pPr>
            <w:r>
              <w:t>(37)</w:t>
            </w:r>
            <w:r>
              <w:tab/>
            </w:r>
            <w:r>
              <w:t xml:space="preserve">Aniž jsou dotčena příslušná ustanovení směrnice 2014/65/EU (směrnice o trzích finančních nástrojů, MiFID II) nebo nařízení (EU) č. 909/2014 (nařízení </w:t>
            </w:r>
            <w:r>
              <w:rPr>
                <w:b/>
                <w:i/>
                <w:strike w:val="0"/>
                <w:color w:val="auto"/>
                <w:highlight w:val="none"/>
                <w:u w:val="none" w:color="auto"/>
                <w:vertAlign w:val="baseline"/>
              </w:rPr>
              <w:t>CSDR</w:t>
            </w:r>
            <w:r>
              <w:t xml:space="preserve">), příslušné orgány by měly mít pravomoc odejmout zvláštní povolení nebo jakékoli výjimky udělené tržní infrastruktuře DLT, pokud by byly zjištěny nedostatky v použité technologii či ve službách nebo činnostech poskytovaných tržní infrastrukturou DLT a za předpokladu, že by tyto nedostatky převážily nad výhodami, které daná služba přináší, nebo pokud by tržní infrastruktura DLT porušila jakékoli podmínky spojené s výjimkami uložené příslušným orgánem při udělení zvláštního povolení nebo pokud by tržní infrastruktura DLT zaevidovala finanční nástroje, které </w:t>
            </w:r>
            <w:r>
              <w:rPr>
                <w:b/>
                <w:i/>
                <w:strike w:val="0"/>
                <w:color w:val="auto"/>
                <w:highlight w:val="none"/>
                <w:u w:val="none" w:color="auto"/>
                <w:vertAlign w:val="baseline"/>
              </w:rPr>
              <w:t>překračují prahové hodnoty nebo</w:t>
            </w:r>
            <w:r>
              <w:t xml:space="preserve"> nesplňují podmínky pro převoditelné cenné papíry vedené na DLT podle tohoto nařízení. Během provozování své činnosti by tržní infrastruktura DLT měla mít možnost požádat o další výjimky kromě těch, o které žádala v době </w:t>
            </w:r>
            <w:r>
              <w:rPr>
                <w:b/>
                <w:i/>
                <w:strike w:val="0"/>
                <w:color w:val="auto"/>
                <w:highlight w:val="none"/>
                <w:u w:val="none" w:color="auto"/>
                <w:vertAlign w:val="baseline"/>
              </w:rPr>
              <w:t>prvotního</w:t>
            </w:r>
            <w:r>
              <w:t xml:space="preserve"> povolení. V takovém případě by tyto dodatečné výjimky </w:t>
            </w:r>
            <w:r>
              <w:rPr>
                <w:b/>
                <w:i/>
                <w:strike w:val="0"/>
                <w:color w:val="auto"/>
                <w:highlight w:val="none"/>
                <w:u w:val="none" w:color="auto"/>
                <w:vertAlign w:val="baseline"/>
              </w:rPr>
              <w:t>měly být požadovány od</w:t>
            </w:r>
            <w:r>
              <w:t xml:space="preserve"> příslušných orgánů stejně jako výjimky, které byly požadovány v době prvotního povolení tržní infrastruktury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38)</w:t>
            </w:r>
            <w:r>
              <w:tab/>
            </w:r>
            <w:r>
              <w:t xml:space="preserve">Jelikož by tržní infrastruktury DLT mohly získat dočasné výjimky ze stávajících právních předpisů Unie, měly by během doby, na kterou jim bylo zvláštní povolení uděleno, úzce spolupracovat s příslušnými orgány a Evropským orgánem pro cenné papíry a trhy (ESMA). Tržní infrastruktura DLT by měla informovat příslušné orgány a orgán ESMA o všech podstatných změnách svého obchodního plánu a změnách týkajících se jejích kritických zaměstnanců, jakýchkoli důkazech o kybernetických hrozbách nebo útocích, podvodech nebo závažných pochybeních, o jakýchkoli změnách informací poskytnutých v době podání první žádosti o povolení, o jakýchkoli technických obtížích, zejména těch, které souvisejí s používáním DLT, a o jakýchkoli nových rizicích pro ochranu investorů, integritu trhu a finanční stabilitu, s nimiž se v době, kdy bylo zvláštní povolení uděleno, nepočítalo. Pokud je příslušný orgán informován o takové podstatné změně, měl by požadovat, aby tržní infrastruktura DLT požádala o nové povolení nebo výjimku nebo aby přijala nápravná opatření, která považuje za vhodná. Tržní infrastruktury DLT by rovněž měly příslušným orgánům a orgánu ESMA poskytovat veškeré relevantní údaje, kdykoli o ně budou požádány. Aby byla zajištěna ochrana investorů, integrita trhu a finanční stabilita, měl by mít příslušný orgán, který udělil tržní infrastruktuře DLT zvláštní povolení, možnost doporučit </w:t>
            </w:r>
            <w:r>
              <w:rPr>
                <w:b/>
                <w:i/>
                <w:strike w:val="0"/>
                <w:color w:val="auto"/>
                <w:highlight w:val="none"/>
                <w:u w:val="none" w:color="auto"/>
                <w:vertAlign w:val="baseline"/>
              </w:rPr>
              <w:t>po konzultaci s orgánem ESMA</w:t>
            </w:r>
            <w:r>
              <w:t xml:space="preserve"> jakákoli nápravná opatření.</w:t>
            </w:r>
          </w:p>
        </w:tc>
        <w:tc>
          <w:tcPr>
            <w:tcW w:w="4876" w:type="dxa"/>
            <w:vAlign w:val="top"/>
          </w:tcPr>
          <w:p>
            <w:pPr>
              <w:pStyle w:val="Normal6a"/>
            </w:pPr>
            <w:r>
              <w:t>38)</w:t>
            </w:r>
            <w:r>
              <w:tab/>
            </w:r>
            <w:r>
              <w:t xml:space="preserve">Jelikož by tržní infrastruktury DLT mohly získat dočasné výjimky ze stávajících právních předpisů Unie, měly by během doby, na kterou jim bylo zvláštní povolení uděleno, úzce spolupracovat s příslušnými orgány a Evropským orgánem pro cenné papíry a trhy (ESMA). Tržní infrastruktura DLT by měla informovat příslušné orgány a orgán ESMA o všech podstatných změnách svého obchodního plánu a změnách týkajících se jejích kritických zaměstnanců, jakýchkoli důkazech o kybernetických hrozbách nebo útocích, podvodech nebo závažných pochybeních, o jakýchkoli změnách informací poskytnutých v době podání první žádosti o povolení, o jakýchkoli technických obtížích, zejména těch, které souvisejí s používáním DLT, a o jakýchkoli nových rizicích pro ochranu investorů, integritu trhu a finanční stabilitu, s nimiž se v době, kdy bylo zvláštní povolení uděleno, nepočítalo. Pokud je příslušný orgán informován o takové podstatné změně, měl by požadovat, aby tržní infrastruktura DLT požádala o nové povolení nebo výjimku nebo aby přijala nápravná opatření, která považuje za vhodná. Tržní infrastruktury DLT by rovněž měly příslušným orgánům a orgánu ESMA poskytovat veškeré relevantní údaje, kdykoli o ně budou požádány. Aby byla zajištěna ochrana investorů, integrita trhu a finanční stabilita, měl by </w:t>
            </w:r>
            <w:r>
              <w:rPr>
                <w:b/>
                <w:i/>
                <w:strike w:val="0"/>
                <w:color w:val="auto"/>
                <w:highlight w:val="none"/>
                <w:u w:val="none" w:color="auto"/>
                <w:vertAlign w:val="baseline"/>
              </w:rPr>
              <w:t>příslušný orgán v případě, že je o takové podstatné změně informován, požádat orgán ESMA o vydání doporučení a na tomto základě požádat tržní infrastrukturu DLT, aby požádala o nové povolení nebo výjimku nebo aby přijala nápravná opatření, která orgán ESMA považuje za vhodná.</w:t>
            </w:r>
            <w:r>
              <w:t xml:space="preserve"> </w:t>
            </w:r>
            <w:r>
              <w:rPr>
                <w:b/>
                <w:i/>
                <w:strike w:val="0"/>
                <w:color w:val="auto"/>
                <w:highlight w:val="none"/>
                <w:u w:val="none" w:color="auto"/>
                <w:vertAlign w:val="baseline"/>
              </w:rPr>
              <w:t>Tržní infrastruktury DLT by rovněž měly příslušným orgánům a orgánu ESMA poskytovat veškeré relevantní údaje, kdykoli o ně budou požádány.</w:t>
            </w:r>
            <w:r>
              <w:t xml:space="preserve"> </w:t>
            </w:r>
            <w:r>
              <w:rPr>
                <w:b/>
                <w:i/>
                <w:strike w:val="0"/>
                <w:color w:val="auto"/>
                <w:highlight w:val="none"/>
                <w:u w:val="none" w:color="auto"/>
                <w:vertAlign w:val="baseline"/>
              </w:rPr>
              <w:t>Poté, co orgán ESMA vydal doporučení, by měl</w:t>
            </w:r>
            <w:r>
              <w:t xml:space="preserve"> mít příslušný orgán, který udělil tržní infrastruktuře DLT zvláštní povolení, možnost doporučit jakákoli nápravná opatření.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38</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w:t>
            </w:r>
            <w:r>
              <w:t>38)</w:t>
            </w:r>
            <w:r>
              <w:tab/>
            </w:r>
            <w:r>
              <w:t xml:space="preserve">Jelikož by tržní infrastruktury DLT mohly získat dočasné výjimky ze stávajících právních předpisů Unie, měly by během doby, </w:t>
            </w:r>
            <w:r>
              <w:rPr>
                <w:b/>
                <w:i/>
                <w:strike w:val="0"/>
                <w:color w:val="auto"/>
                <w:highlight w:val="none"/>
                <w:u w:val="none" w:color="auto"/>
                <w:vertAlign w:val="baseline"/>
              </w:rPr>
              <w:t>na</w:t>
            </w:r>
            <w:r>
              <w:t xml:space="preserve"> kterou </w:t>
            </w:r>
            <w:r>
              <w:rPr>
                <w:b/>
                <w:i/>
                <w:strike w:val="0"/>
                <w:color w:val="auto"/>
                <w:highlight w:val="none"/>
                <w:u w:val="none" w:color="auto"/>
                <w:vertAlign w:val="baseline"/>
              </w:rPr>
              <w:t>jim bylo</w:t>
            </w:r>
            <w:r>
              <w:t xml:space="preserve"> zvláštní povolení </w:t>
            </w:r>
            <w:r>
              <w:rPr>
                <w:b/>
                <w:i/>
                <w:strike w:val="0"/>
                <w:color w:val="auto"/>
                <w:highlight w:val="none"/>
                <w:u w:val="none" w:color="auto"/>
                <w:vertAlign w:val="baseline"/>
              </w:rPr>
              <w:t>uděleno</w:t>
            </w:r>
            <w:r>
              <w:t xml:space="preserve">, úzce spolupracovat s příslušnými orgány a Evropským orgánem pro cenné papíry a trhy (ESMA). Tržní </w:t>
            </w:r>
            <w:r>
              <w:rPr>
                <w:b/>
                <w:i/>
                <w:strike w:val="0"/>
                <w:color w:val="auto"/>
                <w:highlight w:val="none"/>
                <w:u w:val="none" w:color="auto"/>
                <w:vertAlign w:val="baseline"/>
              </w:rPr>
              <w:t>infrastruktura</w:t>
            </w:r>
            <w:r>
              <w:t xml:space="preserve"> DLT by </w:t>
            </w:r>
            <w:r>
              <w:rPr>
                <w:b/>
                <w:i/>
                <w:strike w:val="0"/>
                <w:color w:val="auto"/>
                <w:highlight w:val="none"/>
                <w:u w:val="none" w:color="auto"/>
                <w:vertAlign w:val="baseline"/>
              </w:rPr>
              <w:t>měla</w:t>
            </w:r>
            <w:r>
              <w:t xml:space="preserve"> informovat příslušné orgány a orgán ESMA o všech podstatných změnách svého obchodního plánu a změnách týkajících se </w:t>
            </w:r>
            <w:r>
              <w:rPr>
                <w:b/>
                <w:i/>
                <w:strike w:val="0"/>
                <w:color w:val="auto"/>
                <w:highlight w:val="none"/>
                <w:u w:val="none" w:color="auto"/>
                <w:vertAlign w:val="baseline"/>
              </w:rPr>
              <w:t>jejích</w:t>
            </w:r>
            <w:r>
              <w:t xml:space="preserve"> kritických zaměstnanců, jakýchkoli důkazech o kybernetických hrozbách nebo útocích, podvodech nebo závažných pochybeních, o jakýchkoli změnách informací poskytnutých v době podání první žádosti o povolení, o jakýchkoli technických obtížích, zejména těch, které souvisejí s používáním DLT, a o jakýchkoli nových rizicích pro ochranu investorů, integritu trhu a finanční stabilitu, s nimiž se v době, kdy </w:t>
            </w:r>
            <w:r>
              <w:rPr>
                <w:b/>
                <w:i/>
                <w:strike w:val="0"/>
                <w:color w:val="auto"/>
                <w:highlight w:val="none"/>
                <w:u w:val="none" w:color="auto"/>
                <w:vertAlign w:val="baseline"/>
              </w:rPr>
              <w:t>bylo</w:t>
            </w:r>
            <w:r>
              <w:t xml:space="preserve"> zvláštní povolení </w:t>
            </w:r>
            <w:r>
              <w:rPr>
                <w:b/>
                <w:i/>
                <w:strike w:val="0"/>
                <w:color w:val="auto"/>
                <w:highlight w:val="none"/>
                <w:u w:val="none" w:color="auto"/>
                <w:vertAlign w:val="baseline"/>
              </w:rPr>
              <w:t>uděleno</w:t>
            </w:r>
            <w:r>
              <w:t xml:space="preserve">, nepočítalo. </w:t>
            </w:r>
            <w:r>
              <w:rPr>
                <w:b/>
                <w:i/>
                <w:strike w:val="0"/>
                <w:color w:val="auto"/>
                <w:highlight w:val="none"/>
                <w:u w:val="none" w:color="auto"/>
                <w:vertAlign w:val="baseline"/>
              </w:rPr>
              <w:t>Pokud je</w:t>
            </w:r>
            <w:r>
              <w:t xml:space="preserve"> příslušný orgán </w:t>
            </w:r>
            <w:r>
              <w:rPr>
                <w:b/>
                <w:i/>
                <w:strike w:val="0"/>
                <w:color w:val="auto"/>
                <w:highlight w:val="none"/>
                <w:u w:val="none" w:color="auto"/>
                <w:vertAlign w:val="baseline"/>
              </w:rPr>
              <w:t>informován</w:t>
            </w:r>
            <w:r>
              <w:t xml:space="preserve"> o takové podstatné změně</w:t>
            </w:r>
            <w:r>
              <w:rPr>
                <w:b/>
                <w:i/>
                <w:strike w:val="0"/>
                <w:color w:val="auto"/>
                <w:highlight w:val="none"/>
                <w:u w:val="none" w:color="auto"/>
                <w:vertAlign w:val="baseline"/>
              </w:rPr>
              <w:t>, měl by požadovat, aby</w:t>
            </w:r>
            <w:r>
              <w:t xml:space="preserve"> tržní infrastruktura DLT požádala o nové povolení nebo výjimku nebo aby </w:t>
            </w:r>
            <w:r>
              <w:rPr>
                <w:b/>
                <w:i/>
                <w:strike w:val="0"/>
                <w:color w:val="auto"/>
                <w:highlight w:val="none"/>
                <w:u w:val="none" w:color="auto"/>
                <w:vertAlign w:val="baseline"/>
              </w:rPr>
              <w:t>přijala nápravná opatření, která považuje za vhodná</w:t>
            </w:r>
            <w:r>
              <w:t xml:space="preserve">. Tržní infrastruktury DLT by rovněž měly příslušným orgánům a orgánu ESMA poskytovat veškeré relevantní údaje, kdykoli o ně budou požádány. </w:t>
            </w:r>
            <w:r>
              <w:rPr>
                <w:b/>
                <w:i/>
                <w:strike w:val="0"/>
                <w:color w:val="auto"/>
                <w:highlight w:val="none"/>
                <w:u w:val="none" w:color="auto"/>
                <w:vertAlign w:val="baseline"/>
              </w:rPr>
              <w:t>Aby byla zajištěna ochrana investorů, integrita trhu a finanční stabilita, měl by</w:t>
            </w:r>
            <w:r>
              <w:t xml:space="preserve"> mít příslušný orgán, který udělil tržní infrastruktuře DLT zvláštní povolení, možnost </w:t>
            </w:r>
            <w:r>
              <w:rPr>
                <w:b/>
                <w:i/>
                <w:strike w:val="0"/>
                <w:color w:val="auto"/>
                <w:highlight w:val="none"/>
                <w:u w:val="none" w:color="auto"/>
                <w:vertAlign w:val="baseline"/>
              </w:rPr>
              <w:t>doporučit po konzultaci s orgánem ESMA jakákoli nápravná</w:t>
            </w:r>
            <w:r>
              <w:t xml:space="preserve"> opatření.</w:t>
            </w:r>
          </w:p>
        </w:tc>
        <w:tc>
          <w:tcPr>
            <w:tcW w:w="4876" w:type="dxa"/>
            <w:vAlign w:val="top"/>
          </w:tcPr>
          <w:p>
            <w:pPr>
              <w:pStyle w:val="Normal6a"/>
            </w:pPr>
            <w:r>
              <w:t>38)</w:t>
            </w:r>
            <w:r>
              <w:tab/>
            </w:r>
            <w:r>
              <w:t xml:space="preserve">Jelikož by tržní infrastruktury DLT mohly získat dočasné výjimky ze stávajících právních předpisů Unie, měly by během doby, </w:t>
            </w:r>
            <w:r>
              <w:rPr>
                <w:b/>
                <w:i/>
                <w:strike w:val="0"/>
                <w:color w:val="auto"/>
                <w:highlight w:val="none"/>
                <w:u w:val="none" w:color="auto"/>
                <w:vertAlign w:val="baseline"/>
              </w:rPr>
              <w:t>po</w:t>
            </w:r>
            <w:r>
              <w:t xml:space="preserve"> kterou </w:t>
            </w:r>
            <w:r>
              <w:rPr>
                <w:b/>
                <w:i/>
                <w:strike w:val="0"/>
                <w:color w:val="auto"/>
                <w:highlight w:val="none"/>
                <w:u w:val="none" w:color="auto"/>
                <w:vertAlign w:val="baseline"/>
              </w:rPr>
              <w:t>je</w:t>
            </w:r>
            <w:r>
              <w:t xml:space="preserve"> zvláštní povolení </w:t>
            </w:r>
            <w:r>
              <w:rPr>
                <w:b/>
                <w:i/>
                <w:strike w:val="0"/>
                <w:color w:val="auto"/>
                <w:highlight w:val="none"/>
                <w:u w:val="none" w:color="auto"/>
                <w:vertAlign w:val="baseline"/>
              </w:rPr>
              <w:t>platné</w:t>
            </w:r>
            <w:r>
              <w:t xml:space="preserve">, úzce spolupracovat s příslušnými orgány a Evropským orgánem pro cenné papíry a trhy (ESMA). Tržní </w:t>
            </w:r>
            <w:r>
              <w:rPr>
                <w:b/>
                <w:i/>
                <w:strike w:val="0"/>
                <w:color w:val="auto"/>
                <w:highlight w:val="none"/>
                <w:u w:val="none" w:color="auto"/>
                <w:vertAlign w:val="baseline"/>
              </w:rPr>
              <w:t>infrastruktury</w:t>
            </w:r>
            <w:r>
              <w:t xml:space="preserve"> DLT by </w:t>
            </w:r>
            <w:r>
              <w:rPr>
                <w:b/>
                <w:i/>
                <w:strike w:val="0"/>
                <w:color w:val="auto"/>
                <w:highlight w:val="none"/>
                <w:u w:val="none" w:color="auto"/>
                <w:vertAlign w:val="baseline"/>
              </w:rPr>
              <w:t>měly</w:t>
            </w:r>
            <w:r>
              <w:t xml:space="preserve"> informovat příslušné orgány a orgán ESMA o všech podstatných změnách svého obchodního plánu a změnách týkajících se </w:t>
            </w:r>
            <w:r>
              <w:rPr>
                <w:b/>
                <w:i/>
                <w:strike w:val="0"/>
                <w:color w:val="auto"/>
                <w:highlight w:val="none"/>
                <w:u w:val="none" w:color="auto"/>
                <w:vertAlign w:val="baseline"/>
              </w:rPr>
              <w:t>jejich</w:t>
            </w:r>
            <w:r>
              <w:t xml:space="preserve"> kritických zaměstnanců, jakýchkoli důkazech o kybernetických hrozbách nebo útocích, podvodech nebo závažných pochybeních, o jakýchkoli změnách informací poskytnutých v době podání první žádosti o povolení, o jakýchkoli technických obtížích, zejména těch, které souvisejí s používáním DLT, a o jakýchkoli nových rizicích pro ochranu investorů, integritu trhu a finanční stabilitu, s nimiž se v době, kdy </w:t>
            </w:r>
            <w:r>
              <w:rPr>
                <w:b/>
                <w:i/>
                <w:strike w:val="0"/>
                <w:color w:val="auto"/>
                <w:highlight w:val="none"/>
                <w:u w:val="none" w:color="auto"/>
                <w:vertAlign w:val="baseline"/>
              </w:rPr>
              <w:t>byla</w:t>
            </w:r>
            <w:r>
              <w:t xml:space="preserve"> zvláštní povolení </w:t>
            </w:r>
            <w:r>
              <w:rPr>
                <w:b/>
                <w:i/>
                <w:strike w:val="0"/>
                <w:color w:val="auto"/>
                <w:highlight w:val="none"/>
                <w:u w:val="none" w:color="auto"/>
                <w:vertAlign w:val="baseline"/>
              </w:rPr>
              <w:t>udělena</w:t>
            </w:r>
            <w:r>
              <w:t xml:space="preserve">, nepočítalo. </w:t>
            </w:r>
            <w:r>
              <w:rPr>
                <w:b/>
                <w:i/>
                <w:strike w:val="0"/>
                <w:color w:val="auto"/>
                <w:highlight w:val="none"/>
                <w:u w:val="none" w:color="auto"/>
                <w:vertAlign w:val="baseline"/>
              </w:rPr>
              <w:t>V zájmu zajištění ochrany investorů, integrity trhu a finanční stability by měl</w:t>
            </w:r>
            <w:r>
              <w:t xml:space="preserve"> příslušný orgán </w:t>
            </w:r>
            <w:r>
              <w:rPr>
                <w:b/>
                <w:i/>
                <w:strike w:val="0"/>
                <w:color w:val="auto"/>
                <w:highlight w:val="none"/>
                <w:u w:val="none" w:color="auto"/>
                <w:vertAlign w:val="baseline"/>
              </w:rPr>
              <w:t>v případě, že je</w:t>
            </w:r>
            <w:r>
              <w:t xml:space="preserve"> o takové podstatné změně </w:t>
            </w:r>
            <w:r>
              <w:rPr>
                <w:b/>
                <w:i/>
                <w:strike w:val="0"/>
                <w:color w:val="auto"/>
                <w:highlight w:val="none"/>
                <w:u w:val="none" w:color="auto"/>
                <w:vertAlign w:val="baseline"/>
              </w:rPr>
              <w:t>informován, informovat příslušné orgány členských států, v nichž je</w:t>
            </w:r>
            <w:r>
              <w:t xml:space="preserve"> tržní infrastruktura DLT </w:t>
            </w:r>
            <w:r>
              <w:rPr>
                <w:b/>
                <w:i/>
                <w:strike w:val="0"/>
                <w:color w:val="auto"/>
                <w:highlight w:val="none"/>
                <w:u w:val="none" w:color="auto"/>
                <w:vertAlign w:val="baseline"/>
              </w:rPr>
              <w:t>provozována, požádat orgán ESMA o vydání doporučení a na tomto základě požádat tržní infrastrukturu DLT, aby buď</w:t>
            </w:r>
            <w:r>
              <w:t xml:space="preserve"> požádala o nové povolení nebo výjimku</w:t>
            </w:r>
            <w:r>
              <w:rPr>
                <w:b/>
                <w:i/>
                <w:strike w:val="0"/>
                <w:color w:val="auto"/>
                <w:highlight w:val="none"/>
                <w:u w:val="none" w:color="auto"/>
                <w:vertAlign w:val="baseline"/>
              </w:rPr>
              <w:t>,</w:t>
            </w:r>
            <w:r>
              <w:t xml:space="preserve"> nebo aby </w:t>
            </w:r>
            <w:r>
              <w:rPr>
                <w:b/>
                <w:i/>
                <w:strike w:val="0"/>
                <w:color w:val="auto"/>
                <w:highlight w:val="none"/>
                <w:u w:val="none" w:color="auto"/>
                <w:vertAlign w:val="baseline"/>
              </w:rPr>
              <w:t>na základě doporučení orgánu ESMA přijala nápravná opatření</w:t>
            </w:r>
            <w:r>
              <w:t xml:space="preserve">. Tržní infrastruktury DLT by rovněž měly příslušným orgánům a orgánu ESMA poskytovat veškeré relevantní údaje, kdykoli o ně budou požádány. </w:t>
            </w:r>
            <w:r>
              <w:rPr>
                <w:b/>
                <w:i/>
                <w:strike w:val="0"/>
                <w:color w:val="auto"/>
                <w:highlight w:val="none"/>
                <w:u w:val="none" w:color="auto"/>
                <w:vertAlign w:val="baseline"/>
              </w:rPr>
              <w:t>Po konzultaci s orgánem ESMA by měl</w:t>
            </w:r>
            <w:r>
              <w:t xml:space="preserve"> mít příslušný orgán, který udělil tržní infrastruktuře DLT zvláštní povolení, možnost </w:t>
            </w:r>
            <w:r>
              <w:rPr>
                <w:b/>
                <w:i/>
                <w:strike w:val="0"/>
                <w:color w:val="auto"/>
                <w:highlight w:val="none"/>
                <w:u w:val="none" w:color="auto"/>
                <w:vertAlign w:val="baseline"/>
              </w:rPr>
              <w:t>požadovat, aby tržní infrastruktura DLT přijala dočasné nápravné</w:t>
            </w:r>
            <w:r>
              <w:t xml:space="preserve"> opatření</w:t>
            </w:r>
            <w:r>
              <w:rPr>
                <w:b/>
                <w:i/>
                <w:strike w:val="0"/>
                <w:color w:val="auto"/>
                <w:highlight w:val="none"/>
                <w:u w:val="none" w:color="auto"/>
                <w:vertAlign w:val="baseline"/>
              </w:rPr>
              <w:t>, dokud orgán ESMA nevydá doporučení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poznámky a vysvětlení.</w:t>
      </w:r>
      <w:r>
        <w:t xml:space="preserve"> </w:t>
      </w:r>
      <w:r>
        <w:t>V případě, že dojde ke zde popsanm podstatným změnám by o tom navíc přislušné orgány hostitelského členského státu měly být informovány a orgán ESMA by měl být konzultován za účelem přijetí doporučení.</w:t>
      </w:r>
      <w:r>
        <w:t xml:space="preserve"> </w:t>
      </w:r>
      <w:r>
        <w:t>Bude-li to nezbytné, příslušné orgány by v případě, že nastanou problémy týkající se ochrany investorů, integrity trhu a finanční stability, mít možnost požadovat - a nikoli pouze „doporučit“ - od tržní infrastruktury DLT, aby přijala dočasná opatření, dokud orgán ESMA nevydá doporučení.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38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(38a)</w:t>
            </w:r>
            <w:r>
              <w:tab/>
            </w:r>
            <w:r>
              <w:rPr>
                <w:b/>
                <w:i/>
                <w:strike w:val="0"/>
                <w:color w:val="auto"/>
                <w:highlight w:val="none"/>
                <w:u w:val="none" w:color="auto"/>
                <w:vertAlign w:val="baseline"/>
              </w:rPr>
              <w:t>Orgán ESMA by měl zřídit poradní výbor ad hoc v podobě skupiny zúčastněných stran, který by sdružoval zástupce veřejných i soukromých zúčastněných stran po omezenou dobu odpovídající době trvání pilotního režimu.</w:t>
            </w:r>
            <w:r>
              <w:t xml:space="preserve"> </w:t>
            </w:r>
            <w:r>
              <w:rPr>
                <w:b/>
                <w:i/>
                <w:strike w:val="0"/>
                <w:color w:val="auto"/>
                <w:highlight w:val="none"/>
                <w:u w:val="none" w:color="auto"/>
                <w:vertAlign w:val="baseline"/>
              </w:rPr>
              <w:t>Tento ad hoc poradní výbor by měl být pověřen prováděním přípravných a konzultačních prací potřebných na podporu orgánu ESMA při vydávání doporučení podle tohoto nařízení tím, že orgánu ESMA předá písemné prohlášení uvádějící důvody zamítnutí výjimky nebo povolení, které výbor považuje za nedostatečně odůvodněné nebo nevhodné ve vztahu k požadavkům tohoto nařízení.</w:t>
            </w:r>
            <w:r>
              <w:t xml:space="preserve"> </w:t>
            </w:r>
            <w:r>
              <w:rPr>
                <w:b/>
                <w:i/>
                <w:strike w:val="0"/>
                <w:color w:val="auto"/>
                <w:highlight w:val="none"/>
                <w:u w:val="none" w:color="auto"/>
                <w:vertAlign w:val="baseline"/>
              </w:rPr>
              <w:t>Kromě toho by tento ad hoc poradní výbor měl přezkoumat stížnosti podané přímo orgánu ESMA v případech, kdy se žadatel domnívá, že jeho žádost o výjimku nebo povolení účastnit se pilotního režimu byla jeho příslušným vnitrostátním orgánem nevhodně zamítnuta.</w:t>
            </w:r>
            <w:r>
              <w:t xml:space="preserve"> </w:t>
            </w:r>
            <w:r>
              <w:rPr>
                <w:b/>
                <w:i/>
                <w:strike w:val="0"/>
                <w:color w:val="auto"/>
                <w:highlight w:val="none"/>
                <w:u w:val="none" w:color="auto"/>
                <w:vertAlign w:val="baseline"/>
              </w:rPr>
              <w:t>Aby se však zabránilo tomu, aby žadatelé orgánu ESMA podávali podvodné stížnosti, měl by být přijat zvláštní postup pro analýzu pouze úplných a řádně zdokumentovaných stížností předložených poradnímu výboru.</w:t>
            </w:r>
            <w:r>
              <w:t xml:space="preserve"> </w:t>
            </w:r>
            <w:r>
              <w:rPr>
                <w:b/>
                <w:i/>
                <w:strike w:val="0"/>
                <w:color w:val="auto"/>
                <w:highlight w:val="none"/>
                <w:u w:val="none" w:color="auto"/>
                <w:vertAlign w:val="baseline"/>
              </w:rPr>
              <w:t>Tento postup by měl stanovit kratší lhůtu pro předání na žádost poradního výboru po obdržení odpovědi příslušného vnitrostátního orgánu a předání souboru dokumentace poradnímu výboru, která by obsahovala zejména přehled činností žadatele a požadovanou výjimku (výjimky).</w:t>
            </w:r>
            <w:r>
              <w:t xml:space="preserve"> </w:t>
            </w:r>
            <w:r>
              <w:rPr>
                <w:b/>
                <w:i/>
                <w:strike w:val="0"/>
                <w:color w:val="auto"/>
                <w:highlight w:val="none"/>
                <w:u w:val="none" w:color="auto"/>
                <w:vertAlign w:val="baseline"/>
              </w:rPr>
              <w:t>Příslušné předložené dokumenty, jakož i rozhodnutí příslušného vnitrostátního orgánu o zamítnutí požadované výjimky/požadovaných výjimek nebo povolení, by měly být přeloženy do angličtiny.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S cílem zajistit sbližování dohledu, soudržnost a přiměřenost výjimek udělených podle tohoto nařízení různými příslušnými vnitrostátními orgány v celé Unii, které nemusí sdílet stejnou úroveň technologických vědomostí, a tím podpořit rovné podmínky a odrazovat od regulatorní arbitráže, se navrhuje posílit úlohu orgánu ESMA. V souladu s opatřením 16 nového akčního plánu Unie kapitálových trhů vypracovaného Komisí.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39</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(39)</w:t>
            </w:r>
            <w:r>
              <w:tab/>
            </w:r>
            <w:r>
              <w:t>Tržní infrastruktury DLT by rovněž měly svým příslušným orgánům a orgánu ESMA pravidelně podávat zprávy. Orgán ESMA by měl organizovat diskuse o těchto zprávách, aby umožnil všem příslušným orgánům v celé Unii získat zkušenosti s dopady používání DLT a s veškerými úpravami právních předpisů Unie v oblasti finančních služeb, které by mohly být nezbytné k tomu, aby bylo možné DLT používat ve větším měřítku.</w:t>
            </w:r>
          </w:p>
        </w:tc>
        <w:tc>
          <w:tcPr>
            <w:tcW w:w="4876" w:type="dxa"/>
            <w:vAlign w:val="top"/>
          </w:tcPr>
          <w:p>
            <w:pPr>
              <w:pStyle w:val="Normal6a"/>
            </w:pPr>
            <w:r>
              <w:t>(39)</w:t>
            </w:r>
            <w:r>
              <w:tab/>
            </w:r>
            <w:r>
              <w:t xml:space="preserve">Tržní infrastruktury DLT by rovněž měly svým příslušným orgánům a orgánu ESMA pravidelně podávat zprávy. </w:t>
            </w:r>
            <w:r>
              <w:rPr>
                <w:b/>
                <w:i/>
                <w:strike w:val="0"/>
                <w:color w:val="auto"/>
                <w:highlight w:val="none"/>
                <w:u w:val="none" w:color="auto"/>
                <w:vertAlign w:val="baseline"/>
              </w:rPr>
              <w:t>Příslušné vnitrostátní orgány, které zřídily inovační centrum nebo „regulační pískoviště“, by měly uspořádat diskuse mezi svými příslušnými útvary s cílem získat znalosti, které nabyly, a šířit je.</w:t>
            </w:r>
            <w:r>
              <w:t xml:space="preserve"> </w:t>
            </w:r>
            <w:r>
              <w:rPr>
                <w:b/>
                <w:i/>
                <w:strike w:val="0"/>
                <w:color w:val="auto"/>
                <w:highlight w:val="none"/>
                <w:u w:val="none" w:color="auto"/>
                <w:vertAlign w:val="baseline"/>
              </w:rPr>
              <w:t>Kromě toho by příslušné vnitrostátní orgány měly být prostřednictvím své účasti na Evropském fóru pro zprostředkovatele inovací (EFIF) schopny projednávat případy za účelem výměny znalostí a stanovení osvědčených postupů.</w:t>
            </w:r>
            <w:r>
              <w:t xml:space="preserve"> Orgán ESMA by měl organizovat diskuse o těchto zprávách, aby umožnil všem příslušným orgánům v celé Unii získat zkušenosti s dopady používání DLT </w:t>
            </w:r>
            <w:r>
              <w:rPr>
                <w:b/>
                <w:i/>
                <w:strike w:val="0"/>
                <w:color w:val="auto"/>
                <w:highlight w:val="none"/>
                <w:u w:val="none" w:color="auto"/>
                <w:vertAlign w:val="baseline"/>
              </w:rPr>
              <w:t>na finančních trzích</w:t>
            </w:r>
            <w:r>
              <w:t xml:space="preserve"> a s veškerými úpravami právních předpisů Unie v oblasti finančních služeb, které by mohly být nezbytné k tomu, aby bylo možné DLT používat ve větším měřítku.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využít nástroje napomáhající inovacím (inovační centra a regulační pískoviště) zřízené příslušnými vnitrostátními orgány, jakož i EFIF zřízený Komisí ve spolupráci se třemi evropskými orgány dohledu s cílem posílit společné porozumění, sdílení znalostí a přenos technologií mezi příslušnými vnitrostátními orgány a evropskými orgány dohledu s cílem rychle se přizpůsobit nařízení EU o finančních službách.</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rPr>
                <w:b/>
                <w:i/>
                <w:strike w:val="0"/>
                <w:color w:val="auto"/>
                <w:highlight w:val="none"/>
                <w:u w:val="none" w:color="auto"/>
                <w:vertAlign w:val="baseline"/>
              </w:rPr>
              <w:t>Po pěti letech</w:t>
            </w:r>
            <w:r>
              <w:t xml:space="preserve"> od data použitelnosti tohoto nařízení by měl orgán ESMA </w:t>
            </w:r>
            <w:r>
              <w:rPr>
                <w:b/>
                <w:i/>
                <w:strike w:val="0"/>
                <w:color w:val="auto"/>
                <w:highlight w:val="none"/>
                <w:u w:val="none" w:color="auto"/>
                <w:vertAlign w:val="baseline"/>
              </w:rPr>
              <w:t>podat</w:t>
            </w:r>
            <w:r>
              <w:t xml:space="preserve"> Komisi zprávu o </w:t>
            </w:r>
            <w:r>
              <w:rPr>
                <w:b/>
                <w:i/>
                <w:strike w:val="0"/>
                <w:color w:val="auto"/>
                <w:highlight w:val="none"/>
                <w:u w:val="none" w:color="auto"/>
                <w:vertAlign w:val="baseline"/>
              </w:rPr>
              <w:t>tomto pilotním režimu</w:t>
            </w:r>
            <w:r>
              <w:t xml:space="preserve"> pro tržní infrastruktury DLT</w:t>
            </w:r>
            <w:r>
              <w:rPr>
                <w:b/>
                <w:i/>
                <w:strike w:val="0"/>
                <w:color w:val="auto"/>
                <w:highlight w:val="none"/>
                <w:u w:val="none" w:color="auto"/>
                <w:vertAlign w:val="baseline"/>
              </w:rPr>
              <w:t>, která by zahrnovala</w:t>
            </w:r>
            <w:r>
              <w:t xml:space="preserve"> informace o možných přínosech spojených </w:t>
            </w:r>
            <w:r>
              <w:rPr>
                <w:b/>
                <w:i/>
                <w:strike w:val="0"/>
                <w:color w:val="auto"/>
                <w:highlight w:val="none"/>
                <w:u w:val="none" w:color="auto"/>
                <w:vertAlign w:val="baseline"/>
              </w:rPr>
              <w:t>s používáním</w:t>
            </w:r>
            <w:r>
              <w:t xml:space="preserve"> DLT, vzniklých rizicích a technických obtížích. Na základě </w:t>
            </w:r>
            <w:r>
              <w:rPr>
                <w:b/>
                <w:i/>
                <w:strike w:val="0"/>
                <w:color w:val="auto"/>
                <w:highlight w:val="none"/>
                <w:u w:val="none" w:color="auto"/>
                <w:vertAlign w:val="baseline"/>
              </w:rPr>
              <w:t>zprávy orgánu ESMA</w:t>
            </w:r>
            <w:r>
              <w:t xml:space="preserve"> by měla Komise </w:t>
            </w:r>
            <w:r>
              <w:rPr>
                <w:b/>
                <w:i/>
                <w:strike w:val="0"/>
                <w:color w:val="auto"/>
                <w:highlight w:val="none"/>
                <w:u w:val="none" w:color="auto"/>
                <w:vertAlign w:val="baseline"/>
              </w:rPr>
              <w:t>podat zprávu Radě a Evropskému parlamentu. Tato</w:t>
            </w:r>
            <w:r>
              <w:t xml:space="preserve"> zpráva by měla obsahovat posouzení nákladů a přínosů spojených s prodloužením </w:t>
            </w:r>
            <w:r>
              <w:rPr>
                <w:b/>
                <w:i/>
                <w:strike w:val="0"/>
                <w:color w:val="auto"/>
                <w:highlight w:val="none"/>
                <w:u w:val="none" w:color="auto"/>
                <w:vertAlign w:val="baseline"/>
              </w:rPr>
              <w:t>tohoto</w:t>
            </w:r>
            <w:r>
              <w:t xml:space="preserve"> režimu pro tržní infrastruktury DLT na další období, s rozšířením </w:t>
            </w:r>
            <w:r>
              <w:rPr>
                <w:b/>
                <w:i/>
                <w:strike w:val="0"/>
                <w:color w:val="auto"/>
                <w:highlight w:val="none"/>
                <w:u w:val="none" w:color="auto"/>
                <w:vertAlign w:val="baseline"/>
              </w:rPr>
              <w:t>tohoto</w:t>
            </w:r>
            <w:r>
              <w:t xml:space="preserve"> režimu o </w:t>
            </w:r>
            <w:r>
              <w:rPr>
                <w:b/>
                <w:i/>
                <w:strike w:val="0"/>
                <w:color w:val="auto"/>
                <w:highlight w:val="none"/>
                <w:u w:val="none" w:color="auto"/>
                <w:vertAlign w:val="baseline"/>
              </w:rPr>
              <w:t>nový typ</w:t>
            </w:r>
            <w:r>
              <w:t xml:space="preserve"> finančních nástrojů, se zavedením </w:t>
            </w:r>
            <w:r>
              <w:rPr>
                <w:b/>
                <w:i/>
                <w:strike w:val="0"/>
                <w:color w:val="auto"/>
                <w:highlight w:val="none"/>
                <w:u w:val="none" w:color="auto"/>
                <w:vertAlign w:val="baseline"/>
              </w:rPr>
              <w:t>tohoto</w:t>
            </w:r>
            <w:r>
              <w:t xml:space="preserve"> režimu natrvalo, buď se změnami, nebo bez nich, se související úpravou právních předpisů Unie v oblasti finančních služeb nebo s ukončením </w:t>
            </w:r>
            <w:r>
              <w:rPr>
                <w:b/>
                <w:i/>
                <w:strike w:val="0"/>
                <w:color w:val="auto"/>
                <w:highlight w:val="none"/>
                <w:u w:val="none" w:color="auto"/>
                <w:vertAlign w:val="baseline"/>
              </w:rPr>
              <w:t>tohoto</w:t>
            </w:r>
            <w:r>
              <w:t xml:space="preserve"> režimu.</w:t>
            </w:r>
          </w:p>
        </w:tc>
        <w:tc>
          <w:tcPr>
            <w:tcW w:w="4876" w:type="dxa"/>
            <w:vAlign w:val="top"/>
          </w:tcPr>
          <w:p>
            <w:pPr>
              <w:pStyle w:val="Normal6a"/>
            </w:pPr>
            <w:r>
              <w:t>(40)</w:t>
            </w:r>
            <w:r>
              <w:tab/>
            </w:r>
            <w:r>
              <w:rPr>
                <w:b/>
                <w:i/>
                <w:strike w:val="0"/>
                <w:color w:val="auto"/>
                <w:highlight w:val="none"/>
                <w:u w:val="none" w:color="auto"/>
                <w:vertAlign w:val="baseline"/>
              </w:rPr>
              <w:t>Do ... [36 měsíců</w:t>
            </w:r>
            <w:r>
              <w:t xml:space="preserve"> od data použitelnosti tohoto nařízení</w:t>
            </w:r>
            <w:r>
              <w:rPr>
                <w:b/>
                <w:i/>
                <w:strike w:val="0"/>
                <w:color w:val="auto"/>
                <w:highlight w:val="none"/>
                <w:u w:val="none" w:color="auto"/>
                <w:vertAlign w:val="baseline"/>
              </w:rPr>
              <w:t>]</w:t>
            </w:r>
            <w:r>
              <w:t xml:space="preserve"> by měl orgán ESMA </w:t>
            </w:r>
            <w:r>
              <w:rPr>
                <w:b/>
                <w:i/>
                <w:strike w:val="0"/>
                <w:color w:val="auto"/>
                <w:highlight w:val="none"/>
                <w:u w:val="none" w:color="auto"/>
                <w:vertAlign w:val="baseline"/>
              </w:rPr>
              <w:t>předložit</w:t>
            </w:r>
            <w:r>
              <w:t xml:space="preserve"> Komisi zprávu o </w:t>
            </w:r>
            <w:r>
              <w:rPr>
                <w:b/>
                <w:i/>
                <w:strike w:val="0"/>
                <w:color w:val="auto"/>
                <w:highlight w:val="none"/>
                <w:u w:val="none" w:color="auto"/>
                <w:vertAlign w:val="baseline"/>
              </w:rPr>
              <w:t>posouzení předčasného ukončení, aby mohla rozhodnout, zda prodlouží pilotní režim</w:t>
            </w:r>
            <w:r>
              <w:t xml:space="preserve"> pro tržní infrastruktury DLT </w:t>
            </w:r>
            <w:r>
              <w:rPr>
                <w:b/>
                <w:i/>
                <w:strike w:val="0"/>
                <w:color w:val="auto"/>
                <w:highlight w:val="none"/>
                <w:u w:val="none" w:color="auto"/>
                <w:vertAlign w:val="baseline"/>
              </w:rPr>
              <w:t>do ... [pět let od data použitelnosti tohoto nařízení]</w:t>
            </w:r>
            <w:r>
              <w:t xml:space="preserve"> </w:t>
            </w:r>
            <w:r>
              <w:rPr>
                <w:b/>
                <w:i/>
                <w:strike w:val="0"/>
                <w:color w:val="auto"/>
                <w:highlight w:val="none"/>
                <w:u w:val="none" w:color="auto"/>
                <w:vertAlign w:val="baseline"/>
              </w:rPr>
              <w:t>Zpráva o posouzení předčasného ukončení by měla zahrnovat</w:t>
            </w:r>
            <w:r>
              <w:t xml:space="preserve"> informace o možných přínosech spojených </w:t>
            </w:r>
            <w:r>
              <w:rPr>
                <w:b/>
                <w:i/>
                <w:strike w:val="0"/>
                <w:color w:val="auto"/>
                <w:highlight w:val="none"/>
                <w:u w:val="none" w:color="auto"/>
                <w:vertAlign w:val="baseline"/>
              </w:rPr>
              <w:t>spoužíváním</w:t>
            </w:r>
            <w:r>
              <w:t xml:space="preserve"> DLT, vzniklých rizicích a</w:t>
            </w:r>
            <w:r>
              <w:rPr>
                <w:b/>
                <w:i/>
                <w:strike w:val="0"/>
                <w:color w:val="auto"/>
                <w:highlight w:val="none"/>
                <w:u w:val="none" w:color="auto"/>
                <w:vertAlign w:val="baseline"/>
              </w:rPr>
              <w:t> jakýchkoli zjištěných</w:t>
            </w:r>
            <w:r>
              <w:t xml:space="preserve"> technických obtížích. </w:t>
            </w:r>
            <w:r>
              <w:rPr>
                <w:b/>
                <w:i/>
                <w:strike w:val="0"/>
                <w:color w:val="auto"/>
                <w:highlight w:val="none"/>
                <w:u w:val="none" w:color="auto"/>
                <w:vertAlign w:val="baseline"/>
              </w:rPr>
              <w:t>Zpráva o posouzení předčasného ukončení by měla být vypracována</w:t>
            </w:r>
            <w:r>
              <w:t xml:space="preserve"> na základě </w:t>
            </w:r>
            <w:r>
              <w:rPr>
                <w:b/>
                <w:i/>
                <w:strike w:val="0"/>
                <w:color w:val="auto"/>
                <w:highlight w:val="none"/>
                <w:u w:val="none" w:color="auto"/>
                <w:vertAlign w:val="baseline"/>
              </w:rPr>
              <w:t>výročních průběžných zpráv, z nichž první by měla být vypracována 12 měsíců po zveřejnění regulačních technických norem stanovených v tomto nařízení.</w:t>
            </w:r>
            <w:r>
              <w:t xml:space="preserve"> </w:t>
            </w:r>
            <w:r>
              <w:rPr>
                <w:b/>
                <w:i/>
                <w:strike w:val="0"/>
                <w:color w:val="auto"/>
                <w:highlight w:val="none"/>
                <w:u w:val="none" w:color="auto"/>
                <w:vertAlign w:val="baseline"/>
              </w:rPr>
              <w:t>Zpráva o posouzení předčasného ukončení by měla být příležitostí pro hodnocení a interpretační sdělení, která zvýší právní jistotu a právní jasnost na základě shromážděných informací mimo jiné o velikosti trhu, získaných zkušenostech a vývoji technologie DLT.</w:t>
            </w:r>
            <w:r>
              <w:t xml:space="preserve"> </w:t>
            </w:r>
            <w:r>
              <w:rPr>
                <w:b/>
                <w:i/>
                <w:strike w:val="0"/>
                <w:color w:val="auto"/>
                <w:highlight w:val="none"/>
                <w:u w:val="none" w:color="auto"/>
                <w:vertAlign w:val="baseline"/>
              </w:rPr>
              <w:t>V případě, že Komise prodlouží pilotní režim, měl by orgán ESMA Komisi předložit závěrečnou zprávu o pilotním režimu DLT do ... [pěti let od vstupu tohoto nařízení v platnost].</w:t>
            </w:r>
            <w:r>
              <w:t xml:space="preserve"> </w:t>
            </w:r>
            <w:r>
              <w:rPr>
                <w:b/>
                <w:i/>
                <w:strike w:val="0"/>
                <w:color w:val="auto"/>
                <w:highlight w:val="none"/>
                <w:u w:val="none" w:color="auto"/>
                <w:vertAlign w:val="baseline"/>
              </w:rPr>
              <w:t>Závěrečná práva</w:t>
            </w:r>
            <w:r>
              <w:t xml:space="preserve"> by měla </w:t>
            </w:r>
            <w:r>
              <w:rPr>
                <w:b/>
                <w:i/>
                <w:strike w:val="0"/>
                <w:color w:val="auto"/>
                <w:highlight w:val="none"/>
                <w:u w:val="none" w:color="auto"/>
                <w:vertAlign w:val="baseline"/>
              </w:rPr>
              <w:t>být vypracována stejným způsobem jako zpráva o posouzení předčasného ukončení.</w:t>
            </w:r>
            <w:r>
              <w:t xml:space="preserve"> Komise </w:t>
            </w:r>
            <w:r>
              <w:rPr>
                <w:b/>
                <w:i/>
                <w:strike w:val="0"/>
                <w:color w:val="auto"/>
                <w:highlight w:val="none"/>
                <w:u w:val="none" w:color="auto"/>
                <w:vertAlign w:val="baseline"/>
              </w:rPr>
              <w:t>by měla Evropskému parlamentu a Radě předložit zprávu vycházející ze zprávy orgánu ESMA o posouzení předčasného ukončení a následně případně zprávu vycházející ze závěrečné zprávy orgánu ESMA.</w:t>
            </w:r>
            <w:r>
              <w:t xml:space="preserve"> Zpráva </w:t>
            </w:r>
            <w:r>
              <w:rPr>
                <w:b/>
                <w:i/>
                <w:strike w:val="0"/>
                <w:color w:val="auto"/>
                <w:highlight w:val="none"/>
                <w:u w:val="none" w:color="auto"/>
                <w:vertAlign w:val="baseline"/>
              </w:rPr>
              <w:t>Komise</w:t>
            </w:r>
            <w:r>
              <w:t xml:space="preserve"> by měla </w:t>
            </w:r>
            <w:r>
              <w:rPr>
                <w:b/>
                <w:i/>
                <w:strike w:val="0"/>
                <w:color w:val="auto"/>
                <w:highlight w:val="none"/>
                <w:u w:val="none" w:color="auto"/>
                <w:vertAlign w:val="baseline"/>
              </w:rPr>
              <w:t>v každém případě</w:t>
            </w:r>
            <w:r>
              <w:t xml:space="preserve"> obsahovat posouzení nákladů a přínosů spojených s prodloužením </w:t>
            </w:r>
            <w:r>
              <w:rPr>
                <w:b/>
                <w:i/>
                <w:strike w:val="0"/>
                <w:color w:val="auto"/>
                <w:highlight w:val="none"/>
                <w:u w:val="none" w:color="auto"/>
                <w:vertAlign w:val="baseline"/>
              </w:rPr>
              <w:t>pilotního</w:t>
            </w:r>
            <w:r>
              <w:t xml:space="preserve"> režimu pro tržní infrastruktury DLT na další období, s rozšířením režimu o </w:t>
            </w:r>
            <w:r>
              <w:rPr>
                <w:b/>
                <w:i/>
                <w:strike w:val="0"/>
                <w:color w:val="auto"/>
                <w:highlight w:val="none"/>
                <w:u w:val="none" w:color="auto"/>
                <w:vertAlign w:val="baseline"/>
              </w:rPr>
              <w:t>nové typy</w:t>
            </w:r>
            <w:r>
              <w:t xml:space="preserve"> finančních nástrojů, se zavedením režimu natrvalo, buď se změnami, nebo bez nich, se související úpravou právních předpisů Unie v oblasti finančních služeb nebo s ukončením </w:t>
            </w:r>
            <w:r>
              <w:rPr>
                <w:b/>
                <w:i/>
                <w:strike w:val="0"/>
                <w:color w:val="auto"/>
                <w:highlight w:val="none"/>
                <w:u w:val="none" w:color="auto"/>
                <w:vertAlign w:val="baseline"/>
              </w:rPr>
              <w:t>režimu.</w:t>
            </w:r>
            <w:r>
              <w:t xml:space="preserve"> </w:t>
            </w:r>
            <w:r>
              <w:rPr>
                <w:b/>
                <w:i/>
                <w:strike w:val="0"/>
                <w:color w:val="auto"/>
                <w:highlight w:val="none"/>
                <w:u w:val="none" w:color="auto"/>
                <w:vertAlign w:val="baseline"/>
              </w:rPr>
              <w:t>Kromě toho by posouzení předčasného ukončení nebo závěrečné posouzení mělo vyjasnit, jak by měl být řízen přechod od pilotního</w:t>
            </w:r>
            <w:r>
              <w:t xml:space="preserve"> režimu </w:t>
            </w:r>
            <w:r>
              <w:rPr>
                <w:b/>
                <w:i/>
                <w:strike w:val="0"/>
                <w:color w:val="auto"/>
                <w:highlight w:val="none"/>
                <w:u w:val="none" w:color="auto"/>
                <w:vertAlign w:val="baseline"/>
              </w:rPr>
              <w:t>k plně harmonizovanému regulačnímu režimu cenných papírů DLT, jak by měla být zmírněna rizika, jak by se mělo přistupovat k nástrojům splatným po skončení přechodného období a jak by mělo být po ukončení pilotního režimu provedeno oddělení systémů MTF, které v současnosti zajišťují řadu oddělených funkcí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Vzhledem k rychlému vývoji a finančním inovacím se navrhuje, aby orgán ESMA předložil Komisi podrobnou zprávu o posouzení předčasného ukončení týkající se možné úpravy nebo přerušení pilotního režimu po uplynutí tříletého období.</w:t>
      </w:r>
      <w:r>
        <w:t xml:space="preserve"> </w:t>
      </w:r>
      <w:r>
        <w:t>Komise by měla na základě zprávy o posouzení předčasného ukončení předložit Evropskému parlamentu a Radě vlastní zprávu.</w:t>
      </w:r>
      <w:r>
        <w:t xml:space="preserve"> </w:t>
      </w:r>
      <w:r>
        <w:t>Nebude-li pilotní režim ukončen, měl by orgán ESMA a Komise po pěti letech předložit druhé posouzení.</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 xml:space="preserve">Po </w:t>
            </w:r>
            <w:r>
              <w:rPr>
                <w:b/>
                <w:i/>
                <w:strike w:val="0"/>
                <w:color w:val="auto"/>
                <w:highlight w:val="none"/>
                <w:u w:val="none" w:color="auto"/>
                <w:vertAlign w:val="baseline"/>
              </w:rPr>
              <w:t>pěti</w:t>
            </w:r>
            <w:r>
              <w:t xml:space="preserve"> letech od data použitelnosti tohoto nařízení by měl orgán ESMA podat Komisi zprávu o tomto pilotním režimu pro tržní infrastruktury DLT, která by zahrnovala informace o možných přínosech spojených s používáním DLT, vzniklých rizicích a technických obtížích. Na základě zprávy orgánu ESMA by měla Komise podat zprávu Radě a Evropskému parlamentu. Tato zpráva by měla </w:t>
            </w:r>
            <w:r>
              <w:rPr>
                <w:b/>
                <w:i/>
                <w:strike w:val="0"/>
                <w:color w:val="auto"/>
                <w:highlight w:val="none"/>
                <w:u w:val="none" w:color="auto"/>
                <w:vertAlign w:val="baseline"/>
              </w:rPr>
              <w:t>obsahovat posouzení nákladů a přínosů spojených s prodloužením tohoto režimu pro tržní infrastruktury DLT na další období, s rozšířením tohoto režimu o nový typ finančních nástrojů, se zavedením tohoto režimu natrvalo, buď se změnami, nebo bez nich, se související úpravou</w:t>
            </w:r>
            <w:r>
              <w:t xml:space="preserve"> právních předpisů </w:t>
            </w:r>
            <w:r>
              <w:rPr>
                <w:b/>
                <w:i/>
                <w:strike w:val="0"/>
                <w:color w:val="auto"/>
                <w:highlight w:val="none"/>
                <w:u w:val="none" w:color="auto"/>
                <w:vertAlign w:val="baseline"/>
              </w:rPr>
              <w:t>Unie v oblasti finančních služeb nebo s ukončením tohoto režimu</w:t>
            </w:r>
            <w:r>
              <w:t>.</w:t>
            </w:r>
          </w:p>
        </w:tc>
        <w:tc>
          <w:tcPr>
            <w:tcW w:w="4876" w:type="dxa"/>
            <w:vAlign w:val="top"/>
          </w:tcPr>
          <w:p>
            <w:pPr>
              <w:pStyle w:val="Normal6a"/>
            </w:pPr>
            <w:r>
              <w:t>(40)</w:t>
            </w:r>
            <w:r>
              <w:tab/>
            </w:r>
            <w:r>
              <w:t xml:space="preserve">Po </w:t>
            </w:r>
            <w:r>
              <w:rPr>
                <w:b/>
                <w:i/>
                <w:strike w:val="0"/>
                <w:color w:val="auto"/>
                <w:highlight w:val="none"/>
                <w:u w:val="none" w:color="auto"/>
                <w:vertAlign w:val="baseline"/>
              </w:rPr>
              <w:t>dvou</w:t>
            </w:r>
            <w:r>
              <w:t xml:space="preserve"> letech od data použitelnosti tohoto nařízení by měl orgán ESMA podat Komisi zprávu o tomto pilotním režimu pro tržní infrastruktury DLT, která by zahrnovala informace o možných přínosech spojených s používáním DLT, vzniklých rizicích a technických obtížích. Na základě zprávy orgánu ESMA by měla Komise podat zprávu Radě a Evropskému parlamentu. Tato zpráva by měla </w:t>
            </w:r>
            <w:r>
              <w:rPr>
                <w:b/>
                <w:i/>
                <w:strike w:val="0"/>
                <w:color w:val="auto"/>
                <w:highlight w:val="none"/>
                <w:u w:val="none" w:color="auto"/>
                <w:vertAlign w:val="baseline"/>
              </w:rPr>
              <w:t>ukázat, jak hodlá zapracovat získané poznatky do stávajících</w:t>
            </w:r>
            <w:r>
              <w:t xml:space="preserve"> právních předpisů.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(40)</w:t>
            </w:r>
            <w:r>
              <w:tab/>
            </w:r>
            <w:r>
              <w:t>Po pěti letech od data použitelnosti tohoto nařízení by měl orgán ESMA podat Komisi zprávu o tomto pilotním režimu pro tržní infrastruktury DLT, která by zahrnovala informace o možných přínosech spojených s používáním DLT, vzniklých rizicích a technických obtížích. Na základě zprávy orgánu ESMA by měla Komise podat zprávu Radě a Evropskému parlamentu. Tato zpráva by měla obsahovat posouzení nákladů a přínosů spojených s prodloužením tohoto režimu pro tržní infrastruktury DLT na další období, s rozšířením tohoto režimu o nový typ finančních nástrojů, se zavedením tohoto režimu natrvalo, buď se změnami, nebo bez nich, se související úpravou právních předpisů Unie v oblasti finančních služeb nebo s ukončením tohoto režimu.</w:t>
            </w:r>
          </w:p>
        </w:tc>
        <w:tc>
          <w:tcPr>
            <w:tcW w:w="4876" w:type="dxa"/>
            <w:vAlign w:val="top"/>
          </w:tcPr>
          <w:p>
            <w:pPr>
              <w:pStyle w:val="Normal6a"/>
            </w:pPr>
            <w:r>
              <w:t>(40)</w:t>
            </w:r>
            <w:r>
              <w:tab/>
            </w:r>
            <w:r>
              <w:t xml:space="preserve">Po pěti letech od data použitelnosti tohoto nařízení by měl orgán ESMA </w:t>
            </w:r>
            <w:r>
              <w:rPr>
                <w:b/>
                <w:i/>
                <w:strike w:val="0"/>
                <w:color w:val="auto"/>
                <w:highlight w:val="none"/>
                <w:u w:val="none" w:color="auto"/>
                <w:vertAlign w:val="baseline"/>
              </w:rPr>
              <w:t>po konzultaci s příslušnými vnitrostátními orgány</w:t>
            </w:r>
            <w:r>
              <w:t xml:space="preserve"> podat Komisi zprávu o tomto pilotním režimu pro tržní infrastruktury DLT, která by zahrnovala informace o možných přínosech spojených s používáním DLT, vzniklých rizicích a technických obtížích. Na základě zprávy orgánu ESMA by měla Komise podat zprávu Radě a Evropskému parlamentu. Tato zpráva by měla obsahovat posouzení nákladů a přínosů spojených s prodloužením tohoto režimu pro tržní infrastruktury DLT na další období, s rozšířením tohoto režimu o nový typ finančních nástrojů, se zavedením tohoto režimu natrvalo, buď se změnami, nebo bez nich, se související úpravou právních předpisů Unie v oblasti finančních služeb nebo s ukončením tohoto režimu.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(40a)</w:t>
            </w:r>
            <w:r>
              <w:tab/>
            </w:r>
            <w:r>
              <w:rPr>
                <w:b/>
                <w:i/>
                <w:strike w:val="0"/>
                <w:color w:val="auto"/>
                <w:highlight w:val="none"/>
                <w:u w:val="none" w:color="auto"/>
                <w:vertAlign w:val="baseline"/>
              </w:rPr>
              <w:t>Orgán ESMA by měl zveřejňovat výroční zprávy s cílem poskytnout účastníkům trhu lepší porozumění o fungování a rozvoji trhů a objasnit uplatňování pilotního režimu.</w:t>
            </w:r>
            <w:r>
              <w:t xml:space="preserve"> </w:t>
            </w:r>
            <w:r>
              <w:rPr>
                <w:b/>
                <w:i/>
                <w:strike w:val="0"/>
                <w:color w:val="auto"/>
                <w:highlight w:val="none"/>
                <w:u w:val="none" w:color="auto"/>
                <w:vertAlign w:val="baseline"/>
              </w:rPr>
              <w:t>Zprávy by rovněž měly obsahovat aktuální informace o pokroku pilotního režimu, pokud jde o trendy a nově se objevující rizika, a měly by být předloženy Evropskému parlamentu, Radě a Komisi.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239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(40a)</w:t>
            </w:r>
            <w:r>
              <w:tab/>
            </w:r>
            <w:r>
              <w:rPr>
                <w:b/>
                <w:i/>
                <w:strike w:val="0"/>
                <w:color w:val="auto"/>
                <w:highlight w:val="none"/>
                <w:u w:val="none" w:color="auto"/>
                <w:vertAlign w:val="baseline"/>
              </w:rPr>
              <w:t>Bylo by nežádoucí, aby existovaly dva paralelní režimy pro tržní infrastruktury založené na technologii DLT a nezaložené na DLT.</w:t>
            </w:r>
            <w:r>
              <w:t xml:space="preserve"> </w:t>
            </w:r>
            <w:r>
              <w:rPr>
                <w:b/>
                <w:i/>
                <w:strike w:val="0"/>
                <w:color w:val="auto"/>
                <w:highlight w:val="none"/>
                <w:u w:val="none" w:color="auto"/>
                <w:vertAlign w:val="baseline"/>
              </w:rPr>
              <w:t>Pokud bude pilotní režim stanovený v tomto nařízení úspěšný, mohl by se stát trvalým, a to přijetím změn příslušných právních předpisů Unie v oblasti finančních služeb tak, aby byl vytvořen jednotný a soudržný rámec.</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40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(40b)</w:t>
            </w:r>
            <w:r>
              <w:tab/>
            </w:r>
            <w:r>
              <w:rPr>
                <w:b/>
                <w:i/>
                <w:strike w:val="0"/>
                <w:color w:val="auto"/>
                <w:highlight w:val="none"/>
                <w:u w:val="none" w:color="auto"/>
                <w:vertAlign w:val="baseline"/>
              </w:rPr>
              <w:t>Za účelem sledování pokroku pilotního režimu by měl orgán ESMA předkládat Komisi, Evropskému parlamentu a Radě výroční zprávu o nejdůležitějších trendech, rizicích a slabých místech v souvislosti s pilotním režimem.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Bod odůvodnění 44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(44a)</w:t>
            </w:r>
            <w:r>
              <w:tab/>
            </w:r>
            <w:r>
              <w:rPr>
                <w:b/>
                <w:i/>
                <w:strike w:val="0"/>
                <w:color w:val="auto"/>
                <w:highlight w:val="none"/>
                <w:u w:val="none" w:color="auto"/>
                <w:vertAlign w:val="baseline"/>
              </w:rPr>
              <w:t>Provoz tržních infrastruktur DLT by mohl zahrnovat zpracování osobních údajů.</w:t>
            </w:r>
            <w:r>
              <w:t xml:space="preserve"> </w:t>
            </w:r>
            <w:r>
              <w:rPr>
                <w:b/>
                <w:i/>
                <w:strike w:val="0"/>
                <w:color w:val="auto"/>
                <w:highlight w:val="none"/>
                <w:u w:val="none" w:color="auto"/>
                <w:vertAlign w:val="baseline"/>
              </w:rPr>
              <w:t>Jakékoli zpracování osobních údajů podle tohoto nařízení by mělo být prováděno v souladu s platnými právními předpisy Unie o ochraně osobních údajů.</w:t>
            </w:r>
            <w:r>
              <w:t xml:space="preserve"> </w:t>
            </w:r>
            <w:r>
              <w:rPr>
                <w:b/>
                <w:i/>
                <w:strike w:val="0"/>
                <w:color w:val="auto"/>
                <w:highlight w:val="none"/>
                <w:u w:val="none" w:color="auto"/>
                <w:vertAlign w:val="baseline"/>
              </w:rPr>
              <w:t>Tímto nařízením nejsou dotčena práva a povinnosti podle nařízení (EU) 2016/679</w:t>
            </w:r>
            <w:r>
              <w:rPr>
                <w:rStyle w:val="SupBoldItalic"/>
              </w:rPr>
              <w:t>1a</w:t>
            </w:r>
            <w:r>
              <w:t xml:space="preserve"> </w:t>
            </w:r>
            <w:r>
              <w:rPr>
                <w:b/>
                <w:i/>
                <w:strike w:val="0"/>
                <w:color w:val="auto"/>
                <w:highlight w:val="none"/>
                <w:u w:val="none" w:color="auto"/>
                <w:vertAlign w:val="baseline"/>
              </w:rPr>
              <w:t>a (EU) 2018/1725</w:t>
            </w:r>
            <w:r>
              <w:rPr>
                <w:rStyle w:val="SupBoldItalic"/>
              </w:rPr>
              <w:t>1b</w:t>
            </w:r>
            <w:r>
              <w:rPr>
                <w:b/>
                <w:i/>
                <w:strike w:val="0"/>
                <w:color w:val="auto"/>
                <w:highlight w:val="none"/>
                <w:u w:val="none" w:color="auto"/>
                <w:vertAlign w:val="baseline"/>
              </w:rP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Nařízení Evropského parlamentu a Rady (EU) 2016/679 ze dne 27. dubna 2016 o ochraně fyzických osob v souvislosti se zpracováním osobních údajů a o volném pohybu těchto údajů a o zrušení směrnice 95/46/ES (obecné nařízení o ochraně osobních údajů) (Úř. věst. L 119, 4.5.2016, s.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1b</w:t>
            </w:r>
            <w:r>
              <w:t xml:space="preserve"> </w:t>
            </w:r>
            <w:r>
              <w:rPr>
                <w:b/>
                <w:i/>
                <w:strike w:val="0"/>
                <w:color w:val="auto"/>
                <w:highlight w:val="none"/>
                <w:u w:val="none" w:color="auto"/>
                <w:vertAlign w:val="baseline"/>
              </w:rPr>
              <w:t>Nařízení Evropského parlamentu a Rady (EU) 2018/1725 ze dne 23. října 2018 o ochraně fyzických osob v souvislosti se zpracováním osobních údajů orgány, institucemi a jinými subjekty Unie a o volném pohybu těchto údajů a o zrušení nařízení (ES) č. 45/2001 a rozhodnutí č. 1247/2002/ES (Úř. věst. L 295, 21.11.2018, s. 39).</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hlavní poselství stanoviska evropského inspektora ochrany údajů č. 6/2021, konkrétně potřebu souladu s obecným nařízením o ochraně osobních údajů.</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Toto nařízení stanoví požadavky na </w:t>
            </w:r>
            <w:r>
              <w:rPr>
                <w:b/>
                <w:i/>
                <w:strike w:val="0"/>
                <w:color w:val="auto"/>
                <w:highlight w:val="none"/>
                <w:u w:val="none" w:color="auto"/>
                <w:vertAlign w:val="baseline"/>
              </w:rPr>
              <w:t>mnohostranné obchodní systémy a systémy vypořádání obchodů s cennými papíry, které využívají technologii sdíleného registru („</w:t>
            </w:r>
            <w:r>
              <w:t>tržní infrastruktury DLT</w:t>
            </w:r>
            <w:r>
              <w:rPr>
                <w:b/>
                <w:i/>
                <w:strike w:val="0"/>
                <w:color w:val="auto"/>
                <w:highlight w:val="none"/>
                <w:u w:val="none" w:color="auto"/>
                <w:vertAlign w:val="baseline"/>
              </w:rPr>
              <w:t>“) a</w:t>
            </w:r>
            <w:r>
              <w:t xml:space="preserve"> kterým bylo uděleno zvláštní povolení k provozu v souladu s články 7 a 8.</w:t>
            </w:r>
          </w:p>
        </w:tc>
        <w:tc>
          <w:tcPr>
            <w:tcW w:w="4876" w:type="dxa"/>
            <w:vAlign w:val="top"/>
          </w:tcPr>
          <w:p>
            <w:pPr>
              <w:pStyle w:val="Normal6a"/>
            </w:pPr>
            <w:r>
              <w:t>1.</w:t>
            </w:r>
            <w:r>
              <w:tab/>
            </w:r>
            <w:r>
              <w:t>Toto nařízení stanoví požadavky na tržní infrastruktury DLT</w:t>
            </w:r>
            <w:r>
              <w:rPr>
                <w:b/>
                <w:i/>
                <w:strike w:val="0"/>
                <w:color w:val="auto"/>
                <w:highlight w:val="none"/>
                <w:u w:val="none" w:color="auto"/>
                <w:vertAlign w:val="baseline"/>
              </w:rPr>
              <w:t>,</w:t>
            </w:r>
            <w:r>
              <w:t>kterým bylo uděleno zvláštní povolení k provozu v souladu s články 7 a 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Článek 2 definuje tržní infrastruktury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Toto nařízení stanoví požadavky na </w:t>
            </w:r>
            <w:r>
              <w:rPr>
                <w:b/>
                <w:i/>
                <w:strike w:val="0"/>
                <w:color w:val="auto"/>
                <w:highlight w:val="none"/>
                <w:u w:val="none" w:color="auto"/>
                <w:vertAlign w:val="baseline"/>
              </w:rPr>
              <w:t>mnohostranné obchodní systémy a systémy vypořádání obchodů s cennými papíry, které využívají technologii sdíleného registru (</w:t>
            </w:r>
            <w:r>
              <w:t>„tržní infrastruktury DLT“</w:t>
            </w:r>
            <w:r>
              <w:rPr>
                <w:b/>
                <w:i/>
                <w:strike w:val="0"/>
                <w:color w:val="auto"/>
                <w:highlight w:val="none"/>
                <w:u w:val="none" w:color="auto"/>
                <w:vertAlign w:val="baseline"/>
              </w:rPr>
              <w:t>) a</w:t>
            </w:r>
            <w:r>
              <w:t xml:space="preserve"> kterým bylo uděleno zvláštní povolení k provozu v souladu s články 7 a 8.</w:t>
            </w:r>
          </w:p>
        </w:tc>
        <w:tc>
          <w:tcPr>
            <w:tcW w:w="4876" w:type="dxa"/>
            <w:vAlign w:val="top"/>
          </w:tcPr>
          <w:p>
            <w:pPr>
              <w:pStyle w:val="Normal6a"/>
            </w:pPr>
            <w:r>
              <w:t>1.</w:t>
            </w:r>
            <w:r>
              <w:tab/>
            </w:r>
            <w:r>
              <w:t>Toto nařízení stanoví požadavky na „tržní infrastruktury DLT“</w:t>
            </w:r>
            <w:r>
              <w:rPr>
                <w:b/>
                <w:i/>
                <w:strike w:val="0"/>
                <w:color w:val="auto"/>
                <w:highlight w:val="none"/>
                <w:u w:val="none" w:color="auto"/>
                <w:vertAlign w:val="baseline"/>
              </w:rPr>
              <w:t>,</w:t>
            </w:r>
            <w:r>
              <w:t xml:space="preserve"> kterým bylo uděleno zvláštní povolení k provozu v souladu s články 7 a 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Toto nařízení stanoví požadavky na </w:t>
            </w:r>
            <w:r>
              <w:rPr>
                <w:b/>
                <w:i/>
                <w:strike w:val="0"/>
                <w:color w:val="auto"/>
                <w:highlight w:val="none"/>
                <w:u w:val="none" w:color="auto"/>
                <w:vertAlign w:val="baseline"/>
              </w:rPr>
              <w:t>mnohostranné obchodní</w:t>
            </w:r>
            <w:r>
              <w:t xml:space="preserve"> systémy </w:t>
            </w:r>
            <w:r>
              <w:rPr>
                <w:b/>
                <w:i/>
                <w:strike w:val="0"/>
                <w:color w:val="auto"/>
                <w:highlight w:val="none"/>
                <w:u w:val="none" w:color="auto"/>
                <w:vertAlign w:val="baseline"/>
              </w:rPr>
              <w:t>a systémy vypořádání obchodů s cennými papíry</w:t>
            </w:r>
            <w:r>
              <w:t>, které využívají technologii sdíleného registru („tržní infrastruktury DLT“) a kterým bylo uděleno zvláštní povolení k provozu v souladu s články 7 a 8.</w:t>
            </w:r>
          </w:p>
        </w:tc>
        <w:tc>
          <w:tcPr>
            <w:tcW w:w="4876" w:type="dxa"/>
            <w:vAlign w:val="top"/>
          </w:tcPr>
          <w:p>
            <w:pPr>
              <w:pStyle w:val="Normal6a"/>
            </w:pPr>
            <w:r>
              <w:t>1.</w:t>
            </w:r>
            <w:r>
              <w:tab/>
            </w:r>
            <w:r>
              <w:t xml:space="preserve">Toto nařízení stanoví požadavky na systémy </w:t>
            </w:r>
            <w:r>
              <w:rPr>
                <w:b/>
                <w:i/>
                <w:strike w:val="0"/>
                <w:color w:val="auto"/>
                <w:highlight w:val="none"/>
                <w:u w:val="none" w:color="auto"/>
                <w:vertAlign w:val="baseline"/>
              </w:rPr>
              <w:t>subjektů</w:t>
            </w:r>
            <w:r>
              <w:t>, které využívají technologii sdíleného registru („tržní infrastruktury DLT“) a kterým bylo uděleno zvláštní povolení k provozu v souladu s články 7 a 8.</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 – písm.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spolupráci mezi provozovateli tržních infrastruktur DLT, příslušnými orgány a orgánem ESMA.</w:t>
            </w:r>
          </w:p>
        </w:tc>
        <w:tc>
          <w:tcPr>
            <w:tcW w:w="4876" w:type="dxa"/>
            <w:vAlign w:val="top"/>
          </w:tcPr>
          <w:p>
            <w:pPr>
              <w:pStyle w:val="Normal6a"/>
            </w:pPr>
            <w:r>
              <w:t>f)</w:t>
            </w:r>
            <w:r>
              <w:tab/>
            </w:r>
            <w:r>
              <w:t xml:space="preserve">spolupráci mezi provozovateli tržních infrastruktur DLT, příslušnými </w:t>
            </w:r>
            <w:r>
              <w:rPr>
                <w:b/>
                <w:i/>
                <w:strike w:val="0"/>
                <w:color w:val="auto"/>
                <w:highlight w:val="none"/>
                <w:u w:val="none" w:color="auto"/>
                <w:vertAlign w:val="baseline"/>
              </w:rPr>
              <w:t>vnitrostátními</w:t>
            </w:r>
            <w:r>
              <w:t xml:space="preserve"> orgány a orgánem ESMA.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1 – odst. 2 – písm. f</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f)</w:t>
            </w:r>
            <w:r>
              <w:tab/>
            </w:r>
            <w:r>
              <w:t>spolupráci mezi provozovateli tržních infrastruktur DLT, příslušnými orgány a orgánem ESMA.</w:t>
            </w:r>
          </w:p>
        </w:tc>
        <w:tc>
          <w:tcPr>
            <w:tcW w:w="4876" w:type="dxa"/>
            <w:vAlign w:val="top"/>
          </w:tcPr>
          <w:p>
            <w:pPr>
              <w:pStyle w:val="Normal6a"/>
            </w:pPr>
            <w:r>
              <w:t>f)</w:t>
            </w:r>
            <w:r>
              <w:tab/>
            </w:r>
            <w:r>
              <w:t xml:space="preserve">spolupráci mezi provozovateli tržních infrastruktur DLT, příslušnými </w:t>
            </w:r>
            <w:r>
              <w:rPr>
                <w:b/>
                <w:i/>
                <w:strike w:val="0"/>
                <w:color w:val="auto"/>
                <w:highlight w:val="none"/>
                <w:u w:val="none" w:color="auto"/>
                <w:vertAlign w:val="baseline"/>
              </w:rPr>
              <w:t>vnitrostátními</w:t>
            </w:r>
            <w:r>
              <w:t xml:space="preserve"> orgány a orgánem ESMA.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rPr>
                <w:b/>
                <w:i/>
                <w:strike w:val="0"/>
                <w:color w:val="auto"/>
                <w:highlight w:val="none"/>
                <w:u w:val="none" w:color="auto"/>
                <w:vertAlign w:val="baseline"/>
              </w:rPr>
              <w:t>)</w:t>
            </w:r>
            <w:r>
              <w:tab/>
            </w:r>
            <w:r>
              <w:t xml:space="preserve">„technologií sdíleného registru“ </w:t>
            </w:r>
            <w:r>
              <w:rPr>
                <w:b/>
                <w:i/>
                <w:strike w:val="0"/>
                <w:color w:val="auto"/>
                <w:highlight w:val="none"/>
                <w:u w:val="none" w:color="auto"/>
                <w:vertAlign w:val="baseline"/>
              </w:rPr>
              <w:t>(„DLT“) kategorie technologií, které podporují sdílenou evidenci šifrovaných dat</w:t>
            </w:r>
            <w:r>
              <w:t>;</w:t>
            </w:r>
          </w:p>
        </w:tc>
        <w:tc>
          <w:tcPr>
            <w:tcW w:w="4876" w:type="dxa"/>
            <w:vAlign w:val="top"/>
          </w:tcPr>
          <w:p>
            <w:pPr>
              <w:pStyle w:val="Normal6a"/>
            </w:pPr>
            <w:r>
              <w:t>1</w:t>
            </w:r>
            <w:r>
              <w:rPr>
                <w:b/>
                <w:i/>
                <w:strike w:val="0"/>
                <w:color w:val="auto"/>
                <w:highlight w:val="none"/>
                <w:u w:val="none" w:color="auto"/>
                <w:vertAlign w:val="baseline"/>
              </w:rPr>
              <w:t>.</w:t>
            </w:r>
            <w:r>
              <w:tab/>
            </w:r>
            <w:r>
              <w:t xml:space="preserve">„technologií sdíleného registru“ </w:t>
            </w:r>
            <w:r>
              <w:rPr>
                <w:b/>
                <w:i/>
                <w:strike w:val="0"/>
                <w:color w:val="auto"/>
                <w:highlight w:val="none"/>
                <w:u w:val="none" w:color="auto"/>
                <w:vertAlign w:val="baseline"/>
              </w:rPr>
              <w:t>nebo „DLT“ typ technologie, který odkazuje na protokoly a podpůrnou infrastrukturu a umožňuje počítačům na různých místech navrhovat a ověřovat transakce a aktualizovat záznamy synchronizovaně v rámci sítě</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Abychom obstáli v budoucnosti, měli bychom zvolit definici, která je technologicky neutrální a mezinárodně schválená. Proto se navrhuje používat definici DLT uvedenou bankou pro mezinárodní platby (viz BIS Quarterly Review, září 2017).</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1)</w:t>
            </w:r>
            <w:r>
              <w:tab/>
            </w:r>
            <w:r>
              <w:t xml:space="preserve">„technologií sdíleného registru“ („DLT“) kategorie technologií, které </w:t>
            </w:r>
            <w:r>
              <w:rPr>
                <w:b/>
                <w:i/>
                <w:strike w:val="0"/>
                <w:color w:val="auto"/>
                <w:highlight w:val="none"/>
                <w:u w:val="none" w:color="auto"/>
                <w:vertAlign w:val="baseline"/>
              </w:rPr>
              <w:t>podporují</w:t>
            </w:r>
            <w:r>
              <w:t xml:space="preserve"> sdílenou evidenci </w:t>
            </w:r>
            <w:r>
              <w:rPr>
                <w:b/>
                <w:i/>
                <w:strike w:val="0"/>
                <w:color w:val="auto"/>
                <w:highlight w:val="none"/>
                <w:u w:val="none" w:color="auto"/>
                <w:vertAlign w:val="baseline"/>
              </w:rPr>
              <w:t>šifrovaných dat</w:t>
            </w:r>
            <w:r>
              <w:t>;</w:t>
            </w:r>
          </w:p>
        </w:tc>
        <w:tc>
          <w:tcPr>
            <w:tcW w:w="4876" w:type="dxa"/>
            <w:vAlign w:val="top"/>
          </w:tcPr>
          <w:p>
            <w:pPr>
              <w:pStyle w:val="Normal6a"/>
            </w:pPr>
            <w:r>
              <w:rPr>
                <w:b/>
                <w:i/>
                <w:strike w:val="0"/>
                <w:color w:val="auto"/>
                <w:highlight w:val="none"/>
                <w:u w:val="none" w:color="auto"/>
                <w:vertAlign w:val="baseline"/>
              </w:rPr>
              <w:t>(1)</w:t>
            </w:r>
            <w:r>
              <w:tab/>
            </w:r>
            <w:r>
              <w:t xml:space="preserve">„technologií sdíleného registru“ („DLT“) kategorie technologií, které </w:t>
            </w:r>
            <w:r>
              <w:rPr>
                <w:b/>
                <w:i/>
                <w:strike w:val="0"/>
                <w:color w:val="auto"/>
                <w:highlight w:val="none"/>
                <w:u w:val="none" w:color="auto"/>
                <w:vertAlign w:val="baseline"/>
              </w:rPr>
              <w:t>umožňují</w:t>
            </w:r>
            <w:r>
              <w:t xml:space="preserve"> sdílenou evidenci </w:t>
            </w:r>
            <w:r>
              <w:rPr>
                <w:b/>
                <w:i/>
                <w:strike w:val="0"/>
                <w:color w:val="auto"/>
                <w:highlight w:val="none"/>
                <w:u w:val="none" w:color="auto"/>
                <w:vertAlign w:val="baseline"/>
              </w:rPr>
              <w:t>dat prostřednictvím zabezpečených mechanismů, jako je šifrování</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používat širší termín kryptografie, který postihuje šifrování, hašování a dalších techniky, aby obstály v budoucnu.</w:t>
      </w:r>
      <w:r>
        <w:t xml:space="preserve"> </w:t>
      </w:r>
      <w:r>
        <w:t>Například šifrování představuje dvojí funkci;</w:t>
      </w:r>
      <w:r>
        <w:t xml:space="preserve"> </w:t>
      </w:r>
      <w:r>
        <w:t>co je zašifrováno, může být pomocí správného klíče dešifrováno.</w:t>
      </w:r>
      <w:r>
        <w:t xml:space="preserve"> </w:t>
      </w:r>
      <w:r>
        <w:t>Hašování je ovšem jednosměrnou funkcí, která zakóduje obyčejný text s cílem vytvořit jedinečný otisk zprávy.</w:t>
      </w:r>
      <w:r>
        <w:t xml:space="preserve"> </w:t>
      </w:r>
      <w:r>
        <w:t>...</w:t>
      </w:r>
      <w:r>
        <w:t xml:space="preserve"> </w:t>
      </w:r>
      <w:r>
        <w:t>Útočník, který zcizí soubor hašovaných hesel, musí tato hesla odhadovat.</w:t>
      </w:r>
      <w:r>
        <w:t xml:space="preserve"> </w:t>
      </w:r>
      <w:r>
        <w:t>Obojí, mimo jiné, je používáno v DLT.</w:t>
      </w:r>
      <w:r>
        <w:t xml:space="preserve"> </w:t>
      </w:r>
      <w:r>
        <w:t>Měli bychom být navíc opatrní, abychom sladili použití definic v tomto nařízení s definicemi navrhovaného nařízení MiCA (nařízení o trzích s kryptoaktivy).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249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rPr>
                <w:b/>
                <w:i/>
                <w:strike w:val="0"/>
                <w:color w:val="auto"/>
                <w:highlight w:val="none"/>
                <w:u w:val="none" w:color="auto"/>
                <w:vertAlign w:val="baseline"/>
              </w:rPr>
              <w:t>)</w:t>
            </w:r>
            <w:r>
              <w:tab/>
            </w:r>
            <w:r>
              <w:t xml:space="preserve">„technologií sdíleného registru“ („DLT“) </w:t>
            </w:r>
            <w:r>
              <w:rPr>
                <w:b/>
                <w:i/>
                <w:strike w:val="0"/>
                <w:color w:val="auto"/>
                <w:highlight w:val="none"/>
                <w:u w:val="none" w:color="auto"/>
                <w:vertAlign w:val="baseline"/>
              </w:rPr>
              <w:t>kategorie technologií, které podporují sdílenou evidenci šifrovaných dat</w:t>
            </w:r>
            <w:r>
              <w:t>;</w:t>
            </w:r>
          </w:p>
        </w:tc>
        <w:tc>
          <w:tcPr>
            <w:tcW w:w="4876" w:type="dxa"/>
            <w:vAlign w:val="top"/>
          </w:tcPr>
          <w:p>
            <w:pPr>
              <w:pStyle w:val="Normal6a"/>
            </w:pPr>
            <w:r>
              <w:t>1</w:t>
            </w:r>
            <w:r>
              <w:rPr>
                <w:b/>
                <w:i/>
                <w:strike w:val="0"/>
                <w:color w:val="auto"/>
                <w:highlight w:val="none"/>
                <w:u w:val="none" w:color="auto"/>
                <w:vertAlign w:val="baseline"/>
              </w:rPr>
              <w:t>.</w:t>
            </w:r>
            <w:r>
              <w:tab/>
            </w:r>
            <w:r>
              <w:t>„technologií sdíleného registru“ („DLT“) </w:t>
            </w:r>
            <w:r>
              <w:rPr>
                <w:b/>
                <w:i/>
                <w:strike w:val="0"/>
                <w:color w:val="auto"/>
                <w:highlight w:val="none"/>
                <w:u w:val="none" w:color="auto"/>
                <w:vertAlign w:val="baseline"/>
              </w:rPr>
              <w:t>technologie distribuované účetní knihy podle definice v nařízení xxx (MiCA)</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vlastník a subjekt odpovědný za síť DLT by měl poskytovat informace týkající se základního technického přístupu infrastruktury DLT a nést odpovědnost v případě jakýchkoli problémů nebo narušení.</w:t>
            </w:r>
            <w:r>
              <w:t xml:space="preserve"> </w:t>
            </w:r>
            <w:r>
              <w:rPr>
                <w:b/>
                <w:i/>
                <w:strike w:val="0"/>
                <w:color w:val="auto"/>
                <w:highlight w:val="none"/>
                <w:u w:val="none" w:color="auto"/>
                <w:vertAlign w:val="baseline"/>
              </w:rPr>
              <w:t>Do textu by měla být zavedena hranice mezi infrastrukturami DLT s povolením a infrastrukturami DLT bez povolení, neboť závazky spojené s těmito dvěma typy infrastruktur DLT by mohly být odlišné;</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rPr>
                <w:b/>
                <w:i/>
                <w:strike w:val="0"/>
                <w:color w:val="auto"/>
                <w:highlight w:val="none"/>
                <w:u w:val="none" w:color="auto"/>
                <w:vertAlign w:val="baseline"/>
              </w:rPr>
              <w:t>)</w:t>
            </w:r>
            <w:r>
              <w:tab/>
            </w:r>
            <w:r>
              <w:t xml:space="preserve">„mnohostranným obchodním systémem DLT“ </w:t>
            </w:r>
            <w:r>
              <w:rPr>
                <w:b/>
                <w:i/>
                <w:strike w:val="0"/>
                <w:color w:val="auto"/>
                <w:highlight w:val="none"/>
                <w:u w:val="none" w:color="auto"/>
                <w:vertAlign w:val="baseline"/>
              </w:rPr>
              <w:t>(</w:t>
            </w:r>
            <w:r>
              <w:t>„DLT MTF“</w:t>
            </w:r>
            <w:r>
              <w:rPr>
                <w:b/>
                <w:i/>
                <w:strike w:val="0"/>
                <w:color w:val="auto"/>
                <w:highlight w:val="none"/>
                <w:u w:val="none" w:color="auto"/>
                <w:vertAlign w:val="baseline"/>
              </w:rPr>
              <w:t>)</w:t>
            </w:r>
            <w:r>
              <w:t xml:space="preserve"> mnohostranný obchodní systém </w:t>
            </w:r>
            <w:r>
              <w:rPr>
                <w:b/>
                <w:i/>
                <w:strike w:val="0"/>
                <w:color w:val="auto"/>
                <w:highlight w:val="none"/>
                <w:u w:val="none" w:color="auto"/>
                <w:vertAlign w:val="baseline"/>
              </w:rPr>
              <w:t>provozovaný investičním podnikem nebo organizátorem trhu</w:t>
            </w:r>
            <w:r>
              <w:t>, který přijímá k obchodování pouze převoditelné cenné papíry vedené na DLT a který může být na základě transparentních, závazných a jednotných pravidel a postupů oprávněn:</w:t>
            </w:r>
          </w:p>
        </w:tc>
        <w:tc>
          <w:tcPr>
            <w:tcW w:w="4876" w:type="dxa"/>
            <w:vAlign w:val="top"/>
          </w:tcPr>
          <w:p>
            <w:pPr>
              <w:pStyle w:val="Normal6a"/>
            </w:pPr>
            <w:r>
              <w:t>3</w:t>
            </w:r>
            <w:r>
              <w:rPr>
                <w:b/>
                <w:i/>
                <w:strike w:val="0"/>
                <w:color w:val="auto"/>
                <w:highlight w:val="none"/>
                <w:u w:val="none" w:color="auto"/>
                <w:vertAlign w:val="baseline"/>
              </w:rPr>
              <w:t>.</w:t>
            </w:r>
            <w:r>
              <w:tab/>
            </w:r>
            <w:r>
              <w:t xml:space="preserve">„mnohostranným obchodním systémem DLT“ </w:t>
            </w:r>
            <w:r>
              <w:rPr>
                <w:b/>
                <w:i/>
                <w:strike w:val="0"/>
                <w:color w:val="auto"/>
                <w:highlight w:val="none"/>
                <w:u w:val="none" w:color="auto"/>
                <w:vertAlign w:val="baseline"/>
              </w:rPr>
              <w:t>nebo</w:t>
            </w:r>
            <w:r>
              <w:t xml:space="preserve"> „ DLT MTF“ mnohostranný obchodní systém, který přijímá k obchodování pouze převoditelné cenné papíry vedené na DLT a který může být na základě transparentních, závazných a jednotných pravidel a postupů oprávněn: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rPr>
                <w:b/>
                <w:i/>
                <w:strike w:val="0"/>
                <w:color w:val="auto"/>
                <w:highlight w:val="none"/>
                <w:u w:val="none" w:color="auto"/>
                <w:vertAlign w:val="baseline"/>
              </w:rPr>
              <w:t>)</w:t>
            </w:r>
            <w:r>
              <w:tab/>
            </w:r>
            <w:r>
              <w:t xml:space="preserve">„mnohostranným obchodním systémem DLT“ </w:t>
            </w:r>
            <w:r>
              <w:rPr>
                <w:b/>
                <w:i/>
                <w:strike w:val="0"/>
                <w:color w:val="auto"/>
                <w:highlight w:val="none"/>
                <w:u w:val="none" w:color="auto"/>
                <w:vertAlign w:val="baseline"/>
              </w:rPr>
              <w:t>(</w:t>
            </w:r>
            <w:r>
              <w:t>„DLT MTF“</w:t>
            </w:r>
            <w:r>
              <w:rPr>
                <w:b/>
                <w:i/>
                <w:strike w:val="0"/>
                <w:color w:val="auto"/>
                <w:highlight w:val="none"/>
                <w:u w:val="none" w:color="auto"/>
                <w:vertAlign w:val="baseline"/>
              </w:rPr>
              <w:t>)</w:t>
            </w:r>
            <w:r>
              <w:t xml:space="preserve"> mnohostranný obchodní systém provozovaný investičním podnikem nebo organizátorem trhu, který přijímá k obchodování pouze převoditelné cenné papíry vedené na DLT a který může být na základě transparentních, závazných a jednotných pravidel a postupů oprávněn:</w:t>
            </w:r>
          </w:p>
        </w:tc>
        <w:tc>
          <w:tcPr>
            <w:tcW w:w="4876" w:type="dxa"/>
            <w:vAlign w:val="top"/>
          </w:tcPr>
          <w:p>
            <w:pPr>
              <w:pStyle w:val="Normal6a"/>
            </w:pPr>
            <w:r>
              <w:t>3</w:t>
            </w:r>
            <w:r>
              <w:rPr>
                <w:b/>
                <w:i/>
                <w:strike w:val="0"/>
                <w:color w:val="auto"/>
                <w:highlight w:val="none"/>
                <w:u w:val="none" w:color="auto"/>
                <w:vertAlign w:val="baseline"/>
              </w:rPr>
              <w:t>.</w:t>
            </w:r>
            <w:r>
              <w:tab/>
            </w:r>
            <w:r>
              <w:t xml:space="preserve">„mnohostranným obchodním systémem DLT“ </w:t>
            </w:r>
            <w:r>
              <w:rPr>
                <w:b/>
                <w:i/>
                <w:strike w:val="0"/>
                <w:color w:val="auto"/>
                <w:highlight w:val="none"/>
                <w:u w:val="none" w:color="auto"/>
                <w:vertAlign w:val="baseline"/>
              </w:rPr>
              <w:t>nebo</w:t>
            </w:r>
            <w:r>
              <w:t xml:space="preserve"> „DLT MTF“ mnohostranný obchodní systém provozovaný investičním podnikem nebo organizátorem trhu, který přijímá k obchodování pouze převoditelné cenné papíry vedené na DLT </w:t>
            </w:r>
            <w:r>
              <w:rPr>
                <w:b/>
                <w:i/>
                <w:strike w:val="0"/>
                <w:color w:val="auto"/>
                <w:highlight w:val="none"/>
                <w:u w:val="none" w:color="auto"/>
                <w:vertAlign w:val="baseline"/>
              </w:rPr>
              <w:t>uvedené v článku 3</w:t>
            </w:r>
            <w:r>
              <w:t xml:space="preserve"> a který může být na základě transparentních, závazných a jednotných pravidel a postupů oprávněn: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Odkaz na článek 3. Vyjasnění s cílem zachytit nové účastníky trhu, kteří by chtěli požádat o licenci, aby se stali provozovateli mnohostranného obchodního systému s povolením provozovat DLT MTF, v souladu s tím, co se zde předpokládá pro systémy DLT MTF.</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rPr>
                <w:b/>
                <w:i/>
                <w:strike w:val="0"/>
                <w:color w:val="auto"/>
                <w:highlight w:val="none"/>
                <w:u w:val="none" w:color="auto"/>
                <w:vertAlign w:val="baseline"/>
              </w:rPr>
              <w:t>)</w:t>
            </w:r>
            <w:r>
              <w:tab/>
            </w:r>
            <w:r>
              <w:t xml:space="preserve">„systémem vypořádání obchodů s cennými papíry vedenými na DLT“ systém vypořádání obchodů s cennými papíry, který </w:t>
            </w:r>
            <w:r>
              <w:rPr>
                <w:b/>
                <w:i/>
                <w:strike w:val="0"/>
                <w:color w:val="auto"/>
                <w:highlight w:val="none"/>
                <w:u w:val="none" w:color="auto"/>
                <w:vertAlign w:val="baseline"/>
              </w:rPr>
              <w:t>je provozován centrálním depozitářem cenných papírů a</w:t>
            </w:r>
            <w:r>
              <w:t xml:space="preserve"> vypořádává transakce s převoditelnými cennými papíry vedenými na DLT oproti platbě;</w:t>
            </w:r>
          </w:p>
        </w:tc>
        <w:tc>
          <w:tcPr>
            <w:tcW w:w="4876" w:type="dxa"/>
            <w:vAlign w:val="top"/>
          </w:tcPr>
          <w:p>
            <w:pPr>
              <w:pStyle w:val="Normal6a"/>
            </w:pPr>
            <w:r>
              <w:t>4</w:t>
            </w:r>
            <w:r>
              <w:rPr>
                <w:b/>
                <w:i/>
                <w:strike w:val="0"/>
                <w:color w:val="auto"/>
                <w:highlight w:val="none"/>
                <w:u w:val="none" w:color="auto"/>
                <w:vertAlign w:val="baseline"/>
              </w:rPr>
              <w:t>.</w:t>
            </w:r>
            <w:r>
              <w:tab/>
            </w:r>
            <w:r>
              <w:t>„systémem vypořádání obchodů s cennými papíry vedenými na DLT“ systém vypořádání obchodů s cennými papíry, který vypořádává transakce s převoditelnými cennými papíry vedenými na DLT oproti platbě;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4</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rPr>
                <w:b/>
                <w:i/>
                <w:strike w:val="0"/>
                <w:color w:val="auto"/>
                <w:highlight w:val="none"/>
                <w:u w:val="none" w:color="auto"/>
                <w:vertAlign w:val="baseline"/>
              </w:rPr>
              <w:t>)</w:t>
            </w:r>
            <w:r>
              <w:tab/>
            </w:r>
            <w:r>
              <w:t xml:space="preserve">„systémem vypořádání obchodů s cennými papíry vedenými na DLT“ systém vypořádání obchodů s cennými papíry, který je provozován centrálním depozitářem cenných papírů </w:t>
            </w:r>
            <w:r>
              <w:rPr>
                <w:b/>
                <w:i/>
                <w:strike w:val="0"/>
                <w:color w:val="auto"/>
                <w:highlight w:val="none"/>
                <w:u w:val="none" w:color="auto"/>
                <w:vertAlign w:val="baseline"/>
              </w:rPr>
              <w:t>a vypořádává transakce s převoditelnými cennými</w:t>
            </w:r>
            <w:r>
              <w:t xml:space="preserve"> papíry </w:t>
            </w:r>
            <w:r>
              <w:rPr>
                <w:b/>
                <w:i/>
                <w:strike w:val="0"/>
                <w:color w:val="auto"/>
                <w:highlight w:val="none"/>
                <w:u w:val="none" w:color="auto"/>
                <w:vertAlign w:val="baseline"/>
              </w:rPr>
              <w:t>vedenými na DLT oproti platbě;</w:t>
            </w:r>
          </w:p>
        </w:tc>
        <w:tc>
          <w:tcPr>
            <w:tcW w:w="4876" w:type="dxa"/>
            <w:vAlign w:val="top"/>
          </w:tcPr>
          <w:p>
            <w:pPr>
              <w:pStyle w:val="Normal6a"/>
            </w:pPr>
            <w:r>
              <w:t>4</w:t>
            </w:r>
            <w:r>
              <w:rPr>
                <w:b/>
                <w:i/>
                <w:strike w:val="0"/>
                <w:color w:val="auto"/>
                <w:highlight w:val="none"/>
                <w:u w:val="none" w:color="auto"/>
                <w:vertAlign w:val="baseline"/>
              </w:rPr>
              <w:t>.</w:t>
            </w:r>
            <w:r>
              <w:tab/>
            </w:r>
            <w:r>
              <w:t>„systémem vypořádání obchodů s cennými papíry vedenými na DLT“ systém vypořádání obchodů s cennými papíry, který je provozován centrálním depozitářem cenných papírů</w:t>
            </w:r>
            <w:r>
              <w:rPr>
                <w:b/>
                <w:i/>
                <w:strike w:val="0"/>
                <w:color w:val="auto"/>
                <w:highlight w:val="none"/>
                <w:u w:val="none" w:color="auto"/>
                <w:vertAlign w:val="baseline"/>
              </w:rPr>
              <w:t>, a který přijímá pouze převoditelné cenné</w:t>
            </w:r>
            <w:r>
              <w:t xml:space="preserve"> papíry </w:t>
            </w:r>
            <w:r>
              <w:rPr>
                <w:b/>
                <w:i/>
                <w:strike w:val="0"/>
                <w:color w:val="auto"/>
                <w:highlight w:val="none"/>
                <w:u w:val="none" w:color="auto"/>
                <w:vertAlign w:val="baseline"/>
              </w:rPr>
              <w:t>DLT a který je na základě transparentních, závazných a jednotných pravidel a postupů držitelem licence nebo je oprávněn:</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zajistit prvotní zachycení převoditelných cenných papírů DLT;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vypořádávat transakce s převoditelnými cennými papíry vedenými na DLT oproti platbě;</w:t>
            </w:r>
            <w:r>
              <w:t xml:space="preserve"> </w:t>
            </w:r>
            <w:r>
              <w:rPr>
                <w:b/>
                <w:i/>
                <w:strike w:val="0"/>
                <w:color w:val="auto"/>
                <w:highlight w:val="none"/>
                <w:u w:val="none" w:color="auto"/>
                <w:vertAlign w:val="baseline"/>
              </w:rPr>
              <w:t>a dále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poskytovat prostřednictvím systému DLT MTF služby úschovy ve vztahu k převoditelným cenným papírům vedeným na DLT nebo případně k souvisejícím platbám a zajištění;</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Odkaz na článek 3. Vyjasnění s cílem zachytit nové účastníky trhu, kteří by chtěli požádat o licenci, aby se stali provozovateli centrálního depozitáře s povolením provozovat DLT SSS v souladu s tím, co se zde předpokládá. Vzhledem k tomu, že systémy DLT MTF mohou v této pilotní souvislosti poskytovat služby centrálních depozitářů, navrhuje se dále umožnit systémům DLT SSS poskytovat služby MTF za podmínek zde popsaných.</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Jonás Fernández</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rPr>
                <w:b/>
                <w:i/>
                <w:strike w:val="0"/>
                <w:color w:val="auto"/>
                <w:highlight w:val="none"/>
                <w:u w:val="none" w:color="auto"/>
                <w:vertAlign w:val="baseline"/>
              </w:rPr>
              <w:t>)</w:t>
            </w:r>
            <w:r>
              <w:tab/>
            </w:r>
            <w:r>
              <w:t>„převoditelnými cennými papíry vedenými na DLT“ převoditelné cenné papíry ve smyslu čl. 4 odst. 1 bodu 44 písm. a) a b) směrnice 2014/65/EU, které jsou emitovány, evidovány, převáděny a uchovávány na DLT;</w:t>
            </w:r>
          </w:p>
        </w:tc>
        <w:tc>
          <w:tcPr>
            <w:tcW w:w="4876" w:type="dxa"/>
            <w:vAlign w:val="top"/>
          </w:tcPr>
          <w:p>
            <w:pPr>
              <w:pStyle w:val="Normal6a"/>
            </w:pPr>
            <w:r>
              <w:t>5</w:t>
            </w:r>
            <w:r>
              <w:rPr>
                <w:b/>
                <w:i/>
                <w:strike w:val="0"/>
                <w:color w:val="auto"/>
                <w:highlight w:val="none"/>
                <w:u w:val="none" w:color="auto"/>
                <w:vertAlign w:val="baseline"/>
              </w:rPr>
              <w:t>.</w:t>
            </w:r>
            <w:r>
              <w:tab/>
            </w:r>
            <w:r>
              <w:t xml:space="preserve">„Převoditelnými cennými papíry vedenými na DLT“ </w:t>
            </w:r>
            <w:r>
              <w:rPr>
                <w:b/>
                <w:i/>
                <w:strike w:val="0"/>
                <w:color w:val="auto"/>
                <w:highlight w:val="none"/>
                <w:u w:val="none" w:color="auto"/>
                <w:vertAlign w:val="baseline"/>
              </w:rPr>
              <w:t>„</w:t>
            </w:r>
            <w:r>
              <w:t>převoditelné cenné papíry</w:t>
            </w:r>
            <w:r>
              <w:rPr>
                <w:b/>
                <w:i/>
                <w:strike w:val="0"/>
                <w:color w:val="auto"/>
                <w:highlight w:val="none"/>
                <w:u w:val="none" w:color="auto"/>
                <w:vertAlign w:val="baseline"/>
              </w:rPr>
              <w:t>“</w:t>
            </w:r>
            <w:r>
              <w:t xml:space="preserve"> ve smyslu čl. 4 odst. 1 bodu 44 písm. a) a b) směrnice 2014/65/EU, které jsou emitovány, evidovány, převáděny a uchovávány na DLT</w:t>
            </w:r>
            <w:r>
              <w:rPr>
                <w:b/>
                <w:i/>
                <w:strike w:val="0"/>
                <w:color w:val="auto"/>
                <w:highlight w:val="none"/>
                <w:u w:val="none" w:color="auto"/>
                <w:vertAlign w:val="baseline"/>
              </w:rPr>
              <w:t>, která není budována ani založena na mechanismu důkazu o dohodě o práci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5</w:t>
            </w:r>
            <w:r>
              <w:rPr>
                <w:b/>
                <w:i/>
                <w:strike w:val="0"/>
                <w:color w:val="auto"/>
                <w:highlight w:val="none"/>
                <w:u w:val="none" w:color="auto"/>
                <w:vertAlign w:val="baseline"/>
              </w:rPr>
              <w:t>)</w:t>
            </w:r>
            <w:r>
              <w:tab/>
            </w:r>
            <w:r>
              <w:t>„převoditelnými cennými papíry vedenými na DLT“ převoditelné cenné papíry ve smyslu čl. 4 odst. 1 bodu 44 písm. a) a b) směrnice 2014/65/EU, které jsou emitovány, evidovány, převáděny a uchovávány na DLT;</w:t>
            </w:r>
          </w:p>
        </w:tc>
        <w:tc>
          <w:tcPr>
            <w:tcW w:w="4876" w:type="dxa"/>
            <w:vAlign w:val="top"/>
          </w:tcPr>
          <w:p>
            <w:pPr>
              <w:pStyle w:val="Normal6a"/>
            </w:pPr>
            <w:r>
              <w:t>5</w:t>
            </w:r>
            <w:r>
              <w:rPr>
                <w:b/>
                <w:i/>
                <w:strike w:val="0"/>
                <w:color w:val="auto"/>
                <w:highlight w:val="none"/>
                <w:u w:val="none" w:color="auto"/>
                <w:vertAlign w:val="baseline"/>
              </w:rPr>
              <w:t>.</w:t>
            </w:r>
            <w:r>
              <w:tab/>
            </w:r>
            <w:r>
              <w:t>„Převoditelnými cennými papíry vedenými na DLT“</w:t>
            </w:r>
            <w:r>
              <w:rPr>
                <w:b/>
                <w:i/>
                <w:strike w:val="0"/>
                <w:color w:val="auto"/>
                <w:highlight w:val="none"/>
                <w:u w:val="none" w:color="auto"/>
                <w:vertAlign w:val="baseline"/>
              </w:rPr>
              <w:t xml:space="preserve">  „</w:t>
            </w:r>
            <w:r>
              <w:t>převoditelné cenné papíry</w:t>
            </w:r>
            <w:r>
              <w:rPr>
                <w:b/>
                <w:i/>
                <w:strike w:val="0"/>
                <w:color w:val="auto"/>
                <w:highlight w:val="none"/>
                <w:u w:val="none" w:color="auto"/>
                <w:vertAlign w:val="baseline"/>
              </w:rPr>
              <w:t>“</w:t>
            </w:r>
            <w:r>
              <w:t xml:space="preserve"> ve smyslu čl. 4 odst. 1 bodu 44 písm. a) a b) směrnice 2014/65/EU</w:t>
            </w:r>
            <w:r>
              <w:rPr>
                <w:b/>
                <w:i/>
                <w:strike w:val="0"/>
                <w:color w:val="auto"/>
                <w:highlight w:val="none"/>
                <w:u w:val="none" w:color="auto"/>
                <w:vertAlign w:val="baseline"/>
              </w:rPr>
              <w:t>, včetně depozitních poukázek</w:t>
            </w:r>
            <w:r>
              <w:t>, které jsou emitovány, evidovány, převáděny a uchovávány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„podílovými jednotkami fondu obchodovaného v obchodním systému DLT“ (DLT ETF) podíly nebo akcie fondu obchodovaného v obchodním systému ve smyslu čl. 4 odst. 1 bodu 46 směrnice 2014/65/EU, které jsou emitovány, evidovány, převáděny a uchovávány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5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5a.</w:t>
            </w:r>
            <w:r>
              <w:tab/>
            </w:r>
            <w:r>
              <w:rPr>
                <w:b/>
                <w:i/>
                <w:strike w:val="0"/>
                <w:color w:val="auto"/>
                <w:highlight w:val="none"/>
                <w:u w:val="none" w:color="auto"/>
                <w:vertAlign w:val="baseline"/>
              </w:rPr>
              <w:t>„podílovými jednotkami fondu obchodovaného v obchodním systému DLT“ (DLT ETF) podíly nebo akcie fondu obchodovaného v obchodním systému ve smyslu čl. 4 odst. 1 bodu 46 směrnice 2014/65/EU, které jsou emitovány, evidovány, převáděny a uchovávány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Domníváme se, že je vhodné rozšířit oblast působnosti převoditelných cenných papírů DLT na fondy obchodované v obchodním systému, aby bylo možné vytvořit akomodativní pilotní prostředí, které umožní většímu počtu účastníků trhu získat zkušenosti s modely DLT. Rovněž se navrhuje, aby tyto fondy DLT ETF byly co nejlépe investovány do akcií a dluhopisů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259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6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6a.</w:t>
            </w:r>
            <w:r>
              <w:tab/>
            </w:r>
            <w:r>
              <w:rPr>
                <w:b/>
                <w:i/>
                <w:strike w:val="0"/>
                <w:color w:val="auto"/>
                <w:highlight w:val="none"/>
                <w:u w:val="none" w:color="auto"/>
                <w:vertAlign w:val="baseline"/>
              </w:rPr>
              <w:t>„podílovými jednotkami subjektů kolektivního investování DLT“ podílové jednotky subjektů kolektivního investování uvedené v příloze III oddílu C bodu 3 směrnice 2014/65/EU, které jsou emitovány, evidovány, převáděny a uchovávány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12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12a.</w:t>
            </w:r>
            <w:r>
              <w:tab/>
            </w:r>
            <w:r>
              <w:rPr>
                <w:b/>
                <w:i/>
                <w:strike w:val="0"/>
                <w:color w:val="auto"/>
                <w:highlight w:val="none"/>
                <w:u w:val="none" w:color="auto"/>
                <w:vertAlign w:val="baseline"/>
              </w:rPr>
              <w:t>„settlement coin“ peníze komerčních bank v tokenizované podobě;</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Je možné, že definice bude muset být sladěna s definicí, která může být zahrnuta do navrhované směrnice MiCAR.</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rPr>
                <w:b/>
                <w:i/>
                <w:strike w:val="0"/>
                <w:color w:val="auto"/>
                <w:highlight w:val="none"/>
                <w:u w:val="none" w:color="auto"/>
                <w:vertAlign w:val="baseline"/>
              </w:rPr>
              <w:t>)</w:t>
            </w:r>
            <w:r>
              <w:tab/>
            </w:r>
            <w:r>
              <w:t>„veřejnoprávním dluhopisem“ dluhopis vydaný veřejnoprávním emitentem, kterým je:</w:t>
            </w:r>
          </w:p>
        </w:tc>
        <w:tc>
          <w:tcPr>
            <w:tcW w:w="4876" w:type="dxa"/>
            <w:vAlign w:val="top"/>
          </w:tcPr>
          <w:p>
            <w:pPr>
              <w:pStyle w:val="Normal6a"/>
            </w:pPr>
            <w:r>
              <w:t>13</w:t>
            </w:r>
            <w:r>
              <w:rPr>
                <w:b/>
                <w:i/>
                <w:strike w:val="0"/>
                <w:color w:val="auto"/>
                <w:highlight w:val="none"/>
                <w:u w:val="none" w:color="auto"/>
                <w:vertAlign w:val="baseline"/>
              </w:rPr>
              <w:t>.</w:t>
            </w:r>
            <w:r>
              <w:tab/>
            </w:r>
            <w:r>
              <w:t xml:space="preserve">„veřejnoprávním dluhopisem“ dluhopis vydaný veřejnoprávním emitentem </w:t>
            </w:r>
            <w:r>
              <w:rPr>
                <w:b/>
                <w:i/>
                <w:strike w:val="0"/>
                <w:color w:val="auto"/>
                <w:highlight w:val="none"/>
                <w:u w:val="none" w:color="auto"/>
                <w:vertAlign w:val="baseline"/>
              </w:rPr>
              <w:t>ve smyslu čl. 4 odst. 1 bodu 60 podbodů i) a ii) směrnice Evropského parlamentu a Rady 2014/65/EU (směrnice MiFID II)</w:t>
            </w:r>
            <w:r>
              <w:t>, kterým je: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zájmu právní jistoty a jasnosti by definice (13) měla být sladěna s definicí uvedenou v článku 4 směrnice Evropského parlamentu a Rady 2014/65/EU (směrnice MiFID II). Navrhované nařízení zavádí definice „veřejnoprávních dluhopisů“ a „jiných veřejných dluhopisů“, přičemž příslušným emitentem je „veřejnoprávní subjekt“ a „veřejný subjekt“, zatímco podle článku 4 směrnice MiFID II jsou veřejné subjekty popsané v tomto návrhu definovány jako „veřejnoprávní subjekty“.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13</w:t>
            </w:r>
            <w:r>
              <w:rPr>
                <w:b/>
                <w:i/>
                <w:strike w:val="0"/>
                <w:color w:val="auto"/>
                <w:highlight w:val="none"/>
                <w:u w:val="none" w:color="auto"/>
                <w:vertAlign w:val="baseline"/>
              </w:rPr>
              <w:t>)</w:t>
            </w:r>
            <w:r>
              <w:tab/>
            </w:r>
            <w:r>
              <w:t>„veřejnoprávním dluhopisem“ dluhopis vydaný veřejnoprávním emitentem</w:t>
            </w:r>
            <w:r>
              <w:rPr>
                <w:b/>
                <w:i/>
                <w:strike w:val="0"/>
                <w:color w:val="auto"/>
                <w:highlight w:val="none"/>
                <w:u w:val="none" w:color="auto"/>
                <w:vertAlign w:val="baseline"/>
              </w:rPr>
              <w:t>, kterým je:</w:t>
            </w:r>
          </w:p>
        </w:tc>
        <w:tc>
          <w:tcPr>
            <w:tcW w:w="4876" w:type="dxa"/>
            <w:vAlign w:val="top"/>
          </w:tcPr>
          <w:p>
            <w:pPr>
              <w:pStyle w:val="Normal6a"/>
            </w:pPr>
            <w:r>
              <w:t>13</w:t>
            </w:r>
            <w:r>
              <w:rPr>
                <w:b/>
                <w:i/>
                <w:strike w:val="0"/>
                <w:color w:val="auto"/>
                <w:highlight w:val="none"/>
                <w:u w:val="none" w:color="auto"/>
                <w:vertAlign w:val="baseline"/>
              </w:rPr>
              <w:t>.</w:t>
            </w:r>
            <w:r>
              <w:tab/>
            </w:r>
            <w:r>
              <w:t xml:space="preserve">„veřejnoprávním dluhopisem“ dluhopis vydaný veřejnoprávním emitentem </w:t>
            </w:r>
            <w:r>
              <w:rPr>
                <w:b/>
                <w:i/>
                <w:strike w:val="0"/>
                <w:color w:val="auto"/>
                <w:highlight w:val="none"/>
                <w:u w:val="none" w:color="auto"/>
                <w:vertAlign w:val="baseline"/>
              </w:rPr>
              <w:t>ve smyslu čl. 4 odst. 1 bodu 60 směrnice 2014/65/EU;</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Uvedení do souladu s definicí veřejnoprávního emitenta podle směrnice MiFID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Unie;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Uvedení do souladu s definicí veřejnoprávního emitenta podle směrnice MiFID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b)</w:t>
            </w:r>
            <w:r>
              <w:tab/>
            </w:r>
            <w:r>
              <w:rPr>
                <w:b/>
                <w:i/>
                <w:strike w:val="0"/>
                <w:color w:val="auto"/>
                <w:highlight w:val="none"/>
                <w:u w:val="none" w:color="auto"/>
                <w:vertAlign w:val="baseline"/>
              </w:rPr>
              <w:t>členský stát včetně ministerstva, agentury nebo zvláštní účelové jednotky členského státu nebo jiného veřejnoprávního subjektu;</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Uvedení do souladu s definicí veřejnoprávního emitenta podle směrnice MiFID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veřejnoprávní subjekt, který není uveden v písmenech a) a b);</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Uvedení do souladu s definicí veřejnoprávního emitenta podle směrnice MiFID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13 -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c)</w:t>
            </w:r>
            <w:r>
              <w:tab/>
            </w:r>
            <w:r>
              <w:rPr>
                <w:b/>
                <w:i/>
                <w:strike w:val="0"/>
                <w:color w:val="auto"/>
                <w:highlight w:val="none"/>
                <w:u w:val="none" w:color="auto"/>
                <w:vertAlign w:val="baseline"/>
              </w:rPr>
              <w:t>veřejnoprávní subjekt, který není uveden v písmenech a) a b);</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14</w:t>
            </w:r>
            <w:r>
              <w:rPr>
                <w:b/>
                <w:i/>
                <w:strike w:val="0"/>
                <w:color w:val="auto"/>
                <w:highlight w:val="none"/>
                <w:u w:val="none" w:color="auto"/>
                <w:vertAlign w:val="baseline"/>
              </w:rPr>
              <w:t>)</w:t>
            </w:r>
            <w:r>
              <w:tab/>
            </w:r>
            <w:r>
              <w:t>„jiným veřejným dluhopisem“ dluhopis vydaný kterýmkoli z těchto veřejných emitentů:</w:t>
            </w:r>
          </w:p>
        </w:tc>
        <w:tc>
          <w:tcPr>
            <w:tcW w:w="4876" w:type="dxa"/>
            <w:vAlign w:val="top"/>
          </w:tcPr>
          <w:p>
            <w:pPr>
              <w:pStyle w:val="Normal6a"/>
            </w:pPr>
            <w:r>
              <w:t>14</w:t>
            </w:r>
            <w:r>
              <w:rPr>
                <w:b/>
                <w:i/>
                <w:strike w:val="0"/>
                <w:color w:val="auto"/>
                <w:highlight w:val="none"/>
                <w:u w:val="none" w:color="auto"/>
                <w:vertAlign w:val="baseline"/>
              </w:rPr>
              <w:t>.</w:t>
            </w:r>
            <w:r>
              <w:tab/>
            </w:r>
            <w:r>
              <w:t xml:space="preserve">„jiným veřejným dluhopisem“ dluhopis vydaný kterýmkoli z těchto veřejných emitentů </w:t>
            </w:r>
            <w:r>
              <w:rPr>
                <w:b/>
                <w:i/>
                <w:strike w:val="0"/>
                <w:color w:val="auto"/>
                <w:highlight w:val="none"/>
                <w:u w:val="none" w:color="auto"/>
                <w:vertAlign w:val="baseline"/>
              </w:rPr>
              <w:t>ve smyslu čl. 4 odst. 1 bodu 60 bodů iii), iv), v) a vi) směrnice Evropského parlamentu a Rady 2014/65/EU (MiFID II)</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zájmu právní jistoty a jasnosti by definice (14) měla být sladěna s definicí uvedenou v článku 4 směrnice Evropského parlamentu a Rady 2014/65/EU (směrnice MiFID II). Navrhované nařízení zavádí definice „veřejnoprávních dluhopisů“ a „jiných veřejných dluhopisů“, přičemž příslušným emitentem je „veřejnoprávní subjekt“ a „veřejný subjekt“, zatímco podle článku 4 směrnice MiFID II jsou veřejné subjekty popsané v tomto návrhu definovány jako „veřejnoprávní subjekty“.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14 - písm. e</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e)</w:t>
            </w:r>
            <w:r>
              <w:tab/>
            </w:r>
            <w:r>
              <w:rPr>
                <w:b/>
                <w:i/>
                <w:strike w:val="0"/>
                <w:color w:val="auto"/>
                <w:highlight w:val="none"/>
                <w:u w:val="none" w:color="auto"/>
                <w:vertAlign w:val="baseline"/>
              </w:rPr>
              <w:t>veřejný subjekt, který není emitentem veřejnoprávního dluhopisu uvedeného v bodě 13;</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269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21 -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rPr>
                <w:b/>
                <w:i/>
                <w:strike w:val="0"/>
                <w:color w:val="auto"/>
                <w:highlight w:val="none"/>
                <w:u w:val="none" w:color="auto"/>
                <w:vertAlign w:val="baseline"/>
              </w:rPr>
              <w:t>jinak určených členskými státy</w:t>
            </w:r>
            <w:r>
              <w:t xml:space="preserve"> pro účely dohledu nad uplatňováním tohoto nařízení</w:t>
            </w:r>
            <w:r>
              <w:rPr>
                <w:b/>
                <w:i/>
                <w:strike w:val="0"/>
                <w:color w:val="auto"/>
                <w:highlight w:val="none"/>
                <w:u w:val="none" w:color="auto"/>
                <w:vertAlign w:val="baseline"/>
              </w:rPr>
              <w:t>;</w:t>
            </w:r>
          </w:p>
        </w:tc>
        <w:tc>
          <w:tcPr>
            <w:tcW w:w="4876" w:type="dxa"/>
            <w:vAlign w:val="top"/>
          </w:tcPr>
          <w:p>
            <w:pPr>
              <w:pStyle w:val="Normal6a"/>
            </w:pPr>
            <w:r>
              <w:t>c)</w:t>
            </w:r>
            <w:r>
              <w:tab/>
            </w:r>
            <w:r>
              <w:rPr>
                <w:b/>
                <w:i/>
                <w:strike w:val="0"/>
                <w:color w:val="auto"/>
                <w:highlight w:val="none"/>
                <w:u w:val="none" w:color="auto"/>
                <w:vertAlign w:val="baseline"/>
              </w:rPr>
              <w:t>Orgán ESMA</w:t>
            </w:r>
            <w:r>
              <w:t xml:space="preserve"> pro účely dohledu nad uplatňováním tohoto nařízení</w:t>
            </w:r>
            <w:r>
              <w:rPr>
                <w:b/>
                <w:i/>
                <w:strike w:val="0"/>
                <w:color w:val="auto"/>
                <w:highlight w:val="none"/>
                <w:u w:val="none" w:color="auto"/>
                <w:vertAlign w:val="baseline"/>
              </w:rP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Evropský orgán pro cenné papíry a trhy má přímý mandát k dohledu podle tohoto nařízení. Tento pozměňovací návrh má platit horizontálně v celém textu.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22-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subjekt provozující DLT MTF, který není investičním podnikem ani organizátorem trhu, členský stát, v němž je subjekt registrován, nebo pokud podle právních předpisů tohoto členského státu nemá sídlo, členský stát, v němž se nachází ústředí provozovatele;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2 - odst. 1 - bod 22- písm. c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subjekt provozující vypořádací systém DLT, který není centrálním depozitářem, členský stát, v němž je provozovatel registrován, nebo nemá-li podle práva tohoto členského státu sídlo, členský stát, v němž se nachází ústředí provozovatele;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akcie, jejichž emitent má tržní kapitalizaci nebo předběžnou tržní kapitalizaci nižší než </w:t>
            </w:r>
            <w:r>
              <w:rPr>
                <w:b/>
                <w:i/>
                <w:strike w:val="0"/>
                <w:color w:val="auto"/>
                <w:highlight w:val="none"/>
                <w:u w:val="none" w:color="auto"/>
                <w:vertAlign w:val="baseline"/>
              </w:rPr>
              <w:t>200</w:t>
            </w:r>
            <w:r>
              <w:t xml:space="preserve"> milionů EUR, </w:t>
            </w:r>
            <w:r>
              <w:rPr>
                <w:b/>
                <w:i/>
                <w:strike w:val="0"/>
                <w:color w:val="auto"/>
                <w:highlight w:val="none"/>
                <w:u w:val="none" w:color="auto"/>
                <w:vertAlign w:val="baseline"/>
              </w:rPr>
              <w:t>nebo</w:t>
            </w:r>
          </w:p>
        </w:tc>
        <w:tc>
          <w:tcPr>
            <w:tcW w:w="4876" w:type="dxa"/>
            <w:vAlign w:val="top"/>
          </w:tcPr>
          <w:p>
            <w:pPr>
              <w:pStyle w:val="Normal6a"/>
            </w:pPr>
            <w:r>
              <w:t>a)</w:t>
            </w:r>
            <w:r>
              <w:tab/>
            </w:r>
            <w:r>
              <w:t xml:space="preserve">akcie, jejichž emitent má tržní kapitalizaci nebo předběžnou tržní kapitalizaci nižší než </w:t>
            </w:r>
            <w:r>
              <w:rPr>
                <w:b/>
                <w:i/>
                <w:strike w:val="0"/>
                <w:color w:val="auto"/>
                <w:highlight w:val="none"/>
                <w:u w:val="none" w:color="auto"/>
                <w:vertAlign w:val="baseline"/>
              </w:rPr>
              <w:t>500</w:t>
            </w:r>
            <w:r>
              <w:t xml:space="preserve"> milionů EUR,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akcie, jejichž emitent má tržní kapitalizaci nebo předběžnou tržní kapitalizaci nižší než </w:t>
            </w:r>
            <w:r>
              <w:rPr>
                <w:b/>
                <w:i/>
                <w:strike w:val="0"/>
                <w:color w:val="auto"/>
                <w:highlight w:val="none"/>
                <w:u w:val="none" w:color="auto"/>
                <w:vertAlign w:val="baseline"/>
              </w:rPr>
              <w:t>200</w:t>
            </w:r>
            <w:r>
              <w:t xml:space="preserve"> milionů EUR</w:t>
            </w:r>
            <w:r>
              <w:rPr>
                <w:b/>
                <w:i/>
                <w:strike w:val="0"/>
                <w:color w:val="auto"/>
                <w:highlight w:val="none"/>
                <w:u w:val="none" w:color="auto"/>
                <w:vertAlign w:val="baseline"/>
              </w:rPr>
              <w:t>, nebo</w:t>
            </w:r>
          </w:p>
        </w:tc>
        <w:tc>
          <w:tcPr>
            <w:tcW w:w="4876" w:type="dxa"/>
            <w:vAlign w:val="top"/>
          </w:tcPr>
          <w:p>
            <w:pPr>
              <w:pStyle w:val="Normal6a"/>
            </w:pPr>
            <w:r>
              <w:t>a)</w:t>
            </w:r>
            <w:r>
              <w:tab/>
            </w:r>
            <w:r>
              <w:t xml:space="preserve">akcie, jejichž emitent má tržní kapitalizaci nebo předběžnou tržní kapitalizaci nižší než </w:t>
            </w:r>
            <w:r>
              <w:rPr>
                <w:b/>
                <w:i/>
                <w:strike w:val="0"/>
                <w:color w:val="auto"/>
                <w:highlight w:val="none"/>
                <w:u w:val="none" w:color="auto"/>
                <w:vertAlign w:val="baseline"/>
              </w:rPr>
              <w:t>100</w:t>
            </w:r>
            <w:r>
              <w:t xml:space="preserve"> milionů EUR</w:t>
            </w:r>
            <w:r>
              <w:rPr>
                <w:b/>
                <w:i/>
                <w:strike w:val="0"/>
                <w:color w:val="auto"/>
                <w:highlight w:val="none"/>
                <w:u w:val="none" w:color="auto"/>
                <w:vertAlign w:val="baseline"/>
              </w:rPr>
              <w:t>;</w:t>
            </w:r>
            <w:r>
              <w:t xml:space="preserve"> </w:t>
            </w:r>
            <w:r>
              <w:rPr>
                <w:b/>
                <w:i/>
                <w:strike w:val="0"/>
                <w:color w:val="auto"/>
                <w:highlight w:val="none"/>
                <w:u w:val="none" w:color="auto"/>
                <w:vertAlign w:val="baseline"/>
              </w:rPr>
              <w:t>Or. en</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konvertibilní dluhopisy, kryté dluhopisy, podnikové dluhopisy, jiné veřejné dluhopisy a jiné dluhopisy, jejichž emise je menší než 500 milionů EUR.</w:t>
            </w:r>
          </w:p>
        </w:tc>
        <w:tc>
          <w:tcPr>
            <w:tcW w:w="4876" w:type="dxa"/>
            <w:vAlign w:val="top"/>
          </w:tcPr>
          <w:p>
            <w:pPr>
              <w:pStyle w:val="Normal6a"/>
            </w:pPr>
            <w:r>
              <w:t>b)</w:t>
            </w:r>
            <w:r>
              <w:tab/>
            </w:r>
            <w:r>
              <w:t xml:space="preserve">konvertibilní dluhopisy, kryté dluhopisy, podnikové dluhopisy, </w:t>
            </w:r>
            <w:r>
              <w:rPr>
                <w:b/>
                <w:i/>
                <w:strike w:val="0"/>
                <w:color w:val="auto"/>
                <w:highlight w:val="none"/>
                <w:u w:val="none" w:color="auto"/>
                <w:vertAlign w:val="baseline"/>
              </w:rPr>
              <w:t>veřejnoprávní dluhopisy,</w:t>
            </w:r>
            <w:r>
              <w:t xml:space="preserve"> jiné veřejné dluhopisy a jiné dluhopisy, jejichž emise je menší než 500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konvertibilní dluhopisy, kryté dluhopisy, podnikové dluhopisy, jiné veřejné dluhopisy a jiné dluhopisy, jejichž emise je menší než 500 milionů EUR.</w:t>
            </w:r>
          </w:p>
        </w:tc>
        <w:tc>
          <w:tcPr>
            <w:tcW w:w="4876" w:type="dxa"/>
            <w:vAlign w:val="top"/>
          </w:tcPr>
          <w:p>
            <w:pPr>
              <w:pStyle w:val="Normal6a"/>
            </w:pPr>
            <w:r>
              <w:t>b)</w:t>
            </w:r>
            <w:r>
              <w:tab/>
            </w:r>
            <w:r>
              <w:t xml:space="preserve">konvertibilní dluhopisy, kryté dluhopisy, podnikové dluhopisy, </w:t>
            </w:r>
            <w:r>
              <w:rPr>
                <w:b/>
                <w:i/>
                <w:strike w:val="0"/>
                <w:color w:val="auto"/>
                <w:highlight w:val="none"/>
                <w:u w:val="none" w:color="auto"/>
                <w:vertAlign w:val="baseline"/>
              </w:rPr>
              <w:t>veřejnoprávní dluhopisy,</w:t>
            </w:r>
            <w:r>
              <w:t xml:space="preserve"> jiné veřejné dluhopisy a jiné dluhopisy, jejichž emise je menší než 500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Zahrnutí státních dluhopisů do oblasti působnosti pilotního režimu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konvertibilní dluhopisy, kryté dluhopisy, podnikové dluhopisy, jiné veřejné dluhopisy a jiné dluhopisy</w:t>
            </w:r>
            <w:r>
              <w:rPr>
                <w:b/>
                <w:i/>
                <w:strike w:val="0"/>
                <w:color w:val="auto"/>
                <w:highlight w:val="none"/>
                <w:u w:val="none" w:color="auto"/>
                <w:vertAlign w:val="baseline"/>
              </w:rPr>
              <w:t>,</w:t>
            </w:r>
            <w:r>
              <w:t xml:space="preserve"> jejichž emise je menší než 500 milionů EUR.</w:t>
            </w:r>
          </w:p>
        </w:tc>
        <w:tc>
          <w:tcPr>
            <w:tcW w:w="4876" w:type="dxa"/>
            <w:vAlign w:val="top"/>
          </w:tcPr>
          <w:p>
            <w:pPr>
              <w:pStyle w:val="Normal6a"/>
            </w:pPr>
            <w:r>
              <w:t>b)</w:t>
            </w:r>
            <w:r>
              <w:tab/>
            </w:r>
            <w:r>
              <w:t xml:space="preserve">konvertibilní dluhopisy, </w:t>
            </w:r>
            <w:r>
              <w:rPr>
                <w:b/>
                <w:i/>
                <w:strike w:val="0"/>
                <w:color w:val="auto"/>
                <w:highlight w:val="none"/>
                <w:u w:val="none" w:color="auto"/>
                <w:vertAlign w:val="baseline"/>
              </w:rPr>
              <w:t>veřejnoprávní dluhopisy,</w:t>
            </w:r>
            <w:r>
              <w:t xml:space="preserve"> kryté dluhopisy, podnikové dluhopisy, jiné veřejné dluhopisy a jiné dluhopisy jejichž emise je menší než 500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konvertibilní dluhopisy, kryté dluhopisy, podnikové dluhopisy, jiné veřejné dluhopisy a jiné dluhopisy, jejichž emise je menší než </w:t>
            </w:r>
            <w:r>
              <w:rPr>
                <w:b/>
                <w:i/>
                <w:strike w:val="0"/>
                <w:color w:val="auto"/>
                <w:highlight w:val="none"/>
                <w:u w:val="none" w:color="auto"/>
                <w:vertAlign w:val="baseline"/>
              </w:rPr>
              <w:t>500</w:t>
            </w:r>
            <w:r>
              <w:t xml:space="preserve"> milionů EUR.</w:t>
            </w:r>
          </w:p>
        </w:tc>
        <w:tc>
          <w:tcPr>
            <w:tcW w:w="4876" w:type="dxa"/>
            <w:vAlign w:val="top"/>
          </w:tcPr>
          <w:p>
            <w:pPr>
              <w:pStyle w:val="Normal6a"/>
            </w:pPr>
            <w:r>
              <w:t>b)</w:t>
            </w:r>
            <w:r>
              <w:tab/>
            </w:r>
            <w:r>
              <w:t xml:space="preserve">konvertibilní dluhopisy, kryté dluhopisy, podnikové dluhopisy, jiné veřejné dluhopisy a jiné dluhopisy, jejichž emise je menší než </w:t>
            </w:r>
            <w:r>
              <w:rPr>
                <w:b/>
                <w:i/>
                <w:strike w:val="0"/>
                <w:color w:val="auto"/>
                <w:highlight w:val="none"/>
                <w:u w:val="none" w:color="auto"/>
                <w:vertAlign w:val="baseline"/>
              </w:rPr>
              <w:t>250</w:t>
            </w:r>
            <w:r>
              <w:t xml:space="preserve">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podílové jednotky fondů obchodovaných v obchodním systému DLT, podílové jednotky SKIPCP, investující do druhů nástrojů uvedených v písmenech a) a 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279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podílové jednotky fondů obchodovaných v obchodním systému DLT, investující do typů nástrojů uvedených v písmenech a) a b).</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podílové jednotky fondů obchodovaných v obchodním systému DLT, jejichž emise je menší než 500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1 – písm. b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ba)</w:t>
            </w:r>
            <w:r>
              <w:tab/>
            </w:r>
            <w:r>
              <w:rPr>
                <w:b/>
                <w:i/>
                <w:strike w:val="0"/>
                <w:color w:val="auto"/>
                <w:highlight w:val="none"/>
                <w:u w:val="none" w:color="auto"/>
                <w:vertAlign w:val="baseline"/>
              </w:rPr>
              <w:t>podílové jednotky subjektů kolektivního investování, jejichž emise je menší než 500 milionů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Investiční podnik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zahrnout státní dluhopisy jako způsobilý nástroj pro členské státy, které chtějí získat zkušenosti s tržními infrastrukturami DLT.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t xml:space="preserve">, </w:t>
      </w:r>
      <w:r>
        <w:t>Christophe Hansen</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Investiční podnik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Markus Ferber</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Investiční podnik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2.</w:t>
            </w:r>
            <w:r>
              <w:tab/>
            </w:r>
            <w:r>
              <w:rPr>
                <w:b/>
                <w:i/>
                <w:strike w:val="0"/>
                <w:color w:val="auto"/>
                <w:highlight w:val="none"/>
                <w:u w:val="none" w:color="auto"/>
                <w:vertAlign w:val="baseline"/>
              </w:rPr>
              <w:t>Investiční podnik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Zahrnutí státních dluhopisů do oblasti působnosti pilotního režimu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Investiční podnik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c>
          <w:tcPr>
            <w:tcW w:w="4876" w:type="dxa"/>
            <w:vAlign w:val="top"/>
          </w:tcPr>
          <w:p>
            <w:pPr>
              <w:pStyle w:val="Normal6a"/>
            </w:pPr>
            <w:r>
              <w:t>2.</w:t>
            </w:r>
            <w:r>
              <w:tab/>
            </w:r>
            <w:r>
              <w:t>Investiční podnik</w:t>
            </w:r>
            <w:r>
              <w:rPr>
                <w:b/>
                <w:i/>
                <w:strike w:val="0"/>
                <w:color w:val="auto"/>
                <w:highlight w:val="none"/>
                <w:u w:val="none" w:color="auto"/>
                <w:vertAlign w:val="baseline"/>
              </w:rPr>
              <w:t>, emitent kryptoaktiv</w:t>
            </w:r>
            <w:r>
              <w:t xml:space="preserve"> nebo organizátor trhu provozující systém DLT MTF nesmí podle tohoto nařízení přijímat k obchodování veřejnoprávní dluhopisy. Centrální depozitář, který provozuje systém vypořádání obchodů s cennými papíry vedenými na DLT, ani investiční podnik nebo organizátor trhu, který má povolení evidovat převoditelné cenné papíry vedené na DLT v systému DLT MTF v souladu s čl. 4 odst. 2 a 3, neevidují podle tohoto nařízení veřejnoprávní dluhopisy.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rPr>
                <w:b/>
                <w:i/>
                <w:strike w:val="0"/>
                <w:color w:val="auto"/>
                <w:highlight w:val="none"/>
                <w:u w:val="none" w:color="auto"/>
                <w:vertAlign w:val="baseline"/>
              </w:rPr>
              <w:t>Celková tržní hodnota převoditelných cenných papírů vedených na DLT evidovaných v centrálním depozitáři provozujícím systém vypořádání obchodů s cennými papíry vedenými</w:t>
            </w:r>
            <w:r>
              <w:t xml:space="preserve"> na DLT </w:t>
            </w:r>
            <w:r>
              <w:rPr>
                <w:b/>
                <w:i/>
                <w:strike w:val="0"/>
                <w:color w:val="auto"/>
                <w:highlight w:val="none"/>
                <w:u w:val="none" w:color="auto"/>
                <w:vertAlign w:val="baseline"/>
              </w:rPr>
              <w:t>nesmí překročit</w:t>
            </w:r>
            <w:r>
              <w:t xml:space="preserve"> 2,5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w:t>
            </w:r>
            <w:r>
              <w:rPr>
                <w:b/>
                <w:i/>
                <w:strike w:val="0"/>
                <w:color w:val="auto"/>
                <w:highlight w:val="none"/>
                <w:u w:val="none" w:color="auto"/>
                <w:vertAlign w:val="baseline"/>
              </w:rPr>
              <w:t>tento systém</w:t>
            </w:r>
            <w:r>
              <w:t xml:space="preserve"> DLT MTF </w:t>
            </w:r>
            <w:r>
              <w:rPr>
                <w:b/>
                <w:i/>
                <w:strike w:val="0"/>
                <w:color w:val="auto"/>
                <w:highlight w:val="none"/>
                <w:u w:val="none" w:color="auto"/>
                <w:vertAlign w:val="baseline"/>
              </w:rPr>
              <w:t>nesmí překročit</w:t>
            </w:r>
            <w:r>
              <w:t xml:space="preserve"> 2,5 miliardy EUR.</w:t>
            </w:r>
          </w:p>
        </w:tc>
        <w:tc>
          <w:tcPr>
            <w:tcW w:w="4876" w:type="dxa"/>
            <w:vAlign w:val="top"/>
          </w:tcPr>
          <w:p>
            <w:pPr>
              <w:pStyle w:val="Normal6a"/>
            </w:pPr>
            <w:r>
              <w:t>3.</w:t>
            </w:r>
            <w:r>
              <w:tab/>
            </w:r>
            <w:r>
              <w:rPr>
                <w:b/>
                <w:i/>
                <w:strike w:val="0"/>
                <w:color w:val="auto"/>
                <w:highlight w:val="none"/>
                <w:u w:val="none" w:color="auto"/>
                <w:vertAlign w:val="baseline"/>
              </w:rPr>
              <w:t>Centrální depozitář provozující vypořádací systém DLT může přijmout nové cenné papíry, dokud celková tržní hodnota převoditelných cenných papírů vedených</w:t>
            </w:r>
            <w:r>
              <w:t xml:space="preserve"> na DLT </w:t>
            </w:r>
            <w:r>
              <w:rPr>
                <w:b/>
                <w:i/>
                <w:strike w:val="0"/>
                <w:color w:val="auto"/>
                <w:highlight w:val="none"/>
                <w:u w:val="none" w:color="auto"/>
                <w:vertAlign w:val="baseline"/>
              </w:rPr>
              <w:t>nedosáhne</w:t>
            </w:r>
            <w:r>
              <w:t xml:space="preserve"> 2,5 miliardy EUR. Pokud převoditelné cenné papíry vedené na DLT namísto centrálního depozitáře eviduje v souladu s čl. 4 odst. 2 a 3 systém DLT MTF, </w:t>
            </w:r>
            <w:r>
              <w:rPr>
                <w:b/>
                <w:i/>
                <w:strike w:val="0"/>
                <w:color w:val="auto"/>
                <w:highlight w:val="none"/>
                <w:u w:val="none" w:color="auto"/>
                <w:vertAlign w:val="baseline"/>
              </w:rPr>
              <w:t>může přijmout nové cenné papíry, dokud</w:t>
            </w:r>
            <w:r>
              <w:t xml:space="preserve"> celková tržní hodnota převoditelných cenných papírů vedených na DLT evidovaných investičním podnikem nebo organizátorem trhu provozujícím DLT MTF </w:t>
            </w:r>
            <w:r>
              <w:rPr>
                <w:b/>
                <w:i/>
                <w:strike w:val="0"/>
                <w:color w:val="auto"/>
                <w:highlight w:val="none"/>
                <w:u w:val="none" w:color="auto"/>
                <w:vertAlign w:val="baseline"/>
              </w:rPr>
              <w:t>nedosáhne</w:t>
            </w:r>
            <w:r>
              <w:t xml:space="preserve"> 2,5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Celková tržní hodnota převoditelných cenných papírů vedených na DLT evidovaných v centrálním depozitáři provozujícím systém vypořádání obchodů s cennými papíry vedenými na DLT nesmí překročit 2,5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2,5 miliardy EUR.</w:t>
            </w:r>
          </w:p>
        </w:tc>
        <w:tc>
          <w:tcPr>
            <w:tcW w:w="4876" w:type="dxa"/>
            <w:vAlign w:val="top"/>
          </w:tcPr>
          <w:p>
            <w:pPr>
              <w:pStyle w:val="Normal6a"/>
            </w:pPr>
            <w:r>
              <w:t>3.</w:t>
            </w:r>
            <w:r>
              <w:tab/>
            </w:r>
            <w:r>
              <w:t>Celková tržní hodnota převoditelných cenných papírů vedených na DLT evidovaných v centrálním depozitáři provozujícím systém vypořádání obchodů s cennými papíry vedenými na DLT nesmí překročit 2,5 miliardy EUR. Pokud převoditelné cenné papíry vedené na DLT namísto centrálního depozitáře eviduje v souladu s čl. 4 odst. 2 a 3 systém DLT MTF, celková tržní hodnota převoditelných cenných papírů vedených na DLT evidovaných investičním podnikem</w:t>
            </w:r>
            <w:r>
              <w:rPr>
                <w:b/>
                <w:i/>
                <w:strike w:val="0"/>
                <w:color w:val="auto"/>
                <w:highlight w:val="none"/>
                <w:u w:val="none" w:color="auto"/>
                <w:vertAlign w:val="baseline"/>
              </w:rPr>
              <w:t>, emitentem kryptoaktiv</w:t>
            </w:r>
            <w:r>
              <w:t xml:space="preserve"> nebo organizátorem trhu provozujícím tento systém DLT MTF nesmí překročit 2,5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289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Celková tržní hodnota převoditelných cenných papírů vedených na DLT evidovaných v centrálním depozitáři provozujícím systém </w:t>
            </w:r>
            <w:r>
              <w:rPr>
                <w:b/>
                <w:i/>
                <w:strike w:val="0"/>
                <w:color w:val="auto"/>
                <w:highlight w:val="none"/>
                <w:u w:val="none" w:color="auto"/>
                <w:vertAlign w:val="baseline"/>
              </w:rPr>
              <w:t>vypořádání obchodů s cennými papíry vedenými na</w:t>
            </w:r>
            <w:r>
              <w:t xml:space="preserve"> DLT nesmí překročit </w:t>
            </w:r>
            <w:r>
              <w:rPr>
                <w:b/>
                <w:i/>
                <w:strike w:val="0"/>
                <w:color w:val="auto"/>
                <w:highlight w:val="none"/>
                <w:u w:val="none" w:color="auto"/>
                <w:vertAlign w:val="baseline"/>
              </w:rPr>
              <w:t>2,5</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2,5</w:t>
            </w:r>
            <w:r>
              <w:t xml:space="preserve"> miliardy EUR.</w:t>
            </w:r>
          </w:p>
        </w:tc>
        <w:tc>
          <w:tcPr>
            <w:tcW w:w="4876" w:type="dxa"/>
            <w:vAlign w:val="top"/>
          </w:tcPr>
          <w:p>
            <w:pPr>
              <w:pStyle w:val="Normal6a"/>
            </w:pPr>
            <w:r>
              <w:t>3.</w:t>
            </w:r>
            <w:r>
              <w:tab/>
            </w:r>
            <w:r>
              <w:t xml:space="preserve">Celková tržní hodnota převoditelných cenných papírů vedených na DLT evidovaných v centrálním depozitáři provozujícím systém DLT </w:t>
            </w:r>
            <w:r>
              <w:rPr>
                <w:b/>
                <w:i/>
                <w:strike w:val="0"/>
                <w:color w:val="auto"/>
                <w:highlight w:val="none"/>
                <w:u w:val="none" w:color="auto"/>
                <w:vertAlign w:val="baseline"/>
              </w:rPr>
              <w:t>SSS</w:t>
            </w:r>
            <w:r>
              <w:t xml:space="preserve"> nesmí překročit </w:t>
            </w:r>
            <w:r>
              <w:rPr>
                <w:b/>
                <w:i/>
                <w:strike w:val="0"/>
                <w:color w:val="auto"/>
                <w:highlight w:val="none"/>
                <w:u w:val="none" w:color="auto"/>
                <w:vertAlign w:val="baseline"/>
              </w:rPr>
              <w:t>7,5</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7,5</w:t>
            </w:r>
            <w:r>
              <w:t xml:space="preserve">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Ačkoli podporujeme prahové hodnoty navržené Komisí, domníváme se, že prahová hodnota 2,5 miliardy celkové tržní hodnoty je nízká vzhledem k tomu, že by jí mohlo být dosaženo např. vydáním 5 dluhopisů*500milionů. V této souvislosti a s cílem umožnit větším účastníkům trhu, kteří disponují potřebným kapitálem, aby otestovali více projektů, navrhujeme zvýšit celkovou tržní hodnotu na 7,5 miliardy.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Celková tržní hodnota převoditelných cenných papírů vedených na DLT evidovaných v </w:t>
            </w:r>
            <w:r>
              <w:rPr>
                <w:b/>
                <w:i/>
                <w:strike w:val="0"/>
                <w:color w:val="auto"/>
                <w:highlight w:val="none"/>
                <w:u w:val="none" w:color="auto"/>
                <w:vertAlign w:val="baseline"/>
              </w:rPr>
              <w:t>centrálním depozitáři</w:t>
            </w:r>
            <w:r>
              <w:t xml:space="preserve"> provozujícím systém vypořádání obchodů s cennými papíry vedenými na DLT nesmí překročit 2,5 miliardy EUR. Pokud převoditelné cenné papíry vedené na DLT namísto centrálního depozitáře eviduje v souladu s čl. 4 odst. 2 a 3 systém DLT MTF, celková tržní hodnota převoditelných cenných papírů vedených na DLT evidovaných </w:t>
            </w:r>
            <w:r>
              <w:rPr>
                <w:b/>
                <w:i/>
                <w:strike w:val="0"/>
                <w:color w:val="auto"/>
                <w:highlight w:val="none"/>
                <w:u w:val="none" w:color="auto"/>
                <w:vertAlign w:val="baseline"/>
              </w:rPr>
              <w:t>investičním podnikem nebo organizátorem trhu</w:t>
            </w:r>
            <w:r>
              <w:t xml:space="preserve"> provozujícím tento systém DLT MTF nesmí překročit 2,5 miliardy EUR.</w:t>
            </w:r>
          </w:p>
        </w:tc>
        <w:tc>
          <w:tcPr>
            <w:tcW w:w="4876" w:type="dxa"/>
            <w:vAlign w:val="top"/>
          </w:tcPr>
          <w:p>
            <w:pPr>
              <w:pStyle w:val="Normal6a"/>
            </w:pPr>
            <w:r>
              <w:t>3.</w:t>
            </w:r>
            <w:r>
              <w:tab/>
            </w:r>
            <w:r>
              <w:t xml:space="preserve">Celková tržní hodnota převoditelných cenných papírů vedených na DLT evidovaných v </w:t>
            </w:r>
            <w:r>
              <w:rPr>
                <w:b/>
                <w:i/>
                <w:strike w:val="0"/>
                <w:color w:val="auto"/>
                <w:highlight w:val="none"/>
                <w:u w:val="none" w:color="auto"/>
                <w:vertAlign w:val="baseline"/>
              </w:rPr>
              <w:t>subjektu</w:t>
            </w:r>
            <w:r>
              <w:t xml:space="preserve"> provozujícím systém vypořádání obchodů s cennými papíry vedenými na DLT nesmí překročit 2,5 miliardy EUR. Pokud převoditelné cenné papíry vedené na DLT namísto centrálního depozitáře eviduje v souladu s čl. 4 odst. 2 a 3 systém DLT MTF, celková tržní hodnota převoditelných cenných papírů vedených na DLT evidovaných </w:t>
            </w:r>
            <w:r>
              <w:rPr>
                <w:b/>
                <w:i/>
                <w:strike w:val="0"/>
                <w:color w:val="auto"/>
                <w:highlight w:val="none"/>
                <w:u w:val="none" w:color="auto"/>
                <w:vertAlign w:val="baseline"/>
              </w:rPr>
              <w:t>subjektem</w:t>
            </w:r>
            <w:r>
              <w:t xml:space="preserve"> provozujícím tento systém DLT MTF nesmí překročit 2,5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Eero Heinäluoma</w:t>
      </w:r>
      <w:r>
        <w:t xml:space="preserve">, </w:t>
      </w:r>
      <w:r>
        <w:t>Paul Tang</w:t>
      </w:r>
      <w:r>
        <w:t xml:space="preserve">, </w:t>
      </w:r>
      <w:r>
        <w:t>Pedro Marques</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Celková tržní hodnota převoditelných cenných papírů vedených na DLT evidovaných v centrálním depozitáři provozujícím systém vypořádání obchodů s cennými papíry vedenými na DLT nesmí překročit </w:t>
            </w:r>
            <w:r>
              <w:rPr>
                <w:b/>
                <w:i/>
                <w:strike w:val="0"/>
                <w:color w:val="auto"/>
                <w:highlight w:val="none"/>
                <w:u w:val="none" w:color="auto"/>
                <w:vertAlign w:val="baseline"/>
              </w:rPr>
              <w:t>2,5</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2,5</w:t>
            </w:r>
            <w:r>
              <w:t xml:space="preserve"> miliardy EUR.</w:t>
            </w:r>
          </w:p>
        </w:tc>
        <w:tc>
          <w:tcPr>
            <w:tcW w:w="4876" w:type="dxa"/>
            <w:vAlign w:val="top"/>
          </w:tcPr>
          <w:p>
            <w:pPr>
              <w:pStyle w:val="Normal6a"/>
            </w:pPr>
            <w:r>
              <w:t>3.</w:t>
            </w:r>
            <w:r>
              <w:tab/>
            </w:r>
            <w:r>
              <w:t xml:space="preserve">Celková tržní hodnota převoditelných cenných papírů vedených na DLT evidovaných v centrálním depozitáři provozujícím systém vypořádání obchodů s cennými papíry vedenými na DLT nesmí překročit </w:t>
            </w:r>
            <w:r>
              <w:rPr>
                <w:b/>
                <w:i/>
                <w:strike w:val="0"/>
                <w:color w:val="auto"/>
                <w:highlight w:val="none"/>
                <w:u w:val="none" w:color="auto"/>
                <w:vertAlign w:val="baseline"/>
              </w:rPr>
              <w:t>2</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2</w:t>
            </w:r>
            <w:r>
              <w:t xml:space="preserve">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Celková tržní hodnota převoditelných cenných papírů vedených na DLT evidovaných v centrálním depozitáři provozujícím systém vypořádání obchodů s cennými papíry vedenými na DLT nesmí překročit </w:t>
            </w:r>
            <w:r>
              <w:rPr>
                <w:b/>
                <w:i/>
                <w:strike w:val="0"/>
                <w:color w:val="auto"/>
                <w:highlight w:val="none"/>
                <w:u w:val="none" w:color="auto"/>
                <w:vertAlign w:val="baseline"/>
              </w:rPr>
              <w:t>2,5</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2,5</w:t>
            </w:r>
            <w:r>
              <w:t xml:space="preserve"> miliardy EUR.</w:t>
            </w:r>
          </w:p>
        </w:tc>
        <w:tc>
          <w:tcPr>
            <w:tcW w:w="4876" w:type="dxa"/>
            <w:vAlign w:val="top"/>
          </w:tcPr>
          <w:p>
            <w:pPr>
              <w:pStyle w:val="Normal6a"/>
            </w:pPr>
            <w:r>
              <w:t>3.</w:t>
            </w:r>
            <w:r>
              <w:tab/>
            </w:r>
            <w:r>
              <w:t xml:space="preserve">Celková tržní hodnota převoditelných cenných papírů vedených na DLT evidovaných v centrálním depozitáři provozujícím systém vypořádání obchodů s cennými papíry vedenými na DLT nesmí překročit </w:t>
            </w:r>
            <w:r>
              <w:rPr>
                <w:b/>
                <w:i/>
                <w:strike w:val="0"/>
                <w:color w:val="auto"/>
                <w:highlight w:val="none"/>
                <w:u w:val="none" w:color="auto"/>
                <w:vertAlign w:val="baseline"/>
              </w:rPr>
              <w:t>1,5</w:t>
            </w:r>
            <w:r>
              <w:t xml:space="preserve"> miliardy EUR. Pokud převoditelné cenné papíry vedené na DLT namísto centrálního depozitáře eviduje v souladu s čl. 4 odst. 2 a 3 systém DLT MTF, celková tržní hodnota převoditelných cenných papírů vedených na DLT evidovaných investičním podnikem nebo organizátorem trhu provozujícím tento systém DLT MTF nesmí překročit </w:t>
            </w:r>
            <w:r>
              <w:rPr>
                <w:b/>
                <w:i/>
                <w:strike w:val="0"/>
                <w:color w:val="auto"/>
                <w:highlight w:val="none"/>
                <w:u w:val="none" w:color="auto"/>
                <w:vertAlign w:val="baseline"/>
              </w:rPr>
              <w:t>1,5</w:t>
            </w:r>
            <w:r>
              <w:t xml:space="preserve"> miliardy EUR.</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3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3a.</w:t>
            </w:r>
            <w:r>
              <w:tab/>
            </w:r>
            <w:r>
              <w:rPr>
                <w:b/>
                <w:i/>
                <w:strike w:val="0"/>
                <w:color w:val="auto"/>
                <w:highlight w:val="none"/>
                <w:u w:val="none" w:color="auto"/>
                <w:vertAlign w:val="baseline"/>
              </w:rPr>
              <w:t>Odchylně jsou podnikové dluhopisy vydané emitenty, jejichž tržní kapitalizace v době jejich emise nepřekročila 1 miliardu EUR, vyloučeny z výpočtu prahové hodnoty stanovené v odst. 1 písm. b) a odst. 3.</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Dodatečná flexibilita na podporu financování malých a středních podniků prostřednictvím pilotního režimu v souladu s prahovou hodnotou pro výzkum malých a středních podniků v rámci balíčku opatření pro oživení kapitálových trhů.</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4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stanovována denně buď </w:t>
            </w:r>
            <w:r>
              <w:rPr>
                <w:b/>
                <w:i/>
                <w:strike w:val="0"/>
                <w:color w:val="auto"/>
                <w:highlight w:val="none"/>
                <w:u w:val="none" w:color="auto"/>
                <w:vertAlign w:val="baseline"/>
              </w:rPr>
              <w:t>centrálním depozitářem, nebo</w:t>
            </w:r>
            <w:r>
              <w:t xml:space="preserve"> dotyčným </w:t>
            </w:r>
            <w:r>
              <w:rPr>
                <w:b/>
                <w:i/>
                <w:strike w:val="0"/>
                <w:color w:val="auto"/>
                <w:highlight w:val="none"/>
                <w:u w:val="none" w:color="auto"/>
                <w:vertAlign w:val="baseline"/>
              </w:rPr>
              <w:t>investičním podnikem nebo organizátorem trhu a</w:t>
            </w:r>
          </w:p>
        </w:tc>
        <w:tc>
          <w:tcPr>
            <w:tcW w:w="4876" w:type="dxa"/>
            <w:vAlign w:val="top"/>
          </w:tcPr>
          <w:p>
            <w:pPr>
              <w:pStyle w:val="Normal6a"/>
            </w:pPr>
            <w:r>
              <w:t>a)</w:t>
            </w:r>
            <w:r>
              <w:tab/>
            </w:r>
            <w:r>
              <w:t xml:space="preserve">stanovována denně buď dotyčným </w:t>
            </w:r>
            <w:r>
              <w:rPr>
                <w:b/>
                <w:i/>
                <w:strike w:val="0"/>
                <w:color w:val="auto"/>
                <w:highlight w:val="none"/>
                <w:u w:val="none" w:color="auto"/>
                <w:vertAlign w:val="baseline"/>
              </w:rPr>
              <w:t>subjektem;</w:t>
            </w:r>
            <w:r>
              <w:t xml:space="preserve"> </w:t>
            </w:r>
            <w:r>
              <w:rPr>
                <w:b/>
                <w:i/>
                <w:strike w:val="0"/>
                <w:color w:val="auto"/>
                <w:highlight w:val="none"/>
                <w:u w:val="none" w:color="auto"/>
                <w:vertAlign w:val="baseline"/>
              </w:rPr>
              <w:t>a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Gunnar Beck</w:t>
      </w:r>
      <w:r>
        <w:t xml:space="preserve">, </w:t>
      </w:r>
      <w:r>
        <w:t>Maximilian Krah</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4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stanovována denně buď centrálním depozitářem, nebo dotyčným investičním podnikem nebo organizátorem trhu a</w:t>
            </w:r>
          </w:p>
        </w:tc>
        <w:tc>
          <w:tcPr>
            <w:tcW w:w="4876" w:type="dxa"/>
            <w:vAlign w:val="top"/>
          </w:tcPr>
          <w:p>
            <w:pPr>
              <w:pStyle w:val="Normal6a"/>
            </w:pPr>
            <w:r>
              <w:t>a)</w:t>
            </w:r>
            <w:r>
              <w:tab/>
            </w:r>
            <w:r>
              <w:t>stanovována denně buď centrálním depozitářem, nebo dotyčným investičním podnikem</w:t>
            </w:r>
            <w:r>
              <w:rPr>
                <w:b/>
                <w:i/>
                <w:strike w:val="0"/>
                <w:color w:val="auto"/>
                <w:highlight w:val="none"/>
                <w:u w:val="none" w:color="auto"/>
                <w:vertAlign w:val="baseline"/>
              </w:rPr>
              <w:t>, emitentem kryptoaktiv</w:t>
            </w:r>
            <w:r>
              <w:t xml:space="preserve"> nebo organizátorem trhu</w:t>
            </w:r>
            <w:r>
              <w:rPr>
                <w:b/>
                <w:i/>
                <w:strike w:val="0"/>
                <w:color w:val="auto"/>
                <w:highlight w:val="none"/>
                <w:u w:val="none" w:color="auto"/>
                <w:vertAlign w:val="baseline"/>
              </w:rPr>
              <w:t>;</w:t>
            </w:r>
            <w:r>
              <w:t xml:space="preserve"> a</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celková tržní hodnota převoditelných cenných papírů vedených na DLT vykázaných podle odstavce 1 dosáhne částky </w:t>
            </w:r>
            <w:r>
              <w:rPr>
                <w:b/>
                <w:i/>
                <w:strike w:val="0"/>
                <w:color w:val="auto"/>
                <w:highlight w:val="none"/>
                <w:u w:val="none" w:color="auto"/>
                <w:vertAlign w:val="baseline"/>
              </w:rPr>
              <w:t>2,25</w:t>
            </w:r>
            <w:r>
              <w:t xml:space="preserve"> miliardy EUR, aktivuje investiční podnik nebo organizátor trhu provozující dotyčný systém DLT MTF nebo centrální depozitář provozující dotyčný systém vypořádání obchodů s cennými papíry vedenými na DLT přechodovou strategii podle čl. 6 odst. 6.</w:t>
            </w:r>
            <w:r>
              <w:rPr>
                <w:b/>
                <w:i/>
                <w:strike w:val="0"/>
                <w:color w:val="auto"/>
                <w:highlight w:val="none"/>
                <w:u w:val="none" w:color="auto"/>
                <w:vertAlign w:val="baseline"/>
              </w:rPr>
              <w:t xml:space="preserve">  </w:t>
            </w:r>
            <w:r>
              <w:t>Ve své měsíční zprávě pak oznámí příslušnému orgánu aktivaci své přechodové strategie a časový horizont pro její realizaci.</w:t>
            </w:r>
          </w:p>
        </w:tc>
        <w:tc>
          <w:tcPr>
            <w:tcW w:w="4876" w:type="dxa"/>
            <w:vAlign w:val="top"/>
          </w:tcPr>
          <w:p>
            <w:pPr>
              <w:pStyle w:val="Normal6a"/>
            </w:pPr>
            <w:r>
              <w:t xml:space="preserve">Pokud celková tržní hodnota převoditelných cenných papírů vedených na DLT vykázaných podle odstavce 1 dosáhne částky </w:t>
            </w:r>
            <w:r>
              <w:rPr>
                <w:b/>
                <w:i/>
                <w:strike w:val="0"/>
                <w:color w:val="auto"/>
                <w:highlight w:val="none"/>
                <w:u w:val="none" w:color="auto"/>
                <w:vertAlign w:val="baseline"/>
              </w:rPr>
              <w:t>3,5</w:t>
            </w:r>
            <w:r>
              <w:t xml:space="preserve"> miliardy EUR, aktivuje investiční podnik nebo organizátor trhu provozující dotyčný systém DLT MTF nebo centrální depozitář provozující dotyčný systém vypořádání obchodů s cennými papíry vedenými na DLT přechodovou strategii podle čl. 6 odst. 6. Ve své měsíční zprávě pak oznámí příslušnému orgánu aktivaci své přechodové strategie a časový horizont pro její realizaci.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5 – pododstavec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celková tržní hodnota převoditelných cenných papírů vedených na DLT vykázaných podle odstavce 1 dosáhne částky </w:t>
            </w:r>
            <w:r>
              <w:rPr>
                <w:b/>
                <w:i/>
                <w:strike w:val="0"/>
                <w:color w:val="auto"/>
                <w:highlight w:val="none"/>
                <w:u w:val="none" w:color="auto"/>
                <w:vertAlign w:val="baseline"/>
              </w:rPr>
              <w:t>2,25</w:t>
            </w:r>
            <w:r>
              <w:t xml:space="preserve"> miliardy EUR, aktivuje investiční podnik nebo organizátor trhu provozující dotyčný systém DLT MTF nebo centrální depozitář provozující dotyčný systém vypořádání obchodů s cennými papíry vedenými na DLT přechodovou strategii podle čl. 6 odst. 6.</w:t>
            </w:r>
            <w:r>
              <w:rPr>
                <w:b/>
                <w:i/>
                <w:strike w:val="0"/>
                <w:color w:val="auto"/>
                <w:highlight w:val="none"/>
                <w:u w:val="none" w:color="auto"/>
                <w:vertAlign w:val="baseline"/>
              </w:rPr>
              <w:t xml:space="preserve">  </w:t>
            </w:r>
            <w:r>
              <w:t>Ve své měsíční zprávě pak oznámí příslušnému orgánu aktivaci své přechodové strategie a časový horizont pro její realizaci.</w:t>
            </w:r>
          </w:p>
        </w:tc>
        <w:tc>
          <w:tcPr>
            <w:tcW w:w="4876" w:type="dxa"/>
            <w:vAlign w:val="top"/>
          </w:tcPr>
          <w:p>
            <w:pPr>
              <w:pStyle w:val="Normal6a"/>
            </w:pPr>
            <w:r>
              <w:t xml:space="preserve">Pokud celková tržní hodnota převoditelných cenných papírů vedených na DLT vykázaných podle odstavce 1 dosáhne částky </w:t>
            </w:r>
            <w:r>
              <w:rPr>
                <w:b/>
                <w:i/>
                <w:strike w:val="0"/>
                <w:color w:val="auto"/>
                <w:highlight w:val="none"/>
                <w:u w:val="none" w:color="auto"/>
                <w:vertAlign w:val="baseline"/>
              </w:rPr>
              <w:t>1,25</w:t>
            </w:r>
            <w:r>
              <w:t xml:space="preserve"> miliardy EUR, aktivuje investiční podnik nebo organizátor trhu provozující dotyčný systém DLT MTF nebo centrální depozitář provozující dotyčný systém vypořádání obchodů s cennými papíry vedenými na DLT přechodovou strategii podle čl. 6 odst. 6. Ve své měsíční zprávě pak oznámí příslušnému orgánu aktivaci své přechodové strategie a časový horizont pro její realizaci.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Dotčený příslušný orgán může povolit dotčené tržní infrastruktuře DLT, aby pokračovala v činnosti, dokud celková tržní hodnota převoditelných cenných papírů vedených na DLT vykázaná podle odstavce 1 nedosáhne 2,75 miliardy EUR, pokud o to provozovatel dotčené tržní infrastruktury DLT požádá a je-li to objektivně nezbytné pro řádné provedení přechodové strategie.</w:t>
            </w:r>
          </w:p>
        </w:tc>
        <w:tc>
          <w:tcPr>
            <w:tcW w:w="4876" w:type="dxa"/>
            <w:vAlign w:val="top"/>
          </w:tcPr>
          <w:p>
            <w:pPr>
              <w:pStyle w:val="Normal6a"/>
            </w:pPr>
            <w:r>
              <w:rPr>
                <w:b/>
                <w:i/>
                <w:strike w:val="0"/>
                <w:color w:val="auto"/>
                <w:highlight w:val="none"/>
                <w:u w:val="none" w:color="auto"/>
                <w:vertAlign w:val="baseline"/>
              </w:rPr>
              <w:t>vypouští se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299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 MacManus</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The Left</w:t>
      </w:r>
      <w:r>
        <w:rPr>
          <w:rStyle w:val="HideTWBInt"/>
        </w:rPr>
        <w:t>}</w:t>
      </w:r>
      <w:r>
        <w:t>za skupinu The Left</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3 – odst. 5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Dotčený příslušný orgán může povolit dotčené tržní infrastruktuře DLT, aby pokračovala v činnosti, dokud celková tržní hodnota převoditelných cenných papírů vedených na DLT vykázaná podle odstavce 1 nedosáhne </w:t>
            </w:r>
            <w:r>
              <w:rPr>
                <w:b/>
                <w:i/>
                <w:strike w:val="0"/>
                <w:color w:val="auto"/>
                <w:highlight w:val="none"/>
                <w:u w:val="none" w:color="auto"/>
                <w:vertAlign w:val="baseline"/>
              </w:rPr>
              <w:t>2,75</w:t>
            </w:r>
            <w:r>
              <w:t xml:space="preserve"> miliardy EUR, pokud o to provozovatel dotčené tržní infrastruktury DLT požádá a je-li to objektivně nezbytné pro řádné provedení přechodové strategie.</w:t>
            </w:r>
          </w:p>
        </w:tc>
        <w:tc>
          <w:tcPr>
            <w:tcW w:w="4876" w:type="dxa"/>
            <w:vAlign w:val="top"/>
          </w:tcPr>
          <w:p>
            <w:pPr>
              <w:pStyle w:val="Normal6a"/>
            </w:pPr>
            <w:r>
              <w:t xml:space="preserve">Dotčený příslušný orgán může povolit dotčené tržní infrastruktuře DLT, aby pokračovala v činnosti, dokud celková tržní hodnota převoditelných cenných papírů vedených na DLT vykázaná podle odstavce 1 nedosáhne </w:t>
            </w:r>
            <w:r>
              <w:rPr>
                <w:b/>
                <w:i/>
                <w:strike w:val="0"/>
                <w:color w:val="auto"/>
                <w:highlight w:val="none"/>
                <w:u w:val="none" w:color="auto"/>
                <w:vertAlign w:val="baseline"/>
              </w:rPr>
              <w:t>1,75</w:t>
            </w:r>
            <w:r>
              <w:t xml:space="preserve"> miliardy EUR, pokud o to provozovatel dotčené tržní infrastruktury DLT požádá a je-li to objektivně nezbytné pro řádné provedení přechodové strategie.</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Na systém DLT MTF se vztahují všechny požadavky použitelné na systém MTF podle směrnice 2014/65/EU a nařízení (EU) č. 600/2014, </w:t>
            </w:r>
            <w:r>
              <w:rPr>
                <w:b/>
                <w:i/>
                <w:strike w:val="0"/>
                <w:color w:val="auto"/>
                <w:highlight w:val="none"/>
                <w:u w:val="none" w:color="auto"/>
                <w:vertAlign w:val="baseline"/>
              </w:rPr>
              <w:t>s výjimkou případů, kdy</w:t>
            </w:r>
            <w:r>
              <w:t xml:space="preserve"> investiční podnik nebo organizátor trhu provozující systém DLT MTF:</w:t>
            </w:r>
          </w:p>
        </w:tc>
        <w:tc>
          <w:tcPr>
            <w:tcW w:w="4876" w:type="dxa"/>
            <w:vAlign w:val="top"/>
          </w:tcPr>
          <w:p>
            <w:pPr>
              <w:pStyle w:val="Normal6a"/>
            </w:pPr>
            <w:r>
              <w:t>1.</w:t>
            </w:r>
            <w:r>
              <w:tab/>
            </w:r>
            <w:r>
              <w:t>Na systém DLT MTF se vztahují všechny požadavky použitelné na systém MTF podle směrnice 2014/65/EU</w:t>
            </w:r>
            <w:r>
              <w:rPr>
                <w:b/>
                <w:i/>
                <w:strike w:val="0"/>
                <w:color w:val="auto"/>
                <w:highlight w:val="none"/>
                <w:u w:val="none" w:color="auto"/>
                <w:vertAlign w:val="baseline"/>
              </w:rPr>
              <w:t>, kromě výjimky udělené v souladu s odst. 1a (novým),</w:t>
            </w:r>
            <w:r>
              <w:t xml:space="preserve"> a nařízení (EU) č. 600/2014, </w:t>
            </w:r>
            <w:r>
              <w:rPr>
                <w:b/>
                <w:i/>
                <w:strike w:val="0"/>
                <w:color w:val="auto"/>
                <w:highlight w:val="none"/>
                <w:u w:val="none" w:color="auto"/>
                <w:vertAlign w:val="baseline"/>
              </w:rPr>
              <w:t>a navíc</w:t>
            </w:r>
            <w:r>
              <w:t xml:space="preserve"> investiční podnik nebo organizátor trhu provozující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Vyjasňuje, že všechny požadavky platí s jednou možnou výjimkou ze směrnice MiFID, jak je uvedeno v následujícím odstavci.</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Na systém DLT MTF se vztahují všechny požadavky použitelné na systém MTF podle směrnice 2014/65/EU a nařízení (EU) č. 600/2014</w:t>
            </w:r>
            <w:r>
              <w:rPr>
                <w:b/>
                <w:i/>
                <w:strike w:val="0"/>
                <w:color w:val="auto"/>
                <w:highlight w:val="none"/>
                <w:u w:val="none" w:color="auto"/>
                <w:vertAlign w:val="baseline"/>
              </w:rPr>
              <w:t>,</w:t>
            </w:r>
            <w:r>
              <w:t xml:space="preserve"> s výjimkou případů, kdy investiční podnik nebo organizátor trhu provozující systém DLT MTF:</w:t>
            </w:r>
          </w:p>
        </w:tc>
        <w:tc>
          <w:tcPr>
            <w:tcW w:w="4876" w:type="dxa"/>
            <w:vAlign w:val="top"/>
          </w:tcPr>
          <w:p>
            <w:pPr>
              <w:pStyle w:val="Normal6a"/>
            </w:pPr>
            <w:r>
              <w:t>1.</w:t>
            </w:r>
            <w:r>
              <w:tab/>
            </w:r>
            <w:r>
              <w:t xml:space="preserve">Na systém DLT MTF se vztahují všechny požadavky použitelné na systém MTF podle směrnice 2014/65/EU a nařízení (EU) č. 600/2014 </w:t>
            </w:r>
            <w:r>
              <w:rPr>
                <w:b/>
                <w:i/>
                <w:strike w:val="0"/>
                <w:color w:val="auto"/>
                <w:highlight w:val="none"/>
                <w:u w:val="none" w:color="auto"/>
                <w:vertAlign w:val="baseline"/>
              </w:rPr>
              <w:t>a jakýchkoli jiných použitelných právních předpisů Unie v oblasti finančních služeb</w:t>
            </w:r>
            <w:r>
              <w:t xml:space="preserve"> s výjimkou případů, kdy investiční podnik nebo organizátor trhu provozující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Na systém DLT MTF se vztahují všechny požadavky použitelné na systém MTF podle směrnice 2014/65/EU a nařízení (EU) č. 600/2014, s výjimkou případů, kdy investiční podnik nebo organizátor trhu provozující systém DLT MTF:</w:t>
            </w:r>
          </w:p>
        </w:tc>
        <w:tc>
          <w:tcPr>
            <w:tcW w:w="4876" w:type="dxa"/>
            <w:vAlign w:val="top"/>
          </w:tcPr>
          <w:p>
            <w:pPr>
              <w:pStyle w:val="Normal6a"/>
            </w:pPr>
            <w:r>
              <w:t>1.</w:t>
            </w:r>
            <w:r>
              <w:tab/>
            </w:r>
            <w:r>
              <w:t xml:space="preserve">Na systém DLT MTF </w:t>
            </w:r>
            <w:r>
              <w:rPr>
                <w:b/>
                <w:i/>
                <w:strike w:val="0"/>
                <w:color w:val="auto"/>
                <w:highlight w:val="none"/>
                <w:u w:val="none" w:color="auto"/>
                <w:vertAlign w:val="baseline"/>
              </w:rPr>
              <w:t>a jeho provozovatele</w:t>
            </w:r>
            <w:r>
              <w:t xml:space="preserve"> se vztahují všechny požadavky použitelné na systém MTF podle směrnice 2014/65/EU a nařízení (EU) č. 600/2014, s výjimkou případů, kdy investiční podnik nebo organizátor trhu provozující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Některé požadavky se vztahují na provozovatele tržní infrastruktury.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 xml:space="preserve">Na systém DLT MTF se vztahují všechny požadavky použitelné na systém MTF podle směrnice 2014/65/EU a nařízení (EU) č. 600/2014, s výjimkou případů, kdy </w:t>
            </w:r>
            <w:r>
              <w:rPr>
                <w:b/>
                <w:i/>
                <w:strike w:val="0"/>
                <w:color w:val="auto"/>
                <w:highlight w:val="none"/>
                <w:u w:val="none" w:color="auto"/>
                <w:vertAlign w:val="baseline"/>
              </w:rPr>
              <w:t>investiční podnik nebo organizátor trhu</w:t>
            </w:r>
            <w:r>
              <w:t xml:space="preserve"> provozující systém DLT MTF:</w:t>
            </w:r>
          </w:p>
        </w:tc>
        <w:tc>
          <w:tcPr>
            <w:tcW w:w="4876" w:type="dxa"/>
            <w:vAlign w:val="top"/>
          </w:tcPr>
          <w:p>
            <w:pPr>
              <w:pStyle w:val="Normal6a"/>
            </w:pPr>
            <w:r>
              <w:t>1.</w:t>
            </w:r>
            <w:r>
              <w:tab/>
            </w:r>
            <w:r>
              <w:t>Na systém DLT MTF se vztahují všechny požadavky použitelné na systém MTF podle směrnice 2014/65/EU a nařízení (EU) č. 600/2014, s výjimkou případů, kdy </w:t>
            </w:r>
            <w:r>
              <w:rPr>
                <w:b/>
                <w:i/>
                <w:strike w:val="0"/>
                <w:color w:val="auto"/>
                <w:highlight w:val="none"/>
                <w:u w:val="none" w:color="auto"/>
                <w:vertAlign w:val="baseline"/>
              </w:rPr>
              <w:t>subjekt</w:t>
            </w:r>
            <w:r>
              <w:t xml:space="preserve"> provozující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a)</w:t>
            </w:r>
            <w:r>
              <w:tab/>
            </w:r>
            <w:r>
              <w:rPr>
                <w:b/>
                <w:i/>
                <w:strike w:val="0"/>
                <w:color w:val="auto"/>
                <w:highlight w:val="none"/>
                <w:u w:val="none" w:color="auto"/>
                <w:vertAlign w:val="baseline"/>
              </w:rPr>
              <w:t>požádal o výjimku uvedenou v odstavci 2 nebo o výjimku podle směrnice (EU) .../...</w:t>
            </w:r>
            <w:r>
              <w:rPr>
                <w:rStyle w:val="SupBoldItalic"/>
              </w:rPr>
              <w:t>53</w:t>
            </w:r>
            <w:r>
              <w:rPr>
                <w:b/>
                <w:i/>
                <w:strike w:val="0"/>
                <w:color w:val="auto"/>
                <w:highlight w:val="none"/>
                <w:u w:val="none" w:color="auto"/>
                <w:vertAlign w:val="baseline"/>
              </w:rPr>
              <w:t>a tato výjimka mu byla udělena příslušným orgánem, který mu udělil zvláštní povolení v souladu s článkem 7, a</w:t>
            </w:r>
          </w:p>
        </w:tc>
        <w:tc>
          <w:tcPr>
            <w:tcW w:w="4876" w:type="dxa"/>
            <w:vAlign w:val="top"/>
          </w:tcPr>
          <w:p>
            <w:pPr>
              <w:pStyle w:val="Normal6a"/>
            </w:pPr>
            <w:r>
              <w:rPr>
                <w:b/>
                <w:i/>
                <w:strike w:val="0"/>
                <w:color w:val="auto"/>
                <w:highlight w:val="none"/>
                <w:u w:val="none" w:color="auto"/>
                <w:vertAlign w:val="baseline"/>
              </w:rPr>
              <w:t>vypouští se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BoldItalic"/>
              </w:rPr>
              <w:t>53</w:t>
            </w:r>
            <w:r>
              <w:t xml:space="preserve"> </w:t>
            </w:r>
            <w:r>
              <w:rPr>
                <w:b/>
                <w:i/>
                <w:strike w:val="0"/>
                <w:color w:val="auto"/>
                <w:highlight w:val="none"/>
                <w:u w:val="none" w:color="auto"/>
                <w:vertAlign w:val="baseline"/>
              </w:rPr>
              <w:t>Návrh směrnice Evropského parlamentu a Rady o změně směrnic 2006/43/ES, 2009/65/ES, 2009/138/ES, 2011/61/EU, 2013/36/EU, 2014/65/EU, (EU) 2015/2366 a (EU) 2016/2341 (COM(2020) 596).</w:t>
            </w:r>
          </w:p>
        </w:tc>
        <w:tc>
          <w:tcPr>
            <w:tcW w:w="4876" w:type="dxa"/>
            <w:vAlign w:val="top"/>
          </w:tcPr>
          <w:p>
            <w:pPr>
              <w:pStyle w:val="Normal6a"/>
            </w:pP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1a.</w:t>
            </w:r>
            <w:r>
              <w:tab/>
            </w:r>
            <w:r>
              <w:rPr>
                <w:b/>
                <w:i/>
                <w:strike w:val="0"/>
                <w:color w:val="auto"/>
                <w:highlight w:val="none"/>
                <w:u w:val="none" w:color="auto"/>
                <w:vertAlign w:val="baseline"/>
              </w:rPr>
              <w:t>Na jeho žádost může orgán ESMA osvobodit investiční podnik nebo organizátora trhu provozující systém DLT MTF od uplatňování článku 19 směrnice 2014/65/EU (MiFID) a podle pravidel pro přístup uvedených v čl. 18 odst. 3 směrnice 2014/65/EU (MiFID) může na dobu nejvýše čtyř let přijmout fyzické osoby do systému DLT MTF jako členy nebo účastníky za předpokladu, že tyto osoby splňují tyto požadavky:</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mají dostatečně dobrou pověst a jsou způsobilé a bezúhonné;</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mají dostatečné schopnosti, způsobilost a zkušenosti k obchodování, včetně znalostí o obchodování a fungování DLT;</w:t>
            </w:r>
            <w:r>
              <w:rPr>
                <w:b/>
                <w:i/>
                <w:strike w:val="0"/>
                <w:color w:val="auto"/>
                <w:highlight w:val="none"/>
                <w:u w:val="none" w:color="auto"/>
                <w:vertAlign w:val="baseline"/>
              </w:rPr>
              <w:t>a </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udělili informovaný souhlas se zařazením do pilotního režimu a byli odpovídajícím způsobem informováni o jeho experimentální povaze a možných rizicích s ním spojených.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Pokud orgán ESMA udělí výjimku uvedenou v prvním pododstavci, může uložit dodatečná opatření na ochranu investorů za účelem ochrany fyzických osob přijatých jako členů nebo účastníků systému DLT MTF.</w:t>
            </w:r>
            <w:r>
              <w:t xml:space="preserve"> </w:t>
            </w:r>
            <w:r>
              <w:rPr>
                <w:b/>
                <w:i/>
                <w:strike w:val="0"/>
                <w:color w:val="auto"/>
                <w:highlight w:val="none"/>
                <w:u w:val="none" w:color="auto"/>
                <w:vertAlign w:val="baseline"/>
              </w:rPr>
              <w:t>Tato opatření jsou úměrná rizikovému profilu účastníků nebo členů.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Výjimka ze směrnice MiFID je vložena do tohoto nařízení, místoad hoc změny směrnice MiFID.</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1 b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1b.</w:t>
            </w:r>
            <w:r>
              <w:tab/>
            </w:r>
            <w:r>
              <w:rPr>
                <w:b/>
                <w:i/>
                <w:strike w:val="0"/>
                <w:color w:val="auto"/>
                <w:highlight w:val="none"/>
                <w:u w:val="none" w:color="auto"/>
                <w:vertAlign w:val="baseline"/>
              </w:rPr>
              <w:t>ESMA vypracuje návrhy regulačních technických norem k upřesnění:</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a) kritéria pro posuzování vhodnosti a bezúhonnosti fyzických osob pro účely boje proti praní peněz a financování terorismu;</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b) kritéria pro posouzení způsobilosti, schopoností a zkušeností požadovaných podle čl. 4 odst. 1a a čl. 5 odst. 4;</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 opatření na ochranu investorů uvedená v čl. 4 odst. 1.</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Evropský orgán pro cenné papíry a trhy předloží návrh těchto regulačních technických norem Komisi do ... [šesti měsíců ode dne vstupu tohoto nařízení v platnost].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Komisi je svěřena pravomoc přijímat regulační technické normy uvedené v prvním pododstavci v souladu s článkem 15 nařízení (EU) č. 1095/2010.“.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rPr>
                <w:b/>
                <w:i/>
                <w:strike w:val="0"/>
                <w:color w:val="auto"/>
                <w:highlight w:val="none"/>
                <w:u w:val="none" w:color="auto"/>
                <w:vertAlign w:val="baseline"/>
              </w:rPr>
              <w:t>Investičnímu podniku nebo organizátorovi trhu</w:t>
            </w:r>
            <w:r>
              <w:t xml:space="preserve"> provozujícímu systém DLT MTF může být na jeho žádost povoleno přijmout k obchodování převoditelné cenné papíry vedené na DLT, které jsou místo v centrálním depozitáři v souladu s čl. 3 odst. 2 nařízení (EU) č. 909/2014 zaevidovány </w:t>
            </w:r>
            <w:r>
              <w:rPr>
                <w:b/>
                <w:i/>
                <w:strike w:val="0"/>
                <w:color w:val="auto"/>
                <w:highlight w:val="none"/>
                <w:u w:val="none" w:color="auto"/>
                <w:vertAlign w:val="baseline"/>
              </w:rPr>
              <w:t>ve sdíleném registru systému</w:t>
            </w:r>
            <w:r>
              <w:t xml:space="preserve"> DLT MTF.</w:t>
            </w:r>
          </w:p>
        </w:tc>
        <w:tc>
          <w:tcPr>
            <w:tcW w:w="4876" w:type="dxa"/>
            <w:vAlign w:val="top"/>
          </w:tcPr>
          <w:p>
            <w:pPr>
              <w:pStyle w:val="Normal6a"/>
            </w:pPr>
            <w:r>
              <w:t>2.</w:t>
            </w:r>
            <w:r>
              <w:tab/>
            </w:r>
            <w:r>
              <w:rPr>
                <w:b/>
                <w:i/>
                <w:strike w:val="0"/>
                <w:color w:val="auto"/>
                <w:highlight w:val="none"/>
                <w:u w:val="none" w:color="auto"/>
                <w:vertAlign w:val="baseline"/>
              </w:rPr>
              <w:t>Subjektu</w:t>
            </w:r>
            <w:r>
              <w:t xml:space="preserve"> provozujícímu systém DLT MTF může být na jeho žádost povoleno přijmout k obchodování převoditelné cenné papíry vedené na DLT, které jsou místo v centrálním depozitáři v souladu s čl. 3 odst. 2 nařízení (EU) č. 909/2014 zaevidovány </w:t>
            </w:r>
            <w:r>
              <w:rPr>
                <w:b/>
                <w:i/>
                <w:strike w:val="0"/>
                <w:color w:val="auto"/>
                <w:highlight w:val="none"/>
                <w:u w:val="none" w:color="auto"/>
                <w:vertAlign w:val="baseline"/>
              </w:rPr>
              <w:t>v distribuované účetní knize používané systémem</w:t>
            </w:r>
            <w:r>
              <w:t xml:space="preserve">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 pro nové účastníky na trhu &amp; technologická neutralita ve vztahu k pvlastním a veřejným distribuovaným účetním knihám</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2.</w:t>
            </w:r>
            <w:r>
              <w:tab/>
            </w:r>
            <w:r>
              <w:t xml:space="preserve">Investičnímu podniku nebo organizátorovi trhu provozujícímu systém DLT MTF může být na jeho žádost povoleno přijmout k obchodování převoditelné cenné papíry vedené na DLT, které jsou místo v centrálním depozitáři v souladu s čl. 3 odst. 2 nařízení (EU) č. 909/2014 zaevidovány ve sdíleném registru </w:t>
            </w:r>
            <w:r>
              <w:rPr>
                <w:b/>
                <w:i/>
                <w:strike w:val="0"/>
                <w:color w:val="auto"/>
                <w:highlight w:val="none"/>
                <w:u w:val="none" w:color="auto"/>
                <w:vertAlign w:val="baseline"/>
              </w:rPr>
              <w:t>systému</w:t>
            </w:r>
            <w:r>
              <w:t xml:space="preserve"> DLT MTF.</w:t>
            </w:r>
          </w:p>
        </w:tc>
        <w:tc>
          <w:tcPr>
            <w:tcW w:w="4876" w:type="dxa"/>
            <w:vAlign w:val="top"/>
          </w:tcPr>
          <w:p>
            <w:pPr>
              <w:pStyle w:val="Normal6a"/>
            </w:pPr>
            <w:r>
              <w:t>2.</w:t>
            </w:r>
            <w:r>
              <w:tab/>
            </w:r>
            <w:r>
              <w:t xml:space="preserve">Investičnímu podniku nebo organizátorovi trhu provozujícímu systém DLT MTF může být na jeho žádost povoleno přijmout k obchodování převoditelné cenné papíry vedené na DLT, které jsou místo v centrálním depozitáři v souladu s čl. 3 odst. 2 nařízení (EU) č. 909/2014 zaevidovány ve sdíleném registru </w:t>
            </w:r>
            <w:r>
              <w:rPr>
                <w:b/>
                <w:i/>
                <w:strike w:val="0"/>
                <w:color w:val="auto"/>
                <w:highlight w:val="none"/>
                <w:u w:val="none" w:color="auto"/>
                <w:vertAlign w:val="baseline"/>
              </w:rPr>
              <w:t>používaném systémem</w:t>
            </w:r>
            <w:r>
              <w:t xml:space="preserve">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309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b/>
                <w:i/>
                <w:strike w:val="0"/>
                <w:color w:val="auto"/>
                <w:highlight w:val="none"/>
                <w:u w:val="none" w:color="auto"/>
                <w:vertAlign w:val="baseline"/>
              </w:rPr>
              <w:t>Investiční podnik nebo organizátor trhu</w:t>
            </w:r>
            <w:r>
              <w:t xml:space="preserve"> žádající o výjimku podle odstavce 1 navrhne kompenzační opatření ke splnění cílů sledovaných ustanoveními, z nichž je výjimka požadována, a zajistí přinejmenším:</w:t>
            </w:r>
          </w:p>
        </w:tc>
        <w:tc>
          <w:tcPr>
            <w:tcW w:w="4876" w:type="dxa"/>
            <w:vAlign w:val="top"/>
          </w:tcPr>
          <w:p>
            <w:pPr>
              <w:pStyle w:val="Normal6a"/>
            </w:pPr>
            <w:r>
              <w:rPr>
                <w:b/>
                <w:i/>
                <w:strike w:val="0"/>
                <w:color w:val="auto"/>
                <w:highlight w:val="none"/>
                <w:u w:val="none" w:color="auto"/>
                <w:vertAlign w:val="baseline"/>
              </w:rPr>
              <w:t>Subjekt</w:t>
            </w:r>
            <w:r>
              <w:t xml:space="preserve"> žádající o výjimku podle odstavce 1 navrhne kompenzační opatření ke splnění cílů sledovaných ustanoveními, z nichž je výjimka požadována, a zajistí přinejmenším:</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 xml:space="preserve">aby systém DLT MTF vedl evidenci, která umožňuje </w:t>
            </w:r>
            <w:r>
              <w:rPr>
                <w:b/>
                <w:i/>
                <w:strike w:val="0"/>
                <w:color w:val="auto"/>
                <w:highlight w:val="none"/>
                <w:u w:val="none" w:color="auto"/>
                <w:vertAlign w:val="baseline"/>
              </w:rPr>
              <w:t>investičnímu podniku nebo organizátorovi trhu</w:t>
            </w:r>
            <w:r>
              <w:t xml:space="preserve"> provozujícímu systém DLT MTF kdykoli okamžitě oddělit převoditelné cenné papíry vedené na DLT patřící členovi, účastníkovi, emitentovi nebo klientovi od cenných papírů patřících jakémukoli jinému členovi, účastníkovi, emitentovi nebo klientovi.</w:t>
            </w:r>
          </w:p>
        </w:tc>
        <w:tc>
          <w:tcPr>
            <w:tcW w:w="4876" w:type="dxa"/>
            <w:vAlign w:val="top"/>
          </w:tcPr>
          <w:p>
            <w:pPr>
              <w:pStyle w:val="Normal6a"/>
            </w:pPr>
            <w:r>
              <w:t>c)</w:t>
            </w:r>
            <w:r>
              <w:tab/>
            </w:r>
            <w:r>
              <w:t xml:space="preserve">aby systém DLT MTF vedl evidenci, která umožňuje </w:t>
            </w:r>
            <w:r>
              <w:rPr>
                <w:b/>
                <w:i/>
                <w:strike w:val="0"/>
                <w:color w:val="auto"/>
                <w:highlight w:val="none"/>
                <w:u w:val="none" w:color="auto"/>
                <w:vertAlign w:val="baseline"/>
              </w:rPr>
              <w:t>subjektu</w:t>
            </w:r>
            <w:r>
              <w:t xml:space="preserve"> provozujícímu systém DLT MTF kdykoli okamžitě oddělit převoditelné cenné papíry vedené na DLT patřící členovi, účastníkovi, emitentovi nebo klientovi od cenných papírů patřících jakémukoli jinému členovi, účastníkovi, emitentovi nebo klientovi.</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1 – písm. c a (nové)</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ca)</w:t>
            </w:r>
            <w:r>
              <w:tab/>
            </w:r>
            <w:r>
              <w:rPr>
                <w:b/>
                <w:i/>
                <w:strike w:val="0"/>
                <w:color w:val="auto"/>
                <w:highlight w:val="none"/>
                <w:u w:val="none" w:color="auto"/>
                <w:vertAlign w:val="baseline"/>
              </w:rPr>
              <w:t>že provoz systému DLT MTF nemá vliv na provoz a spolehlivost jakéhokoli jiného mnohostranného obchodního systému provozovaného provozovatelem systému DLT MTF, například pokud se jeden nebo více subjektů účastní jak pravidelného MTF, tak DLT MTF provozovaného stejným provozovatelem.</w:t>
            </w:r>
            <w:r>
              <w:t xml:space="preserve"> </w:t>
            </w:r>
            <w:r>
              <w:rPr>
                <w:b/>
                <w:i/>
                <w:strike w:val="0"/>
                <w:color w:val="auto"/>
                <w:highlight w:val="none"/>
                <w:u w:val="none" w:color="auto"/>
                <w:vertAlign w:val="baseline"/>
              </w:rPr>
              <w:t>Za těchto okolností provozovatel systému DLT MTF jasně vysvětlí rizika platební neschopnosti a neodvolatelnosti zúčtování, jimž jsou jeho účastníci vystaveni, jakož i veškerá opatření, která byla zavedena za účelem zmírnění těchto rizik.</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Navrhuje se začlenit druhou poznámku v bodě 3.4 „Stanoviska ECB k pilotnímu režimu DLT“ ze dne 28. dubna, aby se zajistilo účelové vázání mnohostranného obchodního systému DLT v případě, že jejich provozovatel provozuje i jiné mnohostranné obchodní systémy.</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systém DLT MTF nepodal žádost o výjimku v souladu s prvním pododstavcem, zaevidují se cenné papíry vedené na DLT buď formou zápisu do evidence centrálního depozitáře, nebo </w:t>
            </w:r>
            <w:r>
              <w:rPr>
                <w:b/>
                <w:i/>
                <w:strike w:val="0"/>
                <w:color w:val="auto"/>
                <w:highlight w:val="none"/>
                <w:u w:val="none" w:color="auto"/>
                <w:vertAlign w:val="baseline"/>
              </w:rPr>
              <w:t>na technologii</w:t>
            </w:r>
            <w:r>
              <w:t xml:space="preserve"> sdíleného registru </w:t>
            </w:r>
            <w:r>
              <w:rPr>
                <w:b/>
                <w:i/>
                <w:strike w:val="0"/>
                <w:color w:val="auto"/>
                <w:highlight w:val="none"/>
                <w:u w:val="none" w:color="auto"/>
                <w:vertAlign w:val="baseline"/>
              </w:rPr>
              <w:t>u centrálního depozitáře provozujícího</w:t>
            </w:r>
            <w:r>
              <w:t xml:space="preserve"> systém vypořádání obchodů s cennými papíry vedenými na DLT.</w:t>
            </w:r>
          </w:p>
        </w:tc>
        <w:tc>
          <w:tcPr>
            <w:tcW w:w="4876" w:type="dxa"/>
            <w:vAlign w:val="top"/>
          </w:tcPr>
          <w:p>
            <w:pPr>
              <w:pStyle w:val="Normal6a"/>
            </w:pPr>
            <w:r>
              <w:t xml:space="preserve">Pokud systém DLT MTF nepodal žádost o výjimku v souladu s prvním pododstavcem, zaevidují se cenné papíry vedené na DLT buď formou zápisu do evidence centrálního depozitáře, nebo </w:t>
            </w:r>
            <w:r>
              <w:rPr>
                <w:b/>
                <w:i/>
                <w:strike w:val="0"/>
                <w:color w:val="auto"/>
                <w:highlight w:val="none"/>
                <w:u w:val="none" w:color="auto"/>
                <w:vertAlign w:val="baseline"/>
              </w:rPr>
              <w:t>do</w:t>
            </w:r>
            <w:r>
              <w:t xml:space="preserve"> sdíleného registru </w:t>
            </w:r>
            <w:r>
              <w:rPr>
                <w:b/>
                <w:i/>
                <w:strike w:val="0"/>
                <w:color w:val="auto"/>
                <w:highlight w:val="none"/>
                <w:u w:val="none" w:color="auto"/>
                <w:vertAlign w:val="baseline"/>
              </w:rPr>
              <w:t>používaného centrálním depozitářem provozujícím</w:t>
            </w:r>
            <w:r>
              <w:t xml:space="preserve"> systém vypořádání obchodů s cennými papíry vedenými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2 – pododstavec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w:t>
            </w:r>
            <w:r>
              <w:rPr>
                <w:b/>
                <w:i/>
                <w:strike w:val="0"/>
                <w:color w:val="auto"/>
                <w:highlight w:val="none"/>
                <w:u w:val="none" w:color="auto"/>
                <w:vertAlign w:val="baseline"/>
              </w:rPr>
              <w:t>systém</w:t>
            </w:r>
            <w:r>
              <w:t xml:space="preserve"> DLT MTF nepodal žádost o výjimku v souladu s prvním pododstavcem, zaevidují se cenné papíry vedené na DLT buď formou zápisu do evidence centrálního depozitáře, nebo na technologii sdíleného registru u centrálního depozitáře provozujícího systém </w:t>
            </w:r>
            <w:r>
              <w:rPr>
                <w:b/>
                <w:i/>
                <w:strike w:val="0"/>
                <w:color w:val="auto"/>
                <w:highlight w:val="none"/>
                <w:u w:val="none" w:color="auto"/>
                <w:vertAlign w:val="baseline"/>
              </w:rPr>
              <w:t>vypořádání obchodů s cennými papíry vedenými na DLT</w:t>
            </w:r>
            <w:r>
              <w:t>.</w:t>
            </w:r>
          </w:p>
        </w:tc>
        <w:tc>
          <w:tcPr>
            <w:tcW w:w="4876" w:type="dxa"/>
            <w:vAlign w:val="top"/>
          </w:tcPr>
          <w:p>
            <w:pPr>
              <w:pStyle w:val="Normal6a"/>
            </w:pPr>
            <w:r>
              <w:t xml:space="preserve">Pokud </w:t>
            </w:r>
            <w:r>
              <w:rPr>
                <w:b/>
                <w:i/>
                <w:strike w:val="0"/>
                <w:color w:val="auto"/>
                <w:highlight w:val="none"/>
                <w:u w:val="none" w:color="auto"/>
                <w:vertAlign w:val="baseline"/>
              </w:rPr>
              <w:t>provozovatel systému</w:t>
            </w:r>
            <w:r>
              <w:t xml:space="preserve"> DLT MTF nepodal žádost o výjimku v souladu s prvním pododstavcem, zaevidují se cenné papíry vedené na DLT buď formou zápisu do evidence centrálního depozitáře, nebo na technologii sdíleného registru u centrálního depozitáře provozujícího systém </w:t>
            </w:r>
            <w:r>
              <w:rPr>
                <w:b/>
                <w:i/>
                <w:strike w:val="0"/>
                <w:color w:val="auto"/>
                <w:highlight w:val="none"/>
                <w:u w:val="none" w:color="auto"/>
                <w:vertAlign w:val="baseline"/>
              </w:rPr>
              <w:t>DLT SSS</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Žádost o výjimku podává provozovatel systému DLT MTF v prvním pododstavci (a nikoli DLT MTF).</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Pokud investiční podnik nebo organizátor trhu provozující systém DLT MTF požádal o </w:t>
            </w:r>
            <w:r>
              <w:rPr>
                <w:b/>
                <w:i/>
                <w:strike w:val="0"/>
                <w:color w:val="auto"/>
                <w:highlight w:val="none"/>
                <w:u w:val="none" w:color="auto"/>
                <w:vertAlign w:val="baseline"/>
              </w:rPr>
              <w:t>výjimku</w:t>
            </w:r>
            <w:r>
              <w:t xml:space="preserve"> podle odstavce 2, zajistí prostřednictvím spolehlivých postupů a opatření, aby systém DLT MTF:</w:t>
            </w:r>
          </w:p>
        </w:tc>
        <w:tc>
          <w:tcPr>
            <w:tcW w:w="4876" w:type="dxa"/>
            <w:vAlign w:val="top"/>
          </w:tcPr>
          <w:p>
            <w:pPr>
              <w:pStyle w:val="Normal6a"/>
            </w:pPr>
            <w:r>
              <w:t>3.</w:t>
            </w:r>
            <w:r>
              <w:tab/>
            </w:r>
            <w:r>
              <w:t>Pokud investiční podnik nebo organizátor trhu provozující systém DLT MTF požádal o </w:t>
            </w:r>
            <w:r>
              <w:rPr>
                <w:b/>
                <w:i/>
                <w:strike w:val="0"/>
                <w:color w:val="auto"/>
                <w:highlight w:val="none"/>
                <w:u w:val="none" w:color="auto"/>
                <w:vertAlign w:val="baseline"/>
              </w:rPr>
              <w:t>povolení</w:t>
            </w:r>
            <w:r>
              <w:t xml:space="preserve"> podle odstavce 2, zajistí </w:t>
            </w:r>
            <w:r>
              <w:rPr>
                <w:b/>
                <w:i/>
                <w:strike w:val="0"/>
                <w:color w:val="auto"/>
                <w:highlight w:val="none"/>
                <w:u w:val="none" w:color="auto"/>
                <w:vertAlign w:val="baseline"/>
              </w:rPr>
              <w:t>soulad se všemi požadavky vztahujícími se na centrální depozitář provozující DLT podle nařízení (EU) č. 909/2014 způsobem přiměřeným povaze, rozsahu a rizikům jeho činnosti a </w:t>
            </w:r>
            <w:r>
              <w:t xml:space="preserve">prostřednictvím spolehlivých postupů a opatření </w:t>
            </w:r>
            <w:r>
              <w:rPr>
                <w:b/>
                <w:i/>
                <w:strike w:val="0"/>
                <w:color w:val="auto"/>
                <w:highlight w:val="none"/>
                <w:u w:val="none" w:color="auto"/>
                <w:vertAlign w:val="baseline"/>
              </w:rPr>
              <w:t>zajistí</w:t>
            </w:r>
            <w:r>
              <w:t>, aby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Zajistit odpovídající soulad se zárukami uplatňovanými na služby centrálních depozitářů podle právních předpisů Unie a zachovat rovné podmínky pro různé tržní infrastruktury DLT. Viz také stanovisko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3.</w:t>
            </w:r>
            <w:r>
              <w:tab/>
            </w:r>
            <w:r>
              <w:t xml:space="preserve">Pokud </w:t>
            </w:r>
            <w:r>
              <w:rPr>
                <w:b/>
                <w:i/>
                <w:strike w:val="0"/>
                <w:color w:val="auto"/>
                <w:highlight w:val="none"/>
                <w:u w:val="none" w:color="auto"/>
                <w:vertAlign w:val="baseline"/>
              </w:rPr>
              <w:t>investiční podnik nebo organizátor trhu</w:t>
            </w:r>
            <w:r>
              <w:t xml:space="preserve"> provozující systém DLT MTF požádal o výjimku podle odstavce 2, zajistí prostřednictvím spolehlivých postupů a opatření, aby systém DLT MTF:</w:t>
            </w:r>
          </w:p>
        </w:tc>
        <w:tc>
          <w:tcPr>
            <w:tcW w:w="4876" w:type="dxa"/>
            <w:vAlign w:val="top"/>
          </w:tcPr>
          <w:p>
            <w:pPr>
              <w:pStyle w:val="Normal6a"/>
            </w:pPr>
            <w:r>
              <w:t>3.</w:t>
            </w:r>
            <w:r>
              <w:tab/>
            </w:r>
            <w:r>
              <w:t>Pokud </w:t>
            </w:r>
            <w:r>
              <w:rPr>
                <w:b/>
                <w:i/>
                <w:strike w:val="0"/>
                <w:color w:val="auto"/>
                <w:highlight w:val="none"/>
                <w:u w:val="none" w:color="auto"/>
                <w:vertAlign w:val="baseline"/>
              </w:rPr>
              <w:t>subjekt</w:t>
            </w:r>
            <w:r>
              <w:t xml:space="preserve"> provozující systém DLT MTF požádal o výjimku podle odstavce 2, zajistí prostřednictvím spolehlivých postupů a opatření, aby systém DLT MTF:</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zaručoval, že počet převoditelných cenných papírů vedených na DLT v emisi nebo v části emise přijaté investičním podnikem nebo organizátorem trhu provozujícím systém DLT </w:t>
            </w:r>
            <w:r>
              <w:rPr>
                <w:b/>
                <w:i/>
                <w:strike w:val="0"/>
                <w:color w:val="auto"/>
                <w:highlight w:val="none"/>
                <w:u w:val="none" w:color="auto"/>
                <w:vertAlign w:val="baseline"/>
              </w:rPr>
              <w:t>MTF je</w:t>
            </w:r>
            <w:r>
              <w:t xml:space="preserve"> kdykoli roven součtu převoditelných cenných papírů vedených na DLT tvořících takovou emisi nebo část emise zaevidovaných na DLT;</w:t>
            </w:r>
          </w:p>
        </w:tc>
        <w:tc>
          <w:tcPr>
            <w:tcW w:w="4876" w:type="dxa"/>
            <w:vAlign w:val="top"/>
          </w:tcPr>
          <w:p>
            <w:pPr>
              <w:pStyle w:val="Normal6a"/>
            </w:pPr>
            <w:r>
              <w:t>a)</w:t>
            </w:r>
            <w:r>
              <w:tab/>
            </w:r>
            <w:r>
              <w:t>zaručoval, že </w:t>
            </w:r>
            <w:r>
              <w:rPr>
                <w:b/>
                <w:i/>
                <w:strike w:val="0"/>
                <w:color w:val="auto"/>
                <w:highlight w:val="none"/>
                <w:u w:val="none" w:color="auto"/>
                <w:vertAlign w:val="baseline"/>
              </w:rPr>
              <w:t>v souladu s čl. 37 odst. 2 a 3 nařízení (EU) č. 909/2014 zaručuje je</w:t>
            </w:r>
            <w:r>
              <w:t xml:space="preserve"> počet převoditelných cenných papírů vedených na DLT v emisi nebo v části emise přijaté investičním podnikem nebo organizátorem trhu provozujícím systém DLT </w:t>
            </w:r>
            <w:r>
              <w:rPr>
                <w:b/>
                <w:i/>
                <w:strike w:val="0"/>
                <w:color w:val="auto"/>
                <w:highlight w:val="none"/>
                <w:u w:val="none" w:color="auto"/>
                <w:vertAlign w:val="baseline"/>
              </w:rPr>
              <w:t>TSS</w:t>
            </w:r>
            <w:r>
              <w:t xml:space="preserve"> kdykoli roven součtu převoditelných cenných papírů vedených na DLT tvořících takovou emisi nebo část emise zaevidovaných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 Obavy ECB ohledně nerovných podmínek mezi systémem DLT MTF, který poskytuje základní služby centrálních depozitářů cenných papírů, a DLT SSS řeší zavedení koncepce DLT TSS. Je však důležité v tomto článku dále vyjasnit, že požadavky na poskytování základních služeb centrálního depozitáře provozovatelem tržní infrastruktury DLT by měly být sladěny s příslušnými ustanoveními nařízení (EU) č. 909/2014.</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zaručoval, že počet převoditelných cenných papírů vedených na DLT v emisi nebo v části emise přijaté investičním podnikem nebo organizátorem trhu provozujícím systém DLT MTF </w:t>
            </w:r>
            <w:r>
              <w:rPr>
                <w:b/>
                <w:i/>
                <w:strike w:val="0"/>
                <w:color w:val="auto"/>
                <w:highlight w:val="none"/>
                <w:u w:val="none" w:color="auto"/>
                <w:vertAlign w:val="baseline"/>
              </w:rPr>
              <w:t>je</w:t>
            </w:r>
            <w:r>
              <w:t xml:space="preserve"> kdykoli roven součtu převoditelných cenných papírů vedených na DLT tvořících takovou emisi nebo část emise zaevidovaných na DLT;</w:t>
            </w:r>
          </w:p>
        </w:tc>
        <w:tc>
          <w:tcPr>
            <w:tcW w:w="4876" w:type="dxa"/>
            <w:vAlign w:val="top"/>
          </w:tcPr>
          <w:p>
            <w:pPr>
              <w:pStyle w:val="Normal6a"/>
            </w:pPr>
            <w:r>
              <w:t>a)</w:t>
            </w:r>
            <w:r>
              <w:tab/>
            </w:r>
            <w:r>
              <w:t>zaručoval, že </w:t>
            </w:r>
            <w:r>
              <w:rPr>
                <w:b/>
                <w:i/>
                <w:strike w:val="0"/>
                <w:color w:val="auto"/>
                <w:highlight w:val="none"/>
                <w:u w:val="none" w:color="auto"/>
                <w:vertAlign w:val="baseline"/>
              </w:rPr>
              <w:t>v souladu s čl. 37 odst. 2 a 3 nařízení (EU) č. 909/2014 je</w:t>
            </w:r>
            <w:r>
              <w:t xml:space="preserve"> počet převoditelných cenných papírů vedených na DLT v emisi nebo v části emise přijaté investičním podnikem nebo organizátorem trhu provozujícím systém DLT MTF kdykoli roven součtu převoditelných cenných papírů vedených na DLT tvořících takovou emisi nebo část emise zaevidovaných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a</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a)</w:t>
            </w:r>
            <w:r>
              <w:tab/>
            </w:r>
            <w:r>
              <w:t xml:space="preserve">zaručoval, že počet převoditelných cenných papírů vedených na DLT v emisi nebo v části emise přijaté </w:t>
            </w:r>
            <w:r>
              <w:rPr>
                <w:b/>
                <w:i/>
                <w:strike w:val="0"/>
                <w:color w:val="auto"/>
                <w:highlight w:val="none"/>
                <w:u w:val="none" w:color="auto"/>
                <w:vertAlign w:val="baseline"/>
              </w:rPr>
              <w:t>investičním podnikem nebo organizátorem trhu</w:t>
            </w:r>
            <w:r>
              <w:t xml:space="preserve"> provozujícím systém DLT MTF je kdykoli roven součtu převoditelných cenných papírů vedených na DLT tvořících takovou emisi nebo část emise zaevidovaných na DLT;</w:t>
            </w:r>
          </w:p>
        </w:tc>
        <w:tc>
          <w:tcPr>
            <w:tcW w:w="4876" w:type="dxa"/>
            <w:vAlign w:val="top"/>
          </w:tcPr>
          <w:p>
            <w:pPr>
              <w:pStyle w:val="Normal6a"/>
            </w:pPr>
            <w:r>
              <w:t>a)</w:t>
            </w:r>
            <w:r>
              <w:tab/>
            </w:r>
            <w:r>
              <w:t>zaručoval, že počet převoditelných cenných papírů vedených na DLT v emisi nebo v části emise přijaté </w:t>
            </w:r>
            <w:r>
              <w:rPr>
                <w:b/>
                <w:i/>
                <w:strike w:val="0"/>
                <w:color w:val="auto"/>
                <w:highlight w:val="none"/>
                <w:u w:val="none" w:color="auto"/>
                <w:vertAlign w:val="baseline"/>
              </w:rPr>
              <w:t>subjektem</w:t>
            </w:r>
            <w:r>
              <w:t xml:space="preserve"> provozujícím systém DLT MTF je kdykoli roven součtu převoditelných cenných papírů vedených na DLT tvořících takovou emisi nebo část emise zaevidovaných na DLT;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319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poskytoval 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w:t>
            </w:r>
          </w:p>
        </w:tc>
        <w:tc>
          <w:tcPr>
            <w:tcW w:w="4876" w:type="dxa"/>
            <w:vAlign w:val="top"/>
          </w:tcPr>
          <w:p>
            <w:pPr>
              <w:pStyle w:val="Normal6a"/>
            </w:pPr>
            <w:r>
              <w:t>d)</w:t>
            </w:r>
            <w:r>
              <w:tab/>
            </w:r>
            <w:r>
              <w:t>poskytoval </w:t>
            </w:r>
            <w:r>
              <w:rPr>
                <w:b/>
                <w:i/>
                <w:strike w:val="0"/>
                <w:color w:val="auto"/>
                <w:highlight w:val="none"/>
                <w:u w:val="none" w:color="auto"/>
                <w:vertAlign w:val="baseline"/>
              </w:rPr>
              <w:t>v souladu s čl. 39 odst. 5 nařízení (EU) č. 909/2014</w:t>
            </w:r>
            <w:r>
              <w:t xml:space="preserve"> 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 Obavy ECB ohledně nerovných podmínek mezi DLT MTF, který poskytuje základní služby centrálních depozitářů cenných papírů, a DLT SSS řeší zavedení koncepce DLT TSS. Je však důležité v tomto článku dále vyjasnit, že požadavky na poskytování základních služeb centrálního depozitáře provozovatelem tržní infrastruktury DLT by měly být sladěny s příslušnými ustanoveními nařízení (EU) č. 909/2014.</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poskytoval 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w:t>
            </w:r>
          </w:p>
        </w:tc>
        <w:tc>
          <w:tcPr>
            <w:tcW w:w="4876" w:type="dxa"/>
            <w:vAlign w:val="top"/>
          </w:tcPr>
          <w:p>
            <w:pPr>
              <w:pStyle w:val="Normal6a"/>
            </w:pPr>
            <w:r>
              <w:t>d)</w:t>
            </w:r>
            <w:r>
              <w:tab/>
            </w:r>
            <w:r>
              <w:t xml:space="preserve">poskytoval </w:t>
            </w:r>
            <w:r>
              <w:rPr>
                <w:b/>
                <w:i/>
                <w:strike w:val="0"/>
                <w:color w:val="auto"/>
                <w:highlight w:val="none"/>
                <w:u w:val="none" w:color="auto"/>
                <w:vertAlign w:val="baseline"/>
              </w:rPr>
              <w:t>v souladu s čl. 39 odst. 5 nařízení (EU) č. 909/2014 </w:t>
            </w:r>
            <w:r>
              <w:t>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d</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d)</w:t>
            </w:r>
            <w:r>
              <w:tab/>
            </w:r>
            <w:r>
              <w:t>poskytoval 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w:t>
            </w:r>
          </w:p>
        </w:tc>
        <w:tc>
          <w:tcPr>
            <w:tcW w:w="4876" w:type="dxa"/>
            <w:vAlign w:val="top"/>
          </w:tcPr>
          <w:p>
            <w:pPr>
              <w:pStyle w:val="Normal6a"/>
            </w:pPr>
            <w:r>
              <w:t>d)</w:t>
            </w:r>
            <w:r>
              <w:tab/>
            </w:r>
            <w:r>
              <w:t xml:space="preserve">poskytoval jasné, přesné a včasné informace týkající se vypořádání transakcí, včetně informací o neodvolatelnosti vypořádání, a to vymezením okamžiku, od kterého člen, účastník, emitent nebo klient nesmějí odvolat převodní příkazy nebo jiné, předem identifikované pokyny </w:t>
            </w:r>
            <w:r>
              <w:rPr>
                <w:b/>
                <w:i/>
                <w:strike w:val="0"/>
                <w:color w:val="auto"/>
                <w:highlight w:val="none"/>
                <w:u w:val="none" w:color="auto"/>
                <w:vertAlign w:val="baseline"/>
              </w:rPr>
              <w:t>v souladu s článkem 39 nařízení (EU) č. 909/2014</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f – bod 1</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Vypořádání </w:t>
            </w:r>
            <w:r>
              <w:rPr>
                <w:b/>
                <w:i/>
                <w:strike w:val="0"/>
                <w:color w:val="auto"/>
                <w:highlight w:val="none"/>
                <w:u w:val="none" w:color="auto"/>
                <w:vertAlign w:val="baseline"/>
              </w:rPr>
              <w:t>plateb</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c>
          <w:tcPr>
            <w:tcW w:w="4876" w:type="dxa"/>
            <w:vAlign w:val="top"/>
          </w:tcPr>
          <w:p>
            <w:pPr>
              <w:pStyle w:val="Normal6a"/>
            </w:pPr>
            <w:r>
              <w:t xml:space="preserve">Vypořádání </w:t>
            </w:r>
            <w:r>
              <w:rPr>
                <w:b/>
                <w:i/>
                <w:strike w:val="0"/>
                <w:color w:val="auto"/>
                <w:highlight w:val="none"/>
                <w:u w:val="none" w:color="auto"/>
                <w:vertAlign w:val="baseline"/>
              </w:rPr>
              <w:t>platební komponenty</w:t>
            </w:r>
            <w:r>
              <w:t xml:space="preserve"> lze provádět prostřednictvím peněz centrální banky, pokud je to možné a dostupné, nebo pokud to možné a dostupné není, prostřednictvím peněz komerčních bank, včetně peněz komerčních bank v tokenizované podobě, nebo v podobě elektronických peněžních tokenů.</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f – bod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Pokud k vypořádání dochází prostřednictvím peněz komerčních bank nebo elektronických peněžních tokenů, musí investiční podnik nebo organizátor trhu provozující systém DLT MTF identifikovat, vyhodnocovat, sledovat, řídit a minimalizovat všechna rizika protistrany vyplývající z použití těchto peněz</w:t>
            </w:r>
            <w:r>
              <w:rPr>
                <w:b/>
                <w:i/>
                <w:strike w:val="0"/>
                <w:color w:val="auto"/>
                <w:highlight w:val="none"/>
                <w:u w:val="none" w:color="auto"/>
                <w:vertAlign w:val="baseline"/>
              </w:rPr>
              <w:t>, a</w:t>
            </w:r>
          </w:p>
        </w:tc>
        <w:tc>
          <w:tcPr>
            <w:tcW w:w="4876" w:type="dxa"/>
            <w:vAlign w:val="top"/>
          </w:tcPr>
          <w:p>
            <w:pPr>
              <w:pStyle w:val="Normal6a"/>
            </w:pPr>
            <w:r>
              <w:t>Pokud k vypořádání dochází prostřednictvím peněz komerčních bank nebo elektronických peněžních tokenů, musí investiční podnik nebo organizátor trhu provozující systém DLT MTF identifikovat, vyhodnocovat, sledovat, řídit a minimalizovat všechna rizika protistrany vyplývající z použití těchto peněz</w:t>
            </w:r>
            <w:r>
              <w:rPr>
                <w:b/>
                <w:i/>
                <w:strike w:val="0"/>
                <w:color w:val="auto"/>
                <w:highlight w:val="none"/>
                <w:u w:val="none" w:color="auto"/>
                <w:vertAlign w:val="baseline"/>
              </w:rPr>
              <w:t>.</w:t>
            </w:r>
            <w:r>
              <w:t xml:space="preserve"> </w:t>
            </w:r>
            <w:r>
              <w:rPr>
                <w:b/>
                <w:i/>
                <w:strike w:val="0"/>
                <w:color w:val="auto"/>
                <w:highlight w:val="none"/>
                <w:u w:val="none" w:color="auto"/>
                <w:vertAlign w:val="baseline"/>
              </w:rPr>
              <w:t>Pokud k vypořádání platební komponenty dochází prostřednictvím elektronických peněžních tokenů, mohou účastníci systému DLT MTF otevřít účty přímo u systému DLT MTF pro účely vypořádání platební komponenty v elektronických peněžních tokenech, nebo může systém DLT MTF a jeho účastníci otevřít účet u třetí strany poskytující služby týkající se elektronických peněžních tokenů.</w:t>
            </w:r>
            <w:r>
              <w:t xml:space="preserve"> </w:t>
            </w:r>
            <w:r>
              <w:rPr>
                <w:b/>
                <w:i/>
                <w:strike w:val="0"/>
                <w:color w:val="auto"/>
                <w:highlight w:val="none"/>
                <w:u w:val="none" w:color="auto"/>
                <w:vertAlign w:val="baseline"/>
              </w:rPr>
              <w:t>V těchto případech je DLT MTF nebo třetí strana emitentem elektronických peněžních tokenů a zajistí, aby vypořádání platební komponenty probíhalo v elektronických peněžních tokenech.</w:t>
            </w:r>
            <w:r>
              <w:t xml:space="preserve"> </w:t>
            </w:r>
            <w:r>
              <w:rPr>
                <w:b/>
                <w:i/>
                <w:strike w:val="0"/>
                <w:color w:val="auto"/>
                <w:highlight w:val="none"/>
                <w:u w:val="none" w:color="auto"/>
                <w:vertAlign w:val="baseline"/>
              </w:rPr>
              <w:t>Vzhledem k tomu, že elektronické peněžní tokeny mohou vydávat pouze úvěrové instituce nebo instituce elektronických peněz podle nařízení č. 2021/XX o trzích s kryptoaktivy, výjimka stanovená tímto nařízením, pokud jde o ustanovení o hotovostním vypořádání obsažená v nařízení (EU) č. 909/2014 (CSDR), osvobozuje systém DLT MTF nebo třetí stranu, která vydává elektronické peněžní tokeny a vypořádává platební komponentu transakcí s cennými papíry prostřednictvím vlastních účtů, od požadavků na udělování licencí podle nařízení č. 2021/XX o trzích s kryptoaktivy;</w:t>
            </w:r>
            <w:r>
              <w:t xml:space="preserve"> </w:t>
            </w:r>
            <w:r>
              <w:rPr>
                <w:b/>
                <w:i/>
                <w:strike w:val="0"/>
                <w:color w:val="auto"/>
                <w:highlight w:val="none"/>
                <w:u w:val="none" w:color="auto"/>
                <w:vertAlign w:val="baseline"/>
              </w:rPr>
              <w:t>a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Redakční poznámka. Dále se navrhuje začlenit bod 3.3.7 stanoviska ECB k pilotnímu režimu DLT ze dne 28. dubna, pokud jde o vypořádání v EMT.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f – bod 2</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 xml:space="preserve">Pokud k vypořádání dochází prostřednictvím peněz komerčních bank nebo elektronických peněžních tokenů, musí </w:t>
            </w:r>
            <w:r>
              <w:rPr>
                <w:b/>
                <w:i/>
                <w:strike w:val="0"/>
                <w:color w:val="auto"/>
                <w:highlight w:val="none"/>
                <w:u w:val="none" w:color="auto"/>
                <w:vertAlign w:val="baseline"/>
              </w:rPr>
              <w:t>investiční podnik nebo organizátor trhu</w:t>
            </w:r>
            <w:r>
              <w:t xml:space="preserve"> provozující systém DLT MTF identifikovat, vyhodnocovat, sledovat, řídit a minimalizovat všechna rizika protistrany vyplývající z použití těchto peněz</w:t>
            </w:r>
            <w:r>
              <w:rPr>
                <w:b/>
                <w:i/>
                <w:strike w:val="0"/>
                <w:color w:val="auto"/>
                <w:highlight w:val="none"/>
                <w:u w:val="none" w:color="auto"/>
                <w:vertAlign w:val="baseline"/>
              </w:rPr>
              <w:t>, a</w:t>
            </w:r>
          </w:p>
        </w:tc>
        <w:tc>
          <w:tcPr>
            <w:tcW w:w="4876" w:type="dxa"/>
            <w:vAlign w:val="top"/>
          </w:tcPr>
          <w:p>
            <w:pPr>
              <w:pStyle w:val="Normal6a"/>
            </w:pPr>
            <w:r>
              <w:t xml:space="preserve">Pokud k vypořádání dochází prostřednictvím peněz komerčních bank nebo elektronických peněžních tokenů, musí </w:t>
            </w:r>
            <w:r>
              <w:rPr>
                <w:b/>
                <w:i/>
                <w:strike w:val="0"/>
                <w:color w:val="auto"/>
                <w:highlight w:val="none"/>
                <w:u w:val="none" w:color="auto"/>
                <w:vertAlign w:val="baseline"/>
              </w:rPr>
              <w:t>subjekt</w:t>
            </w:r>
            <w:r>
              <w:t xml:space="preserve"> provozující systém DLT MTF identifikovat, vyhodnocovat, sledovat, řídit a minimalizovat všechna rizika protistrany vyplývající z použití těchto peněz</w:t>
            </w:r>
            <w:r>
              <w:rPr>
                <w:b/>
                <w:i/>
                <w:strike w:val="0"/>
                <w:color w:val="auto"/>
                <w:highlight w:val="none"/>
                <w:u w:val="none" w:color="auto"/>
                <w:vertAlign w:val="baseline"/>
              </w:rPr>
              <w:t>;</w:t>
            </w:r>
            <w:r>
              <w:t xml:space="preserve"> </w:t>
            </w:r>
            <w:r>
              <w:rPr>
                <w:b/>
                <w:i/>
                <w:strike w:val="0"/>
                <w:color w:val="auto"/>
                <w:highlight w:val="none"/>
                <w:u w:val="none" w:color="auto"/>
                <w:vertAlign w:val="baseline"/>
              </w:rPr>
              <w:t>a </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325</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Sven Giegold</w:t>
      </w:r>
      <w:r>
        <w:rPr>
          <w:rStyle w:val="HideTWBExt"/>
        </w:rPr>
        <w:t>&lt;/</w:t>
      </w:r>
      <w:r>
        <w:rPr>
          <w:rStyle w:val="HideTWBExt"/>
        </w:rPr>
        <w:t>Members</w:t>
      </w:r>
      <w:r>
        <w:rPr>
          <w:rStyle w:val="HideTWBExt"/>
        </w:rPr>
        <w:t>&gt;</w:t>
      </w:r>
    </w:p>
    <w:p>
      <w:r>
        <w:rPr>
          <w:rStyle w:val="HideTWBExt"/>
        </w:rPr>
        <w:t>&lt;</w:t>
      </w:r>
      <w:r>
        <w:rPr>
          <w:rStyle w:val="HideTWBExt"/>
        </w:rPr>
        <w:t>AuNomDe</w:t>
      </w:r>
      <w:r>
        <w:rPr>
          <w:rStyle w:val="HideTWBExt"/>
        </w:rPr>
        <w:t>&gt;</w:t>
      </w:r>
      <w:r>
        <w:rPr>
          <w:rStyle w:val="HideTWBInt"/>
        </w:rPr>
        <w:t>{</w:t>
      </w:r>
      <w:r>
        <w:rPr>
          <w:rStyle w:val="HideTWBInt"/>
        </w:rPr>
        <w:t>Greens/EFA</w:t>
      </w:r>
      <w:r>
        <w:rPr>
          <w:rStyle w:val="HideTWBInt"/>
        </w:rPr>
        <w:t>}</w:t>
      </w:r>
      <w:r>
        <w:t>za skupinu Verts/ALE</w:t>
      </w:r>
      <w:r>
        <w:rPr>
          <w:rStyle w:val="HideTWBExt"/>
        </w:rPr>
        <w:t>&lt;/</w:t>
      </w:r>
      <w:r>
        <w:rPr>
          <w:rStyle w:val="HideTWBExt"/>
        </w:rPr>
        <w:t>AuNomDe</w:t>
      </w:r>
      <w:r>
        <w:rPr>
          <w:rStyle w:val="HideTWBExt"/>
        </w:rPr>
        <w:t>&gt;</w:t>
      </w:r>
    </w:p>
    <w:p>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zabraňoval selhání vypořádání, nebo pokud to není možné, řešil jeho následky.</w:t>
            </w:r>
          </w:p>
        </w:tc>
        <w:tc>
          <w:tcPr>
            <w:tcW w:w="4876" w:type="dxa"/>
            <w:vAlign w:val="top"/>
          </w:tcPr>
          <w:p>
            <w:pPr>
              <w:pStyle w:val="Normal6a"/>
            </w:pPr>
            <w:r>
              <w:t>g)</w:t>
            </w:r>
            <w:r>
              <w:tab/>
            </w:r>
            <w:r>
              <w:t xml:space="preserve">zabraňoval selhání vypořádání, nebo pokud to není možné, řešil jeho následky </w:t>
            </w:r>
            <w:r>
              <w:rPr>
                <w:b/>
                <w:i/>
                <w:strike w:val="0"/>
                <w:color w:val="auto"/>
                <w:highlight w:val="none"/>
                <w:u w:val="none" w:color="auto"/>
                <w:vertAlign w:val="baseline"/>
              </w:rPr>
              <w:t>v souladu s články 6 a 7 nařízení (EU) č. 909/2014 a obdobně nařízením Komise v přenesené pravomoci (EU) 2018/1229</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326</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Jonás Fernández</w:t>
      </w:r>
      <w:r>
        <w:t xml:space="preserve">, </w:t>
      </w:r>
      <w:r>
        <w:t>Eero Heinäluoma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zabraňoval selhání vypořádání, nebo pokud to není možné, řešil jeho následky.</w:t>
            </w:r>
          </w:p>
        </w:tc>
        <w:tc>
          <w:tcPr>
            <w:tcW w:w="4876" w:type="dxa"/>
            <w:vAlign w:val="top"/>
          </w:tcPr>
          <w:p>
            <w:pPr>
              <w:pStyle w:val="Normal6a"/>
            </w:pPr>
            <w:r>
              <w:t>g)</w:t>
            </w:r>
            <w:r>
              <w:tab/>
            </w:r>
            <w:r>
              <w:t xml:space="preserve">zabraňoval selhání vypořádání, nebo pokud to není možné, řešil jeho následky </w:t>
            </w:r>
            <w:r>
              <w:rPr>
                <w:b/>
                <w:i/>
                <w:strike w:val="0"/>
                <w:color w:val="auto"/>
                <w:highlight w:val="none"/>
                <w:u w:val="none" w:color="auto"/>
                <w:vertAlign w:val="baseline"/>
              </w:rPr>
              <w:t>v souladu s článkem 7 nařízení (EU) č. 909/2014 a nařízením Komise v přenesené pravomoci (EU) 2018/1229</w:t>
            </w:r>
            <w:r>
              <w:rPr>
                <w:rStyle w:val="SupBoldItalic"/>
              </w:rPr>
              <w:t>1a</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1a</w:t>
            </w:r>
            <w:r>
              <w:t xml:space="preserve"> </w:t>
            </w:r>
            <w:r>
              <w:rPr>
                <w:b/>
                <w:i/>
                <w:strike w:val="0"/>
                <w:color w:val="auto"/>
                <w:highlight w:val="none"/>
                <w:u w:val="none" w:color="auto"/>
                <w:vertAlign w:val="baseline"/>
              </w:rPr>
              <w:t>Nařízení Komise v přenesené pravomoci (EU) 2018/1229 ze dne 25. května 2018, kterým se doplňuje nařízení Evropského parlamentu a Rady (EU) č. 909/2014, pokud jde o regulační technické normy pro zajištění disciplíny při vypořádání (Úř. věst. L 230, 13.9.2018, s.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Podle stanoviska ECB.</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327</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Johan Van Overtveldt</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3 – písm. g</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g)</w:t>
            </w:r>
            <w:r>
              <w:tab/>
            </w:r>
            <w:r>
              <w:t>zabraňoval selhání vypořádání, nebo pokud to není možné, řešil jeho následky.</w:t>
            </w:r>
          </w:p>
        </w:tc>
        <w:tc>
          <w:tcPr>
            <w:tcW w:w="4876" w:type="dxa"/>
            <w:vAlign w:val="top"/>
          </w:tcPr>
          <w:p>
            <w:pPr>
              <w:pStyle w:val="Normal6a"/>
            </w:pPr>
            <w:r>
              <w:t>g)</w:t>
            </w:r>
            <w:r>
              <w:tab/>
            </w:r>
            <w:r>
              <w:t xml:space="preserve">zabraňoval selhání vypořádání, nebo pokud to není možné, řešil jeho následky </w:t>
            </w:r>
            <w:r>
              <w:rPr>
                <w:b/>
                <w:i/>
                <w:strike w:val="0"/>
                <w:color w:val="auto"/>
                <w:highlight w:val="none"/>
                <w:u w:val="none" w:color="auto"/>
                <w:vertAlign w:val="baseline"/>
              </w:rPr>
              <w:t>v souladu s článkem 7 nařízení (EU) č. 909/2014 a nařízením Komise v přenesené pravomoci (EU) 2018/1229</w:t>
            </w:r>
            <w:r>
              <w:rPr>
                <w:rStyle w:val="SupBoldItalic"/>
              </w:rPr>
              <w:t>*</w:t>
            </w:r>
            <w:r>
              <w:t>.</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rStyle w:val="SupBoldItalic"/>
              </w:rPr>
              <w:t>*</w:t>
            </w:r>
            <w:r>
              <w:t xml:space="preserve"> </w:t>
            </w:r>
            <w:r>
              <w:rPr>
                <w:b/>
                <w:i/>
                <w:strike w:val="0"/>
                <w:color w:val="auto"/>
                <w:highlight w:val="none"/>
                <w:u w:val="none" w:color="auto"/>
                <w:vertAlign w:val="baseline"/>
              </w:rPr>
              <w:t>Nařízení Komise v přenesené pravomoci (EU) 2018/1229 ze dne 25. května 2018, kterým se doplňuje nařízení Evropského parlamentu a Rady (EU) č. 909/2014, pokud jde o regulační technické normy pro zajištění disciplíny při vypořádání (Úř. věst. L 230, 13.9.2018, s. 1).</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Cílem tohoto pozměňovacího návrhu je zohlednit návrh uvedený ve stanovisku ECB. Obavy ECB ohledně nerovných podmínek mezi systémem DLT MTF, který poskytuje základní služby centrálních depozitářů cenných papírů, a DLT SSS řeší zavedení koncepce DLT TSS. Je však důležité v tomto článku dále vyjasnit, že požadavky na poskytování základních služeb centrálního depozitáře provozovatelem tržní infrastruktury DLT by měly být sladěny s příslušnými ustanoveními nařízení (EU) č. 909/2014.</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328</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4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4.</w:t>
            </w:r>
            <w:r>
              <w:tab/>
            </w:r>
            <w:r>
              <w:t xml:space="preserve">Pokud </w:t>
            </w:r>
            <w:r>
              <w:rPr>
                <w:b/>
                <w:i/>
                <w:strike w:val="0"/>
                <w:color w:val="auto"/>
                <w:highlight w:val="none"/>
                <w:u w:val="none" w:color="auto"/>
                <w:vertAlign w:val="baseline"/>
              </w:rPr>
              <w:t>investiční podnik nebo organizátor trhu</w:t>
            </w:r>
            <w:r>
              <w:t xml:space="preserve"> provozující systém DLT MTF požaduje výjimku v souladu s odstavcem 2 nebo se směrnicí (EU) .../...</w:t>
            </w:r>
            <w:r>
              <w:rPr>
                <w:rStyle w:val="Sup"/>
              </w:rPr>
              <w:t>54</w:t>
            </w:r>
            <w:r>
              <w:t>, musí v každém případě prokázat, že požadovaná výjimka je:</w:t>
            </w:r>
          </w:p>
        </w:tc>
        <w:tc>
          <w:tcPr>
            <w:tcW w:w="4876" w:type="dxa"/>
            <w:vAlign w:val="top"/>
          </w:tcPr>
          <w:p>
            <w:pPr>
              <w:pStyle w:val="Normal6a"/>
            </w:pPr>
            <w:r>
              <w:t>4.</w:t>
            </w:r>
            <w:r>
              <w:tab/>
            </w:r>
            <w:r>
              <w:t xml:space="preserve">Pokud </w:t>
            </w:r>
            <w:r>
              <w:rPr>
                <w:b/>
                <w:i/>
                <w:strike w:val="0"/>
                <w:color w:val="auto"/>
                <w:highlight w:val="none"/>
                <w:u w:val="none" w:color="auto"/>
                <w:vertAlign w:val="baseline"/>
              </w:rPr>
              <w:t>subjekt</w:t>
            </w:r>
            <w:r>
              <w:t xml:space="preserve"> provozující systém DLT MTF požaduje výjimku v souladu s odstavcem 2 nebo se směrnicí (EU) .../...</w:t>
            </w:r>
            <w:r>
              <w:rPr>
                <w:rStyle w:val="Sup"/>
              </w:rPr>
              <w:t>54</w:t>
            </w:r>
            <w:r>
              <w:t>,</w:t>
            </w:r>
            <w:r>
              <w:rPr>
                <w:b/>
                <w:i/>
                <w:strike w:val="0"/>
                <w:color w:val="auto"/>
                <w:highlight w:val="none"/>
                <w:u w:val="none" w:color="auto"/>
                <w:vertAlign w:val="baseline"/>
              </w:rPr>
              <w:t> </w:t>
            </w:r>
            <w:r>
              <w:t xml:space="preserve"> musí v každém případě prokázat, že požadovaná výjimka je:</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_________________</w:t>
            </w:r>
          </w:p>
        </w:tc>
        <w:tc>
          <w:tcPr>
            <w:tcW w:w="4876" w:type="dxa"/>
            <w:vAlign w:val="top"/>
          </w:tcPr>
          <w:p>
            <w:pPr>
              <w:pStyle w:val="Normal6a"/>
            </w:pPr>
            <w:r>
              <w:t>_________________</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rPr>
                <w:rStyle w:val="Sup"/>
              </w:rPr>
              <w:t>54</w:t>
            </w:r>
            <w:r>
              <w:t xml:space="preserve"> </w:t>
            </w:r>
            <w:r>
              <w:t>Návrh směrnice Evropského parlamentu a Rady o změně směrnic 2006/43/ES, 2009/65/ES, 2009/138/ES, 2011/61/EU, 2013/36/EU, 2014/65/EU, (EU) 2015/2366 a (EU) 2016/2341 (COM(2020) 596).</w:t>
            </w:r>
          </w:p>
        </w:tc>
        <w:tc>
          <w:tcPr>
            <w:tcW w:w="4876" w:type="dxa"/>
            <w:vAlign w:val="top"/>
          </w:tcPr>
          <w:p>
            <w:pPr>
              <w:pStyle w:val="Normal6a"/>
            </w:pPr>
            <w:r>
              <w:rPr>
                <w:rStyle w:val="Sup"/>
              </w:rPr>
              <w:t>54</w:t>
            </w:r>
            <w:r>
              <w:t xml:space="preserve"> </w:t>
            </w:r>
            <w:r>
              <w:t>Návrh směrnice Evropského parlamentu a Rady o změně směrnic 2006/43/ES, 2009/65/ES, 2009/138/ES, 2011/61/EU, 2013/36/EU, 2014/65/EU, (EU) 2015/2366 a (EU) 2016/2341 (COM(2020) 596).</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329</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4 – písm. b</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b)</w:t>
            </w:r>
            <w:r>
              <w:tab/>
            </w:r>
            <w:r>
              <w:t xml:space="preserve">omezená pouze na systém DLT MTF a nevztahuje se na žádný jiný systém MTF provozovaný uvedeným </w:t>
            </w:r>
            <w:r>
              <w:rPr>
                <w:b/>
                <w:i/>
                <w:strike w:val="0"/>
                <w:color w:val="auto"/>
                <w:highlight w:val="none"/>
                <w:u w:val="none" w:color="auto"/>
                <w:vertAlign w:val="baseline"/>
              </w:rPr>
              <w:t>investičním podnikem nebo organizátorem trhu</w:t>
            </w:r>
            <w:r>
              <w:t>.</w:t>
            </w:r>
          </w:p>
        </w:tc>
        <w:tc>
          <w:tcPr>
            <w:tcW w:w="4876" w:type="dxa"/>
            <w:vAlign w:val="top"/>
          </w:tcPr>
          <w:p>
            <w:pPr>
              <w:pStyle w:val="Normal6a"/>
            </w:pPr>
            <w:r>
              <w:t>b)</w:t>
            </w:r>
            <w:r>
              <w:tab/>
            </w:r>
            <w:r>
              <w:t xml:space="preserve">omezená pouze na systém DLT MTF a nevztahuje se na žádný jiný systém MTF provozovaný uvedeným </w:t>
            </w:r>
            <w:r>
              <w:rPr>
                <w:b/>
                <w:i/>
                <w:strike w:val="0"/>
                <w:color w:val="auto"/>
                <w:highlight w:val="none"/>
                <w:u w:val="none" w:color="auto"/>
                <w:vertAlign w:val="baseline"/>
              </w:rPr>
              <w:t>subjektem</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 xml:space="preserve">Cílem změny je zajistit otevření pilotního režimu novým účastníkům na trhu. </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330</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4 – odst. 4 a (nový)</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p>
        </w:tc>
        <w:tc>
          <w:tcPr>
            <w:tcW w:w="4876" w:type="dxa"/>
            <w:vAlign w:val="top"/>
          </w:tcPr>
          <w:p>
            <w:pPr>
              <w:pStyle w:val="Normal6a"/>
            </w:pPr>
            <w:r>
              <w:rPr>
                <w:b/>
                <w:i/>
                <w:strike w:val="0"/>
                <w:color w:val="auto"/>
                <w:highlight w:val="none"/>
                <w:u w:val="none" w:color="auto"/>
                <w:vertAlign w:val="baseline"/>
              </w:rPr>
              <w:t>4a .</w:t>
            </w:r>
            <w:r>
              <w:tab/>
            </w:r>
            <w:r>
              <w:rPr>
                <w:b/>
                <w:i/>
                <w:strike w:val="0"/>
                <w:color w:val="auto"/>
                <w:highlight w:val="none"/>
                <w:u w:val="none" w:color="auto"/>
                <w:vertAlign w:val="baseline"/>
              </w:rPr>
              <w:t>Subjekt, na který se v době podání žádosti o zvláštní povolení nevztahují všechny požadavky platné pro systém MTF podle směrnice 2014/65/EU a nařízení (EU) č. 2014/600, se může uplatnit v souladu s odstavci 1 až 4 tohoto článku.</w:t>
            </w:r>
            <w:r>
              <w:t xml:space="preserve"> </w:t>
            </w:r>
            <w:r>
              <w:rPr>
                <w:b/>
                <w:i/>
                <w:strike w:val="0"/>
                <w:color w:val="auto"/>
                <w:highlight w:val="none"/>
                <w:u w:val="none" w:color="auto"/>
                <w:vertAlign w:val="baseline"/>
              </w:rPr>
              <w:t>Příslušné orgány zavedou zvláštní postupy pro subjekty, na které v době podání jejich žádosti nevztahují všechny požadavky platné pro systém MTF podle směrnice 2014/65/EU a nařízení (EU) č. 2014/600.</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Zrychlený postup pro subjekty, které nejsou v době podání žádosti regulovány jako MTF.</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331</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Jessica Polfjärd</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t>Centrální depozitář provozující systém vypořádání obchodů s cennými papíry vedenými na DLT podléhá požadavkům platným pro centrální depozitář podle nařízení (EU) č. 909/2014, s výjimkou případů, kdy takový centrální depozitář:</w:t>
            </w:r>
          </w:p>
        </w:tc>
        <w:tc>
          <w:tcPr>
            <w:tcW w:w="4876" w:type="dxa"/>
            <w:vAlign w:val="top"/>
          </w:tcPr>
          <w:p>
            <w:pPr>
              <w:pStyle w:val="Normal6a"/>
            </w:pPr>
            <w:r>
              <w:t>1.</w:t>
            </w:r>
            <w:r>
              <w:tab/>
            </w:r>
            <w:r>
              <w:t xml:space="preserve">Centrální depozitář provozující systém vypořádání obchodů s cennými papíry vedenými na DLT podléhá požadavkům platným pro centrální depozitář podle nařízení (EU) č. 909/2014 </w:t>
            </w:r>
            <w:r>
              <w:rPr>
                <w:b/>
                <w:i/>
                <w:strike w:val="0"/>
                <w:color w:val="auto"/>
                <w:highlight w:val="none"/>
                <w:u w:val="none" w:color="auto"/>
                <w:vertAlign w:val="baseline"/>
              </w:rPr>
              <w:t>a veškerým dalším použitelným právním předpisům Unie v oblasti finančních služeb</w:t>
            </w:r>
            <w:r>
              <w:t>, s výjimkou případů, kdy takový centrální depozitář:</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332</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Stéphanie Yon-Courtin</w:t>
      </w:r>
      <w:r>
        <w:t xml:space="preserve">, </w:t>
      </w:r>
      <w:r>
        <w:t>Ondřej Kovařík</w:t>
      </w:r>
      <w:r>
        <w:t xml:space="preserve">, </w:t>
      </w:r>
      <w:r>
        <w:t>Gilles Boyer</w:t>
      </w:r>
      <w:r>
        <w:t xml:space="preserve">, </w:t>
      </w:r>
      <w:r>
        <w:t>Olivier Chastel</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 – návětí</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1.</w:t>
            </w:r>
            <w:r>
              <w:tab/>
            </w:r>
            <w:r>
              <w:rPr>
                <w:b/>
                <w:i/>
                <w:strike w:val="0"/>
                <w:color w:val="auto"/>
                <w:highlight w:val="none"/>
                <w:u w:val="none" w:color="auto"/>
                <w:vertAlign w:val="baseline"/>
              </w:rPr>
              <w:t>Centrální depozitář</w:t>
            </w:r>
            <w:r>
              <w:t xml:space="preserve"> provozující systém vypořádání obchodů s cennými papíry vedenými na DLT podléhá požadavkům platným pro centrální depozitář podle nařízení (EU) č. 909/2014, s výjimkou případů, kdy takový </w:t>
            </w:r>
            <w:r>
              <w:rPr>
                <w:b/>
                <w:i/>
                <w:strike w:val="0"/>
                <w:color w:val="auto"/>
                <w:highlight w:val="none"/>
                <w:u w:val="none" w:color="auto"/>
                <w:vertAlign w:val="baseline"/>
              </w:rPr>
              <w:t>centrální depozitář</w:t>
            </w:r>
            <w:r>
              <w:t>:</w:t>
            </w:r>
          </w:p>
        </w:tc>
        <w:tc>
          <w:tcPr>
            <w:tcW w:w="4876" w:type="dxa"/>
            <w:vAlign w:val="top"/>
          </w:tcPr>
          <w:p>
            <w:pPr>
              <w:pStyle w:val="Normal6a"/>
            </w:pPr>
            <w:r>
              <w:t>1.</w:t>
            </w:r>
            <w:r>
              <w:tab/>
            </w:r>
            <w:r>
              <w:rPr>
                <w:b/>
                <w:i/>
                <w:strike w:val="0"/>
                <w:color w:val="auto"/>
                <w:highlight w:val="none"/>
                <w:u w:val="none" w:color="auto"/>
                <w:vertAlign w:val="baseline"/>
              </w:rPr>
              <w:t>Subjekt</w:t>
            </w:r>
            <w:r>
              <w:t xml:space="preserve"> provozující systém vypořádání obchodů s cennými papíry vedenými na DLT podléhá požadavkům platným pro centrální depozitář podle nařízení (EU) č. 909/2014, s výjimkou případů, kdy takový </w:t>
            </w:r>
            <w:r>
              <w:rPr>
                <w:b/>
                <w:i/>
                <w:strike w:val="0"/>
                <w:color w:val="auto"/>
                <w:highlight w:val="none"/>
                <w:u w:val="none" w:color="auto"/>
                <w:vertAlign w:val="baseline"/>
              </w:rPr>
              <w:t>subjekt</w:t>
            </w:r>
            <w:r>
              <w:t>:</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Otevřenost pilotního režimu</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333</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Christophe Hansen</w:t>
      </w:r>
      <w:r>
        <w:t xml:space="preserve">, </w:t>
      </w:r>
      <w:r>
        <w:t>Lídia Pereira</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dodržuje podmínky stanovené v odstavcích 2 až 7 a veškerá další kompenzační opatření, která může příslušný orgán, který mu udělil zvláštní povolení, považovat za vhodná k dosažení cílů sledovaných ustanoveními, z nichž je výjimka požadována, nebo k zajištění ochrany investorů, integrity trhu nebo finanční stability.</w:t>
            </w:r>
          </w:p>
        </w:tc>
        <w:tc>
          <w:tcPr>
            <w:tcW w:w="4876" w:type="dxa"/>
            <w:vAlign w:val="top"/>
          </w:tcPr>
          <w:p>
            <w:pPr>
              <w:pStyle w:val="Normal6a"/>
            </w:pPr>
            <w:r>
              <w:t>c)</w:t>
            </w:r>
            <w:r>
              <w:tab/>
            </w:r>
            <w:r>
              <w:t xml:space="preserve">dodržuje podmínky stanovené v odstavcích 2 až 7 a veškerá další kompenzační opatření, která může příslušný orgán </w:t>
            </w:r>
            <w:r>
              <w:rPr>
                <w:b/>
                <w:i/>
                <w:strike w:val="0"/>
                <w:color w:val="auto"/>
                <w:highlight w:val="none"/>
                <w:u w:val="none" w:color="auto"/>
                <w:vertAlign w:val="baseline"/>
              </w:rPr>
              <w:t>nebo orgán ESMA po konzultaci s příslušným vnitrostátním orgánem</w:t>
            </w:r>
            <w:r>
              <w:t>, který mu udělil zvláštní povolení, považovat za vhodná k dosažení cílů sledovaných ustanoveními, z nichž je výjimka požadována, nebo k zajištění ochrany investorů, integrity trhu nebo finanční stability.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r>
        <w:rPr>
          <w:rStyle w:val="HideTWBExt"/>
        </w:rPr>
        <w:t>&lt;/</w:t>
      </w:r>
      <w:r>
        <w:rPr>
          <w:rStyle w:val="HideTWBExt"/>
        </w:rPr>
        <w:t>AmendB</w:t>
      </w:r>
      <w:r>
        <w:rPr>
          <w:rStyle w:val="HideTWBExt"/>
        </w:rPr>
        <w:t>&gt;</w:t>
      </w:r>
    </w:p>
    <w:p>
      <w:pPr>
        <w:pStyle w:val="AmNumberTabs"/>
      </w:pPr>
      <w:r>
        <w:rPr>
          <w:rStyle w:val="HideTWBExt"/>
        </w:rPr>
        <w:t>&lt;</w:t>
      </w:r>
      <w:r>
        <w:rPr>
          <w:rStyle w:val="HideTWBExt"/>
        </w:rPr>
        <w:t>AmendB</w:t>
      </w:r>
      <w:r>
        <w:rPr>
          <w:rStyle w:val="HideTWBExt"/>
        </w:rPr>
        <w:t>&gt;</w:t>
      </w:r>
      <w:r>
        <w:t>Pozměňovací návrh</w:t>
      </w:r>
      <w:r>
        <w:tab/>
      </w:r>
      <w:r>
        <w:tab/>
      </w:r>
      <w:r>
        <w:rPr>
          <w:rStyle w:val="HideTWBExt"/>
        </w:rPr>
        <w:t>&lt;</w:t>
      </w:r>
      <w:r>
        <w:rPr>
          <w:rStyle w:val="HideTWBExt"/>
        </w:rPr>
        <w:t>NumAmB</w:t>
      </w:r>
      <w:r>
        <w:rPr>
          <w:rStyle w:val="HideTWBExt"/>
        </w:rPr>
        <w:t>&gt;</w:t>
      </w:r>
      <w:r>
        <w:t>334</w:t>
      </w:r>
      <w:r>
        <w:rPr>
          <w:rStyle w:val="HideTWBExt"/>
        </w:rPr>
        <w:t>&lt;/</w:t>
      </w:r>
      <w:r>
        <w:rPr>
          <w:rStyle w:val="HideTWBExt"/>
        </w:rPr>
        <w:t>NumAmB</w:t>
      </w:r>
      <w:r>
        <w:rPr>
          <w:rStyle w:val="HideTWBExt"/>
        </w:rPr>
        <w:t>&gt;</w:t>
      </w:r>
    </w:p>
    <w:p>
      <w:pPr>
        <w:pStyle w:val="NormalBold"/>
      </w:pPr>
      <w:r>
        <w:rPr>
          <w:rStyle w:val="HideTWBExt"/>
        </w:rPr>
        <w:t>&lt;</w:t>
      </w:r>
      <w:r>
        <w:rPr>
          <w:rStyle w:val="HideTWBExt"/>
        </w:rPr>
        <w:t>RepeatBlock-By</w:t>
      </w:r>
      <w:r>
        <w:rPr>
          <w:rStyle w:val="HideTWBExt"/>
        </w:rPr>
        <w:t>&gt;</w:t>
      </w:r>
      <w:r>
        <w:rPr>
          <w:rStyle w:val="HideTWBExt"/>
        </w:rPr>
        <w:t>&lt;</w:t>
      </w:r>
      <w:r>
        <w:rPr>
          <w:rStyle w:val="HideTWBExt"/>
        </w:rPr>
        <w:t>Members</w:t>
      </w:r>
      <w:r>
        <w:rPr>
          <w:rStyle w:val="HideTWBExt"/>
        </w:rPr>
        <w:t>&gt;</w:t>
      </w:r>
      <w:r>
        <w:t>Eva Kaili</w:t>
      </w:r>
      <w:r>
        <w:rPr>
          <w:rStyle w:val="HideTWBExt"/>
        </w:rPr>
        <w:t>&lt;/</w:t>
      </w:r>
      <w:r>
        <w:rPr>
          <w:rStyle w:val="HideTWBExt"/>
        </w:rPr>
        <w:t>Members</w:t>
      </w:r>
      <w:r>
        <w:rPr>
          <w:rStyle w:val="HideTWBExt"/>
        </w:rPr>
        <w:t>&gt;</w:t>
      </w:r>
    </w:p>
    <w:p>
      <w:pPr>
        <w:pStyle w:val="NormalBold"/>
      </w:pPr>
      <w:r>
        <w:rPr>
          <w:rStyle w:val="HideTWBExt"/>
        </w:rPr>
        <w:t>&lt;/</w:t>
      </w:r>
      <w:r>
        <w:rPr>
          <w:rStyle w:val="HideTWBExt"/>
        </w:rPr>
        <w:t>RepeatBlock-By</w:t>
      </w:r>
      <w:r>
        <w:rPr>
          <w:rStyle w:val="HideTWBExt"/>
        </w:rPr>
        <w:t>&gt;</w:t>
      </w:r>
    </w:p>
    <w:p>
      <w:pPr>
        <w:pStyle w:val="NormalBold"/>
      </w:pPr>
      <w:r>
        <w:rPr>
          <w:rStyle w:val="HideTWBExt"/>
        </w:rPr>
        <w:t>&lt;</w:t>
      </w:r>
      <w:r>
        <w:rPr>
          <w:rStyle w:val="HideTWBExt"/>
        </w:rPr>
        <w:t>DocAmend</w:t>
      </w:r>
      <w:r>
        <w:rPr>
          <w:rStyle w:val="HideTWBExt"/>
        </w:rPr>
        <w:t>&gt;</w:t>
      </w:r>
      <w:r>
        <w:t>Návrh nařízení</w:t>
      </w:r>
      <w:r>
        <w:rPr>
          <w:rStyle w:val="HideTWBExt"/>
        </w:rPr>
        <w:t>&lt;/</w:t>
      </w:r>
      <w:r>
        <w:rPr>
          <w:rStyle w:val="HideTWBExt"/>
        </w:rPr>
        <w:t>DocAmend</w:t>
      </w:r>
      <w:r>
        <w:rPr>
          <w:rStyle w:val="HideTWBExt"/>
        </w:rPr>
        <w:t>&gt;</w:t>
      </w:r>
    </w:p>
    <w:p>
      <w:pPr>
        <w:pStyle w:val="NormalBold"/>
      </w:pPr>
      <w:r>
        <w:rPr>
          <w:rStyle w:val="HideTWBExt"/>
        </w:rPr>
        <w:t>&lt;</w:t>
      </w:r>
      <w:r>
        <w:rPr>
          <w:rStyle w:val="HideTWBExt"/>
        </w:rPr>
        <w:t>Article</w:t>
      </w:r>
      <w:r>
        <w:rPr>
          <w:rStyle w:val="HideTWBExt"/>
        </w:rPr>
        <w:t>&gt;</w:t>
      </w:r>
      <w:r>
        <w:t>Čl. 5 – odst. 1 – písm. c</w:t>
      </w:r>
      <w:r>
        <w:rPr>
          <w:rStyle w:val="HideTWBExt"/>
        </w:rPr>
        <w:t>&lt;/</w:t>
      </w:r>
      <w:r>
        <w:rPr>
          <w:rStyle w:val="HideTWBExt"/>
        </w:rPr>
        <w:t>Article</w:t>
      </w:r>
      <w:r>
        <w:rPr>
          <w:rStyle w:val="HideTWBExt"/>
        </w:rPr>
        <w:t>&gt;</w:t>
      </w:r>
    </w:p>
    <w:tbl>
      <w:tblPr>
        <w:jc w:val="center"/>
        <w:tblLayout w:type="fixed"/>
        <w:tblCellMar>
          <w:top w:w="0" w:type="dxa"/>
          <w:left w:w="340" w:type="dxa"/>
          <w:bottom w:w="0" w:type="dxa"/>
          <w:right w:w="340" w:type="dxa"/>
        </w:tblCellMar>
      </w:tblPr>
      <w:tblGrid>
        <w:gridCol w:w="4876"/>
        <w:gridCol w:w="4876"/>
      </w:tblGrid>
      <w:tr>
        <w:tblPrEx>
          <w:jc w:val="center"/>
          <w:tblLayout w:type="fixed"/>
          <w:tblCellMar>
            <w:top w:w="0" w:type="dxa"/>
            <w:left w:w="340" w:type="dxa"/>
            <w:bottom w:w="0" w:type="dxa"/>
            <w:right w:w="340" w:type="dxa"/>
          </w:tblCellMar>
        </w:tblPrEx>
        <w:trPr>
          <w:cantSplit w:val="0"/>
          <w:trHeight w:hRule="exact" w:val="240"/>
          <w:jc w:val="center"/>
        </w:trPr>
        <w:tc>
          <w:tcPr>
            <w:tcW w:w="9752" w:type="dxa"/>
            <w:gridSpan w:val="2"/>
            <w:vAlign w:val="top"/>
          </w:tcPr>
          <w:p/>
        </w:tc>
      </w:tr>
      <w:tr>
        <w:tblPrEx>
          <w:jc w:val="center"/>
          <w:tblLayout w:type="fixed"/>
          <w:tblCellMar>
            <w:top w:w="0" w:type="dxa"/>
            <w:left w:w="340" w:type="dxa"/>
            <w:bottom w:w="0" w:type="dxa"/>
            <w:right w:w="340" w:type="dxa"/>
          </w:tblCellMar>
        </w:tblPrEx>
        <w:trPr>
          <w:cantSplit w:val="0"/>
          <w:trHeight w:val="240"/>
          <w:jc w:val="center"/>
        </w:trPr>
        <w:tc>
          <w:tcPr>
            <w:tcW w:w="4876" w:type="dxa"/>
            <w:vAlign w:val="top"/>
          </w:tcPr>
          <w:p>
            <w:pPr>
              <w:pStyle w:val="AmColumnHeading"/>
            </w:pPr>
            <w:r>
              <w:t>Znění navržené Komisí</w:t>
            </w:r>
          </w:p>
        </w:tc>
        <w:tc>
          <w:tcPr>
            <w:tcW w:w="4876" w:type="dxa"/>
            <w:vAlign w:val="top"/>
          </w:tcPr>
          <w:p>
            <w:pPr>
              <w:pStyle w:val="AmColumnHeading"/>
            </w:pPr>
            <w:r>
              <w:t>Pozměňovací návrh</w:t>
            </w:r>
          </w:p>
        </w:tc>
      </w:tr>
      <w:tr>
        <w:tblPrEx>
          <w:jc w:val="center"/>
          <w:tblLayout w:type="fixed"/>
          <w:tblCellMar>
            <w:top w:w="0" w:type="dxa"/>
            <w:left w:w="340" w:type="dxa"/>
            <w:bottom w:w="0" w:type="dxa"/>
            <w:right w:w="340" w:type="dxa"/>
          </w:tblCellMar>
        </w:tblPrEx>
        <w:trPr>
          <w:cantSplit w:val="0"/>
          <w:trHeight w:hRule="auto" w:val="0"/>
          <w:jc w:val="center"/>
        </w:trPr>
        <w:tc>
          <w:tcPr>
            <w:tcW w:w="4876" w:type="dxa"/>
            <w:vAlign w:val="top"/>
          </w:tcPr>
          <w:p>
            <w:pPr>
              <w:pStyle w:val="Normal6a"/>
            </w:pPr>
            <w:r>
              <w:t>c)</w:t>
            </w:r>
            <w:r>
              <w:tab/>
            </w:r>
            <w:r>
              <w:t>dodržuje podmínky stanovené v odstavcích 2 až 7 a veškerá další kompenzační opatření, která může příslušný orgán, který mu udělil zvláštní povolení, považovat za vhodná k dosažení cílů sledovaných ustanoveními, z nichž je výjimka požadována, nebo k zajištění ochrany investorů, integrity trhu nebo finanční stability.</w:t>
            </w:r>
          </w:p>
        </w:tc>
        <w:tc>
          <w:tcPr>
            <w:tcW w:w="4876" w:type="dxa"/>
            <w:vAlign w:val="top"/>
          </w:tcPr>
          <w:p>
            <w:pPr>
              <w:pStyle w:val="Normal6a"/>
            </w:pPr>
            <w:r>
              <w:t>c)</w:t>
            </w:r>
            <w:r>
              <w:tab/>
            </w:r>
            <w:r>
              <w:t xml:space="preserve">dodržuje podmínky stanovené v odstavcích 2 až 7 a veškerá další kompenzační </w:t>
            </w:r>
            <w:r>
              <w:rPr>
                <w:b/>
                <w:i/>
                <w:strike w:val="0"/>
                <w:color w:val="auto"/>
                <w:highlight w:val="none"/>
                <w:u w:val="none" w:color="auto"/>
                <w:vertAlign w:val="baseline"/>
              </w:rPr>
              <w:t>nebo nápravná</w:t>
            </w:r>
            <w:r>
              <w:t xml:space="preserve"> opatření, která může </w:t>
            </w:r>
            <w:r>
              <w:rPr>
                <w:b/>
                <w:i/>
                <w:strike w:val="0"/>
                <w:color w:val="auto"/>
                <w:highlight w:val="none"/>
                <w:u w:val="none" w:color="auto"/>
                <w:vertAlign w:val="baseline"/>
              </w:rPr>
              <w:t>orgán ESMA nebo</w:t>
            </w:r>
            <w:r>
              <w:t xml:space="preserve"> příslušný orgán, který mu udělil zvláštní povolení, považovat za vhodná k dosažení cílů sledovaných ustanoveními, z nichž je výjimka požadována, nebo k zajištění ochrany investorů, integrity trhu nebo finanční stability.</w:t>
            </w:r>
          </w:p>
        </w:tc>
      </w:tr>
    </w:tbl>
    <w:p>
      <w:pPr>
        <w:pStyle w:val="AmOrLang"/>
      </w:pPr>
      <w:r>
        <w:t>Or.</w:t>
      </w:r>
      <w:r>
        <w:t xml:space="preserve"> </w:t>
      </w:r>
      <w:r>
        <w:rPr>
          <w:rStyle w:val="HideTWBExt"/>
        </w:rPr>
        <w:t>&lt;</w:t>
      </w:r>
      <w:r>
        <w:rPr>
          <w:rStyle w:val="HideTWBExt"/>
        </w:rPr>
        <w:t>Original</w:t>
      </w:r>
      <w:r>
        <w:rPr>
          <w:rStyle w:val="HideTWBExt"/>
        </w:rPr>
        <w:t>&gt;</w:t>
      </w:r>
      <w:r>
        <w:rPr>
          <w:rStyle w:val="HideTWBInt"/>
        </w:rPr>
        <w:t>{</w:t>
      </w:r>
      <w:r>
        <w:rPr>
          <w:rStyle w:val="HideTWBInt"/>
        </w:rPr>
        <w:t>EN</w:t>
      </w:r>
      <w:r>
        <w:rPr>
          <w:rStyle w:val="HideTWBInt"/>
        </w:rPr>
        <w:t>}</w:t>
      </w:r>
      <w:r>
        <w:t>en</w:t>
      </w:r>
      <w:r>
        <w:rPr>
          <w:rStyle w:val="HideTWBExt"/>
        </w:rPr>
        <w:t>&lt;/</w:t>
      </w:r>
      <w:r>
        <w:rPr>
          <w:rStyle w:val="HideTWBExt"/>
        </w:rPr>
        <w:t>Original</w:t>
      </w:r>
      <w:r>
        <w:rPr>
          <w:rStyle w:val="HideTWBExt"/>
        </w:rPr>
        <w:t>&gt;</w:t>
      </w:r>
    </w:p>
    <w:p>
      <w:pPr>
        <w:pStyle w:val="AmJustTitle"/>
      </w:pPr>
      <w:r>
        <w:rPr>
          <w:rStyle w:val="HideTWBExt"/>
        </w:rPr>
        <w:t>&lt;</w:t>
      </w:r>
      <w:r>
        <w:rPr>
          <w:rStyle w:val="HideTWBExt"/>
        </w:rPr>
        <w:t>TitreJust</w:t>
      </w:r>
      <w:r>
        <w:rPr>
          <w:rStyle w:val="HideTWBExt"/>
        </w:rPr>
        <w:t>&gt;</w:t>
      </w:r>
      <w:r>
        <w:t>Odůvodnění</w:t>
      </w:r>
      <w:r>
        <w:rPr>
          <w:rStyle w:val="HideTWBExt"/>
        </w:rPr>
        <w:t>&lt;/</w:t>
      </w:r>
      <w:r>
        <w:rPr>
          <w:rStyle w:val="HideTWBExt"/>
        </w:rPr>
        <w:t>TitreJust</w:t>
      </w:r>
      <w:r>
        <w:rPr>
          <w:rStyle w:val="HideTWBExt"/>
        </w:rPr>
        <w:t>&gt;</w:t>
      </w:r>
    </w:p>
    <w:p>
      <w:pPr>
        <w:pStyle w:val="AmJustText"/>
      </w:pPr>
      <w:r>
        <w:t>V souvislosti s navrhovanou posílenou úlohou by měl být zmíněn orgán ESMA.</w:t>
      </w:r>
    </w:p>
    <w:p>
      <w:r>
        <w:rPr>
          <w:rStyle w:val="HideTWBExt"/>
        </w:rPr>
        <w:t>&lt;/</w:t>
      </w:r>
      <w:r>
        <w:rPr>
          <w:rStyle w:val="HideTWBExt"/>
        </w:rPr>
        <w:t>AmendB</w:t>
      </w:r>
      <w:r>
        <w:rPr>
          <w:rStyle w:val="HideTWBExt"/>
        </w:rPr>
        <w:t>&gt;</w:t>
      </w:r>
    </w:p>
    <w:p>
      <w:r>
        <w:rPr>
          <w:rStyle w:val="HideTWBExt"/>
        </w:rPr>
        <w:t>&lt;/</w:t>
      </w:r>
      <w:r>
        <w:rPr>
          <w:rStyle w:val="HideTWBExt"/>
        </w:rPr>
        <w:t>RepeatBlock-AmendB</w:t>
      </w:r>
      <w:r>
        <w:rPr>
          <w:rStyle w:val="HideTWBExt"/>
        </w:rPr>
        <w:t>&gt;</w:t>
      </w:r>
    </w:p>
    <w:sectPr>
      <w:footerReference w:type="even" r:id="rId5"/>
      <w:footerReference w:type="default" r:id="rId6"/>
      <w:footerReference w:type="first" r:id="rId7"/>
      <w:pgSz w:w="11906" w:h="16838"/>
      <w:pgMar w:top="1134" w:right="1417" w:bottom="1417" w:left="1417" w:header="1134" w:footer="567"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r>
      <w:tab/>
    </w:r>
    <w:r>
      <w:fldChar w:fldCharType="begin"/>
    </w:r>
    <w:r>
      <w:instrText>PAGE</w:instrText>
    </w:r>
    <w:r>
      <w:fldChar w:fldCharType="separate"/>
    </w:r>
    <w:r>
      <w:t>144</w:t>
    </w:r>
    <w:r>
      <w:fldChar w:fldCharType="end"/>
    </w:r>
    <w:r>
      <w:t>/</w:t>
    </w:r>
    <w:r>
      <w:fldChar w:fldCharType="begin"/>
    </w:r>
    <w:r>
      <w:instrText>NUMPAGES</w:instrText>
    </w:r>
    <w:r>
      <w:fldChar w:fldCharType="separate"/>
    </w:r>
    <w:r>
      <w:t>145</w:t>
    </w:r>
    <w:r>
      <w:fldChar w:fldCharType="end"/>
    </w:r>
    <w:r>
      <w:tab/>
    </w:r>
    <w:r>
      <w:rPr>
        <w:rStyle w:val="HideTWBExt"/>
      </w:rPr>
      <w:t>&lt;</w:t>
    </w:r>
    <w:r>
      <w:rPr>
        <w:rStyle w:val="HideTWBExt"/>
      </w:rPr>
      <w:t>PathFdR</w:t>
    </w:r>
    <w:r>
      <w:rPr>
        <w:rStyle w:val="HideTWBExt"/>
      </w:rPr>
      <w:t>&gt;</w:t>
    </w:r>
    <w:r>
      <w:t>AM\1232225CS.docx</w:t>
    </w:r>
    <w:r>
      <w:rPr>
        <w:rStyle w:val="HideTWBExt"/>
      </w:rPr>
      <w:t>&lt;/</w:t>
    </w:r>
    <w:r>
      <w:rPr>
        <w:rStyle w:val="HideTWBExt"/>
      </w:rPr>
      <w:t>PathFdR</w:t>
    </w:r>
    <w:r>
      <w:rPr>
        <w:rStyle w:val="HideTWBExt"/>
      </w:rPr>
      <w:t>&gt;</w:t>
    </w:r>
  </w:p>
  <w:p>
    <w:pPr>
      <w:pStyle w:val="EPFooter2"/>
    </w:pPr>
    <w:r>
      <w:t>CS</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AM\1232225CS.docx</w:t>
    </w:r>
    <w:r>
      <w:rPr>
        <w:rStyle w:val="HideTWBExt"/>
      </w:rPr>
      <w:t>&lt;/</w:t>
    </w:r>
    <w:r>
      <w:rPr>
        <w:rStyle w:val="HideTWBExt"/>
      </w:rPr>
      <w:t>PathFdR</w:t>
    </w:r>
    <w:r>
      <w:rPr>
        <w:rStyle w:val="HideTWBExt"/>
      </w:rPr>
      <w:t>&gt;</w:t>
    </w:r>
    <w:r>
      <w:tab/>
    </w:r>
    <w:r>
      <w:fldChar w:fldCharType="begin"/>
    </w:r>
    <w:r>
      <w:instrText>PAGE</w:instrText>
    </w:r>
    <w:r>
      <w:fldChar w:fldCharType="separate"/>
    </w:r>
    <w:r>
      <w:t>145</w:t>
    </w:r>
    <w:r>
      <w:fldChar w:fldCharType="end"/>
    </w:r>
    <w:r>
      <w:t>/</w:t>
    </w:r>
    <w:r>
      <w:fldChar w:fldCharType="begin"/>
    </w:r>
    <w:r>
      <w:instrText>NUMPAGES</w:instrText>
    </w:r>
    <w:r>
      <w:fldChar w:fldCharType="separate"/>
    </w:r>
    <w:r>
      <w:t>145</w:t>
    </w:r>
    <w:r>
      <w:fldChar w:fldCharType="end"/>
    </w:r>
    <w:r>
      <w:tab/>
    </w: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ab/>
    </w:r>
    <w:r>
      <w:tab/>
    </w:r>
    <w:r>
      <w:t>CS</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w:t>
    </w:r>
    <w:r>
      <w:rPr>
        <w:rStyle w:val="HideTWBExt"/>
      </w:rPr>
      <w:t>PathFdR</w:t>
    </w:r>
    <w:r>
      <w:rPr>
        <w:rStyle w:val="HideTWBExt"/>
      </w:rPr>
      <w:t>&gt;</w:t>
    </w:r>
    <w:r>
      <w:t>AM\1232225CS.docx</w:t>
    </w:r>
    <w:r>
      <w:rPr>
        <w:rStyle w:val="HideTWBExt"/>
      </w:rPr>
      <w:t>&lt;/</w:t>
    </w:r>
    <w:r>
      <w:rPr>
        <w:rStyle w:val="HideTWBExt"/>
      </w:rPr>
      <w:t>PathFdR</w:t>
    </w:r>
    <w:r>
      <w:rPr>
        <w:rStyle w:val="HideTWBExt"/>
      </w:rPr>
      <w:t>&gt;</w:t>
    </w:r>
    <w:r>
      <w:tab/>
    </w:r>
    <w:r>
      <w:tab/>
    </w:r>
    <w:r>
      <w:t>PE</w:t>
    </w:r>
    <w:r>
      <w:rPr>
        <w:rStyle w:val="HideTWBExt"/>
      </w:rPr>
      <w:t>&lt;</w:t>
    </w:r>
    <w:r>
      <w:rPr>
        <w:rStyle w:val="HideTWBExt"/>
      </w:rPr>
      <w:t>NoPE</w:t>
    </w:r>
    <w:r>
      <w:rPr>
        <w:rStyle w:val="HideTWBExt"/>
      </w:rPr>
      <w:t>&gt;</w:t>
    </w:r>
    <w:r>
      <w:t>692.980</w:t>
    </w:r>
    <w:r>
      <w:rPr>
        <w:rStyle w:val="HideTWBExt"/>
      </w:rPr>
      <w:t>&lt;/</w:t>
    </w:r>
    <w:r>
      <w:rPr>
        <w:rStyle w:val="HideTWBExt"/>
      </w:rPr>
      <w:t>NoPE</w:t>
    </w:r>
    <w:r>
      <w:rPr>
        <w:rStyle w:val="HideTWBExt"/>
      </w:rPr>
      <w:t>&gt;</w:t>
    </w:r>
    <w:r>
      <w:rPr>
        <w:rStyle w:val="HideTWBExt"/>
      </w:rPr>
      <w:t>&lt;</w:t>
    </w:r>
    <w:r>
      <w:rPr>
        <w:rStyle w:val="HideTWBExt"/>
      </w:rPr>
      <w:t>Version</w:t>
    </w:r>
    <w:r>
      <w:rPr>
        <w:rStyle w:val="HideTWBExt"/>
      </w:rPr>
      <w:t>&gt;</w:t>
    </w:r>
    <w:r>
      <w:t>v01-00</w:t>
    </w:r>
    <w:r>
      <w:rPr>
        <w:rStyle w:val="HideTWBExt"/>
      </w:rPr>
      <w:t>&lt;/</w:t>
    </w:r>
    <w:r>
      <w:rPr>
        <w:rStyle w:val="HideTWBExt"/>
      </w:rPr>
      <w:t>Version</w:t>
    </w:r>
    <w:r>
      <w:rPr>
        <w:rStyle w:val="HideTWBExt"/>
      </w:rPr>
      <w:t>&gt;</w:t>
    </w:r>
  </w:p>
  <w:p>
    <w:pPr>
      <w:pStyle w:val="EPFooter2"/>
    </w:pPr>
    <w:r>
      <w:t>CS</w:t>
    </w:r>
    <w:r>
      <w:tab/>
    </w:r>
    <w:r>
      <w:rPr>
        <w:rStyle w:val="EPFooter2Middle"/>
      </w:rPr>
      <w:t>Jednotná v rozmanitosti</w:t>
    </w:r>
    <w:r>
      <w:tab/>
    </w:r>
    <w:r>
      <w:t>CS</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gruik" w:val="value of gruik"/>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966A69"/>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E546E2"/>
    <w:rPr>
      <w:rFonts w:ascii="Arial" w:hAnsi="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rPr>
      <w:b/>
    </w:rPr>
  </w:style>
  <w:style w:type="paragraph" w:customStyle="1" w:styleId="AmJustText">
    <w:name w:val="AmJustText"/>
    <w:basedOn w:val="Normal"/>
    <w:rsid w:val="00AF2819"/>
    <w:pPr>
      <w:spacing w:after="240"/>
    </w:pPr>
    <w:rPr>
      <w:i/>
    </w:rPr>
  </w:style>
  <w:style w:type="paragraph" w:customStyle="1" w:styleId="EPName">
    <w:name w:val="EPName"/>
    <w:basedOn w:val="Normal"/>
    <w:rsid w:val="008D5605"/>
    <w:pPr>
      <w:spacing w:before="80" w:after="80"/>
    </w:pPr>
    <w:rPr>
      <w:rFonts w:ascii="Arial Narrow" w:hAnsi="Arial Narrow" w:cs="Arial"/>
      <w:b/>
      <w:sz w:val="32"/>
      <w:szCs w:val="22"/>
    </w:rPr>
  </w:style>
  <w:style w:type="paragraph" w:customStyle="1" w:styleId="CoverNormal24a">
    <w:name w:val="CoverNormal24a"/>
    <w:basedOn w:val="Normal"/>
    <w:rsid w:val="002C2D7B"/>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5E438B"/>
    <w:pPr>
      <w:spacing w:before="240" w:after="240"/>
      <w:jc w:val="center"/>
    </w:pPr>
    <w:rPr>
      <w:i/>
    </w:rPr>
  </w:style>
  <w:style w:type="paragraph" w:customStyle="1" w:styleId="AmJustTitle">
    <w:name w:val="AmJustTitle"/>
    <w:basedOn w:val="Normal"/>
    <w:next w:val="AmJustText"/>
    <w:rsid w:val="00FA20EC"/>
    <w:pPr>
      <w:keepNext/>
      <w:spacing w:before="240" w:after="240"/>
      <w:jc w:val="center"/>
    </w:pPr>
    <w:rPr>
      <w:i/>
    </w:rPr>
  </w:style>
  <w:style w:type="paragraph" w:customStyle="1" w:styleId="CoverReference">
    <w:name w:val="CoverReference"/>
    <w:basedOn w:val="Normal"/>
    <w:rsid w:val="001345CC"/>
    <w:pPr>
      <w:spacing w:before="1080"/>
      <w:jc w:val="right"/>
    </w:pPr>
    <w:rPr>
      <w:rFonts w:ascii="Arial" w:hAnsi="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1345CC"/>
    <w:pPr>
      <w:spacing w:before="240" w:after="1200"/>
    </w:pPr>
  </w:style>
  <w:style w:type="paragraph" w:styleId="Header">
    <w:name w:val="header"/>
    <w:basedOn w:val="Normal"/>
    <w:link w:val="HeaderChar"/>
    <w:semiHidden/>
    <w:rsid w:val="00835256"/>
    <w:pPr>
      <w:tabs>
        <w:tab w:val="center" w:pos="4513"/>
        <w:tab w:val="right" w:pos="9026"/>
      </w:tabs>
    </w:pPr>
  </w:style>
  <w:style w:type="paragraph" w:customStyle="1" w:styleId="CoverDocType24a">
    <w:name w:val="CoverDocType24a"/>
    <w:basedOn w:val="Normal"/>
    <w:rsid w:val="008147B1"/>
    <w:pPr>
      <w:spacing w:after="480"/>
      <w:ind w:left="1417"/>
    </w:pPr>
    <w:rPr>
      <w:rFonts w:ascii="Arial" w:hAnsi="Arial" w:cs="Arial"/>
      <w:b/>
      <w:sz w:val="48"/>
    </w:rPr>
  </w:style>
  <w:style w:type="paragraph" w:customStyle="1" w:styleId="AmOrLang">
    <w:name w:val="AmOrLang"/>
    <w:basedOn w:val="Normal"/>
    <w:rsid w:val="004758C3"/>
    <w:pPr>
      <w:spacing w:before="240" w:after="240"/>
      <w:jc w:val="right"/>
    </w:pPr>
  </w:style>
  <w:style w:type="paragraph" w:customStyle="1" w:styleId="AmColumnHeading">
    <w:name w:val="AmColumnHeading"/>
    <w:basedOn w:val="Normal"/>
    <w:rsid w:val="008833F8"/>
    <w:pPr>
      <w:spacing w:after="240"/>
      <w:jc w:val="center"/>
    </w:pPr>
    <w:rPr>
      <w:i/>
    </w:rPr>
  </w:style>
  <w:style w:type="paragraph" w:customStyle="1" w:styleId="AmNumberTabs">
    <w:name w:val="AmNumberTabs"/>
    <w:basedOn w:val="Normal"/>
    <w:rsid w:val="00C2561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verBold">
    <w:name w:val="CoverBold"/>
    <w:basedOn w:val="Normal"/>
    <w:rsid w:val="008833F8"/>
    <w:pPr>
      <w:ind w:left="1417"/>
    </w:pPr>
    <w:rPr>
      <w:b/>
    </w:rPr>
  </w:style>
  <w:style w:type="paragraph" w:customStyle="1" w:styleId="NormalBold12b">
    <w:name w:val="NormalBold12b"/>
    <w:basedOn w:val="Normal"/>
    <w:rsid w:val="00B662C3"/>
    <w:pPr>
      <w:spacing w:before="240"/>
    </w:pPr>
    <w:rPr>
      <w:b/>
    </w:rPr>
  </w:style>
  <w:style w:type="table" w:styleId="TableGrid">
    <w:name w:val="Table Grid"/>
    <w:basedOn w:val="TableNormal"/>
    <w:rsid w:val="00943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43062"/>
    <w:pPr>
      <w:jc w:val="center"/>
    </w:pPr>
    <w:rPr>
      <w:rFonts w:ascii="Arial" w:hAnsi="Arial" w:cs="Arial"/>
      <w:i/>
      <w:sz w:val="22"/>
      <w:szCs w:val="22"/>
    </w:rPr>
  </w:style>
  <w:style w:type="paragraph" w:customStyle="1" w:styleId="LineTop">
    <w:name w:val="LineTop"/>
    <w:basedOn w:val="Normal"/>
    <w:next w:val="Normal"/>
    <w:rsid w:val="00943062"/>
    <w:pPr>
      <w:pBdr>
        <w:top w:val="single" w:sz="4" w:space="1" w:color="auto"/>
      </w:pBdr>
      <w:jc w:val="center"/>
    </w:pPr>
    <w:rPr>
      <w:rFonts w:ascii="Arial" w:hAnsi="Arial"/>
      <w:sz w:val="16"/>
      <w:szCs w:val="16"/>
    </w:rPr>
  </w:style>
  <w:style w:type="paragraph" w:customStyle="1" w:styleId="LineBottom">
    <w:name w:val="LineBottom"/>
    <w:basedOn w:val="Normal"/>
    <w:next w:val="Normal"/>
    <w:rsid w:val="00524215"/>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8D5605"/>
    <w:pPr>
      <w:spacing w:after="80"/>
    </w:pPr>
    <w:rPr>
      <w:rFonts w:ascii="Arial" w:hAnsi="Arial" w:cs="Arial"/>
      <w:sz w:val="20"/>
      <w:szCs w:val="22"/>
    </w:rPr>
  </w:style>
  <w:style w:type="paragraph" w:customStyle="1" w:styleId="EPLogo">
    <w:name w:val="EPLogo"/>
    <w:basedOn w:val="Normal"/>
    <w:qFormat/>
    <w:rsid w:val="008D5605"/>
    <w:pPr>
      <w:jc w:val="right"/>
    </w:pPr>
  </w:style>
  <w:style w:type="paragraph" w:customStyle="1" w:styleId="EPFooter">
    <w:name w:val="EPFooter"/>
    <w:basedOn w:val="Normal"/>
    <w:rsid w:val="002C2D7B"/>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835256"/>
    <w:rPr>
      <w:sz w:val="24"/>
    </w:rPr>
  </w:style>
  <w:style w:type="paragraph" w:customStyle="1" w:styleId="Normal2">
    <w:name w:val="Normal2"/>
    <w:basedOn w:val="Normal"/>
    <w:qFormat/>
    <w:rsid w:val="00571523"/>
    <w:pPr>
      <w:spacing w:line="120" w:lineRule="auto"/>
    </w:pPr>
    <w:rPr>
      <w:sz w:val="4"/>
    </w:rPr>
  </w:style>
  <w:style w:type="paragraph" w:customStyle="1" w:styleId="NormalItalic6a">
    <w:name w:val="NormalItalic6a"/>
    <w:basedOn w:val="Normal6a"/>
    <w:qFormat/>
    <w:rsid w:val="002F7606"/>
    <w:rPr>
      <w:i/>
    </w:rPr>
  </w:style>
  <w:style w:type="character" w:customStyle="1" w:styleId="NormalBI">
    <w:name w:val="NormalBI"/>
    <w:basedOn w:val="DefaultParagraphFont"/>
    <w:uiPriority w:val="1"/>
    <w:qFormat/>
    <w:rsid w:val="00E51BF4"/>
    <w:rPr>
      <w:rFonts w:ascii="Times New Roman" w:hAnsi="Times New Roman"/>
      <w:b/>
      <w:i/>
      <w:sz w:val="24"/>
    </w:rPr>
  </w:style>
  <w:style w:type="paragraph" w:customStyle="1" w:styleId="NormalBoldItalic6a">
    <w:name w:val="NormalBoldItalic6a"/>
    <w:basedOn w:val="Normal6a"/>
    <w:qFormat/>
    <w:rsid w:val="00E51BF4"/>
    <w:rPr>
      <w:b/>
      <w:i/>
    </w:rPr>
  </w:style>
  <w:style w:type="paragraph" w:customStyle="1" w:styleId="NormalBoldItalicCenter6a">
    <w:name w:val="NormalBoldItalicCenter6a"/>
    <w:basedOn w:val="Normal6a"/>
    <w:qFormat/>
    <w:rsid w:val="00E51BF4"/>
    <w:pPr>
      <w:jc w:val="center"/>
    </w:pPr>
    <w:rPr>
      <w:b/>
      <w:i/>
    </w:rPr>
  </w:style>
  <w:style w:type="paragraph" w:customStyle="1" w:styleId="EPFooter2Landscape">
    <w:name w:val="EPFooter2Landscape"/>
    <w:qFormat/>
    <w:rsid w:val="0065353E"/>
    <w:pPr>
      <w:tabs>
        <w:tab w:val="center" w:pos="4536"/>
        <w:tab w:val="center" w:pos="9923"/>
        <w:tab w:val="right" w:pos="15026"/>
      </w:tabs>
    </w:pPr>
    <w:rPr>
      <w:rFonts w:ascii="Arial" w:hAnsi="Arial" w:cs="Arial"/>
      <w:b/>
      <w:sz w:val="48"/>
      <w:szCs w:val="22"/>
    </w:rPr>
  </w:style>
  <w:style w:type="character" w:customStyle="1" w:styleId="EPFooter2Middle">
    <w:name w:val="EPFooter2Middle"/>
    <w:uiPriority w:val="1"/>
    <w:qFormat/>
    <w:rsid w:val="00305047"/>
    <w:rPr>
      <w:rFonts w:ascii="Arial" w:hAnsi="Arial"/>
      <w:b w:val="0"/>
      <w:i/>
      <w:color w:val="C0C0C0"/>
      <w:sz w:val="22"/>
    </w:rPr>
  </w:style>
  <w:style w:type="character" w:customStyle="1" w:styleId="Bold">
    <w:name w:val="Bold"/>
    <w:uiPriority w:val="1"/>
    <w:qFormat/>
    <w:rsid w:val="00703B09"/>
    <w:rPr>
      <w:b/>
    </w:rPr>
  </w:style>
  <w:style w:type="character" w:customStyle="1" w:styleId="Italic">
    <w:name w:val="Italic"/>
    <w:uiPriority w:val="1"/>
    <w:qFormat/>
    <w:rsid w:val="00703B09"/>
    <w:rPr>
      <w:i/>
    </w:rPr>
  </w:style>
  <w:style w:type="character" w:customStyle="1" w:styleId="BoldItalic">
    <w:name w:val="BoldItalic"/>
    <w:uiPriority w:val="1"/>
    <w:qFormat/>
    <w:rsid w:val="00703B09"/>
    <w:rPr>
      <w:b/>
      <w:i/>
    </w:rPr>
  </w:style>
  <w:style w:type="character" w:customStyle="1" w:styleId="Underline">
    <w:name w:val="Underline"/>
    <w:uiPriority w:val="1"/>
    <w:qFormat/>
    <w:rsid w:val="00703B09"/>
    <w:rPr>
      <w:u w:val="single"/>
    </w:rPr>
  </w:style>
  <w:style w:type="character" w:customStyle="1" w:styleId="Sub">
    <w:name w:val="Sub"/>
    <w:uiPriority w:val="1"/>
    <w:qFormat/>
    <w:rsid w:val="00703B09"/>
    <w:rPr>
      <w:vertAlign w:val="subscript"/>
    </w:rPr>
  </w:style>
  <w:style w:type="character" w:customStyle="1" w:styleId="Sup">
    <w:name w:val="Sup"/>
    <w:uiPriority w:val="1"/>
    <w:qFormat/>
    <w:rsid w:val="00703B09"/>
    <w:rPr>
      <w:vertAlign w:val="superscript"/>
    </w:rPr>
  </w:style>
  <w:style w:type="character" w:customStyle="1" w:styleId="SupBoldItalic">
    <w:name w:val="SupBoldItalic"/>
    <w:uiPriority w:val="1"/>
    <w:qFormat/>
    <w:rsid w:val="00703B09"/>
    <w:rPr>
      <w:b/>
      <w:i/>
      <w:vertAlign w:val="superscript"/>
    </w:rPr>
  </w:style>
  <w:style w:type="character" w:customStyle="1" w:styleId="SubBoldItalic">
    <w:name w:val="SubBoldItalic"/>
    <w:uiPriority w:val="1"/>
    <w:qFormat/>
    <w:rsid w:val="00703B09"/>
    <w:rPr>
      <w:b/>
      <w:i/>
      <w:vertAlign w:val="subscript"/>
    </w:rPr>
  </w:style>
  <w:style w:type="paragraph" w:customStyle="1" w:styleId="EPFooterLandscape">
    <w:name w:val="EPFooterLandscape"/>
    <w:qFormat/>
    <w:rsid w:val="00D25154"/>
    <w:pPr>
      <w:tabs>
        <w:tab w:val="center" w:pos="6804"/>
        <w:tab w:val="right" w:pos="15026"/>
      </w:tabs>
    </w:pPr>
    <w:rPr>
      <w:sz w:val="22"/>
    </w:rPr>
  </w:style>
  <w:style w:type="paragraph" w:styleId="Footer">
    <w:name w:val="footer"/>
    <w:basedOn w:val="Normal"/>
    <w:link w:val="FooterChar"/>
    <w:semiHidden/>
    <w:rsid w:val="008967D7"/>
    <w:pPr>
      <w:tabs>
        <w:tab w:val="center" w:pos="4513"/>
        <w:tab w:val="right" w:pos="9026"/>
      </w:tabs>
    </w:pPr>
  </w:style>
  <w:style w:type="character" w:customStyle="1" w:styleId="FooterChar">
    <w:name w:val="Footer Char"/>
    <w:basedOn w:val="DefaultParagraphFont"/>
    <w:link w:val="Footer"/>
    <w:semiHidden/>
    <w:rsid w:val="008967D7"/>
    <w:rPr>
      <w:sz w:val="24"/>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145</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1232225</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UID">
    <vt:lpwstr>20210616-142611-310204-477265</vt:lpwstr>
  </property>
  <property fmtid="{D5CDD505-2E9C-101B-9397-08002B2CF9AE}" pid="7" name="FooterPath">
    <vt:lpwstr>AM\1232225CS.docx</vt:lpwstr>
  </property>
  <property fmtid="{D5CDD505-2E9C-101B-9397-08002B2CF9AE}" pid="8" name="PE Number">
    <vt:lpwstr>692.980</vt:lpwstr>
  </property>
  <property fmtid="{D5CDD505-2E9C-101B-9397-08002B2CF9AE}" pid="9" name="UID">
    <vt:lpwstr>eu.europa.europarl-DIN1-2021-0000041986_03.00-cs-01.00_text-xml</vt:lpwstr>
  </property>
</Properties>
</file>