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B939B1" w:rsidRPr="00837CC4">
        <w:trPr>
          <w:trHeight w:hRule="exact" w:val="1417"/>
          <w:jc w:val="center"/>
        </w:trPr>
        <w:tc>
          <w:tcPr>
            <w:tcW w:w="6804" w:type="dxa"/>
            <w:vAlign w:val="center"/>
          </w:tcPr>
          <w:p w:rsidR="00B939B1" w:rsidRPr="00837CC4" w:rsidRDefault="00865E13">
            <w:pPr>
              <w:pStyle w:val="EPName"/>
            </w:pPr>
            <w:r w:rsidRPr="00837CC4">
              <w:t>Europos Parlamentas</w:t>
            </w:r>
          </w:p>
          <w:p w:rsidR="00B939B1" w:rsidRPr="00837CC4" w:rsidRDefault="00332F17">
            <w:pPr>
              <w:pStyle w:val="EPTerm"/>
            </w:pPr>
            <w:r w:rsidRPr="00837CC4">
              <w:t>2019-2024</w:t>
            </w:r>
          </w:p>
        </w:tc>
        <w:tc>
          <w:tcPr>
            <w:tcW w:w="2268" w:type="dxa"/>
          </w:tcPr>
          <w:p w:rsidR="00B939B1" w:rsidRPr="00837CC4" w:rsidRDefault="00332F17">
            <w:pPr>
              <w:pStyle w:val="EPLogo"/>
            </w:pPr>
            <w:r w:rsidRPr="00837CC4">
              <w:drawing>
                <wp:inline distT="0" distB="0" distL="0" distR="0">
                  <wp:extent cx="1162812" cy="647954"/>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094019" name=""/>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rsidR="00B939B1" w:rsidRPr="00837CC4" w:rsidRDefault="00B939B1">
      <w:pPr>
        <w:pStyle w:val="LineTop"/>
      </w:pPr>
    </w:p>
    <w:p w:rsidR="00B939B1" w:rsidRPr="00837CC4" w:rsidRDefault="00332F17">
      <w:pPr>
        <w:pStyle w:val="EPBody"/>
      </w:pPr>
      <w:r w:rsidRPr="00837CC4">
        <w:rPr>
          <w:rStyle w:val="HideTWBExt"/>
          <w:i w:val="0"/>
          <w:noProof w:val="0"/>
          <w:szCs w:val="20"/>
        </w:rPr>
        <w:t>&lt;Commission&gt;</w:t>
      </w:r>
      <w:r w:rsidRPr="00837CC4">
        <w:rPr>
          <w:rStyle w:val="HideTWBInt"/>
          <w:rFonts w:cs="Times New Roman"/>
          <w:i w:val="0"/>
          <w:noProof w:val="0"/>
          <w:szCs w:val="20"/>
        </w:rPr>
        <w:t>{ECON}</w:t>
      </w:r>
      <w:r w:rsidR="00865E13" w:rsidRPr="00837CC4">
        <w:t>Ekonomikos ir pinigų politikos komitetas</w:t>
      </w:r>
      <w:r w:rsidRPr="00837CC4">
        <w:rPr>
          <w:rStyle w:val="HideTWBExt"/>
          <w:i w:val="0"/>
          <w:noProof w:val="0"/>
          <w:szCs w:val="20"/>
        </w:rPr>
        <w:t>&lt;/Commission&gt;</w:t>
      </w:r>
    </w:p>
    <w:p w:rsidR="00B939B1" w:rsidRPr="00837CC4" w:rsidRDefault="00B939B1">
      <w:pPr>
        <w:pStyle w:val="LineBottom"/>
      </w:pPr>
    </w:p>
    <w:p w:rsidR="00B939B1" w:rsidRPr="00837CC4" w:rsidRDefault="00332F17">
      <w:pPr>
        <w:pStyle w:val="CoverReference"/>
      </w:pPr>
      <w:r w:rsidRPr="00837CC4">
        <w:rPr>
          <w:rStyle w:val="HideTWBExt"/>
          <w:b w:val="0"/>
          <w:noProof w:val="0"/>
        </w:rPr>
        <w:t>&lt;RefProc&gt;</w:t>
      </w:r>
      <w:r w:rsidRPr="00837CC4">
        <w:t>2020/0267</w:t>
      </w:r>
      <w:r w:rsidRPr="00837CC4">
        <w:rPr>
          <w:rStyle w:val="HideTWBExt"/>
          <w:b w:val="0"/>
          <w:noProof w:val="0"/>
        </w:rPr>
        <w:t>&lt;/RefProc&gt;&lt;RefTypeProc&gt;</w:t>
      </w:r>
      <w:r w:rsidRPr="00837CC4">
        <w:t>(COD)</w:t>
      </w:r>
      <w:r w:rsidRPr="00837CC4">
        <w:rPr>
          <w:rStyle w:val="HideTWBExt"/>
          <w:b w:val="0"/>
          <w:noProof w:val="0"/>
        </w:rPr>
        <w:t>&lt;/RefTypeProc&gt;</w:t>
      </w:r>
    </w:p>
    <w:p w:rsidR="00B939B1" w:rsidRPr="00837CC4" w:rsidRDefault="00332F17">
      <w:pPr>
        <w:pStyle w:val="CoverDate"/>
      </w:pPr>
      <w:r w:rsidRPr="00837CC4">
        <w:rPr>
          <w:rStyle w:val="HideTWBExt"/>
          <w:noProof w:val="0"/>
        </w:rPr>
        <w:t>&lt;Date&gt;</w:t>
      </w:r>
      <w:r w:rsidRPr="00837CC4">
        <w:rPr>
          <w:rStyle w:val="HideTWBInt"/>
          <w:noProof w:val="0"/>
        </w:rPr>
        <w:t>{26/05/2021}</w:t>
      </w:r>
      <w:r w:rsidRPr="00837CC4">
        <w:t>26.5.2021</w:t>
      </w:r>
      <w:r w:rsidRPr="00837CC4">
        <w:rPr>
          <w:rStyle w:val="HideTWBExt"/>
          <w:noProof w:val="0"/>
        </w:rPr>
        <w:t>&lt;/Date&gt;</w:t>
      </w:r>
    </w:p>
    <w:p w:rsidR="00B939B1" w:rsidRPr="00837CC4" w:rsidRDefault="00332F17">
      <w:pPr>
        <w:pStyle w:val="CoverDocType"/>
      </w:pPr>
      <w:r w:rsidRPr="00837CC4">
        <w:rPr>
          <w:rStyle w:val="HideTWBExt"/>
          <w:b w:val="0"/>
          <w:noProof w:val="0"/>
        </w:rPr>
        <w:t>&lt;TypeAM&gt;</w:t>
      </w:r>
      <w:r w:rsidR="00865E13" w:rsidRPr="00837CC4">
        <w:t>PAKEITIMAI</w:t>
      </w:r>
      <w:r w:rsidRPr="00837CC4">
        <w:rPr>
          <w:rStyle w:val="HideTWBExt"/>
          <w:b w:val="0"/>
          <w:noProof w:val="0"/>
        </w:rPr>
        <w:t>&lt;/TypeAM&gt;</w:t>
      </w:r>
    </w:p>
    <w:p w:rsidR="00B939B1" w:rsidRPr="00837CC4" w:rsidRDefault="00332F17">
      <w:pPr>
        <w:pStyle w:val="CoverDocType24a"/>
      </w:pPr>
      <w:r w:rsidRPr="00837CC4">
        <w:rPr>
          <w:rStyle w:val="HideTWBExt"/>
          <w:b w:val="0"/>
          <w:noProof w:val="0"/>
        </w:rPr>
        <w:t>&lt;RangeAM&gt;</w:t>
      </w:r>
      <w:r w:rsidR="00490119" w:rsidRPr="00837CC4">
        <w:t xml:space="preserve">135 - </w:t>
      </w:r>
      <w:r w:rsidRPr="00837CC4">
        <w:t>334</w:t>
      </w:r>
      <w:r w:rsidRPr="00837CC4">
        <w:rPr>
          <w:rStyle w:val="HideTWBExt"/>
          <w:b w:val="0"/>
          <w:noProof w:val="0"/>
        </w:rPr>
        <w:t>&lt;/RangeAM&gt;</w:t>
      </w:r>
    </w:p>
    <w:p w:rsidR="00B939B1" w:rsidRPr="00837CC4" w:rsidRDefault="00332F17">
      <w:pPr>
        <w:pStyle w:val="CoverBold"/>
      </w:pPr>
      <w:r w:rsidRPr="00837CC4">
        <w:rPr>
          <w:rStyle w:val="HideTWBExt"/>
          <w:b w:val="0"/>
          <w:noProof w:val="0"/>
        </w:rPr>
        <w:t>&lt;TitreType&gt;</w:t>
      </w:r>
      <w:r w:rsidR="00865E13" w:rsidRPr="00837CC4">
        <w:t>Pranešimo projektas</w:t>
      </w:r>
      <w:r w:rsidRPr="00837CC4">
        <w:rPr>
          <w:rStyle w:val="HideTWBExt"/>
          <w:b w:val="0"/>
          <w:noProof w:val="0"/>
        </w:rPr>
        <w:t>&lt;/TitreType&gt;</w:t>
      </w:r>
    </w:p>
    <w:p w:rsidR="00B939B1" w:rsidRPr="00837CC4" w:rsidRDefault="00332F17">
      <w:pPr>
        <w:pStyle w:val="CoverBold"/>
      </w:pPr>
      <w:r w:rsidRPr="00837CC4">
        <w:rPr>
          <w:rStyle w:val="HideTWBExt"/>
          <w:b w:val="0"/>
          <w:noProof w:val="0"/>
        </w:rPr>
        <w:t>&lt;Rapporteur&gt;</w:t>
      </w:r>
      <w:r w:rsidRPr="00837CC4">
        <w:t>Johan Van Overtveldt</w:t>
      </w:r>
      <w:r w:rsidRPr="00837CC4">
        <w:rPr>
          <w:rStyle w:val="HideTWBExt"/>
          <w:b w:val="0"/>
          <w:noProof w:val="0"/>
        </w:rPr>
        <w:t>&lt;/Rapporteur&gt;</w:t>
      </w:r>
    </w:p>
    <w:p w:rsidR="00B939B1" w:rsidRPr="00837CC4" w:rsidRDefault="00332F17">
      <w:pPr>
        <w:pStyle w:val="CoverNormal24a"/>
      </w:pPr>
      <w:r w:rsidRPr="00837CC4">
        <w:rPr>
          <w:rStyle w:val="HideTWBExt"/>
          <w:noProof w:val="0"/>
        </w:rPr>
        <w:t>&lt;DocRefPE&gt;</w:t>
      </w:r>
      <w:r w:rsidRPr="00837CC4">
        <w:t>(PE689.571v01-00)</w:t>
      </w:r>
      <w:r w:rsidRPr="00837CC4">
        <w:rPr>
          <w:rStyle w:val="HideTWBExt"/>
          <w:noProof w:val="0"/>
        </w:rPr>
        <w:t>&lt;/DocRefPE&gt;</w:t>
      </w:r>
    </w:p>
    <w:p w:rsidR="00B939B1" w:rsidRPr="00837CC4" w:rsidRDefault="00332F17">
      <w:pPr>
        <w:pStyle w:val="CoverNormal24a"/>
      </w:pPr>
      <w:r w:rsidRPr="00837CC4">
        <w:rPr>
          <w:rStyle w:val="HideTWBExt"/>
          <w:noProof w:val="0"/>
        </w:rPr>
        <w:t>&lt;Titre&gt;</w:t>
      </w:r>
      <w:r w:rsidR="00865E13" w:rsidRPr="00837CC4">
        <w:t>Paskirstytojo registro technologija grindžiamoms rinkos infrastruktūroms skirta bandomoji tvarka</w:t>
      </w:r>
      <w:r w:rsidRPr="00837CC4">
        <w:rPr>
          <w:rStyle w:val="HideTWBExt"/>
          <w:noProof w:val="0"/>
        </w:rPr>
        <w:t>&lt;/Titre&gt;</w:t>
      </w:r>
    </w:p>
    <w:p w:rsidR="00B939B1" w:rsidRPr="00837CC4" w:rsidRDefault="00332F17">
      <w:pPr>
        <w:pStyle w:val="CoverNormal"/>
      </w:pPr>
      <w:r w:rsidRPr="00837CC4">
        <w:rPr>
          <w:rStyle w:val="HideTWBExt"/>
          <w:noProof w:val="0"/>
        </w:rPr>
        <w:t>&lt;DocAmend&gt;</w:t>
      </w:r>
      <w:r w:rsidR="00865E13" w:rsidRPr="00837CC4">
        <w:t>Pasiūlymas dėl reglamento</w:t>
      </w:r>
      <w:r w:rsidRPr="00837CC4">
        <w:rPr>
          <w:rStyle w:val="HideTWBExt"/>
          <w:noProof w:val="0"/>
        </w:rPr>
        <w:t>&lt;/DocAmend&gt;</w:t>
      </w:r>
    </w:p>
    <w:p w:rsidR="00B939B1" w:rsidRPr="00837CC4" w:rsidRDefault="00332F17">
      <w:pPr>
        <w:pStyle w:val="CoverNormal24a"/>
      </w:pPr>
      <w:r w:rsidRPr="00837CC4">
        <w:rPr>
          <w:rStyle w:val="HideTWBExt"/>
          <w:noProof w:val="0"/>
        </w:rPr>
        <w:t>&lt;DocRef&gt;</w:t>
      </w:r>
      <w:r w:rsidRPr="00837CC4">
        <w:t>(COM(2020)0594 – C9-0305/2020 – 2020/0267(COD))</w:t>
      </w:r>
      <w:r w:rsidRPr="00837CC4">
        <w:rPr>
          <w:rStyle w:val="HideTWBExt"/>
          <w:noProof w:val="0"/>
        </w:rPr>
        <w:t>&lt;/DocRef&gt;</w:t>
      </w:r>
    </w:p>
    <w:p w:rsidR="00B939B1" w:rsidRPr="00837CC4" w:rsidRDefault="00332F17">
      <w:r w:rsidRPr="00837CC4">
        <w:br w:type="page"/>
      </w:r>
      <w:r w:rsidRPr="00837CC4">
        <w:lastRenderedPageBreak/>
        <w:t>AM_Com_LegReport</w:t>
      </w:r>
    </w:p>
    <w:p w:rsidR="0084543E" w:rsidRPr="00837CC4" w:rsidRDefault="00332F17" w:rsidP="0084543E">
      <w:pPr>
        <w:pStyle w:val="AmNumberTabs"/>
      </w:pPr>
      <w:r w:rsidRPr="00837CC4">
        <w:br w:type="page"/>
      </w:r>
      <w:r w:rsidR="0084543E" w:rsidRPr="00837CC4">
        <w:rPr>
          <w:rStyle w:val="HideTWBExt"/>
          <w:b w:val="0"/>
          <w:noProof w:val="0"/>
        </w:rPr>
        <w:t>&lt;RepeatBlock-AmendA&gt;&lt;AmendA&gt;</w:t>
      </w:r>
      <w:r w:rsidR="0084543E" w:rsidRPr="00837CC4">
        <w:t>Pakeitimas</w:t>
      </w:r>
      <w:r w:rsidR="0084543E" w:rsidRPr="00837CC4">
        <w:tab/>
      </w:r>
      <w:r w:rsidR="0084543E" w:rsidRPr="00837CC4">
        <w:tab/>
      </w:r>
      <w:r w:rsidR="0084543E" w:rsidRPr="00837CC4">
        <w:rPr>
          <w:rStyle w:val="HideTWBExt"/>
          <w:b w:val="0"/>
          <w:noProof w:val="0"/>
        </w:rPr>
        <w:t>&lt;NumAmA&gt;</w:t>
      </w:r>
      <w:r w:rsidR="0084543E" w:rsidRPr="00837CC4">
        <w:t>135</w:t>
      </w:r>
      <w:r w:rsidR="0084543E" w:rsidRPr="00837CC4">
        <w:rPr>
          <w:rStyle w:val="HideTWBExt"/>
          <w:b w:val="0"/>
          <w:noProof w:val="0"/>
        </w:rPr>
        <w:t>&lt;/NumAmA&gt;</w:t>
      </w:r>
    </w:p>
    <w:p w:rsidR="0084543E" w:rsidRPr="00837CC4" w:rsidRDefault="0084543E" w:rsidP="0084543E">
      <w:pPr>
        <w:pStyle w:val="NormalBold"/>
      </w:pPr>
      <w:r w:rsidRPr="00837CC4">
        <w:rPr>
          <w:rStyle w:val="HideTWBExt"/>
          <w:b w:val="0"/>
          <w:noProof w:val="0"/>
        </w:rPr>
        <w:t>&lt;RepeatBlock-By&gt;&lt;Members&gt;</w:t>
      </w:r>
      <w:r w:rsidRPr="00837CC4">
        <w:t>Stasys Jakeliūnas</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p>
        </w:tc>
        <w:tc>
          <w:tcPr>
            <w:tcW w:w="4876" w:type="dxa"/>
          </w:tcPr>
          <w:p w:rsidR="0084543E" w:rsidRPr="00837CC4" w:rsidRDefault="0084543E" w:rsidP="00E51AD6">
            <w:pPr>
              <w:pStyle w:val="AmColumnHeading"/>
            </w:pPr>
            <w:r w:rsidRPr="00837CC4">
              <w:t>Pasiūlymas atmesti</w:t>
            </w:r>
          </w:p>
        </w:tc>
      </w:tr>
      <w:tr w:rsidR="0084543E" w:rsidRPr="00837CC4" w:rsidTr="00E51AD6">
        <w:trPr>
          <w:jc w:val="center"/>
        </w:trPr>
        <w:tc>
          <w:tcPr>
            <w:tcW w:w="4876" w:type="dxa"/>
          </w:tcPr>
          <w:p w:rsidR="0084543E" w:rsidRPr="00837CC4" w:rsidRDefault="0084543E" w:rsidP="00E51AD6">
            <w:pPr>
              <w:pStyle w:val="AmColumnHeading"/>
            </w:pPr>
          </w:p>
        </w:tc>
        <w:tc>
          <w:tcPr>
            <w:tcW w:w="4876" w:type="dxa"/>
          </w:tcPr>
          <w:p w:rsidR="0084543E" w:rsidRPr="00837CC4" w:rsidRDefault="0084543E" w:rsidP="00E51AD6">
            <w:pPr>
              <w:pStyle w:val="NormalBoldItalic6a"/>
            </w:pPr>
            <w:r w:rsidRPr="00837CC4">
              <w:t>Europos Parlamentas atmeta pasiūlymą dėl Europos Parlamento ir Tarybos reglamento dėl paskirstytojo registro technologija grindžiamoms rinkos infrastruktūroms skirtos bandomosios tvarkos.</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pPr>
        <w:pStyle w:val="AmJustTitle"/>
      </w:pPr>
      <w:r w:rsidRPr="00837CC4">
        <w:rPr>
          <w:rStyle w:val="HideTWBExt"/>
          <w:i w:val="0"/>
          <w:noProof w:val="0"/>
        </w:rPr>
        <w:t>&lt;TitreJust&gt;</w:t>
      </w:r>
      <w:r w:rsidRPr="00837CC4">
        <w:t>Pagrindimas</w:t>
      </w:r>
      <w:r w:rsidRPr="00837CC4">
        <w:rPr>
          <w:rStyle w:val="HideTWBExt"/>
          <w:i w:val="0"/>
          <w:noProof w:val="0"/>
        </w:rPr>
        <w:t>&lt;/TitreJust&gt;</w:t>
      </w:r>
    </w:p>
    <w:p w:rsidR="0084543E" w:rsidRPr="00837CC4" w:rsidRDefault="0084543E" w:rsidP="0084543E">
      <w:pPr>
        <w:pStyle w:val="AmJustText"/>
      </w:pPr>
      <w:r w:rsidRPr="00837CC4">
        <w:t>Pasiūlymas nėra technologiniu požiūriu neutralus ir yra nereikalingas. Pagal dabartinę ES finansinių paslaugų sistemą jau sudarytos sąlygos inovacijoms. Siūlomame reglamente sušvelninti tam tikri reikalavimai dėl investuotojų apsaugos ir rinkos vientisumo. Tai gali lemti didesnį rinkos susiskaidymą ir finansinį nestabilumą. Taip pat nacionalinėms kompetentingoms institucijoms yra deleguota daug įgaliojimų. Kadangi ES finansinės priežiūros sistema dar nėra suderinta, dėl siūlomo reglamento galėtų susidaryti reguliavimo spragos ir dar labiau didėti rinkos susiskaidymas.</w:t>
      </w:r>
    </w:p>
    <w:p w:rsidR="0084543E" w:rsidRPr="00837CC4" w:rsidRDefault="0084543E" w:rsidP="0084543E">
      <w:r w:rsidRPr="00837CC4">
        <w:rPr>
          <w:rStyle w:val="HideTWBExt"/>
          <w:noProof w:val="0"/>
        </w:rPr>
        <w:t>&lt;/AmendA&gt;</w:t>
      </w:r>
    </w:p>
    <w:p w:rsidR="0084543E" w:rsidRPr="00837CC4" w:rsidRDefault="0084543E" w:rsidP="0084543E">
      <w:pPr>
        <w:pStyle w:val="AmNumberTabs"/>
      </w:pPr>
      <w:r w:rsidRPr="00837CC4">
        <w:rPr>
          <w:rStyle w:val="HideTWBExt"/>
          <w:b w:val="0"/>
          <w:noProof w:val="0"/>
        </w:rPr>
        <w:t>&lt;AmendA&gt;</w:t>
      </w:r>
      <w:r w:rsidRPr="00837CC4">
        <w:t>Pakeitimas</w:t>
      </w:r>
      <w:r w:rsidRPr="00837CC4">
        <w:tab/>
      </w:r>
      <w:r w:rsidRPr="00837CC4">
        <w:tab/>
      </w:r>
      <w:r w:rsidRPr="00837CC4">
        <w:rPr>
          <w:rStyle w:val="HideTWBExt"/>
          <w:b w:val="0"/>
          <w:noProof w:val="0"/>
        </w:rPr>
        <w:t>&lt;NumAmA&gt;</w:t>
      </w:r>
      <w:r w:rsidRPr="00837CC4">
        <w:t>136</w:t>
      </w:r>
      <w:r w:rsidRPr="00837CC4">
        <w:rPr>
          <w:rStyle w:val="HideTWBExt"/>
          <w:b w:val="0"/>
          <w:noProof w:val="0"/>
        </w:rPr>
        <w:t>&lt;/NumAmA&gt;</w:t>
      </w:r>
    </w:p>
    <w:p w:rsidR="0084543E" w:rsidRPr="00837CC4" w:rsidRDefault="0084543E" w:rsidP="0084543E">
      <w:pPr>
        <w:pStyle w:val="NormalBold"/>
      </w:pPr>
      <w:r w:rsidRPr="00837CC4">
        <w:rPr>
          <w:rStyle w:val="HideTWBExt"/>
          <w:b w:val="0"/>
          <w:noProof w:val="0"/>
        </w:rPr>
        <w:t>&lt;RepeatBlock-By&gt;&lt;Members&gt;</w:t>
      </w:r>
      <w:r w:rsidRPr="00837CC4">
        <w:t>Johan Van Overtveldt</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Teisėkūros rezoliucijos projektas</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5 nurodomoji dalis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Teisėkūros rezoliucijos projektas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t>–</w:t>
            </w:r>
            <w:r w:rsidRPr="00837CC4">
              <w:tab/>
              <w:t>atsižvelgdami į Europos Centrinio Banko nuomonę</w:t>
            </w:r>
            <w:r w:rsidRPr="00837CC4">
              <w:rPr>
                <w:rStyle w:val="Sup"/>
              </w:rPr>
              <w:t>2</w:t>
            </w:r>
            <w:r w:rsidRPr="00837CC4">
              <w:t>,</w:t>
            </w:r>
          </w:p>
        </w:tc>
        <w:tc>
          <w:tcPr>
            <w:tcW w:w="4876" w:type="dxa"/>
          </w:tcPr>
          <w:p w:rsidR="0084543E" w:rsidRPr="00837CC4" w:rsidRDefault="0084543E" w:rsidP="00E51AD6">
            <w:pPr>
              <w:pStyle w:val="Normal6a"/>
            </w:pPr>
            <w:r w:rsidRPr="00837CC4">
              <w:t>–</w:t>
            </w:r>
            <w:r w:rsidRPr="00837CC4">
              <w:tab/>
              <w:t xml:space="preserve">atsižvelgdamas į </w:t>
            </w:r>
            <w:r w:rsidRPr="00837CC4">
              <w:rPr>
                <w:b/>
                <w:bCs/>
                <w:i/>
                <w:iCs/>
              </w:rPr>
              <w:t>2021 m. balandžio 28 d.</w:t>
            </w:r>
            <w:r w:rsidRPr="00837CC4">
              <w:t xml:space="preserve"> Europos Centrinio Banko nuomonę</w:t>
            </w:r>
            <w:r w:rsidRPr="00837CC4">
              <w:rPr>
                <w:rStyle w:val="Sup"/>
              </w:rPr>
              <w:t>2</w:t>
            </w:r>
            <w:r w:rsidRPr="00837CC4">
              <w:t>,</w:t>
            </w:r>
          </w:p>
        </w:tc>
      </w:tr>
      <w:tr w:rsidR="0084543E" w:rsidRPr="00837CC4" w:rsidTr="00E51AD6">
        <w:trPr>
          <w:jc w:val="center"/>
        </w:trPr>
        <w:tc>
          <w:tcPr>
            <w:tcW w:w="4876" w:type="dxa"/>
          </w:tcPr>
          <w:p w:rsidR="0084543E" w:rsidRPr="00837CC4" w:rsidRDefault="0084543E" w:rsidP="00E51AD6">
            <w:pPr>
              <w:pStyle w:val="Normal6a"/>
            </w:pPr>
            <w:r w:rsidRPr="00837CC4">
              <w:t>_________________</w:t>
            </w:r>
          </w:p>
        </w:tc>
        <w:tc>
          <w:tcPr>
            <w:tcW w:w="4876" w:type="dxa"/>
          </w:tcPr>
          <w:p w:rsidR="0084543E" w:rsidRPr="00837CC4" w:rsidRDefault="0084543E" w:rsidP="00E51AD6">
            <w:pPr>
              <w:pStyle w:val="Normal6a"/>
            </w:pPr>
            <w:r w:rsidRPr="00837CC4">
              <w:t>_________________</w:t>
            </w:r>
          </w:p>
        </w:tc>
      </w:tr>
      <w:tr w:rsidR="0084543E" w:rsidRPr="00837CC4" w:rsidTr="00E51AD6">
        <w:trPr>
          <w:jc w:val="center"/>
        </w:trPr>
        <w:tc>
          <w:tcPr>
            <w:tcW w:w="4876" w:type="dxa"/>
          </w:tcPr>
          <w:p w:rsidR="0084543E" w:rsidRPr="00837CC4" w:rsidRDefault="0084543E" w:rsidP="00E51AD6">
            <w:pPr>
              <w:pStyle w:val="Normal6a"/>
            </w:pPr>
            <w:r w:rsidRPr="00837CC4">
              <w:rPr>
                <w:rStyle w:val="Sup"/>
              </w:rPr>
              <w:t>2</w:t>
            </w:r>
            <w:r w:rsidRPr="00837CC4">
              <w:t xml:space="preserve"> OL C xxx, 2021 xx xx, p. xx.</w:t>
            </w:r>
          </w:p>
        </w:tc>
        <w:tc>
          <w:tcPr>
            <w:tcW w:w="4876" w:type="dxa"/>
          </w:tcPr>
          <w:p w:rsidR="0084543E" w:rsidRPr="00837CC4" w:rsidRDefault="0084543E" w:rsidP="00E51AD6">
            <w:pPr>
              <w:pStyle w:val="Normal6a"/>
            </w:pPr>
            <w:r w:rsidRPr="00837CC4">
              <w:rPr>
                <w:rStyle w:val="Sup"/>
              </w:rPr>
              <w:t>2</w:t>
            </w:r>
            <w:r w:rsidRPr="00837CC4">
              <w:t xml:space="preserve"> OL C xxx, 2021 xx xx, p. xx.</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r w:rsidRPr="00837CC4">
        <w:rPr>
          <w:rStyle w:val="HideTWBExt"/>
          <w:noProof w:val="0"/>
        </w:rPr>
        <w:t>&lt;/AmendA&gt;</w:t>
      </w:r>
    </w:p>
    <w:p w:rsidR="0084543E" w:rsidRPr="00837CC4" w:rsidRDefault="0084543E" w:rsidP="0084543E">
      <w:pPr>
        <w:pStyle w:val="AmNumberTabs"/>
      </w:pPr>
      <w:r w:rsidRPr="00837CC4">
        <w:rPr>
          <w:rStyle w:val="HideTWBExt"/>
          <w:b w:val="0"/>
          <w:noProof w:val="0"/>
        </w:rPr>
        <w:t>&lt;AmendA&gt;</w:t>
      </w:r>
      <w:r w:rsidRPr="00837CC4">
        <w:t>Pakeitimas</w:t>
      </w:r>
      <w:r w:rsidRPr="00837CC4">
        <w:tab/>
      </w:r>
      <w:r w:rsidRPr="00837CC4">
        <w:tab/>
      </w:r>
      <w:r w:rsidRPr="00837CC4">
        <w:rPr>
          <w:rStyle w:val="HideTWBExt"/>
          <w:b w:val="0"/>
          <w:noProof w:val="0"/>
        </w:rPr>
        <w:t>&lt;NumAmA&gt;</w:t>
      </w:r>
      <w:r w:rsidRPr="00837CC4">
        <w:t>137</w:t>
      </w:r>
      <w:r w:rsidRPr="00837CC4">
        <w:rPr>
          <w:rStyle w:val="HideTWBExt"/>
          <w:b w:val="0"/>
          <w:noProof w:val="0"/>
        </w:rPr>
        <w:t>&lt;/NumAmA&gt;</w:t>
      </w:r>
    </w:p>
    <w:p w:rsidR="0084543E" w:rsidRPr="00837CC4" w:rsidRDefault="0084543E" w:rsidP="0084543E">
      <w:pPr>
        <w:pStyle w:val="NormalBold"/>
      </w:pPr>
      <w:r w:rsidRPr="00837CC4">
        <w:rPr>
          <w:rStyle w:val="HideTWBExt"/>
          <w:b w:val="0"/>
          <w:noProof w:val="0"/>
        </w:rPr>
        <w:t>&lt;RepeatBlock-By&gt;&lt;Members&gt;</w:t>
      </w:r>
      <w:r w:rsidRPr="00837CC4">
        <w:t>Johan Van Overtveldt</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Teisėkūros rezoliucijos projektas</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5 a nurodomoji dalis (nauja)</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Teisėkūros rezoliucijos projektas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p>
        </w:tc>
        <w:tc>
          <w:tcPr>
            <w:tcW w:w="4876" w:type="dxa"/>
          </w:tcPr>
          <w:p w:rsidR="0084543E" w:rsidRPr="00837CC4" w:rsidRDefault="0084543E" w:rsidP="00E51AD6">
            <w:pPr>
              <w:pStyle w:val="Normal6a"/>
            </w:pPr>
            <w:r w:rsidRPr="00837CC4">
              <w:rPr>
                <w:b/>
                <w:i/>
              </w:rPr>
              <w:t>–</w:t>
            </w:r>
            <w:r w:rsidRPr="00837CC4">
              <w:tab/>
            </w:r>
            <w:r w:rsidRPr="00837CC4">
              <w:rPr>
                <w:b/>
                <w:i/>
              </w:rPr>
              <w:t>atsižvelgdamas į 2021 m. balandžio 23 d. Europos duomenų apsaugos priežiūros pareigūno nuomonę Nr. 6/2021,</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r w:rsidRPr="00837CC4">
        <w:rPr>
          <w:rStyle w:val="HideTWBExt"/>
          <w:noProof w:val="0"/>
        </w:rPr>
        <w:t>&lt;/AmendA&gt;&lt;/RepeatBlock-AmendA&gt;</w:t>
      </w:r>
    </w:p>
    <w:p w:rsidR="0084543E" w:rsidRPr="00837CC4" w:rsidRDefault="0084543E" w:rsidP="0084543E">
      <w:pPr>
        <w:pStyle w:val="AmNumberTabs"/>
      </w:pPr>
      <w:r w:rsidRPr="00837CC4">
        <w:rPr>
          <w:rStyle w:val="HideTWBExt"/>
          <w:b w:val="0"/>
          <w:noProof w:val="0"/>
        </w:rPr>
        <w:t>&lt;RepeatBlock-AmendB&gt;&lt;AmendB&gt;</w:t>
      </w:r>
      <w:r w:rsidRPr="00837CC4">
        <w:t>Pakeitimas</w:t>
      </w:r>
      <w:r w:rsidRPr="00837CC4">
        <w:tab/>
      </w:r>
      <w:r w:rsidRPr="00837CC4">
        <w:tab/>
      </w:r>
      <w:r w:rsidRPr="00837CC4">
        <w:rPr>
          <w:rStyle w:val="HideTWBExt"/>
          <w:b w:val="0"/>
          <w:noProof w:val="0"/>
        </w:rPr>
        <w:t>&lt;NumAmB&gt;</w:t>
      </w:r>
      <w:r w:rsidRPr="00837CC4">
        <w:t>138</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Jessica Polfjärd, Christophe Hansen</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1 konstatuojamoji dalis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t>(1)</w:t>
            </w:r>
            <w:r w:rsidRPr="00837CC4">
              <w:tab/>
              <w:t>Europos Komisijos komunikate dėl ES skaitmeninių finansų strategijos</w:t>
            </w:r>
            <w:r w:rsidRPr="00837CC4">
              <w:rPr>
                <w:rStyle w:val="Sup"/>
              </w:rPr>
              <w:t>32</w:t>
            </w:r>
            <w:r w:rsidRPr="00837CC4">
              <w:t xml:space="preserve"> siekiama užtikrinti, kad Sąjungos finansinių paslaugų teisės aktai būtų tinkami skaitmeniniame amžiuje ir padėtų skatinti perspektyvią žmonėms tarnaujančią ekonomiką, be kita ko, suteikiant galimybę naudotis inovatyviomis technologijomis. Sąjunga turi politinio pobūdžio interesą finansų sektoriuje plėtoti ir skatinti diegti revoliucines technologijas, kaip antai blokų grandinės technologiją ir paskirstytojo registro technologiją (PRT). Viena iš pagrindinių finansams skirtų PRT prietaikų yra kriptoturtas;</w:t>
            </w:r>
          </w:p>
        </w:tc>
        <w:tc>
          <w:tcPr>
            <w:tcW w:w="4876" w:type="dxa"/>
          </w:tcPr>
          <w:p w:rsidR="0084543E" w:rsidRPr="00837CC4" w:rsidRDefault="0084543E" w:rsidP="00E51AD6">
            <w:pPr>
              <w:pStyle w:val="Normal6a"/>
            </w:pPr>
            <w:r w:rsidRPr="00837CC4">
              <w:t>(1)</w:t>
            </w:r>
            <w:r w:rsidRPr="00837CC4">
              <w:tab/>
              <w:t>Europos Komisijos komunikate dėl ES skaitmeninių finansų strategijos</w:t>
            </w:r>
            <w:r w:rsidRPr="00837CC4">
              <w:rPr>
                <w:rStyle w:val="Sup"/>
              </w:rPr>
              <w:t>32</w:t>
            </w:r>
            <w:r w:rsidRPr="00837CC4">
              <w:t xml:space="preserve"> siekiama užtikrinti, kad Sąjungos finansinių paslaugų teisės aktai būtų tinkami skaitmeniniame amžiuje ir padėtų skatinti perspektyvią žmonėms tarnaujančią ekonomiką, be kita ko, suteikiant galimybę naudotis inovatyviomis technologijomis. Sąjunga turi politinio pobūdžio interesą finansų sektoriuje </w:t>
            </w:r>
            <w:r w:rsidRPr="00837CC4">
              <w:rPr>
                <w:b/>
                <w:bCs/>
                <w:i/>
                <w:iCs/>
              </w:rPr>
              <w:t>tirti,</w:t>
            </w:r>
            <w:r w:rsidRPr="00837CC4">
              <w:t xml:space="preserve"> plėtoti ir skatinti diegti transformatyviąsias technologijas, kaip antai blokų grandinės technologiją ir paskirstytojo registro technologiją (PRT). Viena iš pagrindinių finansams skirtų PRT prietaikų yra kriptoturtas;</w:t>
            </w:r>
          </w:p>
        </w:tc>
      </w:tr>
      <w:tr w:rsidR="0084543E" w:rsidRPr="00837CC4" w:rsidTr="00E51AD6">
        <w:trPr>
          <w:jc w:val="center"/>
        </w:trPr>
        <w:tc>
          <w:tcPr>
            <w:tcW w:w="4876" w:type="dxa"/>
          </w:tcPr>
          <w:p w:rsidR="0084543E" w:rsidRPr="00837CC4" w:rsidRDefault="0084543E" w:rsidP="00E51AD6">
            <w:pPr>
              <w:pStyle w:val="Normal6a"/>
            </w:pPr>
            <w:r w:rsidRPr="00837CC4">
              <w:t>_________________</w:t>
            </w:r>
          </w:p>
        </w:tc>
        <w:tc>
          <w:tcPr>
            <w:tcW w:w="4876" w:type="dxa"/>
          </w:tcPr>
          <w:p w:rsidR="0084543E" w:rsidRPr="00837CC4" w:rsidRDefault="0084543E" w:rsidP="00E51AD6">
            <w:pPr>
              <w:pStyle w:val="Normal6a"/>
            </w:pPr>
            <w:r w:rsidRPr="00837CC4">
              <w:t>_________________</w:t>
            </w:r>
          </w:p>
        </w:tc>
      </w:tr>
      <w:tr w:rsidR="0084543E" w:rsidRPr="00837CC4" w:rsidTr="00E51AD6">
        <w:trPr>
          <w:jc w:val="center"/>
        </w:trPr>
        <w:tc>
          <w:tcPr>
            <w:tcW w:w="4876" w:type="dxa"/>
          </w:tcPr>
          <w:p w:rsidR="0084543E" w:rsidRPr="00837CC4" w:rsidRDefault="0084543E" w:rsidP="00E51AD6">
            <w:pPr>
              <w:pStyle w:val="Normal6a"/>
            </w:pPr>
            <w:r w:rsidRPr="00837CC4">
              <w:rPr>
                <w:rStyle w:val="Sup"/>
              </w:rPr>
              <w:t>32</w:t>
            </w:r>
            <w:r w:rsidRPr="00837CC4">
              <w:t xml:space="preserve"> Komisijos komunikatas Europos Parlamentui, Tarybai, Europos Centriniam Bankui, Europos ekonomikos ir socialinių reikalų komitetui ir Regionų komitetui dėl ES skaitmeninių finansų strategijos, COM(2020)591.</w:t>
            </w:r>
          </w:p>
        </w:tc>
        <w:tc>
          <w:tcPr>
            <w:tcW w:w="4876" w:type="dxa"/>
          </w:tcPr>
          <w:p w:rsidR="0084543E" w:rsidRPr="00837CC4" w:rsidRDefault="0084543E" w:rsidP="00E51AD6">
            <w:pPr>
              <w:pStyle w:val="Normal6a"/>
            </w:pPr>
            <w:r w:rsidRPr="00837CC4">
              <w:rPr>
                <w:rStyle w:val="Sup"/>
              </w:rPr>
              <w:t>32</w:t>
            </w:r>
            <w:r w:rsidRPr="00837CC4">
              <w:t xml:space="preserve"> Komisijos komunikatas Europos Parlamentui, Tarybai, Europos Centriniam Bankui, Europos ekonomikos ir socialinių reikalų komitetui ir Regionų komitetui dėl ES skaitmeninių finansų strategijos, COM(2020)591.</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139</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Eva Kaili</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1 konstatuojamoji dalis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t>(1)</w:t>
            </w:r>
            <w:r w:rsidRPr="00837CC4">
              <w:tab/>
              <w:t>Europos Komisijos komunikate dėl ES skaitmeninių finansų strategijos</w:t>
            </w:r>
            <w:r w:rsidRPr="00837CC4">
              <w:rPr>
                <w:rStyle w:val="Sup"/>
              </w:rPr>
              <w:t>32</w:t>
            </w:r>
            <w:r w:rsidRPr="00837CC4">
              <w:t xml:space="preserve"> siekiama užtikrinti, kad Sąjungos finansinių paslaugų teisės aktai būtų tinkami skaitmeniniame amžiuje ir padėtų skatinti perspektyvią žmonėms tarnaujančią ekonomiką, be kita ko, suteikiant galimybę naudotis inovatyviomis technologijomis. Sąjunga turi politinio pobūdžio interesą finansų sektoriuje plėtoti ir skatinti diegti revoliucines technologijas, kaip antai blokų grandinės technologiją ir paskirstytojo registro technologiją (PRT). Viena iš pagrindinių finansams skirtų PRT prietaikų yra kriptoturtas;</w:t>
            </w:r>
          </w:p>
        </w:tc>
        <w:tc>
          <w:tcPr>
            <w:tcW w:w="4876" w:type="dxa"/>
          </w:tcPr>
          <w:p w:rsidR="0084543E" w:rsidRPr="00837CC4" w:rsidRDefault="0084543E" w:rsidP="00E51AD6">
            <w:pPr>
              <w:pStyle w:val="Normal6a"/>
            </w:pPr>
            <w:r w:rsidRPr="00837CC4">
              <w:t>(1)</w:t>
            </w:r>
            <w:r w:rsidRPr="00837CC4">
              <w:tab/>
              <w:t>Europos Komisijos komunikate dėl ES skaitmeninių finansų strategijos</w:t>
            </w:r>
            <w:r w:rsidRPr="00837CC4">
              <w:rPr>
                <w:rStyle w:val="Sup"/>
              </w:rPr>
              <w:t>32</w:t>
            </w:r>
            <w:r w:rsidRPr="00837CC4">
              <w:t xml:space="preserve"> siekiama užtikrinti, kad Sąjungos finansinių paslaugų teisės aktai būtų tinkami skaitmeniniame amžiuje ir padėtų skatinti perspektyvią žmonėms tarnaujančią ekonomiką, be kita ko, suteikiant galimybę naudotis inovatyviomis technologijomis. Sąjunga turi politinio pobūdžio interesą finansų sektoriuje plėtoti ir skatinti diegti revoliucines technologijas, kaip antai blokų grandinės technologiją ir paskirstytojo registro technologiją (PRT). Viena iš pagrindinių finansams skirtų PRT prietaikų yra kriptoturtas</w:t>
            </w:r>
            <w:r w:rsidRPr="00837CC4">
              <w:rPr>
                <w:b/>
                <w:bCs/>
                <w:i/>
                <w:iCs/>
              </w:rPr>
              <w:t>.</w:t>
            </w:r>
            <w:r w:rsidRPr="00837CC4">
              <w:t xml:space="preserve"> </w:t>
            </w:r>
            <w:r w:rsidRPr="00837CC4">
              <w:rPr>
                <w:b/>
                <w:i/>
              </w:rPr>
              <w:t>PRT sudaro įvairių sprendimų rinkinys, apimantis duomenų bazės technologiją ir kriptografiją, siekiant kovoti su žalingu elgesiu ir atsižvelgti į riziką, kad skirtingi naudotojai dėl delsos arba nesuderinamų šakų patvirtinimo naudojasi nevienodomis duomenų versijomis, suteikiant galimybę atlikti galutinį vartotojų veiklos kriptografinį auditą ir numatant tradicinius ir naujus mechanizmus, kuriais laikui bėgant būtų pasiektas naudotojų sutarimas dėl duomenų bazės statuso;</w:t>
            </w:r>
          </w:p>
        </w:tc>
      </w:tr>
      <w:tr w:rsidR="0084543E" w:rsidRPr="00837CC4" w:rsidTr="00E51AD6">
        <w:trPr>
          <w:jc w:val="center"/>
        </w:trPr>
        <w:tc>
          <w:tcPr>
            <w:tcW w:w="4876" w:type="dxa"/>
          </w:tcPr>
          <w:p w:rsidR="0084543E" w:rsidRPr="00837CC4" w:rsidRDefault="0084543E" w:rsidP="00E51AD6">
            <w:pPr>
              <w:pStyle w:val="Normal6a"/>
            </w:pPr>
            <w:r w:rsidRPr="00837CC4">
              <w:t>_________________</w:t>
            </w:r>
          </w:p>
        </w:tc>
        <w:tc>
          <w:tcPr>
            <w:tcW w:w="4876" w:type="dxa"/>
          </w:tcPr>
          <w:p w:rsidR="0084543E" w:rsidRPr="00837CC4" w:rsidRDefault="0084543E" w:rsidP="00E51AD6">
            <w:pPr>
              <w:pStyle w:val="Normal6a"/>
            </w:pPr>
            <w:r w:rsidRPr="00837CC4">
              <w:t>_________________</w:t>
            </w:r>
          </w:p>
        </w:tc>
      </w:tr>
      <w:tr w:rsidR="0084543E" w:rsidRPr="00837CC4" w:rsidTr="00E51AD6">
        <w:trPr>
          <w:jc w:val="center"/>
        </w:trPr>
        <w:tc>
          <w:tcPr>
            <w:tcW w:w="4876" w:type="dxa"/>
          </w:tcPr>
          <w:p w:rsidR="0084543E" w:rsidRPr="00837CC4" w:rsidRDefault="0084543E" w:rsidP="00E51AD6">
            <w:pPr>
              <w:pStyle w:val="Normal6a"/>
            </w:pPr>
            <w:r w:rsidRPr="00837CC4">
              <w:rPr>
                <w:rStyle w:val="Sup"/>
              </w:rPr>
              <w:t>32</w:t>
            </w:r>
            <w:r w:rsidRPr="00837CC4">
              <w:t xml:space="preserve"> Komisijos komunikatas Europos Parlamentui, Tarybai, Europos Centriniam Bankui, Europos ekonomikos ir socialinių reikalų komitetui ir Regionų komitetui dėl ES skaitmeninių finansų strategijos, COM(2020)591.</w:t>
            </w:r>
          </w:p>
        </w:tc>
        <w:tc>
          <w:tcPr>
            <w:tcW w:w="4876" w:type="dxa"/>
          </w:tcPr>
          <w:p w:rsidR="0084543E" w:rsidRPr="00837CC4" w:rsidRDefault="0084543E" w:rsidP="00E51AD6">
            <w:pPr>
              <w:pStyle w:val="Normal6a"/>
            </w:pPr>
            <w:r w:rsidRPr="00837CC4">
              <w:rPr>
                <w:rStyle w:val="Sup"/>
              </w:rPr>
              <w:t>32</w:t>
            </w:r>
            <w:r w:rsidRPr="00837CC4">
              <w:t xml:space="preserve"> Komisijos komunikatas Europos Parlamentui, Tarybai, Europos Centriniam Bankui, Europos ekonomikos ir socialinių reikalų komitetui ir Regionų komitetui dėl ES skaitmeninių finansų strategijos, COM(2020)591.</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pPr>
        <w:pStyle w:val="AmJustTitle"/>
      </w:pPr>
      <w:r w:rsidRPr="00837CC4">
        <w:rPr>
          <w:rStyle w:val="HideTWBExt"/>
          <w:i w:val="0"/>
          <w:noProof w:val="0"/>
        </w:rPr>
        <w:t>&lt;TitreJust&gt;</w:t>
      </w:r>
      <w:r w:rsidRPr="00837CC4">
        <w:t>Pagrindimas</w:t>
      </w:r>
      <w:r w:rsidRPr="00837CC4">
        <w:rPr>
          <w:rStyle w:val="HideTWBExt"/>
          <w:i w:val="0"/>
          <w:noProof w:val="0"/>
        </w:rPr>
        <w:t>&lt;/TitreJust&gt;</w:t>
      </w:r>
    </w:p>
    <w:p w:rsidR="0084543E" w:rsidRPr="00837CC4" w:rsidRDefault="0084543E" w:rsidP="0084543E">
      <w:pPr>
        <w:pStyle w:val="AmJustText"/>
      </w:pPr>
      <w:r w:rsidRPr="00837CC4">
        <w:t>PRT veikimo pobūdžio aprašymas gautas iš 2017 m. ECB Vertybinių popierių ir įkaito rinkos infrastruktūros patariamosios grupės (toliau – AMI SeCo) ataskaitos „Galimas PRT poveikis vertybinių popierių poprekybiniam suderinimui ir platesnei ES finansų rinkos integracijai“.</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140</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Jessica Polfjärd</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2 konstatuojamoji dalis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t>(2)</w:t>
            </w:r>
            <w:r w:rsidRPr="00837CC4">
              <w:tab/>
              <w:t>dauguma kriptoturto nepatenka į ES teisės aktų taikymo sritį ir, be kita ko, kelia su investuotojų apsauga, rinkos vientisumu ir finansiniu stabilumu susijusių iššūkių. Todėl šiam turtui reikalinga Sąjungos lygmens speciali tvarka. Tačiau kitų rūšių kriptoturtas laikomas finansinėmis priemonėmis, apibrėžtomis Europos Parlamento ir Tarybos direktyvoje 2014/65/ES (Direktyvoje dėl finansinių priemonių rinkų, FPRD II)</w:t>
            </w:r>
            <w:r w:rsidRPr="00837CC4">
              <w:rPr>
                <w:rStyle w:val="Sup"/>
              </w:rPr>
              <w:t>33</w:t>
            </w:r>
            <w:r w:rsidRPr="00837CC4">
              <w:t>. Tais atvejais, kai kriptoturtas laikomas finansinėmis priemonėmis pagal tą direktyvą, jo emitentui ir įmonėms, vykdančioms su juo susijusią veiklą, gali būti taikomos visos Sąjungos finansinės taisyklės, be kita ko, Europos Parlamento ir Tarybos reglamentas (ES) 2017/1129 (Prospekto reglamentas)</w:t>
            </w:r>
            <w:r w:rsidRPr="00837CC4">
              <w:rPr>
                <w:rStyle w:val="Sup"/>
              </w:rPr>
              <w:t>34</w:t>
            </w:r>
            <w:r w:rsidRPr="00837CC4">
              <w:t>, Europos Parlamento ir Tarybos direktyva 2013/50/ES (Skaidrumo direktyva)</w:t>
            </w:r>
            <w:r w:rsidRPr="00837CC4">
              <w:rPr>
                <w:rStyle w:val="Sup"/>
              </w:rPr>
              <w:t>35</w:t>
            </w:r>
            <w:r w:rsidRPr="00837CC4">
              <w:t>, Europos Parlamento ir Tarybos reglamentas (ES) Nr. 596/2014 (Piktnaudžiavimo rinka reglamentas)</w:t>
            </w:r>
            <w:r w:rsidRPr="00837CC4">
              <w:rPr>
                <w:rStyle w:val="Sup"/>
              </w:rPr>
              <w:t>36</w:t>
            </w:r>
            <w:r w:rsidRPr="00837CC4">
              <w:t>, Europos Parlamento ir Tarybos reglamentas (ES) Nr. 236/2012 (Skolintų vertybinių popierių pardavimo reglamentas)</w:t>
            </w:r>
            <w:r w:rsidRPr="00837CC4">
              <w:rPr>
                <w:rStyle w:val="Sup"/>
              </w:rPr>
              <w:t>37</w:t>
            </w:r>
            <w:r w:rsidRPr="00837CC4">
              <w:t>, Europos Parlamento ir Tarybos reglamentas (ES) Nr. 909/2014 (Centrinių vertybinių popierių depozitoriumų reglamentas)</w:t>
            </w:r>
            <w:r w:rsidRPr="00837CC4">
              <w:rPr>
                <w:rStyle w:val="Sup"/>
              </w:rPr>
              <w:t>38</w:t>
            </w:r>
            <w:r w:rsidRPr="00837CC4">
              <w:t xml:space="preserve"> ir Europos Parlamento ir Tarybos direktyva 98/26/EB (Atsiskaitymų baigtinumo direktyva)</w:t>
            </w:r>
            <w:r w:rsidRPr="00837CC4">
              <w:rPr>
                <w:rStyle w:val="Sup"/>
              </w:rPr>
              <w:t>39</w:t>
            </w:r>
            <w:r w:rsidRPr="00837CC4">
              <w:t xml:space="preserve">. Manoma, kad finansinių priemonių pakeitimas kriptožetonais, t. y. jų pavertimas kriptoturtu siekiant jas išleisti, saugoti ar perleisti paskirstytajame registre, atvers galimybių didinti veiksmingumą </w:t>
            </w:r>
            <w:r w:rsidRPr="00837CC4">
              <w:rPr>
                <w:b/>
                <w:bCs/>
                <w:i/>
                <w:iCs/>
              </w:rPr>
              <w:t>visoje</w:t>
            </w:r>
            <w:r w:rsidRPr="00837CC4">
              <w:t xml:space="preserve"> prekybos ir poprekybinių paslaugų srityje;</w:t>
            </w:r>
          </w:p>
        </w:tc>
        <w:tc>
          <w:tcPr>
            <w:tcW w:w="4876" w:type="dxa"/>
          </w:tcPr>
          <w:p w:rsidR="0084543E" w:rsidRPr="00837CC4" w:rsidRDefault="0084543E" w:rsidP="00E51AD6">
            <w:pPr>
              <w:pStyle w:val="Normal6a"/>
            </w:pPr>
            <w:r w:rsidRPr="00837CC4">
              <w:t>(2)</w:t>
            </w:r>
            <w:r w:rsidRPr="00837CC4">
              <w:tab/>
              <w:t>dauguma kriptoturto nepatenka į ES teisės aktų taikymo sritį ir, be kita ko, kelia su investuotojų apsauga, rinkos vientisumu ir finansiniu stabilumu susijusių iššūkių. Todėl šiam turtui reikalinga Sąjungos lygmens speciali tvarka. Tačiau kitų rūšių kriptoturtas laikomas finansinėmis priemonėmis, apibrėžtomis Europos Parlamento ir Tarybos direktyvoje 2014/65/ES (Direktyvoje dėl finansinių priemonių rinkų, FPRD II)</w:t>
            </w:r>
            <w:r w:rsidRPr="00837CC4">
              <w:rPr>
                <w:rStyle w:val="Sup"/>
              </w:rPr>
              <w:t>33</w:t>
            </w:r>
            <w:r w:rsidRPr="00837CC4">
              <w:t>. Tais atvejais, kai kriptoturtas laikomas finansinėmis priemonėmis pagal tą direktyvą, jo emitentui ir įmonėms, vykdančioms su juo susijusią veiklą, gali būti taikomos visos Sąjungos finansinės taisyklės, be kita ko, Europos Parlamento ir Tarybos reglamentas (ES) 2017/1129 (Prospekto reglamentas)</w:t>
            </w:r>
            <w:r w:rsidRPr="00837CC4">
              <w:rPr>
                <w:rStyle w:val="Sup"/>
              </w:rPr>
              <w:t>34</w:t>
            </w:r>
            <w:r w:rsidRPr="00837CC4">
              <w:t>, Europos Parlamento ir Tarybos direktyva 2013/50/ES (Skaidrumo direktyva)</w:t>
            </w:r>
            <w:r w:rsidRPr="00837CC4">
              <w:rPr>
                <w:rStyle w:val="Sup"/>
              </w:rPr>
              <w:t>35</w:t>
            </w:r>
            <w:r w:rsidRPr="00837CC4">
              <w:t>, Europos Parlamento ir Tarybos reglamentas (ES) Nr. 596/2014 (Piktnaudžiavimo rinka reglamentas)</w:t>
            </w:r>
            <w:r w:rsidRPr="00837CC4">
              <w:rPr>
                <w:rStyle w:val="Sup"/>
              </w:rPr>
              <w:t>36</w:t>
            </w:r>
            <w:r w:rsidRPr="00837CC4">
              <w:t>, Europos Parlamento ir Tarybos reglamentas (ES) Nr. 236/2012 (Skolintų vertybinių popierių pardavimo reglamentas)</w:t>
            </w:r>
            <w:r w:rsidRPr="00837CC4">
              <w:rPr>
                <w:rStyle w:val="Sup"/>
              </w:rPr>
              <w:t>37</w:t>
            </w:r>
            <w:r w:rsidRPr="00837CC4">
              <w:t>, Europos Parlamento ir Tarybos reglamentas (ES) Nr. 909/2014 (Centrinių vertybinių popierių depozitoriumų reglamentas)</w:t>
            </w:r>
            <w:r w:rsidRPr="00837CC4">
              <w:rPr>
                <w:rStyle w:val="Sup"/>
              </w:rPr>
              <w:t>38</w:t>
            </w:r>
            <w:r w:rsidRPr="00837CC4">
              <w:t xml:space="preserve"> ir Europos Parlamento ir Tarybos direktyva 98/26/EB (Atsiskaitymų baigtinumo direktyva)</w:t>
            </w:r>
            <w:r w:rsidRPr="00837CC4">
              <w:rPr>
                <w:rStyle w:val="Sup"/>
              </w:rPr>
              <w:t>39</w:t>
            </w:r>
            <w:r w:rsidRPr="00837CC4">
              <w:t>. Manoma, kad finansinių priemonių pakeitimas kriptožetonais, t. y. jų pavertimas kriptoturtu siekiant jas išleisti, saugoti ar perleisti paskirstytajame registre, atvers galimybių didinti veiksmingumą prekybos ir poprekybinių paslaugų srityje;</w:t>
            </w:r>
          </w:p>
        </w:tc>
      </w:tr>
      <w:tr w:rsidR="0084543E" w:rsidRPr="00837CC4" w:rsidTr="00E51AD6">
        <w:trPr>
          <w:jc w:val="center"/>
        </w:trPr>
        <w:tc>
          <w:tcPr>
            <w:tcW w:w="4876" w:type="dxa"/>
          </w:tcPr>
          <w:p w:rsidR="0084543E" w:rsidRPr="00837CC4" w:rsidRDefault="0084543E" w:rsidP="00E51AD6">
            <w:pPr>
              <w:pStyle w:val="Normal6a"/>
            </w:pPr>
            <w:r w:rsidRPr="00837CC4">
              <w:t>_________________</w:t>
            </w:r>
          </w:p>
        </w:tc>
        <w:tc>
          <w:tcPr>
            <w:tcW w:w="4876" w:type="dxa"/>
          </w:tcPr>
          <w:p w:rsidR="0084543E" w:rsidRPr="00837CC4" w:rsidRDefault="0084543E" w:rsidP="00E51AD6">
            <w:pPr>
              <w:pStyle w:val="Normal6a"/>
            </w:pPr>
            <w:r w:rsidRPr="00837CC4">
              <w:t>_________________</w:t>
            </w:r>
          </w:p>
        </w:tc>
      </w:tr>
      <w:tr w:rsidR="0084543E" w:rsidRPr="00837CC4" w:rsidTr="00E51AD6">
        <w:trPr>
          <w:jc w:val="center"/>
        </w:trPr>
        <w:tc>
          <w:tcPr>
            <w:tcW w:w="4876" w:type="dxa"/>
          </w:tcPr>
          <w:p w:rsidR="0084543E" w:rsidRPr="00837CC4" w:rsidRDefault="0084543E" w:rsidP="00E51AD6">
            <w:pPr>
              <w:pStyle w:val="Normal6a"/>
            </w:pPr>
            <w:r w:rsidRPr="00837CC4">
              <w:rPr>
                <w:rStyle w:val="Sup"/>
              </w:rPr>
              <w:t>33</w:t>
            </w:r>
            <w:r w:rsidRPr="00837CC4">
              <w:t xml:space="preserve"> 2014 m. gegužės 15 d. Europos Parlamento ir Tarybos direktyva 2014/65/ES dėl finansinių priemonių rinkų, kuria iš dalies keičiamos Direktyva 2011/61/ES ir Direktyva 2002/92/EB (OL L 173, 2014 6 12, p. 349).</w:t>
            </w:r>
          </w:p>
        </w:tc>
        <w:tc>
          <w:tcPr>
            <w:tcW w:w="4876" w:type="dxa"/>
          </w:tcPr>
          <w:p w:rsidR="0084543E" w:rsidRPr="00837CC4" w:rsidRDefault="0084543E" w:rsidP="00E51AD6">
            <w:pPr>
              <w:pStyle w:val="Normal6a"/>
            </w:pPr>
            <w:r w:rsidRPr="00837CC4">
              <w:rPr>
                <w:rStyle w:val="Sup"/>
              </w:rPr>
              <w:t>33</w:t>
            </w:r>
            <w:r w:rsidRPr="00837CC4">
              <w:t xml:space="preserve"> 2014 m. gegužės 15 d. Europos Parlamento ir Tarybos direktyva 2014/65/ES dėl finansinių priemonių rinkų, kuria iš dalies keičiamos Direktyva 2011/61/ES ir Direktyva 2002/92/EB (OL L 173, 2014 6 12, p. 349).</w:t>
            </w:r>
          </w:p>
        </w:tc>
      </w:tr>
      <w:tr w:rsidR="0084543E" w:rsidRPr="00837CC4" w:rsidTr="00E51AD6">
        <w:trPr>
          <w:jc w:val="center"/>
        </w:trPr>
        <w:tc>
          <w:tcPr>
            <w:tcW w:w="4876" w:type="dxa"/>
          </w:tcPr>
          <w:p w:rsidR="0084543E" w:rsidRPr="00837CC4" w:rsidRDefault="0084543E" w:rsidP="00E51AD6">
            <w:pPr>
              <w:pStyle w:val="Normal6a"/>
            </w:pPr>
            <w:r w:rsidRPr="00837CC4">
              <w:rPr>
                <w:rStyle w:val="Sup"/>
              </w:rPr>
              <w:t>34</w:t>
            </w:r>
            <w:r w:rsidRPr="00837CC4">
              <w:t xml:space="preserve"> 2017 m. birželio 14 d. Europos Parlamento ir Tarybos reglamentas (ES) 2017/1129 dėl prospekto, kuris turi būti skelbiamas, kai vertybiniai popieriai siūlomi viešai arba įtraukiami į prekybos reguliuojamoje rinkoje sąrašą, ir kuriuo panaikinama Direktyva 2003/71/EB (OL L 168, 2017 6 30, p. 12).</w:t>
            </w:r>
          </w:p>
        </w:tc>
        <w:tc>
          <w:tcPr>
            <w:tcW w:w="4876" w:type="dxa"/>
          </w:tcPr>
          <w:p w:rsidR="0084543E" w:rsidRPr="00837CC4" w:rsidRDefault="0084543E" w:rsidP="00E51AD6">
            <w:pPr>
              <w:pStyle w:val="Normal6a"/>
            </w:pPr>
            <w:r w:rsidRPr="00837CC4">
              <w:rPr>
                <w:rStyle w:val="Sup"/>
              </w:rPr>
              <w:t>34</w:t>
            </w:r>
            <w:r w:rsidRPr="00837CC4">
              <w:t xml:space="preserve"> 2017 m. birželio 14 d. Europos Parlamento ir Tarybos reglamentas (ES) 2017/1129 dėl prospekto, kuris turi būti skelbiamas, kai vertybiniai popieriai siūlomi viešai arba įtraukiami į prekybos reguliuojamoje rinkoje sąrašą, ir kuriuo panaikinama Direktyva 2003/71/EB (OL L 168, 2017 6 30, p. 12).</w:t>
            </w:r>
          </w:p>
        </w:tc>
      </w:tr>
      <w:tr w:rsidR="0084543E" w:rsidRPr="00837CC4" w:rsidTr="00E51AD6">
        <w:trPr>
          <w:jc w:val="center"/>
        </w:trPr>
        <w:tc>
          <w:tcPr>
            <w:tcW w:w="4876" w:type="dxa"/>
          </w:tcPr>
          <w:p w:rsidR="0084543E" w:rsidRPr="00837CC4" w:rsidRDefault="0084543E" w:rsidP="00E51AD6">
            <w:pPr>
              <w:pStyle w:val="Normal6a"/>
            </w:pPr>
            <w:r w:rsidRPr="00837CC4">
              <w:rPr>
                <w:rStyle w:val="Sup"/>
              </w:rPr>
              <w:t>35</w:t>
            </w:r>
            <w:r w:rsidRPr="00837CC4">
              <w:t xml:space="preserve"> 2013 m. spalio 22 d. Europos Parlamento ir Tarybos direktyva 2013/50/ES, kuria iš dalies keičiama Europos Parlamento ir Tarybos direktyva 2004/109/EB dėl informacijos apie emitentus, kurių vertybiniais popieriais leista prekiauti reguliuojamoje rinkoje, skaidrumo reikalavimų suderinimo, Europos Parlamento ir Tarybos direktyva 2003/71/EB dėl prospekto, kuris turi būti skelbiamas, kai vertybiniai popieriai siūlomi visuomenei ar įtraukiami į prekybos sąrašą, ir Komisijos direktyva 2007/14/EB, nustatanti išsamias tam tikrų Direktyvos 2004/109/EB nuostatų įgyvendinimo taisykles (OL L 294, 2013 11 6, p. 13).</w:t>
            </w:r>
          </w:p>
        </w:tc>
        <w:tc>
          <w:tcPr>
            <w:tcW w:w="4876" w:type="dxa"/>
          </w:tcPr>
          <w:p w:rsidR="0084543E" w:rsidRPr="00837CC4" w:rsidRDefault="0084543E" w:rsidP="00E51AD6">
            <w:pPr>
              <w:pStyle w:val="Normal6a"/>
            </w:pPr>
            <w:r w:rsidRPr="00837CC4">
              <w:rPr>
                <w:rStyle w:val="Sup"/>
              </w:rPr>
              <w:t>35</w:t>
            </w:r>
            <w:r w:rsidRPr="00837CC4">
              <w:t xml:space="preserve"> 2013 m. spalio 22 d. Europos Parlamento ir Tarybos direktyva 2013/50/ES, kuria iš dalies keičiama Europos Parlamento ir Tarybos direktyva 2004/109/EB dėl informacijos apie emitentus, kurių vertybiniais popieriais leista prekiauti reguliuojamoje rinkoje, skaidrumo reikalavimų suderinimo, Europos Parlamento ir Tarybos direktyva 2003/71/EB dėl prospekto, kuris turi būti skelbiamas, kai vertybiniai popieriai siūlomi visuomenei ar įtraukiami į prekybos sąrašą, ir Komisijos direktyva 2007/14/EB, nustatanti išsamias tam tikrų Direktyvos 2004/109/EB nuostatų įgyvendinimo taisykles (OL L 294, 2013 11 6, p. 13).</w:t>
            </w:r>
          </w:p>
        </w:tc>
      </w:tr>
      <w:tr w:rsidR="0084543E" w:rsidRPr="00837CC4" w:rsidTr="00E51AD6">
        <w:trPr>
          <w:jc w:val="center"/>
        </w:trPr>
        <w:tc>
          <w:tcPr>
            <w:tcW w:w="4876" w:type="dxa"/>
          </w:tcPr>
          <w:p w:rsidR="0084543E" w:rsidRPr="00837CC4" w:rsidRDefault="0084543E" w:rsidP="00E51AD6">
            <w:pPr>
              <w:pStyle w:val="Normal6a"/>
            </w:pPr>
            <w:r w:rsidRPr="00837CC4">
              <w:rPr>
                <w:rStyle w:val="Sup"/>
              </w:rPr>
              <w:t>36</w:t>
            </w:r>
            <w:r w:rsidRPr="00837CC4">
              <w:t xml:space="preserve"> 2014 m. balandžio 16 d. Europos Parlamento ir Tarybos reglamentas (ES) Nr. 596/2014 dėl piktnaudžiavimo rinka (Piktnaudžiavimo rinka reglamentas) ir kuriuo panaikinama Europos Parlamento ir Tarybos direktyva 2003/6/EB ir Komisijos direktyvos 2003/124/EB, 2003/125/EB ir 2004/72/EB (OL L 173, 2014 6 12, p. 1).</w:t>
            </w:r>
          </w:p>
        </w:tc>
        <w:tc>
          <w:tcPr>
            <w:tcW w:w="4876" w:type="dxa"/>
          </w:tcPr>
          <w:p w:rsidR="0084543E" w:rsidRPr="00837CC4" w:rsidRDefault="0084543E" w:rsidP="00E51AD6">
            <w:pPr>
              <w:pStyle w:val="Normal6a"/>
            </w:pPr>
            <w:r w:rsidRPr="00837CC4">
              <w:rPr>
                <w:rStyle w:val="Sup"/>
              </w:rPr>
              <w:t>36</w:t>
            </w:r>
            <w:r w:rsidRPr="00837CC4">
              <w:t xml:space="preserve"> 2014 m. balandžio 16 d. Europos Parlamento ir Tarybos reglamentas (ES) Nr. 596/2014 dėl piktnaudžiavimo rinka (Piktnaudžiavimo rinka reglamentas) ir kuriuo panaikinama Europos Parlamento ir Tarybos direktyva 2003/6/EB ir Komisijos direktyvos 2003/124/EB, 2003/125/EB ir 2004/72/EB (OL L 173, 2014 6 12, p. 1).</w:t>
            </w:r>
          </w:p>
        </w:tc>
      </w:tr>
      <w:tr w:rsidR="0084543E" w:rsidRPr="00837CC4" w:rsidTr="00E51AD6">
        <w:trPr>
          <w:jc w:val="center"/>
        </w:trPr>
        <w:tc>
          <w:tcPr>
            <w:tcW w:w="4876" w:type="dxa"/>
          </w:tcPr>
          <w:p w:rsidR="0084543E" w:rsidRPr="00837CC4" w:rsidRDefault="0084543E" w:rsidP="00E51AD6">
            <w:pPr>
              <w:pStyle w:val="Normal6a"/>
            </w:pPr>
            <w:r w:rsidRPr="00837CC4">
              <w:rPr>
                <w:rStyle w:val="Sup"/>
              </w:rPr>
              <w:t>37</w:t>
            </w:r>
            <w:r w:rsidRPr="00837CC4">
              <w:t xml:space="preserve"> 2012 m. kovo 14 d. Europos Parlamento ir Tarybos reglamentas (ES) Nr. 236/2012 dėl skolintų vertybinių popierių pardavimo ir tam tikrų kredito įsipareigojimų neįvykdymo apsikeitimo sandorių aspektų (OL L 86, 2012 3 24, p. 1).</w:t>
            </w:r>
          </w:p>
        </w:tc>
        <w:tc>
          <w:tcPr>
            <w:tcW w:w="4876" w:type="dxa"/>
          </w:tcPr>
          <w:p w:rsidR="0084543E" w:rsidRPr="00837CC4" w:rsidRDefault="0084543E" w:rsidP="00E51AD6">
            <w:pPr>
              <w:pStyle w:val="Normal6a"/>
            </w:pPr>
            <w:r w:rsidRPr="00837CC4">
              <w:rPr>
                <w:rStyle w:val="Sup"/>
              </w:rPr>
              <w:t>37</w:t>
            </w:r>
            <w:r w:rsidRPr="00837CC4">
              <w:t xml:space="preserve"> 2012 m. kovo 14 d. Europos Parlamento ir Tarybos reglamentas (ES) Nr. 236/2012 dėl skolintų vertybinių popierių pardavimo ir tam tikrų kredito įsipareigojimų neįvykdymo apsikeitimo sandorių aspektų (OL L 86, 2012 3 24, p. 1).</w:t>
            </w:r>
          </w:p>
        </w:tc>
      </w:tr>
      <w:tr w:rsidR="0084543E" w:rsidRPr="00837CC4" w:rsidTr="00E51AD6">
        <w:trPr>
          <w:jc w:val="center"/>
        </w:trPr>
        <w:tc>
          <w:tcPr>
            <w:tcW w:w="4876" w:type="dxa"/>
          </w:tcPr>
          <w:p w:rsidR="0084543E" w:rsidRPr="00837CC4" w:rsidRDefault="0084543E" w:rsidP="00E51AD6">
            <w:pPr>
              <w:pStyle w:val="Normal6a"/>
            </w:pPr>
            <w:r w:rsidRPr="00837CC4">
              <w:rPr>
                <w:rStyle w:val="Sup"/>
              </w:rPr>
              <w:t>38</w:t>
            </w:r>
            <w:r w:rsidRPr="00837CC4">
              <w:t xml:space="preserve"> 2014 m. liepos 23 d. Europos Parlamento ir Tarybos reglamentas (ES) Nr. 909/2014 dėl atsiskaitymo už vertybinius popierius gerinimo Europos Sąjungoje ir centrinių vertybinių popierių depozitoriumų, kuriuo iš dalies keičiamos Direktyvos 98/26/EB ir 2014/65/ES bei Reglamentas (ES) Nr. 236/2012 (OL L 257, 2014 8 28, p. 1).</w:t>
            </w:r>
          </w:p>
        </w:tc>
        <w:tc>
          <w:tcPr>
            <w:tcW w:w="4876" w:type="dxa"/>
          </w:tcPr>
          <w:p w:rsidR="0084543E" w:rsidRPr="00837CC4" w:rsidRDefault="0084543E" w:rsidP="00E51AD6">
            <w:pPr>
              <w:pStyle w:val="Normal6a"/>
            </w:pPr>
            <w:r w:rsidRPr="00837CC4">
              <w:rPr>
                <w:rStyle w:val="Sup"/>
              </w:rPr>
              <w:t>38</w:t>
            </w:r>
            <w:r w:rsidRPr="00837CC4">
              <w:t xml:space="preserve"> 2014 m. liepos 23 d. Europos Parlamento ir Tarybos reglamentas (ES) Nr. 909/2014 dėl atsiskaitymo už vertybinius popierius gerinimo Europos Sąjungoje ir centrinių vertybinių popierių depozitoriumų, kuriuo iš dalies keičiamos Direktyvos 98/26/EB ir 2014/65/ES bei Reglamentas (ES) Nr. 236/2012 (OL L 257, 2014 8 28, p. 1).</w:t>
            </w:r>
          </w:p>
        </w:tc>
      </w:tr>
      <w:tr w:rsidR="0084543E" w:rsidRPr="00837CC4" w:rsidTr="00E51AD6">
        <w:trPr>
          <w:jc w:val="center"/>
        </w:trPr>
        <w:tc>
          <w:tcPr>
            <w:tcW w:w="4876" w:type="dxa"/>
          </w:tcPr>
          <w:p w:rsidR="0084543E" w:rsidRPr="00837CC4" w:rsidRDefault="0084543E" w:rsidP="00E51AD6">
            <w:pPr>
              <w:pStyle w:val="Normal6a"/>
            </w:pPr>
            <w:r w:rsidRPr="00837CC4">
              <w:rPr>
                <w:rStyle w:val="Sup"/>
              </w:rPr>
              <w:t>39</w:t>
            </w:r>
            <w:r w:rsidRPr="00837CC4">
              <w:t xml:space="preserve"> 1998 m. gegužės 19 d. Europos Parlamento ir Tarybos direktyva 98/26/EB dėl atsiskaitymų baigtumo mokėjimų ir vertybinių popierių atsiskaitymų sistemose (OL L 166, 1998 6 11, р. 45).</w:t>
            </w:r>
          </w:p>
        </w:tc>
        <w:tc>
          <w:tcPr>
            <w:tcW w:w="4876" w:type="dxa"/>
          </w:tcPr>
          <w:p w:rsidR="0084543E" w:rsidRPr="00837CC4" w:rsidRDefault="0084543E" w:rsidP="00E51AD6">
            <w:pPr>
              <w:pStyle w:val="Normal6a"/>
            </w:pPr>
            <w:r w:rsidRPr="00837CC4">
              <w:rPr>
                <w:rStyle w:val="Sup"/>
              </w:rPr>
              <w:t>39</w:t>
            </w:r>
            <w:r w:rsidRPr="00837CC4">
              <w:t xml:space="preserve"> 1998 m. gegužės 19 d. Europos Parlamento ir Tarybos direktyva 98/26/EB dėl atsiskaitymų baigtumo mokėjimų ir vertybinių popierių atsiskaitymų sistemose (OL L 166, 1998 6 11, р. 45).</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141</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Eva Kaili</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2 konstatuojamoji dalis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t>(2)</w:t>
            </w:r>
            <w:r w:rsidRPr="00837CC4">
              <w:tab/>
              <w:t>dauguma kriptoturto nepatenka į ES teisės aktų taikymo sritį ir, be kita ko, kelia su investuotojų apsauga, rinkos vientisumu ir finansiniu stabilumu susijusių iššūkių. Todėl šiam turtui reikalinga Sąjungos lygmens speciali tvarka. Tačiau kitų rūšių kriptoturtas laikomas finansinėmis priemonėmis, apibrėžtomis Europos Parlamento ir Tarybos direktyvoje 2014/65/ES (Direktyvoje dėl finansinių priemonių rinkų, FPRD II)</w:t>
            </w:r>
            <w:r w:rsidRPr="00837CC4">
              <w:rPr>
                <w:rStyle w:val="Sup"/>
              </w:rPr>
              <w:t>33</w:t>
            </w:r>
            <w:r w:rsidRPr="00837CC4">
              <w:t>. Tais atvejais, kai kriptoturtas laikomas finansinėmis priemonėmis pagal tą direktyvą, jo emitentui ir įmonėms, vykdančioms su juo susijusią veiklą, gali būti taikomos visos Sąjungos finansinės taisyklės, be kita ko, Europos Parlamento ir Tarybos reglamentas (ES) 2017/1129 (Prospekto reglamentas)</w:t>
            </w:r>
            <w:r w:rsidRPr="00837CC4">
              <w:rPr>
                <w:rStyle w:val="Sup"/>
              </w:rPr>
              <w:t>34</w:t>
            </w:r>
            <w:r w:rsidRPr="00837CC4">
              <w:t>, Europos Parlamento ir Tarybos direktyva 2013/50/ES (Skaidrumo direktyva)</w:t>
            </w:r>
            <w:r w:rsidRPr="00837CC4">
              <w:rPr>
                <w:rStyle w:val="Sup"/>
              </w:rPr>
              <w:t>35</w:t>
            </w:r>
            <w:r w:rsidRPr="00837CC4">
              <w:t>, Europos Parlamento ir Tarybos reglamentas (ES) Nr. 596/2014 (Piktnaudžiavimo rinka reglamentas)</w:t>
            </w:r>
            <w:r w:rsidRPr="00837CC4">
              <w:rPr>
                <w:rStyle w:val="Sup"/>
              </w:rPr>
              <w:t>36</w:t>
            </w:r>
            <w:r w:rsidRPr="00837CC4">
              <w:t>, Europos Parlamento ir Tarybos reglamentas (ES) Nr. 236/2012 (Skolintų vertybinių popierių pardavimo reglamentas)</w:t>
            </w:r>
            <w:r w:rsidRPr="00837CC4">
              <w:rPr>
                <w:rStyle w:val="Sup"/>
              </w:rPr>
              <w:t>37</w:t>
            </w:r>
            <w:r w:rsidRPr="00837CC4">
              <w:t>, Europos Parlamento ir Tarybos reglamentas (ES) Nr. 909/2014 (Centrinių vertybinių popierių depozitoriumų reglamentas)</w:t>
            </w:r>
            <w:r w:rsidRPr="00837CC4">
              <w:rPr>
                <w:rStyle w:val="Sup"/>
              </w:rPr>
              <w:t>38</w:t>
            </w:r>
            <w:r w:rsidRPr="00837CC4">
              <w:t xml:space="preserve"> ir Europos Parlamento ir Tarybos direktyva 98/26/EB (Atsiskaitymų baigtinumo direktyva)</w:t>
            </w:r>
            <w:r w:rsidRPr="00837CC4">
              <w:rPr>
                <w:rStyle w:val="Sup"/>
              </w:rPr>
              <w:t>39</w:t>
            </w:r>
            <w:r w:rsidRPr="00837CC4">
              <w:t xml:space="preserve">. Manoma, kad finansinių priemonių pakeitimas kriptožetonais, t. y. jų </w:t>
            </w:r>
            <w:r w:rsidRPr="00837CC4">
              <w:rPr>
                <w:b/>
                <w:bCs/>
                <w:i/>
                <w:iCs/>
              </w:rPr>
              <w:t>pavertimas kriptoturtu</w:t>
            </w:r>
            <w:r w:rsidRPr="00837CC4">
              <w:t xml:space="preserve"> siekiant jas išleisti, saugoti ar perleisti paskirstytajame registre, atvers galimybių didinti veiksmingumą </w:t>
            </w:r>
            <w:r w:rsidRPr="00837CC4">
              <w:rPr>
                <w:b/>
                <w:bCs/>
                <w:i/>
                <w:iCs/>
              </w:rPr>
              <w:t>visoje</w:t>
            </w:r>
            <w:r w:rsidRPr="00837CC4">
              <w:t xml:space="preserve"> prekybos ir poprekybinių paslaugų srityje;</w:t>
            </w:r>
          </w:p>
        </w:tc>
        <w:tc>
          <w:tcPr>
            <w:tcW w:w="4876" w:type="dxa"/>
          </w:tcPr>
          <w:p w:rsidR="0084543E" w:rsidRPr="00837CC4" w:rsidRDefault="0084543E" w:rsidP="00E51AD6">
            <w:pPr>
              <w:pStyle w:val="Normal6a"/>
            </w:pPr>
            <w:r w:rsidRPr="00837CC4">
              <w:t>(2)</w:t>
            </w:r>
            <w:r w:rsidRPr="00837CC4">
              <w:tab/>
              <w:t>dauguma kriptoturto nepatenka į ES teisės aktų taikymo sritį ir, be kita ko, kelia su investuotojų apsauga, rinkos vientisumu ir finansiniu stabilumu susijusių iššūkių. Todėl šiam turtui reikalinga Sąjungos lygmens speciali tvarka. Tačiau kitų rūšių kriptoturtas laikomas finansinėmis priemonėmis, apibrėžtomis Europos Parlamento ir Tarybos direktyvoje 2014/65/ES (Direktyvoje dėl finansinių priemonių rinkų, FPRD II)</w:t>
            </w:r>
            <w:r w:rsidRPr="00837CC4">
              <w:rPr>
                <w:rStyle w:val="Sup"/>
              </w:rPr>
              <w:t>33</w:t>
            </w:r>
            <w:r w:rsidRPr="00837CC4">
              <w:t>. Tais atvejais, kai kriptoturtas laikomas finansinėmis priemonėmis pagal tą direktyvą, jo emitentui ir įmonėms, vykdančioms su juo susijusią veiklą, gali būti taikomos visos Sąjungos finansinės taisyklės, be kita ko, Europos Parlamento ir Tarybos reglamentas (ES) 2017/1129 (Prospekto reglamentas)</w:t>
            </w:r>
            <w:r w:rsidRPr="00837CC4">
              <w:rPr>
                <w:rStyle w:val="Sup"/>
              </w:rPr>
              <w:t>34</w:t>
            </w:r>
            <w:r w:rsidRPr="00837CC4">
              <w:t>, Europos Parlamento ir Tarybos direktyva 2013/50/ES (Skaidrumo direktyva)</w:t>
            </w:r>
            <w:r w:rsidRPr="00837CC4">
              <w:rPr>
                <w:rStyle w:val="Sup"/>
              </w:rPr>
              <w:t>35</w:t>
            </w:r>
            <w:r w:rsidRPr="00837CC4">
              <w:t>, Europos Parlamento ir Tarybos reglamentas (ES) Nr. 596/2014 (Piktnaudžiavimo rinka reglamentas)</w:t>
            </w:r>
            <w:r w:rsidRPr="00837CC4">
              <w:rPr>
                <w:rStyle w:val="Sup"/>
              </w:rPr>
              <w:t>36</w:t>
            </w:r>
            <w:r w:rsidRPr="00837CC4">
              <w:t>, Europos Parlamento ir Tarybos reglamentas (ES) Nr. 236/2012 (Skolintų vertybinių popierių pardavimo reglamentas)</w:t>
            </w:r>
            <w:r w:rsidRPr="00837CC4">
              <w:rPr>
                <w:rStyle w:val="Sup"/>
              </w:rPr>
              <w:t>37</w:t>
            </w:r>
            <w:r w:rsidRPr="00837CC4">
              <w:t>, Europos Parlamento ir Tarybos reglamentas (ES) Nr. 909/2014 (Centrinių vertybinių popierių depozitoriumų reglamentas)</w:t>
            </w:r>
            <w:r w:rsidRPr="00837CC4">
              <w:rPr>
                <w:rStyle w:val="Sup"/>
              </w:rPr>
              <w:t>38</w:t>
            </w:r>
            <w:r w:rsidRPr="00837CC4">
              <w:t xml:space="preserve"> ir Europos Parlamento ir Tarybos direktyva 98/26/EB (Atsiskaitymų baigtinumo direktyva)</w:t>
            </w:r>
            <w:r w:rsidRPr="00837CC4">
              <w:rPr>
                <w:rStyle w:val="Sup"/>
              </w:rPr>
              <w:t>39</w:t>
            </w:r>
            <w:r w:rsidRPr="00837CC4">
              <w:t xml:space="preserve">. Manoma, kad finansinių priemonių pakeitimas kriptožetonais, t. y. jų </w:t>
            </w:r>
            <w:r w:rsidRPr="00837CC4">
              <w:rPr>
                <w:b/>
                <w:bCs/>
                <w:i/>
                <w:iCs/>
              </w:rPr>
              <w:t>skaitmeninis pateikimas paskirstytajame registre arba kriptožetonais pakeistų tradicinio turto klasių emisijos</w:t>
            </w:r>
            <w:r w:rsidRPr="00837CC4">
              <w:t xml:space="preserve"> siekiant jas išleisti, saugoti ar perleisti paskirstytajame registre, atvers galimybių didinti veiksmingumą prekybos ir poprekybinių paslaugų srityje</w:t>
            </w:r>
            <w:r w:rsidRPr="00837CC4">
              <w:rPr>
                <w:b/>
                <w:bCs/>
                <w:i/>
                <w:iCs/>
              </w:rPr>
              <w:t>.</w:t>
            </w:r>
            <w:r w:rsidRPr="00837CC4">
              <w:t xml:space="preserve"> </w:t>
            </w:r>
            <w:r w:rsidRPr="00837CC4">
              <w:rPr>
                <w:b/>
                <w:i/>
              </w:rPr>
              <w:t>Paskirstytojo registro technologija (PRT) turi galimybę skatinti dalijimąsi duomenimis ir verslo procesus, viršijančius dabartinėmis paskirstytosiomis duomenų bazėmis, kurios naudotos iki šiol, pasiektą lygį, kad dalyviams būtų leidžiama keliose skirtingose vietose skaityti vienos institucijos valdomų duomenų rinkinio turinį. Numatoma, kad PRT suteiks vertės rinkos dalyviams, suteikiant galimybę skirtingoms institucijoms dalytis informacijos valdymu paskirstytajame registre ir laikytis tų pačių procedūrų atnaujinant tą informaciją. Kiekviena įmonė, apdorojanti finansinius sandorius, šiuo metu saugo nepriklausomus savo klientų turto pagrindinius įrašus ir turi suderinti tuos įrašus su kitose centralizuotai valdomose duomenų bazėse saugomais duomenimis skirtingais poprekybinės vertės grandinės lygmenimis. PRT galėtų sudaryti palankesnes sąlygas integracijai į poprekybinius procesus numatant infrastruktūrą, kuria užtikrinama, kad kiekvienas vartotojas laikytųsi nuoseklaus ir atnaujinto požiūrio į turtą, už kurį jis yra atsakingas, ir kad tą patį turtą būtų galima perkelti užtikrinant aukšto lygio automatizavimą;</w:t>
            </w:r>
          </w:p>
        </w:tc>
      </w:tr>
      <w:tr w:rsidR="0084543E" w:rsidRPr="00837CC4" w:rsidTr="00E51AD6">
        <w:trPr>
          <w:jc w:val="center"/>
        </w:trPr>
        <w:tc>
          <w:tcPr>
            <w:tcW w:w="4876" w:type="dxa"/>
          </w:tcPr>
          <w:p w:rsidR="0084543E" w:rsidRPr="00837CC4" w:rsidRDefault="0084543E" w:rsidP="00E51AD6">
            <w:pPr>
              <w:pStyle w:val="Normal6a"/>
            </w:pPr>
            <w:r w:rsidRPr="00837CC4">
              <w:t>_________________</w:t>
            </w:r>
          </w:p>
        </w:tc>
        <w:tc>
          <w:tcPr>
            <w:tcW w:w="4876" w:type="dxa"/>
          </w:tcPr>
          <w:p w:rsidR="0084543E" w:rsidRPr="00837CC4" w:rsidRDefault="0084543E" w:rsidP="00E51AD6">
            <w:pPr>
              <w:pStyle w:val="Normal6a"/>
            </w:pPr>
            <w:r w:rsidRPr="00837CC4">
              <w:t>_________________</w:t>
            </w:r>
          </w:p>
        </w:tc>
      </w:tr>
      <w:tr w:rsidR="0084543E" w:rsidRPr="00837CC4" w:rsidTr="00E51AD6">
        <w:trPr>
          <w:jc w:val="center"/>
        </w:trPr>
        <w:tc>
          <w:tcPr>
            <w:tcW w:w="4876" w:type="dxa"/>
          </w:tcPr>
          <w:p w:rsidR="0084543E" w:rsidRPr="00837CC4" w:rsidRDefault="0084543E" w:rsidP="00E51AD6">
            <w:pPr>
              <w:pStyle w:val="Normal6a"/>
            </w:pPr>
            <w:r w:rsidRPr="00837CC4">
              <w:rPr>
                <w:rStyle w:val="Sup"/>
              </w:rPr>
              <w:t>33</w:t>
            </w:r>
            <w:r w:rsidRPr="00837CC4">
              <w:t xml:space="preserve"> 2014 m. gegužės 15 d. Europos Parlamento ir Tarybos direktyva 2014/65/ES dėl finansinių priemonių rinkų, kuria iš dalies keičiamos Direktyva 2011/61/ES ir Direktyva 2002/92/EB (OL L 173, 2014 6 12, p. 349).</w:t>
            </w:r>
          </w:p>
        </w:tc>
        <w:tc>
          <w:tcPr>
            <w:tcW w:w="4876" w:type="dxa"/>
          </w:tcPr>
          <w:p w:rsidR="0084543E" w:rsidRPr="00837CC4" w:rsidRDefault="0084543E" w:rsidP="00E51AD6">
            <w:pPr>
              <w:pStyle w:val="Normal6a"/>
            </w:pPr>
            <w:r w:rsidRPr="00837CC4">
              <w:rPr>
                <w:rStyle w:val="Sup"/>
              </w:rPr>
              <w:t>33</w:t>
            </w:r>
            <w:r w:rsidRPr="00837CC4">
              <w:t xml:space="preserve"> 2014 m. gegužės 15 d. Europos Parlamento ir Tarybos direktyva 2014/65/ES dėl finansinių priemonių rinkų, kuria iš dalies keičiamos Direktyva 2011/61/ES ir Direktyva 2002/92/EB (OL L 173, 2014 6 12, p. 349).</w:t>
            </w:r>
          </w:p>
        </w:tc>
      </w:tr>
      <w:tr w:rsidR="0084543E" w:rsidRPr="00837CC4" w:rsidTr="00E51AD6">
        <w:trPr>
          <w:jc w:val="center"/>
        </w:trPr>
        <w:tc>
          <w:tcPr>
            <w:tcW w:w="4876" w:type="dxa"/>
          </w:tcPr>
          <w:p w:rsidR="0084543E" w:rsidRPr="00837CC4" w:rsidRDefault="0084543E" w:rsidP="00E51AD6">
            <w:pPr>
              <w:pStyle w:val="Normal6a"/>
            </w:pPr>
            <w:r w:rsidRPr="00837CC4">
              <w:rPr>
                <w:rStyle w:val="Sup"/>
              </w:rPr>
              <w:t>34</w:t>
            </w:r>
            <w:r w:rsidRPr="00837CC4">
              <w:t xml:space="preserve"> 2017 m. birželio 14 d. Europos Parlamento ir Tarybos reglamentas (ES) 2017/1129 dėl prospekto, kuris turi būti skelbiamas, kai vertybiniai popieriai siūlomi viešai arba įtraukiami į prekybos reguliuojamoje rinkoje sąrašą, ir kuriuo panaikinama Direktyva 2003/71/EB (OL L 168, 2017 6 30, p. 12).</w:t>
            </w:r>
          </w:p>
        </w:tc>
        <w:tc>
          <w:tcPr>
            <w:tcW w:w="4876" w:type="dxa"/>
          </w:tcPr>
          <w:p w:rsidR="0084543E" w:rsidRPr="00837CC4" w:rsidRDefault="0084543E" w:rsidP="00E51AD6">
            <w:pPr>
              <w:pStyle w:val="Normal6a"/>
            </w:pPr>
            <w:r w:rsidRPr="00837CC4">
              <w:rPr>
                <w:rStyle w:val="Sup"/>
              </w:rPr>
              <w:t>34</w:t>
            </w:r>
            <w:r w:rsidRPr="00837CC4">
              <w:t xml:space="preserve"> 2017 m. birželio 14 d. Europos Parlamento ir Tarybos reglamentas (ES) 2017/1129 dėl prospekto, kuris turi būti skelbiamas, kai vertybiniai popieriai siūlomi viešai arba įtraukiami į prekybos reguliuojamoje rinkoje sąrašą, ir kuriuo panaikinama Direktyva 2003/71/EB (OL L 168, 2017 6 30, p. 12).</w:t>
            </w:r>
          </w:p>
        </w:tc>
      </w:tr>
      <w:tr w:rsidR="0084543E" w:rsidRPr="00837CC4" w:rsidTr="00E51AD6">
        <w:trPr>
          <w:jc w:val="center"/>
        </w:trPr>
        <w:tc>
          <w:tcPr>
            <w:tcW w:w="4876" w:type="dxa"/>
          </w:tcPr>
          <w:p w:rsidR="0084543E" w:rsidRPr="00837CC4" w:rsidRDefault="0084543E" w:rsidP="00E51AD6">
            <w:pPr>
              <w:pStyle w:val="Normal6a"/>
            </w:pPr>
            <w:r w:rsidRPr="00837CC4">
              <w:rPr>
                <w:rStyle w:val="Sup"/>
              </w:rPr>
              <w:t>35</w:t>
            </w:r>
            <w:r w:rsidRPr="00837CC4">
              <w:t xml:space="preserve"> 2013 m. spalio 22 d. Europos Parlamento ir Tarybos direktyva 2013/50/ES, kuria iš dalies keičiama Europos Parlamento ir Tarybos direktyva 2004/109/EB dėl informacijos apie emitentus, kurių vertybiniais popieriais leista prekiauti reguliuojamoje rinkoje, skaidrumo reikalavimų suderinimo, Europos Parlamento ir Tarybos direktyva 2003/71/EB dėl prospekto, kuris turi būti skelbiamas, kai vertybiniai popieriai siūlomi visuomenei ar įtraukiami į prekybos sąrašą, ir Komisijos direktyva 2007/14/EB, nustatanti išsamias tam tikrų Direktyvos 2004/109/EB nuostatų įgyvendinimo taisykles (OL L 294, 2013 11 6, p. 13).</w:t>
            </w:r>
          </w:p>
        </w:tc>
        <w:tc>
          <w:tcPr>
            <w:tcW w:w="4876" w:type="dxa"/>
          </w:tcPr>
          <w:p w:rsidR="0084543E" w:rsidRPr="00837CC4" w:rsidRDefault="0084543E" w:rsidP="00E51AD6">
            <w:pPr>
              <w:pStyle w:val="Normal6a"/>
            </w:pPr>
            <w:r w:rsidRPr="00837CC4">
              <w:rPr>
                <w:rStyle w:val="Sup"/>
              </w:rPr>
              <w:t>35</w:t>
            </w:r>
            <w:r w:rsidRPr="00837CC4">
              <w:t xml:space="preserve"> 2013 m. spalio 22 d. Europos Parlamento ir Tarybos direktyva 2013/50/ES, kuria iš dalies keičiama Europos Parlamento ir Tarybos direktyva 2004/109/EB dėl informacijos apie emitentus, kurių vertybiniais popieriais leista prekiauti reguliuojamoje rinkoje, skaidrumo reikalavimų suderinimo, Europos Parlamento ir Tarybos direktyva 2003/71/EB dėl prospekto, kuris turi būti skelbiamas, kai vertybiniai popieriai siūlomi visuomenei ar įtraukiami į prekybos sąrašą, ir Komisijos direktyva 2007/14/EB, nustatanti išsamias tam tikrų Direktyvos 2004/109/EB nuostatų įgyvendinimo taisykles (OL L 294, 2013 11 6, p. 13).</w:t>
            </w:r>
          </w:p>
        </w:tc>
      </w:tr>
      <w:tr w:rsidR="0084543E" w:rsidRPr="00837CC4" w:rsidTr="00E51AD6">
        <w:trPr>
          <w:jc w:val="center"/>
        </w:trPr>
        <w:tc>
          <w:tcPr>
            <w:tcW w:w="4876" w:type="dxa"/>
          </w:tcPr>
          <w:p w:rsidR="0084543E" w:rsidRPr="00837CC4" w:rsidRDefault="0084543E" w:rsidP="00E51AD6">
            <w:pPr>
              <w:pStyle w:val="Normal6a"/>
            </w:pPr>
            <w:r w:rsidRPr="00837CC4">
              <w:rPr>
                <w:rStyle w:val="Sup"/>
              </w:rPr>
              <w:t>36</w:t>
            </w:r>
            <w:r w:rsidRPr="00837CC4">
              <w:t xml:space="preserve"> 2014 m. balandžio 16 d. Europos Parlamento ir Tarybos reglamentas (ES) Nr. 596/2014 dėl piktnaudžiavimo rinka (Piktnaudžiavimo rinka reglamentas) ir kuriuo panaikinama Europos Parlamento ir Tarybos direktyva 2003/6/EB ir Komisijos direktyvos 2003/124/EB, 2003/125/EB ir 2004/72/EB (OL L 173, 2014 6 12, p. 1).</w:t>
            </w:r>
          </w:p>
        </w:tc>
        <w:tc>
          <w:tcPr>
            <w:tcW w:w="4876" w:type="dxa"/>
          </w:tcPr>
          <w:p w:rsidR="0084543E" w:rsidRPr="00837CC4" w:rsidRDefault="0084543E" w:rsidP="00E51AD6">
            <w:pPr>
              <w:pStyle w:val="Normal6a"/>
            </w:pPr>
            <w:r w:rsidRPr="00837CC4">
              <w:rPr>
                <w:rStyle w:val="Sup"/>
              </w:rPr>
              <w:t>36</w:t>
            </w:r>
            <w:r w:rsidRPr="00837CC4">
              <w:t xml:space="preserve"> 2014 m. balandžio 16 d. Europos Parlamento ir Tarybos reglamentas (ES) Nr. 596/2014 dėl piktnaudžiavimo rinka (Piktnaudžiavimo rinka reglamentas) ir kuriuo panaikinama Europos Parlamento ir Tarybos direktyva 2003/6/EB ir Komisijos direktyvos 2003/124/EB, 2003/125/EB ir 2004/72/EB (OL L 173, 2014 6 12, p. 1).</w:t>
            </w:r>
          </w:p>
        </w:tc>
      </w:tr>
      <w:tr w:rsidR="0084543E" w:rsidRPr="00837CC4" w:rsidTr="00E51AD6">
        <w:trPr>
          <w:jc w:val="center"/>
        </w:trPr>
        <w:tc>
          <w:tcPr>
            <w:tcW w:w="4876" w:type="dxa"/>
          </w:tcPr>
          <w:p w:rsidR="0084543E" w:rsidRPr="00837CC4" w:rsidRDefault="0084543E" w:rsidP="00E51AD6">
            <w:pPr>
              <w:pStyle w:val="Normal6a"/>
            </w:pPr>
            <w:r w:rsidRPr="00837CC4">
              <w:rPr>
                <w:rStyle w:val="Sup"/>
              </w:rPr>
              <w:t>37</w:t>
            </w:r>
            <w:r w:rsidRPr="00837CC4">
              <w:t xml:space="preserve"> 2012 m. kovo 14 d. Europos Parlamento ir Tarybos reglamentas (ES) Nr. 236/2012 dėl skolintų vertybinių popierių pardavimo ir tam tikrų kredito įsipareigojimų neįvykdymo apsikeitimo sandorių aspektų (OL L 86, 2012 3 24, p. 1).</w:t>
            </w:r>
          </w:p>
        </w:tc>
        <w:tc>
          <w:tcPr>
            <w:tcW w:w="4876" w:type="dxa"/>
          </w:tcPr>
          <w:p w:rsidR="0084543E" w:rsidRPr="00837CC4" w:rsidRDefault="0084543E" w:rsidP="00E51AD6">
            <w:pPr>
              <w:pStyle w:val="Normal6a"/>
            </w:pPr>
            <w:r w:rsidRPr="00837CC4">
              <w:rPr>
                <w:rStyle w:val="Sup"/>
              </w:rPr>
              <w:t>37</w:t>
            </w:r>
            <w:r w:rsidRPr="00837CC4">
              <w:t xml:space="preserve"> 2012 m. kovo 14 d. Europos Parlamento ir Tarybos reglamentas (ES) Nr. 236/2012 dėl skolintų vertybinių popierių pardavimo ir tam tikrų kredito įsipareigojimų neįvykdymo apsikeitimo sandorių aspektų (OL L 86, 2012 3 24, p. 1).</w:t>
            </w:r>
          </w:p>
        </w:tc>
      </w:tr>
      <w:tr w:rsidR="0084543E" w:rsidRPr="00837CC4" w:rsidTr="00E51AD6">
        <w:trPr>
          <w:jc w:val="center"/>
        </w:trPr>
        <w:tc>
          <w:tcPr>
            <w:tcW w:w="4876" w:type="dxa"/>
          </w:tcPr>
          <w:p w:rsidR="0084543E" w:rsidRPr="00837CC4" w:rsidRDefault="0084543E" w:rsidP="00E51AD6">
            <w:pPr>
              <w:pStyle w:val="Normal6a"/>
            </w:pPr>
            <w:r w:rsidRPr="00837CC4">
              <w:rPr>
                <w:rStyle w:val="Sup"/>
              </w:rPr>
              <w:t>38</w:t>
            </w:r>
            <w:r w:rsidRPr="00837CC4">
              <w:t xml:space="preserve"> 2014 m. liepos 23 d. Europos Parlamento ir Tarybos reglamentas (ES) Nr. 909/2014 dėl atsiskaitymo už vertybinius popierius gerinimo Europos Sąjungoje ir centrinių vertybinių popierių depozitoriumų, kuriuo iš dalies keičiamos Direktyvos 98/26/EB ir 2014/65/ES bei Reglamentas (ES) Nr. 236/2012 (OL L 257, 2014 8 28, p. 1).</w:t>
            </w:r>
          </w:p>
        </w:tc>
        <w:tc>
          <w:tcPr>
            <w:tcW w:w="4876" w:type="dxa"/>
          </w:tcPr>
          <w:p w:rsidR="0084543E" w:rsidRPr="00837CC4" w:rsidRDefault="0084543E" w:rsidP="00E51AD6">
            <w:pPr>
              <w:pStyle w:val="Normal6a"/>
            </w:pPr>
            <w:r w:rsidRPr="00837CC4">
              <w:rPr>
                <w:rStyle w:val="Sup"/>
              </w:rPr>
              <w:t>38</w:t>
            </w:r>
            <w:r w:rsidRPr="00837CC4">
              <w:t xml:space="preserve"> 2014 m. liepos 23 d. Europos Parlamento ir Tarybos reglamentas (ES) Nr. 909/2014 dėl atsiskaitymo už vertybinius popierius gerinimo Europos Sąjungoje ir centrinių vertybinių popierių depozitoriumų, kuriuo iš dalies keičiamos Direktyvos 98/26/EB ir 2014/65/ES bei Reglamentas (ES) Nr. 236/2012 (OL L 257, 2014 8 28, p. 1).</w:t>
            </w:r>
          </w:p>
        </w:tc>
      </w:tr>
      <w:tr w:rsidR="0084543E" w:rsidRPr="00837CC4" w:rsidTr="00E51AD6">
        <w:trPr>
          <w:jc w:val="center"/>
        </w:trPr>
        <w:tc>
          <w:tcPr>
            <w:tcW w:w="4876" w:type="dxa"/>
          </w:tcPr>
          <w:p w:rsidR="0084543E" w:rsidRPr="00837CC4" w:rsidRDefault="0084543E" w:rsidP="00E51AD6">
            <w:pPr>
              <w:pStyle w:val="Normal6a"/>
            </w:pPr>
            <w:r w:rsidRPr="00837CC4">
              <w:rPr>
                <w:rStyle w:val="Sup"/>
              </w:rPr>
              <w:t>39</w:t>
            </w:r>
            <w:r w:rsidRPr="00837CC4">
              <w:t xml:space="preserve"> 1998 m. gegužės 19 d. Europos Parlamento ir Tarybos direktyva 98/26/EB dėl atsiskaitymų baigtumo mokėjimų ir vertybinių popierių atsiskaitymų sistemose (OL L 166, 1998 6 11, р. 45).</w:t>
            </w:r>
          </w:p>
        </w:tc>
        <w:tc>
          <w:tcPr>
            <w:tcW w:w="4876" w:type="dxa"/>
          </w:tcPr>
          <w:p w:rsidR="0084543E" w:rsidRPr="00837CC4" w:rsidRDefault="0084543E" w:rsidP="00E51AD6">
            <w:pPr>
              <w:pStyle w:val="Normal6a"/>
            </w:pPr>
            <w:r w:rsidRPr="00837CC4">
              <w:rPr>
                <w:rStyle w:val="Sup"/>
              </w:rPr>
              <w:t>39</w:t>
            </w:r>
            <w:r w:rsidRPr="00837CC4">
              <w:t xml:space="preserve"> 1998 m. gegužės 19 d. Europos Parlamento ir Tarybos direktyva 98/26/EB dėl atsiskaitymų baigtumo mokėjimų ir vertybinių popierių atsiskaitymų sistemose (OL L 166, 1998 6 11, р. 45).</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pPr>
        <w:pStyle w:val="AmJustTitle"/>
      </w:pPr>
      <w:r w:rsidRPr="00837CC4">
        <w:rPr>
          <w:rStyle w:val="HideTWBExt"/>
          <w:i w:val="0"/>
          <w:noProof w:val="0"/>
        </w:rPr>
        <w:t>&lt;TitreJust&gt;</w:t>
      </w:r>
      <w:r w:rsidRPr="00837CC4">
        <w:t>Pagrindimas</w:t>
      </w:r>
      <w:r w:rsidRPr="00837CC4">
        <w:rPr>
          <w:rStyle w:val="HideTWBExt"/>
          <w:i w:val="0"/>
          <w:noProof w:val="0"/>
        </w:rPr>
        <w:t>&lt;/TitreJust&gt;</w:t>
      </w:r>
    </w:p>
    <w:p w:rsidR="0084543E" w:rsidRPr="00837CC4" w:rsidRDefault="0084543E" w:rsidP="0084543E">
      <w:pPr>
        <w:pStyle w:val="AmJustText"/>
      </w:pPr>
      <w:r w:rsidRPr="00837CC4">
        <w:t>Remiantis plačiai naudojama apibrėžtimi, (pvz., EBPO), pateikiama 2017 m. ECB Vertybinių popierių ir įkaito rinkos infrastruktūros patariamosios grupės (toliau – AMI SeCo) ataskaitos „Galimas PRT poveikis vertybinių popierių poprekybiniam suderinimui ir platesnei ES finansų rinkos integracijai“ santraukos ištrauka.</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142</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Eero Heinäluoma, Paul Tang, Jonás Fernández, Pedro Marques</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2 konstatuojamoji dalis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t>(2)</w:t>
            </w:r>
            <w:r w:rsidRPr="00837CC4">
              <w:tab/>
              <w:t>dauguma kriptoturto nepatenka į ES teisės aktų taikymo sritį ir, be kita ko, kelia su investuotojų apsauga, rinkos vientisumu ir finansiniu stabilumu susijusių iššūkių. Todėl šiam turtui reikalinga Sąjungos lygmens speciali tvarka. Tačiau kitų rūšių kriptoturtas laikomas finansinėmis priemonėmis, apibrėžtomis Europos Parlamento ir Tarybos direktyvoje 2014/65/ES (Direktyvoje dėl finansinių priemonių rinkų, FPRD II)</w:t>
            </w:r>
            <w:r w:rsidRPr="00837CC4">
              <w:rPr>
                <w:rStyle w:val="Sup"/>
              </w:rPr>
              <w:t>33</w:t>
            </w:r>
            <w:r w:rsidRPr="00837CC4">
              <w:t>. Tais atvejais, kai kriptoturtas laikomas finansinėmis priemonėmis pagal tą direktyvą, jo emitentui ir įmonėms, vykdančioms su juo susijusią veiklą, gali būti taikomos visos Sąjungos finansinės taisyklės, be kita ko, Europos Parlamento ir Tarybos reglamentas (ES) 2017/1129 (Prospekto reglamentas)</w:t>
            </w:r>
            <w:r w:rsidRPr="00837CC4">
              <w:rPr>
                <w:rStyle w:val="Sup"/>
              </w:rPr>
              <w:t>34</w:t>
            </w:r>
            <w:r w:rsidRPr="00837CC4">
              <w:t>, Europos Parlamento ir Tarybos direktyva 2013/50/ES (Skaidrumo direktyva)</w:t>
            </w:r>
            <w:r w:rsidRPr="00837CC4">
              <w:rPr>
                <w:rStyle w:val="Sup"/>
              </w:rPr>
              <w:t>35</w:t>
            </w:r>
            <w:r w:rsidRPr="00837CC4">
              <w:t>, Europos Parlamento ir Tarybos reglamentas (ES) Nr. 596/2014 (Piktnaudžiavimo rinka reglamentas)</w:t>
            </w:r>
            <w:r w:rsidRPr="00837CC4">
              <w:rPr>
                <w:rStyle w:val="Sup"/>
              </w:rPr>
              <w:t>36</w:t>
            </w:r>
            <w:r w:rsidRPr="00837CC4">
              <w:t>, Europos Parlamento ir Tarybos reglamentas (ES) Nr. 236/2012 (Skolintų vertybinių popierių pardavimo reglamentas)</w:t>
            </w:r>
            <w:r w:rsidRPr="00837CC4">
              <w:rPr>
                <w:rStyle w:val="Sup"/>
              </w:rPr>
              <w:t>37</w:t>
            </w:r>
            <w:r w:rsidRPr="00837CC4">
              <w:t>, Europos Parlamento ir Tarybos reglamentas (ES) Nr. 909/2014 (Centrinių vertybinių popierių depozitoriumų reglamentas)</w:t>
            </w:r>
            <w:r w:rsidRPr="00837CC4">
              <w:rPr>
                <w:rStyle w:val="Sup"/>
              </w:rPr>
              <w:t>38</w:t>
            </w:r>
            <w:r w:rsidRPr="00837CC4">
              <w:t xml:space="preserve"> ir Europos Parlamento ir Tarybos direktyva 98/26/EB (Atsiskaitymų baigtinumo direktyva)</w:t>
            </w:r>
            <w:r w:rsidRPr="00837CC4">
              <w:rPr>
                <w:rStyle w:val="Sup"/>
              </w:rPr>
              <w:t>39</w:t>
            </w:r>
            <w:r w:rsidRPr="00837CC4">
              <w:t xml:space="preserve">. Manoma, kad finansinių priemonių pakeitimas kriptožetonais, t. y. jų pavertimas kriptoturtu siekiant jas išleisti, saugoti ar perleisti paskirstytajame registre, atvers galimybių didinti veiksmingumą </w:t>
            </w:r>
            <w:r w:rsidRPr="00837CC4">
              <w:rPr>
                <w:b/>
                <w:bCs/>
                <w:i/>
                <w:iCs/>
              </w:rPr>
              <w:t>visoje</w:t>
            </w:r>
            <w:r w:rsidRPr="00837CC4">
              <w:t xml:space="preserve"> prekybos ir poprekybinių paslaugų srityje;</w:t>
            </w:r>
          </w:p>
        </w:tc>
        <w:tc>
          <w:tcPr>
            <w:tcW w:w="4876" w:type="dxa"/>
          </w:tcPr>
          <w:p w:rsidR="0084543E" w:rsidRPr="00837CC4" w:rsidRDefault="0084543E" w:rsidP="00E51AD6">
            <w:pPr>
              <w:pStyle w:val="Normal6a"/>
            </w:pPr>
            <w:r w:rsidRPr="00837CC4">
              <w:t>(2)</w:t>
            </w:r>
            <w:r w:rsidRPr="00837CC4">
              <w:tab/>
              <w:t>dauguma kriptoturto nepatenka į ES teisės aktų taikymo sritį ir, be kita ko, kelia su investuotojų apsauga, rinkos vientisumu</w:t>
            </w:r>
            <w:r w:rsidRPr="00837CC4">
              <w:rPr>
                <w:b/>
                <w:bCs/>
                <w:i/>
                <w:iCs/>
              </w:rPr>
              <w:t>, energijos vartojimu</w:t>
            </w:r>
            <w:r w:rsidRPr="00837CC4">
              <w:t xml:space="preserve"> ir finansiniu stabilumu susijusių iššūkių. Todėl šiam turtui reikalinga Sąjungos lygmens speciali tvarka. Tačiau kitų rūšių kriptoturtas laikomas finansinėmis priemonėmis, apibrėžtomis Europos Parlamento ir Tarybos direktyvoje 2014/65/ES (Direktyvoje dėl finansinių priemonių rinkų, FPRD II)</w:t>
            </w:r>
            <w:r w:rsidRPr="00837CC4">
              <w:rPr>
                <w:rStyle w:val="Sup"/>
              </w:rPr>
              <w:t>33</w:t>
            </w:r>
            <w:r w:rsidRPr="00837CC4">
              <w:t>. Tais atvejais, kai kriptoturtas laikomas finansinėmis priemonėmis pagal tą direktyvą, jo emitentui ir įmonėms, vykdančioms su juo susijusią veiklą, gali būti taikomos visos Sąjungos finansinės taisyklės, be kita ko, Europos Parlamento ir Tarybos reglamentas (ES) 2017/1129 (Prospekto reglamentas)</w:t>
            </w:r>
            <w:r w:rsidRPr="00837CC4">
              <w:rPr>
                <w:rStyle w:val="Sup"/>
              </w:rPr>
              <w:t>34</w:t>
            </w:r>
            <w:r w:rsidRPr="00837CC4">
              <w:t>, Europos Parlamento ir Tarybos direktyva 2013/50/ES (Skaidrumo direktyva)</w:t>
            </w:r>
            <w:r w:rsidRPr="00837CC4">
              <w:rPr>
                <w:rStyle w:val="Sup"/>
              </w:rPr>
              <w:t>35</w:t>
            </w:r>
            <w:r w:rsidRPr="00837CC4">
              <w:t>, Europos Parlamento ir Tarybos reglamentas (ES) Nr. 596/2014 (Piktnaudžiavimo rinka reglamentas)</w:t>
            </w:r>
            <w:r w:rsidRPr="00837CC4">
              <w:rPr>
                <w:rStyle w:val="Sup"/>
              </w:rPr>
              <w:t>36</w:t>
            </w:r>
            <w:r w:rsidRPr="00837CC4">
              <w:t>, Europos Parlamento ir Tarybos reglamentas (ES) Nr. 236/2012 (Skolintų vertybinių popierių pardavimo reglamentas)</w:t>
            </w:r>
            <w:r w:rsidRPr="00837CC4">
              <w:rPr>
                <w:rStyle w:val="Sup"/>
              </w:rPr>
              <w:t>37</w:t>
            </w:r>
            <w:r w:rsidRPr="00837CC4">
              <w:t>, Europos Parlamento ir Tarybos reglamentas (ES) Nr. 909/2014 (Centrinių vertybinių popierių depozitoriumų reglamentas)</w:t>
            </w:r>
            <w:r w:rsidRPr="00837CC4">
              <w:rPr>
                <w:rStyle w:val="Sup"/>
              </w:rPr>
              <w:t>38</w:t>
            </w:r>
            <w:r w:rsidRPr="00837CC4">
              <w:t xml:space="preserve"> ir Europos Parlamento ir Tarybos direktyva 98/26/EB (Atsiskaitymų baigtinumo direktyva)</w:t>
            </w:r>
            <w:r w:rsidRPr="00837CC4">
              <w:rPr>
                <w:rStyle w:val="Sup"/>
              </w:rPr>
              <w:t>39</w:t>
            </w:r>
            <w:r w:rsidRPr="00837CC4">
              <w:t xml:space="preserve">. Manoma, kad finansinių priemonių pakeitimas kriptožetonais, t. y. jų pavertimas kriptoturtu siekiant jas išleisti, saugoti ar perleisti paskirstytajame registre, atvers galimybių tam tikrais aspektais didinti veiksmingumą </w:t>
            </w:r>
            <w:r w:rsidRPr="00837CC4">
              <w:rPr>
                <w:b/>
                <w:bCs/>
                <w:i/>
                <w:iCs/>
              </w:rPr>
              <w:t xml:space="preserve">tam tikroje </w:t>
            </w:r>
            <w:r w:rsidRPr="00837CC4">
              <w:t>prekybos ir poprekybinių paslaugų srityje</w:t>
            </w:r>
            <w:r w:rsidRPr="00837CC4">
              <w:rPr>
                <w:b/>
                <w:bCs/>
                <w:i/>
                <w:iCs/>
              </w:rPr>
              <w:t>, kai toks kriptoturtas yra gautas ekologiniu būdu.</w:t>
            </w:r>
            <w:r w:rsidRPr="00837CC4">
              <w:t xml:space="preserve"> </w:t>
            </w:r>
            <w:r w:rsidRPr="00837CC4">
              <w:rPr>
                <w:b/>
                <w:i/>
              </w:rPr>
              <w:t>Be to, kadangi finansinės priemonės ir susijusi rizika išlieka nepakitusios, neatsižvelgiant į tai, ar naudojama PRT, pagrindiniai kompromisai, susiję su kredito rizika ir likvidumu, tebėra aktualūs kriptožetonus naudojančiame pasaulyje. Todėl kriptožetonais pagrįstų sistemų sėkmė priklausys nuo jų sąveikos su tradicinėmis sąskaitomis pagrįstomis sistemomis;</w:t>
            </w:r>
          </w:p>
        </w:tc>
      </w:tr>
      <w:tr w:rsidR="0084543E" w:rsidRPr="00837CC4" w:rsidTr="00E51AD6">
        <w:trPr>
          <w:jc w:val="center"/>
        </w:trPr>
        <w:tc>
          <w:tcPr>
            <w:tcW w:w="4876" w:type="dxa"/>
          </w:tcPr>
          <w:p w:rsidR="0084543E" w:rsidRPr="00837CC4" w:rsidRDefault="0084543E" w:rsidP="00E51AD6">
            <w:pPr>
              <w:pStyle w:val="Normal6a"/>
            </w:pPr>
            <w:r w:rsidRPr="00837CC4">
              <w:t>_________________</w:t>
            </w:r>
          </w:p>
        </w:tc>
        <w:tc>
          <w:tcPr>
            <w:tcW w:w="4876" w:type="dxa"/>
          </w:tcPr>
          <w:p w:rsidR="0084543E" w:rsidRPr="00837CC4" w:rsidRDefault="0084543E" w:rsidP="00E51AD6">
            <w:pPr>
              <w:pStyle w:val="Normal6a"/>
            </w:pPr>
            <w:r w:rsidRPr="00837CC4">
              <w:t>_________________</w:t>
            </w:r>
          </w:p>
        </w:tc>
      </w:tr>
      <w:tr w:rsidR="0084543E" w:rsidRPr="00837CC4" w:rsidTr="00E51AD6">
        <w:trPr>
          <w:jc w:val="center"/>
        </w:trPr>
        <w:tc>
          <w:tcPr>
            <w:tcW w:w="4876" w:type="dxa"/>
          </w:tcPr>
          <w:p w:rsidR="0084543E" w:rsidRPr="00837CC4" w:rsidRDefault="0084543E" w:rsidP="00E51AD6">
            <w:pPr>
              <w:pStyle w:val="Normal6a"/>
            </w:pPr>
            <w:r w:rsidRPr="00837CC4">
              <w:rPr>
                <w:rStyle w:val="Sup"/>
              </w:rPr>
              <w:t>33</w:t>
            </w:r>
            <w:r w:rsidRPr="00837CC4">
              <w:t xml:space="preserve"> 2014 m. gegužės 15 d. Europos Parlamento ir Tarybos direktyva 2014/65/ES dėl finansinių priemonių rinkų, kuria iš dalies keičiamos Direktyva 2011/61/ES ir Direktyva 2002/92/EB (OL L 173, 2014 6 12, p. 349).</w:t>
            </w:r>
          </w:p>
        </w:tc>
        <w:tc>
          <w:tcPr>
            <w:tcW w:w="4876" w:type="dxa"/>
          </w:tcPr>
          <w:p w:rsidR="0084543E" w:rsidRPr="00837CC4" w:rsidRDefault="0084543E" w:rsidP="00E51AD6">
            <w:pPr>
              <w:pStyle w:val="Normal6a"/>
            </w:pPr>
            <w:r w:rsidRPr="00837CC4">
              <w:rPr>
                <w:rStyle w:val="Sup"/>
              </w:rPr>
              <w:t>33</w:t>
            </w:r>
            <w:r w:rsidRPr="00837CC4">
              <w:t xml:space="preserve"> 2014 m. gegužės 15 d. Europos Parlamento ir Tarybos direktyva 2014/65/ES dėl finansinių priemonių rinkų, kuria iš dalies keičiamos Direktyva 2011/61/ES ir Direktyva 2002/92/EB (OL L 173, 2014 6 12, p. 349).</w:t>
            </w:r>
          </w:p>
        </w:tc>
      </w:tr>
      <w:tr w:rsidR="0084543E" w:rsidRPr="00837CC4" w:rsidTr="00E51AD6">
        <w:trPr>
          <w:jc w:val="center"/>
        </w:trPr>
        <w:tc>
          <w:tcPr>
            <w:tcW w:w="4876" w:type="dxa"/>
          </w:tcPr>
          <w:p w:rsidR="0084543E" w:rsidRPr="00837CC4" w:rsidRDefault="0084543E" w:rsidP="00E51AD6">
            <w:pPr>
              <w:pStyle w:val="Normal6a"/>
            </w:pPr>
            <w:r w:rsidRPr="00837CC4">
              <w:rPr>
                <w:rStyle w:val="Sup"/>
              </w:rPr>
              <w:t>34</w:t>
            </w:r>
            <w:r w:rsidRPr="00837CC4">
              <w:t xml:space="preserve"> 2017 m. birželio 14 d. Europos Parlamento ir Tarybos reglamentas (ES) 2017/1129 dėl prospekto, kuris turi būti skelbiamas, kai vertybiniai popieriai siūlomi viešai arba įtraukiami į prekybos reguliuojamoje rinkoje sąrašą, ir kuriuo panaikinama Direktyva 2003/71/EB (OL L 168, 2017 6 30, p. 12).</w:t>
            </w:r>
          </w:p>
        </w:tc>
        <w:tc>
          <w:tcPr>
            <w:tcW w:w="4876" w:type="dxa"/>
          </w:tcPr>
          <w:p w:rsidR="0084543E" w:rsidRPr="00837CC4" w:rsidRDefault="0084543E" w:rsidP="00E51AD6">
            <w:pPr>
              <w:pStyle w:val="Normal6a"/>
            </w:pPr>
            <w:r w:rsidRPr="00837CC4">
              <w:rPr>
                <w:rStyle w:val="Sup"/>
              </w:rPr>
              <w:t>34</w:t>
            </w:r>
            <w:r w:rsidRPr="00837CC4">
              <w:t xml:space="preserve"> 2017 m. birželio 14 d. Europos Parlamento ir Tarybos reglamentas (ES) 2017/1129 dėl prospekto, kuris turi būti skelbiamas, kai vertybiniai popieriai siūlomi viešai arba įtraukiami į prekybos reguliuojamoje rinkoje sąrašą, ir kuriuo panaikinama Direktyva 2003/71/EB (OL L 168, 2017 6 30, p. 12).</w:t>
            </w:r>
          </w:p>
        </w:tc>
      </w:tr>
      <w:tr w:rsidR="0084543E" w:rsidRPr="00837CC4" w:rsidTr="00E51AD6">
        <w:trPr>
          <w:jc w:val="center"/>
        </w:trPr>
        <w:tc>
          <w:tcPr>
            <w:tcW w:w="4876" w:type="dxa"/>
          </w:tcPr>
          <w:p w:rsidR="0084543E" w:rsidRPr="00837CC4" w:rsidRDefault="0084543E" w:rsidP="00E51AD6">
            <w:pPr>
              <w:pStyle w:val="Normal6a"/>
            </w:pPr>
            <w:r w:rsidRPr="00837CC4">
              <w:rPr>
                <w:rStyle w:val="Sup"/>
              </w:rPr>
              <w:t>35</w:t>
            </w:r>
            <w:r w:rsidRPr="00837CC4">
              <w:t xml:space="preserve"> 2013 m. spalio 22 d. Europos Parlamento ir Tarybos direktyva 2013/50/ES, kuria iš dalies keičiama Europos Parlamento ir Tarybos direktyva 2004/109/EB dėl informacijos apie emitentus, kurių vertybiniais popieriais leista prekiauti reguliuojamoje rinkoje, skaidrumo reikalavimų suderinimo, Europos Parlamento ir Tarybos direktyva 2003/71/EB dėl prospekto, kuris turi būti skelbiamas, kai vertybiniai popieriai siūlomi visuomenei ar įtraukiami į prekybos sąrašą, ir Komisijos direktyva 2007/14/EB, nustatanti išsamias tam tikrų Direktyvos 2004/109/EB nuostatų įgyvendinimo taisykles (OL L 294, 2013 11 6, p. 13).</w:t>
            </w:r>
          </w:p>
        </w:tc>
        <w:tc>
          <w:tcPr>
            <w:tcW w:w="4876" w:type="dxa"/>
          </w:tcPr>
          <w:p w:rsidR="0084543E" w:rsidRPr="00837CC4" w:rsidRDefault="0084543E" w:rsidP="00E51AD6">
            <w:pPr>
              <w:pStyle w:val="Normal6a"/>
            </w:pPr>
            <w:r w:rsidRPr="00837CC4">
              <w:rPr>
                <w:rStyle w:val="Sup"/>
              </w:rPr>
              <w:t>35</w:t>
            </w:r>
            <w:r w:rsidRPr="00837CC4">
              <w:t xml:space="preserve"> 2013 m. spalio 22 d. Europos Parlamento ir Tarybos direktyva 2013/50/ES, kuria iš dalies keičiama Europos Parlamento ir Tarybos direktyva 2004/109/EB dėl informacijos apie emitentus, kurių vertybiniais popieriais leista prekiauti reguliuojamoje rinkoje, skaidrumo reikalavimų suderinimo, Europos Parlamento ir Tarybos direktyva 2003/71/EB dėl prospekto, kuris turi būti skelbiamas, kai vertybiniai popieriai siūlomi visuomenei ar įtraukiami į prekybos sąrašą, ir Komisijos direktyva 2007/14/EB, nustatanti išsamias tam tikrų Direktyvos 2004/109/EB nuostatų įgyvendinimo taisykles (OL L 294, 2013 11 6, p. 13).</w:t>
            </w:r>
          </w:p>
        </w:tc>
      </w:tr>
      <w:tr w:rsidR="0084543E" w:rsidRPr="00837CC4" w:rsidTr="00E51AD6">
        <w:trPr>
          <w:jc w:val="center"/>
        </w:trPr>
        <w:tc>
          <w:tcPr>
            <w:tcW w:w="4876" w:type="dxa"/>
          </w:tcPr>
          <w:p w:rsidR="0084543E" w:rsidRPr="00837CC4" w:rsidRDefault="0084543E" w:rsidP="00E51AD6">
            <w:pPr>
              <w:pStyle w:val="Normal6a"/>
            </w:pPr>
            <w:r w:rsidRPr="00837CC4">
              <w:rPr>
                <w:rStyle w:val="Sup"/>
              </w:rPr>
              <w:t>36</w:t>
            </w:r>
            <w:r w:rsidRPr="00837CC4">
              <w:t xml:space="preserve"> 2014 m. balandžio 16 d. Europos Parlamento ir Tarybos reglamentas (ES) Nr. 596/2014 dėl piktnaudžiavimo rinka (Piktnaudžiavimo rinka reglamentas) ir kuriuo panaikinama Europos Parlamento ir Tarybos direktyva 2003/6/EB ir Komisijos direktyvos 2003/124/EB, 2003/125/EB ir 2004/72/EB (OL L 173, 2014 6 12, p. 1).</w:t>
            </w:r>
          </w:p>
        </w:tc>
        <w:tc>
          <w:tcPr>
            <w:tcW w:w="4876" w:type="dxa"/>
          </w:tcPr>
          <w:p w:rsidR="0084543E" w:rsidRPr="00837CC4" w:rsidRDefault="0084543E" w:rsidP="00E51AD6">
            <w:pPr>
              <w:pStyle w:val="Normal6a"/>
            </w:pPr>
            <w:r w:rsidRPr="00837CC4">
              <w:rPr>
                <w:rStyle w:val="Sup"/>
              </w:rPr>
              <w:t>36</w:t>
            </w:r>
            <w:r w:rsidRPr="00837CC4">
              <w:t xml:space="preserve"> 2014 m. balandžio 16 d. Europos Parlamento ir Tarybos reglamentas (ES) Nr. 596/2014 dėl piktnaudžiavimo rinka (Piktnaudžiavimo rinka reglamentas) ir kuriuo panaikinama Europos Parlamento ir Tarybos direktyva 2003/6/EB ir Komisijos direktyvos 2003/124/EB, 2003/125/EB ir 2004/72/EB (OL L 173, 2014 6 12, p. 1).</w:t>
            </w:r>
          </w:p>
        </w:tc>
      </w:tr>
      <w:tr w:rsidR="0084543E" w:rsidRPr="00837CC4" w:rsidTr="00E51AD6">
        <w:trPr>
          <w:jc w:val="center"/>
        </w:trPr>
        <w:tc>
          <w:tcPr>
            <w:tcW w:w="4876" w:type="dxa"/>
          </w:tcPr>
          <w:p w:rsidR="0084543E" w:rsidRPr="00837CC4" w:rsidRDefault="0084543E" w:rsidP="00E51AD6">
            <w:pPr>
              <w:pStyle w:val="Normal6a"/>
            </w:pPr>
            <w:r w:rsidRPr="00837CC4">
              <w:rPr>
                <w:rStyle w:val="Sup"/>
              </w:rPr>
              <w:t>37</w:t>
            </w:r>
            <w:r w:rsidRPr="00837CC4">
              <w:t xml:space="preserve"> 2012 m. kovo 14 d. Europos Parlamento ir Tarybos reglamentas (ES) Nr. 236/2012 dėl skolintų vertybinių popierių pardavimo ir tam tikrų kredito įsipareigojimų neįvykdymo apsikeitimo sandorių aspektų (OL L 86, 2012 3 24, p. 1).</w:t>
            </w:r>
          </w:p>
        </w:tc>
        <w:tc>
          <w:tcPr>
            <w:tcW w:w="4876" w:type="dxa"/>
          </w:tcPr>
          <w:p w:rsidR="0084543E" w:rsidRPr="00837CC4" w:rsidRDefault="0084543E" w:rsidP="00E51AD6">
            <w:pPr>
              <w:pStyle w:val="Normal6a"/>
            </w:pPr>
            <w:r w:rsidRPr="00837CC4">
              <w:rPr>
                <w:rStyle w:val="Sup"/>
              </w:rPr>
              <w:t>37</w:t>
            </w:r>
            <w:r w:rsidRPr="00837CC4">
              <w:t xml:space="preserve"> 2012 m. kovo 14 d. Europos Parlamento ir Tarybos reglamentas (ES) Nr. 236/2012 dėl skolintų vertybinių popierių pardavimo ir tam tikrų kredito įsipareigojimų neįvykdymo apsikeitimo sandorių aspektų (OL L 86, 2012 3 24, p. 1).</w:t>
            </w:r>
          </w:p>
        </w:tc>
      </w:tr>
      <w:tr w:rsidR="0084543E" w:rsidRPr="00837CC4" w:rsidTr="00E51AD6">
        <w:trPr>
          <w:jc w:val="center"/>
        </w:trPr>
        <w:tc>
          <w:tcPr>
            <w:tcW w:w="4876" w:type="dxa"/>
          </w:tcPr>
          <w:p w:rsidR="0084543E" w:rsidRPr="00837CC4" w:rsidRDefault="0084543E" w:rsidP="00E51AD6">
            <w:pPr>
              <w:pStyle w:val="Normal6a"/>
            </w:pPr>
            <w:r w:rsidRPr="00837CC4">
              <w:rPr>
                <w:rStyle w:val="Sup"/>
              </w:rPr>
              <w:t>38</w:t>
            </w:r>
            <w:r w:rsidRPr="00837CC4">
              <w:t xml:space="preserve"> 2014 m. liepos 23 d. Europos Parlamento ir Tarybos reglamentas (ES) Nr. 909/2014 dėl atsiskaitymo už vertybinius popierius gerinimo Europos Sąjungoje ir centrinių vertybinių popierių depozitoriumų, kuriuo iš dalies keičiamos Direktyvos 98/26/EB ir 2014/65/ES bei Reglamentas (ES) Nr. 236/2012 (OL L 257, 2014 8 28, p. 1).</w:t>
            </w:r>
          </w:p>
        </w:tc>
        <w:tc>
          <w:tcPr>
            <w:tcW w:w="4876" w:type="dxa"/>
          </w:tcPr>
          <w:p w:rsidR="0084543E" w:rsidRPr="00837CC4" w:rsidRDefault="0084543E" w:rsidP="00E51AD6">
            <w:pPr>
              <w:pStyle w:val="Normal6a"/>
            </w:pPr>
            <w:r w:rsidRPr="00837CC4">
              <w:rPr>
                <w:rStyle w:val="Sup"/>
              </w:rPr>
              <w:t>38</w:t>
            </w:r>
            <w:r w:rsidRPr="00837CC4">
              <w:t xml:space="preserve"> 2014 m. liepos 23 d. Europos Parlamento ir Tarybos reglamentas (ES) Nr. 909/2014 dėl atsiskaitymo už vertybinius popierius gerinimo Europos Sąjungoje ir centrinių vertybinių popierių depozitoriumų, kuriuo iš dalies keičiamos Direktyvos 98/26/EB ir 2014/65/ES bei Reglamentas (ES) Nr. 236/2012 (OL L 257, 2014 8 28, p. 1).</w:t>
            </w:r>
          </w:p>
        </w:tc>
      </w:tr>
      <w:tr w:rsidR="0084543E" w:rsidRPr="00837CC4" w:rsidTr="00E51AD6">
        <w:trPr>
          <w:jc w:val="center"/>
        </w:trPr>
        <w:tc>
          <w:tcPr>
            <w:tcW w:w="4876" w:type="dxa"/>
          </w:tcPr>
          <w:p w:rsidR="0084543E" w:rsidRPr="00837CC4" w:rsidRDefault="0084543E" w:rsidP="00E51AD6">
            <w:pPr>
              <w:pStyle w:val="Normal6a"/>
            </w:pPr>
            <w:r w:rsidRPr="00837CC4">
              <w:rPr>
                <w:rStyle w:val="Sup"/>
              </w:rPr>
              <w:t>39</w:t>
            </w:r>
            <w:r w:rsidRPr="00837CC4">
              <w:t xml:space="preserve"> 1998 m. gegužės 19 d. Europos Parlamento ir Tarybos direktyva 98/26/EB dėl atsiskaitymų baigtumo mokėjimų ir vertybinių popierių atsiskaitymų sistemose (OL L 166, 1998 6 11, р. 45).</w:t>
            </w:r>
          </w:p>
        </w:tc>
        <w:tc>
          <w:tcPr>
            <w:tcW w:w="4876" w:type="dxa"/>
          </w:tcPr>
          <w:p w:rsidR="0084543E" w:rsidRPr="00837CC4" w:rsidRDefault="0084543E" w:rsidP="00E51AD6">
            <w:pPr>
              <w:pStyle w:val="Normal6a"/>
            </w:pPr>
            <w:r w:rsidRPr="00837CC4">
              <w:rPr>
                <w:rStyle w:val="Sup"/>
              </w:rPr>
              <w:t>39</w:t>
            </w:r>
            <w:r w:rsidRPr="00837CC4">
              <w:t xml:space="preserve"> 1998 m. gegužės 19 d. Europos Parlamento ir Tarybos direktyva 98/26/EB dėl atsiskaitymų baigtumo mokėjimų ir vertybinių popierių atsiskaitymų sistemose (OL L 166, 1998 6 11, р. 45).</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143</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Sven Giegold</w:t>
      </w:r>
      <w:r w:rsidRPr="00837CC4">
        <w:rPr>
          <w:rStyle w:val="HideTWBExt"/>
          <w:b w:val="0"/>
          <w:noProof w:val="0"/>
        </w:rPr>
        <w:t>&lt;/Members&gt;</w:t>
      </w:r>
    </w:p>
    <w:p w:rsidR="0084543E" w:rsidRPr="00837CC4" w:rsidRDefault="0084543E" w:rsidP="0084543E">
      <w:r w:rsidRPr="00837CC4">
        <w:rPr>
          <w:rStyle w:val="HideTWBExt"/>
          <w:noProof w:val="0"/>
        </w:rPr>
        <w:t>&lt;AuNomDe&gt;</w:t>
      </w:r>
      <w:r w:rsidRPr="00837CC4">
        <w:rPr>
          <w:rStyle w:val="HideTWBInt"/>
          <w:noProof w:val="0"/>
        </w:rPr>
        <w:t>{Greens/EFA}</w:t>
      </w:r>
      <w:r w:rsidRPr="00837CC4">
        <w:t>Verts/ALE frakcijos vardu</w:t>
      </w:r>
      <w:r w:rsidRPr="00837CC4">
        <w:rPr>
          <w:rStyle w:val="HideTWBExt"/>
          <w:noProof w:val="0"/>
        </w:rPr>
        <w:t>&lt;/AuNomDe&gt;</w:t>
      </w:r>
    </w:p>
    <w:p w:rsidR="0084543E" w:rsidRPr="00837CC4" w:rsidRDefault="0084543E" w:rsidP="0084543E">
      <w:r w:rsidRPr="00837CC4">
        <w:rPr>
          <w:rStyle w:val="HideTWBExt"/>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3 konstatuojamoji dalis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t>(3)</w:t>
            </w:r>
            <w:r w:rsidRPr="00837CC4">
              <w:tab/>
              <w:t>Sąjungos finansinių paslaugų teisės aktai nebuvo parengti atsižvelgiant į PRT ir kriptoturtą</w:t>
            </w:r>
            <w:r w:rsidRPr="00837CC4">
              <w:rPr>
                <w:rStyle w:val="Sup"/>
              </w:rPr>
              <w:t>40</w:t>
            </w:r>
            <w:r w:rsidRPr="00837CC4">
              <w:t xml:space="preserve"> ir galiojančiuose ES finansinių paslaugų teisės aktuose yra nuostatų, galinčių drausti naudoti PRT leidžiant kriptoturtą, laikomą finansinėmis priemonėmis, juo prekiaujant ar už jį atsiskaitant, arba tokį PRT naudojimą riboti. Be to, šiuo metu trūksta PRT naudojančių rinkos infrastruktūrų, teikiančių prekybos ir atsiskaitymo paslaugas, susijusias su kriptoturtu, laikomu finansinėmis priemonėmis. Kriptoturto</w:t>
            </w:r>
            <w:r w:rsidRPr="00837CC4">
              <w:rPr>
                <w:b/>
                <w:bCs/>
                <w:i/>
                <w:iCs/>
              </w:rPr>
              <w:t>, laikomo finansinėmis priemonėmis, pirminė rinka niekada tvariai nesiplės, jeigu nebus</w:t>
            </w:r>
            <w:r w:rsidRPr="00837CC4">
              <w:t xml:space="preserve"> antrinės rinkos</w:t>
            </w:r>
            <w:r w:rsidRPr="00837CC4">
              <w:rPr>
                <w:b/>
                <w:bCs/>
                <w:i/>
                <w:iCs/>
              </w:rPr>
              <w:t>, galinčios teikti likvidumą ir sudaryti sąlygas investuotojams tokį turtą pirkti ir parduoti</w:t>
            </w:r>
            <w:r w:rsidRPr="00837CC4">
              <w:t>;</w:t>
            </w:r>
          </w:p>
        </w:tc>
        <w:tc>
          <w:tcPr>
            <w:tcW w:w="4876" w:type="dxa"/>
          </w:tcPr>
          <w:p w:rsidR="0084543E" w:rsidRPr="00837CC4" w:rsidRDefault="0084543E" w:rsidP="00E51AD6">
            <w:pPr>
              <w:pStyle w:val="Normal6a"/>
            </w:pPr>
            <w:r w:rsidRPr="00837CC4">
              <w:t>(3)</w:t>
            </w:r>
            <w:r w:rsidRPr="00837CC4">
              <w:tab/>
              <w:t>Sąjungos finansinių paslaugų teisės aktai nebuvo parengti atsižvelgiant į PRT ir kriptoturtą</w:t>
            </w:r>
            <w:r w:rsidRPr="00837CC4">
              <w:rPr>
                <w:rStyle w:val="Sup"/>
              </w:rPr>
              <w:t>40</w:t>
            </w:r>
            <w:r w:rsidRPr="00837CC4">
              <w:t xml:space="preserve"> ir galiojančiuose ES finansinių paslaugų teisės aktuose yra nuostatų, galinčių drausti naudoti PRT leidžiant kriptoturtą, laikomą finansinėmis priemonėmis, juo prekiaujant ar už jį atsiskaitant, arba tokį PRT naudojimą riboti. Be to, šiuo metu trūksta PRT naudojančių rinkos infrastruktūrų, teikiančių prekybos ir atsiskaitymo paslaugas, susijusias su kriptoturtu, laikomu finansinėmis priemonėmis. Kriptoturto antrinės rinkos </w:t>
            </w:r>
            <w:r w:rsidRPr="00837CC4">
              <w:rPr>
                <w:b/>
                <w:bCs/>
                <w:i/>
                <w:iCs/>
              </w:rPr>
              <w:t>ir kriptožetonais pakeistų vertybinių popierių plėtra galėtų duoti įvairios naudos, susijusios su didesniu veiksmingumu, skaidrumu ir konkurencija prekybos ir atsiskaitymo veiklos srityse</w:t>
            </w:r>
            <w:r w:rsidRPr="00837CC4">
              <w:t>;</w:t>
            </w:r>
          </w:p>
        </w:tc>
      </w:tr>
      <w:tr w:rsidR="0084543E" w:rsidRPr="00837CC4" w:rsidTr="00E51AD6">
        <w:trPr>
          <w:jc w:val="center"/>
        </w:trPr>
        <w:tc>
          <w:tcPr>
            <w:tcW w:w="4876" w:type="dxa"/>
          </w:tcPr>
          <w:p w:rsidR="0084543E" w:rsidRPr="00837CC4" w:rsidRDefault="0084543E" w:rsidP="00E51AD6">
            <w:pPr>
              <w:pStyle w:val="Normal6a"/>
            </w:pPr>
            <w:r w:rsidRPr="00837CC4">
              <w:t>_________________</w:t>
            </w:r>
          </w:p>
        </w:tc>
        <w:tc>
          <w:tcPr>
            <w:tcW w:w="4876" w:type="dxa"/>
          </w:tcPr>
          <w:p w:rsidR="0084543E" w:rsidRPr="00837CC4" w:rsidRDefault="0084543E" w:rsidP="00E51AD6">
            <w:pPr>
              <w:pStyle w:val="Normal6a"/>
            </w:pPr>
            <w:r w:rsidRPr="00837CC4">
              <w:t>_________________</w:t>
            </w:r>
          </w:p>
        </w:tc>
      </w:tr>
      <w:tr w:rsidR="0084543E" w:rsidRPr="00837CC4" w:rsidTr="00E51AD6">
        <w:trPr>
          <w:jc w:val="center"/>
        </w:trPr>
        <w:tc>
          <w:tcPr>
            <w:tcW w:w="4876" w:type="dxa"/>
          </w:tcPr>
          <w:p w:rsidR="0084543E" w:rsidRPr="00837CC4" w:rsidRDefault="0084543E" w:rsidP="00E51AD6">
            <w:pPr>
              <w:pStyle w:val="Normal6a"/>
            </w:pPr>
            <w:r w:rsidRPr="00837CC4">
              <w:rPr>
                <w:rStyle w:val="Sup"/>
              </w:rPr>
              <w:t>40</w:t>
            </w:r>
            <w:r w:rsidRPr="00837CC4">
              <w:t xml:space="preserve"> Europos vertybinių popierių ir rinkų institucijos ataskaita su rekomendacija dėl pradinio kriptomonetų platinimo ir kriptoturto (ESMA50-157-1391).</w:t>
            </w:r>
          </w:p>
        </w:tc>
        <w:tc>
          <w:tcPr>
            <w:tcW w:w="4876" w:type="dxa"/>
          </w:tcPr>
          <w:p w:rsidR="0084543E" w:rsidRPr="00837CC4" w:rsidRDefault="0084543E" w:rsidP="00E51AD6">
            <w:pPr>
              <w:pStyle w:val="Normal6a"/>
            </w:pPr>
            <w:r w:rsidRPr="00837CC4">
              <w:rPr>
                <w:rStyle w:val="Sup"/>
              </w:rPr>
              <w:t>40</w:t>
            </w:r>
            <w:r w:rsidRPr="00837CC4">
              <w:t xml:space="preserve"> Europos vertybinių popierių ir rinkų institucijos ataskaita su rekomendacija dėl pradinio kriptomonetų platinimo ir kriptoturto (ESMA50-157-1391).</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144</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Eva Kaili</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3 konstatuojamoji dalis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t>(3)</w:t>
            </w:r>
            <w:r w:rsidRPr="00837CC4">
              <w:tab/>
              <w:t>Sąjungos finansinių paslaugų teisės aktai nebuvo parengti atsižvelgiant į PRT ir kriptoturtą</w:t>
            </w:r>
            <w:r w:rsidRPr="00837CC4">
              <w:rPr>
                <w:rStyle w:val="Sup"/>
              </w:rPr>
              <w:t>40</w:t>
            </w:r>
            <w:r w:rsidRPr="00837CC4">
              <w:t xml:space="preserve"> ir galiojančiuose ES finansinių paslaugų teisės aktuose yra nuostatų, galinčių drausti naudoti PRT leidžiant kriptoturtą, laikomą finansinėmis priemonėmis, juo prekiaujant ar už jį atsiskaitant, arba tokį PRT naudojimą riboti. Be to, šiuo metu trūksta PRT naudojančių rinkos infrastruktūrų, teikiančių prekybos ir atsiskaitymo paslaugas, susijusias su kriptoturtu, laikomu finansinėmis priemonėmis. Kriptoturto, laikomo finansinėmis priemonėmis, pirminė rinka niekada tvariai nesiplės, jeigu nebus antrinės rinkos, galinčios teikti likvidumą ir sudaryti sąlygas investuotojams tokį turtą pirkti ir parduoti;</w:t>
            </w:r>
          </w:p>
        </w:tc>
        <w:tc>
          <w:tcPr>
            <w:tcW w:w="4876" w:type="dxa"/>
          </w:tcPr>
          <w:p w:rsidR="0084543E" w:rsidRPr="00837CC4" w:rsidRDefault="0084543E" w:rsidP="00E51AD6">
            <w:pPr>
              <w:pStyle w:val="Normal6a"/>
            </w:pPr>
            <w:r w:rsidRPr="00837CC4">
              <w:t>(3)</w:t>
            </w:r>
            <w:r w:rsidRPr="00837CC4">
              <w:tab/>
              <w:t>Sąjungos finansinių paslaugų teisės aktai nebuvo parengti atsižvelgiant į PRT ir kriptoturtą</w:t>
            </w:r>
            <w:r w:rsidRPr="00837CC4">
              <w:rPr>
                <w:rStyle w:val="Sup"/>
              </w:rPr>
              <w:t>40</w:t>
            </w:r>
            <w:r w:rsidRPr="00837CC4">
              <w:t xml:space="preserve"> ir galiojančiuose ES finansinių paslaugų teisės aktuose yra nuostatų, galinčių drausti naudoti PRT leidžiant kriptoturtą, laikomą finansinėmis priemonėmis, juo prekiaujant ar už jį atsiskaitant, arba tokį PRT naudojimą riboti. Be to, šiuo metu trūksta PRT naudojančių </w:t>
            </w:r>
            <w:r w:rsidRPr="00837CC4">
              <w:rPr>
                <w:b/>
                <w:bCs/>
                <w:i/>
                <w:iCs/>
              </w:rPr>
              <w:t xml:space="preserve">autorizuotų finansų </w:t>
            </w:r>
            <w:r w:rsidRPr="00837CC4">
              <w:t>rinkos infrastruktūrų, teikiančių prekybos ir atsiskaitymo paslaugas, susijusias su kriptoturtu, laikomu finansinėmis priemonėmis. Kriptoturto, laikomo finansinėmis priemonėmis, pirminė rinka niekada tvariai nesiplės, jeigu nebus antrinės rinkos, galinčios teikti likvidumą ir sudaryti sąlygas investuotojams tokį turtą pirkti ir parduoti;</w:t>
            </w:r>
          </w:p>
        </w:tc>
      </w:tr>
      <w:tr w:rsidR="0084543E" w:rsidRPr="00837CC4" w:rsidTr="00E51AD6">
        <w:trPr>
          <w:jc w:val="center"/>
        </w:trPr>
        <w:tc>
          <w:tcPr>
            <w:tcW w:w="4876" w:type="dxa"/>
          </w:tcPr>
          <w:p w:rsidR="0084543E" w:rsidRPr="00837CC4" w:rsidRDefault="0084543E" w:rsidP="00E51AD6">
            <w:pPr>
              <w:pStyle w:val="Normal6a"/>
            </w:pPr>
            <w:r w:rsidRPr="00837CC4">
              <w:t>_________________</w:t>
            </w:r>
          </w:p>
        </w:tc>
        <w:tc>
          <w:tcPr>
            <w:tcW w:w="4876" w:type="dxa"/>
          </w:tcPr>
          <w:p w:rsidR="0084543E" w:rsidRPr="00837CC4" w:rsidRDefault="0084543E" w:rsidP="00E51AD6">
            <w:pPr>
              <w:pStyle w:val="Normal6a"/>
            </w:pPr>
            <w:r w:rsidRPr="00837CC4">
              <w:t>_________________</w:t>
            </w:r>
          </w:p>
        </w:tc>
      </w:tr>
      <w:tr w:rsidR="0084543E" w:rsidRPr="00837CC4" w:rsidTr="00E51AD6">
        <w:trPr>
          <w:jc w:val="center"/>
        </w:trPr>
        <w:tc>
          <w:tcPr>
            <w:tcW w:w="4876" w:type="dxa"/>
          </w:tcPr>
          <w:p w:rsidR="0084543E" w:rsidRPr="00837CC4" w:rsidRDefault="0084543E" w:rsidP="00E51AD6">
            <w:pPr>
              <w:pStyle w:val="Normal6a"/>
            </w:pPr>
            <w:r w:rsidRPr="00837CC4">
              <w:rPr>
                <w:rStyle w:val="Sup"/>
              </w:rPr>
              <w:t>40</w:t>
            </w:r>
            <w:r w:rsidRPr="00837CC4">
              <w:t xml:space="preserve"> Europos vertybinių popierių ir rinkų institucijos ataskaita su rekomendacija dėl pradinio kriptomonetų platinimo ir kriptoturto (ESMA50-157-1391).</w:t>
            </w:r>
          </w:p>
        </w:tc>
        <w:tc>
          <w:tcPr>
            <w:tcW w:w="4876" w:type="dxa"/>
          </w:tcPr>
          <w:p w:rsidR="0084543E" w:rsidRPr="00837CC4" w:rsidRDefault="0084543E" w:rsidP="00E51AD6">
            <w:pPr>
              <w:pStyle w:val="Normal6a"/>
            </w:pPr>
            <w:r w:rsidRPr="00837CC4">
              <w:rPr>
                <w:rStyle w:val="Sup"/>
              </w:rPr>
              <w:t>40</w:t>
            </w:r>
            <w:r w:rsidRPr="00837CC4">
              <w:t xml:space="preserve"> Europos vertybinių popierių ir rinkų institucijos ataskaita su rekomendacija dėl pradinio kriptomonetų platinimo ir kriptoturto (ESMA50-157-1391).</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pPr>
        <w:pStyle w:val="AmJustTitle"/>
      </w:pPr>
      <w:r w:rsidRPr="00837CC4">
        <w:rPr>
          <w:rStyle w:val="HideTWBExt"/>
          <w:i w:val="0"/>
          <w:noProof w:val="0"/>
        </w:rPr>
        <w:t>&lt;TitreJust&gt;</w:t>
      </w:r>
      <w:r w:rsidRPr="00837CC4">
        <w:t>Pagrindimas</w:t>
      </w:r>
      <w:r w:rsidRPr="00837CC4">
        <w:rPr>
          <w:rStyle w:val="HideTWBExt"/>
          <w:i w:val="0"/>
          <w:noProof w:val="0"/>
        </w:rPr>
        <w:t>&lt;/TitreJust&gt;</w:t>
      </w:r>
    </w:p>
    <w:p w:rsidR="0084543E" w:rsidRPr="00837CC4" w:rsidRDefault="0084543E" w:rsidP="0084543E">
      <w:pPr>
        <w:pStyle w:val="AmJustText"/>
      </w:pPr>
      <w:r w:rsidRPr="00837CC4">
        <w:t>Išaiškinimas.</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145</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Eva Kaili</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3 a konstatuojamoji dalis (nauja)</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p>
        </w:tc>
        <w:tc>
          <w:tcPr>
            <w:tcW w:w="4876" w:type="dxa"/>
          </w:tcPr>
          <w:p w:rsidR="0084543E" w:rsidRPr="00837CC4" w:rsidRDefault="0084543E" w:rsidP="00E51AD6">
            <w:pPr>
              <w:pStyle w:val="Normal6a"/>
            </w:pPr>
            <w:r w:rsidRPr="00837CC4">
              <w:rPr>
                <w:b/>
                <w:i/>
              </w:rPr>
              <w:t>(3a)</w:t>
            </w:r>
            <w:r w:rsidRPr="00837CC4">
              <w:tab/>
            </w:r>
            <w:r w:rsidRPr="00837CC4">
              <w:rPr>
                <w:b/>
                <w:i/>
              </w:rPr>
              <w:t>siekiant užtikrinti vienodą Sąjungos vertybinių popierių žetonų ir apskritai kriptožetonais pakeisto turto skaitmeninę finansų rinką, reikėtų atsižvelgti į valstybių narių nacionalinių režimų skirtumus, įskaitant skirtumus į nacionalinę teisę perkeliant Sąjungos direktyvas, kaip antai Europos Parlamento ir Tarybos direktyvą 2014/65/ES (FPRD II). Remiantis 2019 m. sausio mėn. ESMA nuomone dėl pirminių virtualiosios valiutos siūlymų ir kriptoturto, viena iš pagrindinių kliūčių vienodam investicinio pobūdžio kriptoturto reguliavimui visoje Sąjungoje yra skirtingai į nacionalinę teisė perkeltos Sąjungos direktyvos, kaip antai „finansinės priemonės“ arba „perleidžiamųjų vertybinių popierių“ apibrėžtis ar teisinė analizė ir reikalavimai, susiję su investavimo paslaugomis, veikla ir papildomomis paslaugomis, įskaitant finansinių priemonių saugojimą ir administravimą klientų vardu arba įrašų tvarkymą saugumo žetonų emitentų vardu. Labai svarbu inicijuoti Sąjungos lygmens diskusijas dėl nacionalinės tvarkos, siekiant didinti teisinį tikrumą ir įgyvendinti kapitalo rinkų sąjungos tikslus, kartu sudarant sąlygas kurti konkurencingą Sąjungos vertybinių popierių žetonų ir apskritai kriptožetonais pakeisto turto skaitmeninę finansų rinką;</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pPr>
        <w:pStyle w:val="AmJustTitle"/>
      </w:pPr>
      <w:r w:rsidRPr="00837CC4">
        <w:rPr>
          <w:rStyle w:val="HideTWBExt"/>
          <w:i w:val="0"/>
          <w:noProof w:val="0"/>
        </w:rPr>
        <w:t>&lt;TitreJust&gt;</w:t>
      </w:r>
      <w:r w:rsidRPr="00837CC4">
        <w:t>Pagrindimas</w:t>
      </w:r>
      <w:r w:rsidRPr="00837CC4">
        <w:rPr>
          <w:rStyle w:val="HideTWBExt"/>
          <w:i w:val="0"/>
          <w:noProof w:val="0"/>
        </w:rPr>
        <w:t>&lt;/TitreJust&gt;</w:t>
      </w:r>
    </w:p>
    <w:p w:rsidR="0084543E" w:rsidRPr="00837CC4" w:rsidRDefault="0084543E" w:rsidP="0084543E">
      <w:pPr>
        <w:pStyle w:val="AmJustText"/>
      </w:pPr>
      <w:r w:rsidRPr="00837CC4">
        <w:t>Kaip jau pripažinta ESMA nuomonėje dėl pirminių virtualiosios valiutos siūlymų ir kriptoturto, valstybių narių nacionalinės teisės aktų skirtumai kenkia vienodam ES finansų sistemos taikymui, todėl kyla pavojus sklandžioms tarpvalstybinėms operacijoms, susijusioms su kapitalo rinkų sąjunga. Siekdami sukurti tvirtą ir konkurencingą ES vertybinių popierių žetonų skaitmeninę rinką, turime numatyti, kaip kuo skubiau panaikinti minėtus skirtumus.</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146</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Eva Kaili</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3 b konstatuojamoji dalis (nauja)</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p>
        </w:tc>
        <w:tc>
          <w:tcPr>
            <w:tcW w:w="4876" w:type="dxa"/>
          </w:tcPr>
          <w:p w:rsidR="0084543E" w:rsidRPr="00837CC4" w:rsidRDefault="0084543E" w:rsidP="00E51AD6">
            <w:pPr>
              <w:pStyle w:val="Normal6a"/>
            </w:pPr>
            <w:r w:rsidRPr="00837CC4">
              <w:rPr>
                <w:b/>
                <w:i/>
              </w:rPr>
              <w:t>(3b)</w:t>
            </w:r>
            <w:r w:rsidRPr="00837CC4">
              <w:tab/>
            </w:r>
            <w:r w:rsidRPr="00837CC4">
              <w:rPr>
                <w:b/>
                <w:i/>
              </w:rPr>
              <w:t>kalbant apie PRT padėtį, šiuo metu galima nustatyti bent šiuos konkrečius PRT tipus: 1) blokų grandinės technologija, pagal kurią bet kokie dabartinių naudotojų, kurie turi teisę išsiųsti neišleistą sandorių produkciją, kuri sudaro turimą turtą, tapatybės pakeitimai yra tvarkomi partijomis (blokais), kurie po to yra susiejami naudojant kriptografinę techniką (maišą); 2) sutarimo registrai, kuriuose su kiekvienu naudojimu susijusių balansų momentiniai duomenys yra atnaujinami tam tikrais etapais; ir 3) sinchronizuoti dvišaliai registrai, kuriuose sandorio šalys gali atnaujinti tiesiogiai su jų dvišale veikla susijusios informacijos poaibį, su šiais įrašais taip pat galės susipažinti kitos atrinktos šalys ir tam tikra tokia informacija galės būti prieinama platesniam naudotojų ratui. Išmaniosios sutartys – dar viena technologijos rūšis, kurią galima susieti su PRT, kai jos yra dorojamos įvairiuose tinklo mazguose. Šios sutartys yra parašytos vykdyti tinkamu kodu. Pagal šias sutartis sandorio šalys patvirtina, kad atitinkamą turtą reikia siųsti ar gauti jų vardu, pasitelkiant automatizuotas procedūras, kurios yra vykdomos, kai registre (pvz., naudotojo balanse) arba už registro ribų (pvz., turto kainos požiūriu) įvyksta tam tikra iš anksto nustatytų veiksmų seka;</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pPr>
        <w:pStyle w:val="AmJustTitle"/>
      </w:pPr>
      <w:r w:rsidRPr="00837CC4">
        <w:rPr>
          <w:rStyle w:val="HideTWBExt"/>
          <w:i w:val="0"/>
          <w:noProof w:val="0"/>
        </w:rPr>
        <w:t>&lt;TitreJust&gt;</w:t>
      </w:r>
      <w:r w:rsidRPr="00837CC4">
        <w:t>Pagrindimas</w:t>
      </w:r>
      <w:r w:rsidRPr="00837CC4">
        <w:rPr>
          <w:rStyle w:val="HideTWBExt"/>
          <w:i w:val="0"/>
          <w:noProof w:val="0"/>
        </w:rPr>
        <w:t>&lt;/TitreJust&gt;</w:t>
      </w:r>
    </w:p>
    <w:p w:rsidR="0084543E" w:rsidRPr="00837CC4" w:rsidRDefault="0084543E" w:rsidP="0084543E">
      <w:pPr>
        <w:pStyle w:val="AmJustText"/>
      </w:pPr>
      <w:r w:rsidRPr="00837CC4">
        <w:t>Siūloma apsvarstyti galimybę įtraukti PRT veikimo tipų aprašymą, gautą iš 2017 m. ECB Vertybinių popierių ir įkaito rinkos infrastruktūros patariamosios grupės (toliau – AMI SeCo) ataskaitos „Galimas PRT poveikis vertybinių popierių poprekybiniam suderinimui ir platesnei ES finansų rinkos integracijai“.</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147</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Eero Heinäluoma, Paul Tang, Pedro Marques</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4 konstatuojamoji dalis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t>(4)</w:t>
            </w:r>
            <w:r w:rsidRPr="00837CC4">
              <w:tab/>
              <w:t xml:space="preserve">kartu dėl teisinių, technologinių ir veiklos aspektų, susijusių su PRT ir kriptoturto, laikomo finansinėmis priemonėmis, naudojimu, esama reglamentavimo spragų. Pavyzdžiui, protokolams ir išmaniosioms sutartims, kuriais grindžiamas kriptoturtas, laikomas finansinėmis priemonėmis, netaikomi jokie skaidrumo, patikimumo ir saugos reikalavimai. Be to, pagrindinė technologija gali kelti tam tikrų naujų formų kibernetinę riziką, kurios pagal galiojančias taisykles tinkamai valdyti neįmanoma. Kriptoturto, laikomo finansinėmis priemonėmis, prekybai ir poprekybiniams procesams Sąjungoje parengta keletas projektų, tačiau vos keli jau įgyvendinami arba jie yra riboto masto. Kadangi kriptoturto, laikomo finansinėmis priemonėmis, prekybos ir poprekybinių procesų patirties nėra daug, </w:t>
            </w:r>
            <w:r w:rsidRPr="00837CC4">
              <w:rPr>
                <w:b/>
                <w:bCs/>
                <w:i/>
                <w:iCs/>
              </w:rPr>
              <w:t>šiuo metu</w:t>
            </w:r>
            <w:r w:rsidRPr="00837CC4">
              <w:t xml:space="preserve"> būtų per anksti iš esmės keisti Sąjungos finansinių paslaugų teisės aktus siekiant sudaryti sąlygas tokiam kriptoturtui ir jo pagrindinei technologijai visapusiškai naudoti</w:t>
            </w:r>
            <w:r w:rsidRPr="00837CC4">
              <w:rPr>
                <w:b/>
                <w:bCs/>
                <w:i/>
                <w:iCs/>
              </w:rPr>
              <w:t>.</w:t>
            </w:r>
            <w:r w:rsidRPr="00837CC4">
              <w:t xml:space="preserve"> </w:t>
            </w:r>
            <w:r w:rsidRPr="00837CC4">
              <w:rPr>
                <w:b/>
                <w:i/>
              </w:rPr>
              <w:t>Kartu kurti kriptoturtui, laikomam finansinėmis priemonėmis, skirtas finansų rinkos infrastruktūras dabar trukdo kai kurie į Sąjungos finansinių paslaugų teisės aktus įtraukti reikalavimai, kurie nebūtų visiškai pritaikyti kriptoturtui, laikomam finansinėmis priemonėmis, ir PRT naudojimui. Pavyzdžiui, prekybos kriptoturtu platformos paprastai suteikia prieigą neprofesionaliesiems investuotojams tiesiogiai, o tradicinės prekybos vietos paprastai suteikia prieigą per finansų tarpininkus;</w:t>
            </w:r>
          </w:p>
        </w:tc>
        <w:tc>
          <w:tcPr>
            <w:tcW w:w="4876" w:type="dxa"/>
          </w:tcPr>
          <w:p w:rsidR="0084543E" w:rsidRPr="00837CC4" w:rsidRDefault="0084543E" w:rsidP="00E51AD6">
            <w:pPr>
              <w:pStyle w:val="Normal6a"/>
            </w:pPr>
            <w:r w:rsidRPr="00837CC4">
              <w:t>(4)</w:t>
            </w:r>
            <w:r w:rsidRPr="00837CC4">
              <w:tab/>
              <w:t>kartu dėl teisinių, technologinių ir veiklos aspektų, susijusių su PRT ir kriptoturto, laikomo finansinėmis priemonėmis, naudojimu, esama reglamentavimo spragų. Pavyzdžiui, protokolams ir išmaniosioms sutartims, kuriais grindžiamas kriptoturtas, laikomas finansinėmis priemonėmis, netaikomi jokie skaidrumo, patikimumo ir saugos reikalavimai</w:t>
            </w:r>
            <w:r w:rsidRPr="00837CC4">
              <w:rPr>
                <w:b/>
                <w:bCs/>
                <w:i/>
                <w:iCs/>
              </w:rPr>
              <w:t>, ir dėl to kyla itin daug sunkumų</w:t>
            </w:r>
            <w:r w:rsidRPr="00837CC4">
              <w:t xml:space="preserve">. Be to, pagrindinė technologija gali kelti tam tikrų naujų formų kibernetinę riziką, kurios pagal galiojančias taisykles tinkamai valdyti neįmanoma. Kriptoturto, laikomo finansinėmis priemonėmis, prekybai ir poprekybiniams procesams Sąjungoje parengta keletas projektų, tačiau vos keli jau įgyvendinami arba jie yra riboto masto. </w:t>
            </w:r>
            <w:r w:rsidRPr="00837CC4">
              <w:rPr>
                <w:b/>
                <w:i/>
              </w:rPr>
              <w:t>Be to, kaip pabrėžė ECB Vertybinių popierių ir įkaito rinkos infrastruktūros ir mokėjimų patariamosios grupės, PRT naudojimas apimtų panašius sunkumus, su kuriais susiduriama taikant tradicine technologija pagrįstus sprendimus (kaip antai sunkumus dėl susiskaidymo ir sąveikumo), ir tuo pat metu galėtų kilti naujų sunkumų (pvz., susijusių su žetonų teisiniu galiojimu).</w:t>
            </w:r>
            <w:r w:rsidRPr="00837CC4">
              <w:t xml:space="preserve"> Kadangi kriptoturto, laikomo finansinėmis priemonėmis, prekybos ir poprekybinių procesų patirties</w:t>
            </w:r>
            <w:r w:rsidRPr="00837CC4">
              <w:rPr>
                <w:b/>
                <w:bCs/>
                <w:i/>
                <w:iCs/>
              </w:rPr>
              <w:t>, taip pat ECB nustatytų rizikų,</w:t>
            </w:r>
            <w:r w:rsidRPr="00837CC4">
              <w:t xml:space="preserve"> nėra daug, </w:t>
            </w:r>
            <w:r w:rsidRPr="00837CC4">
              <w:rPr>
                <w:b/>
                <w:bCs/>
                <w:i/>
                <w:iCs/>
              </w:rPr>
              <w:t xml:space="preserve">reikia laikytis atsargaus požiūrio ir </w:t>
            </w:r>
            <w:r w:rsidRPr="00837CC4">
              <w:t xml:space="preserve">būtų </w:t>
            </w:r>
            <w:r w:rsidRPr="00837CC4">
              <w:rPr>
                <w:b/>
                <w:bCs/>
                <w:i/>
                <w:iCs/>
              </w:rPr>
              <w:t xml:space="preserve">gerokai </w:t>
            </w:r>
            <w:r w:rsidRPr="00837CC4">
              <w:t>per anksti iš esmės keisti Sąjungos finansinių paslaugų teisės aktus siekiant sudaryti sąlygas tokiam kriptoturtui ir jo pagrindinei technologijai visapusiškai naudoti;</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148</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Eva Kaili</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4 konstatuojamoji dalis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t>(4)</w:t>
            </w:r>
            <w:r w:rsidRPr="00837CC4">
              <w:tab/>
              <w:t xml:space="preserve">kartu dėl teisinių, technologinių ir veiklos aspektų, susijusių su PRT ir kriptoturto, laikomo finansinėmis priemonėmis, naudojimu, esama reglamentavimo spragų. Pavyzdžiui, protokolams ir išmaniosioms sutartims, kuriais grindžiamas kriptoturtas, laikomas finansinėmis priemonėmis, netaikomi jokie skaidrumo, patikimumo ir saugos reikalavimai. Be to, pagrindinė technologija gali kelti tam tikrų naujų formų kibernetinę riziką, kurios pagal galiojančias taisykles tinkamai valdyti neįmanoma. Kriptoturto, laikomo finansinėmis priemonėmis, prekybai ir poprekybiniams procesams Sąjungoje parengta keletas projektų, tačiau vos keli jau įgyvendinami arba jie yra riboto masto. Kadangi kriptoturto, laikomo finansinėmis priemonėmis, prekybos ir poprekybinių procesų patirties nėra daug, šiuo metu būtų per anksti iš esmės keisti Sąjungos finansinių paslaugų teisės aktus siekiant sudaryti sąlygas tokiam kriptoturtui ir jo pagrindinei technologijai visapusiškai naudoti. Kartu kurti kriptoturtui, laikomam finansinėmis priemonėmis, skirtas finansų rinkos infrastruktūras dabar trukdo kai kurie į Sąjungos finansinių paslaugų teisės aktus įtraukti reikalavimai, kurie </w:t>
            </w:r>
            <w:r w:rsidRPr="00837CC4">
              <w:rPr>
                <w:b/>
                <w:bCs/>
                <w:i/>
                <w:iCs/>
              </w:rPr>
              <w:t>nebūtų</w:t>
            </w:r>
            <w:r w:rsidRPr="00837CC4">
              <w:t xml:space="preserve"> visiškai pritaikyti kriptoturtui, laikomam finansinėmis priemonėmis, ir PRT naudojimui. Pavyzdžiui, prekybos kriptoturtu platformos paprastai suteikia prieigą neprofesionaliesiems investuotojams tiesiogiai, o tradicinės prekybos vietos paprastai suteikia prieigą per finansų tarpininkus;</w:t>
            </w:r>
          </w:p>
        </w:tc>
        <w:tc>
          <w:tcPr>
            <w:tcW w:w="4876" w:type="dxa"/>
          </w:tcPr>
          <w:p w:rsidR="0084543E" w:rsidRPr="00837CC4" w:rsidRDefault="0084543E" w:rsidP="00E51AD6">
            <w:pPr>
              <w:pStyle w:val="Normal6a"/>
            </w:pPr>
            <w:r w:rsidRPr="00837CC4">
              <w:t>(4)</w:t>
            </w:r>
            <w:r w:rsidRPr="00837CC4">
              <w:tab/>
              <w:t xml:space="preserve">kartu dėl teisinių, technologinių ir veiklos aspektų, susijusių su PRT ir kriptoturto, laikomo finansinėmis priemonėmis, naudojimu, esama reglamentavimo spragų. Pavyzdžiui, protokolams ir išmaniosioms sutartims, kuriais grindžiamas kriptoturtas, laikomas finansinėmis priemonėmis, netaikomi jokie skaidrumo, patikimumo ir saugos reikalavimai. Be to, pagrindinė technologija gali kelti tam tikrų naujų formų kibernetinę riziką, kurios pagal galiojančias taisykles tinkamai valdyti neįmanoma. Kriptoturto, laikomo finansinėmis priemonėmis, prekybai ir poprekybiniams procesams Sąjungoje parengta keletas projektų, tačiau vos keli jau įgyvendinami arba jie yra riboto masto. Kadangi kriptoturto, laikomo finansinėmis priemonėmis, prekybos ir poprekybinių procesų patirties nėra daug, šiuo metu būtų per anksti iš esmės keisti Sąjungos finansinių paslaugų teisės aktus siekiant sudaryti sąlygas tokiam kriptoturtui ir jo pagrindinei technologijai visapusiškai naudoti. Kartu kurti kriptoturtui, laikomam finansinėmis priemonėmis, skirtas finansų rinkos infrastruktūras dabar trukdo kai kurie į Sąjungos finansinių paslaugų teisės aktus įtraukti reikalavimai, kurie </w:t>
            </w:r>
            <w:r w:rsidRPr="00837CC4">
              <w:rPr>
                <w:b/>
                <w:bCs/>
                <w:i/>
                <w:iCs/>
              </w:rPr>
              <w:t>nėra</w:t>
            </w:r>
            <w:r w:rsidRPr="00837CC4">
              <w:t xml:space="preserve"> visiškai pritaikyti kriptoturtui, laikomam finansinėmis priemonėmis, ir PRT naudojimui. Pavyzdžiui, prekybos kriptoturtu platformos paprastai suteikia prieigą neprofesionaliesiems investuotojams tiesiogiai, o tradicinės prekybos vietos paprastai suteikia prieigą per finansų tarpininkus;</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pPr>
        <w:pStyle w:val="AmJustTitle"/>
      </w:pPr>
      <w:r w:rsidRPr="00837CC4">
        <w:rPr>
          <w:rStyle w:val="HideTWBExt"/>
          <w:i w:val="0"/>
          <w:noProof w:val="0"/>
        </w:rPr>
        <w:t>&lt;TitreJust&gt;</w:t>
      </w:r>
      <w:r w:rsidRPr="00837CC4">
        <w:t>Pagrindimas</w:t>
      </w:r>
      <w:r w:rsidRPr="00837CC4">
        <w:rPr>
          <w:rStyle w:val="HideTWBExt"/>
          <w:i w:val="0"/>
          <w:noProof w:val="0"/>
        </w:rPr>
        <w:t>&lt;/TitreJust&gt;</w:t>
      </w:r>
    </w:p>
    <w:p w:rsidR="0084543E" w:rsidRPr="00837CC4" w:rsidRDefault="0084543E" w:rsidP="0084543E">
      <w:pPr>
        <w:pStyle w:val="AmJustText"/>
      </w:pPr>
      <w:r w:rsidRPr="00837CC4">
        <w:t>Redakcinė pastaba.</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149</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Jessica Polfjärd, Christophe Hansen</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4 konstatuojamoji dalis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t>(4)</w:t>
            </w:r>
            <w:r w:rsidRPr="00837CC4">
              <w:tab/>
              <w:t>kartu dėl teisinių, technologinių ir veiklos aspektų, susijusių su PRT ir kriptoturto, laikomo finansinėmis priemonėmis, naudojimu, esama reglamentavimo spragų. Pavyzdžiui, protokolams ir išmaniosioms sutartims, kuriais grindžiamas kriptoturtas, laikomas finansinėmis priemonėmis, netaikomi jokie skaidrumo, patikimumo ir saugos reikalavimai. Be to, pagrindinė technologija gali kelti tam tikrų naujų formų kibernetinę riziką, kurios pagal galiojančias taisykles tinkamai valdyti neįmanoma. Kriptoturto, laikomo finansinėmis priemonėmis, prekybai ir poprekybiniams procesams Sąjungoje parengta keletas projektų, tačiau vos keli jau įgyvendinami arba jie yra riboto masto. Kadangi kriptoturto, laikomo finansinėmis priemonėmis, prekybos ir poprekybinių procesų patirties nėra daug, šiuo metu būtų per anksti iš esmės keisti Sąjungos finansinių paslaugų teisės aktus siekiant sudaryti sąlygas tokiam kriptoturtui ir jo pagrindinei technologijai visapusiškai naudoti. Kartu kurti kriptoturtui, laikomam finansinėmis priemonėmis, skirtas finansų rinkos infrastruktūras dabar trukdo kai kurie į Sąjungos finansinių paslaugų teisės aktus įtraukti reikalavimai, kurie nebūtų visiškai pritaikyti kriptoturtui, laikomam finansinėmis priemonėmis, ir PRT naudojimui. Pavyzdžiui, prekybos kriptoturtu platformos paprastai suteikia prieigą neprofesionaliesiems investuotojams tiesiogiai, o tradicinės prekybos vietos paprastai suteikia prieigą per finansų tarpininkus;</w:t>
            </w:r>
          </w:p>
        </w:tc>
        <w:tc>
          <w:tcPr>
            <w:tcW w:w="4876" w:type="dxa"/>
          </w:tcPr>
          <w:p w:rsidR="0084543E" w:rsidRPr="00837CC4" w:rsidRDefault="0084543E" w:rsidP="00E51AD6">
            <w:pPr>
              <w:pStyle w:val="Normal6a"/>
            </w:pPr>
            <w:r w:rsidRPr="00837CC4">
              <w:t>(4)</w:t>
            </w:r>
            <w:r w:rsidRPr="00837CC4">
              <w:tab/>
              <w:t xml:space="preserve">kartu dėl teisinių, technologinių ir veiklos aspektų, susijusių su PRT ir kriptoturto, laikomo finansinėmis priemonėmis, naudojimu, esama reglamentavimo spragų. Pavyzdžiui, protokolams ir išmaniosioms sutartims, kuriais grindžiamas kriptoturtas, laikomas finansinėmis priemonėmis, netaikomi jokie skaidrumo, patikimumo ir saugos reikalavimai. Be to, pagrindinė technologija gali kelti tam tikrų naujų formų kibernetinę riziką, kurios pagal galiojančias taisykles </w:t>
            </w:r>
            <w:r w:rsidRPr="00837CC4">
              <w:rPr>
                <w:b/>
                <w:bCs/>
                <w:i/>
                <w:iCs/>
              </w:rPr>
              <w:t xml:space="preserve">ir praktiką </w:t>
            </w:r>
            <w:r w:rsidRPr="00837CC4">
              <w:t>tinkamai valdyti neįmanoma. Kriptoturto, laikomo finansinėmis priemonėmis, prekybai ir poprekybiniams procesams Sąjungoje parengta keletas projektų, tačiau vos keli jau įgyvendinami arba jie yra riboto masto. Kadangi kriptoturto, laikomo finansinėmis priemonėmis, prekybos ir poprekybinių procesų patirties nėra daug, šiuo metu būtų per anksti iš esmės keisti Sąjungos finansinių paslaugų teisės aktus siekiant sudaryti sąlygas tokiam kriptoturtui ir jo pagrindinei technologijai visapusiškai naudoti. Kartu kurti kriptoturtui, laikomam finansinėmis priemonėmis, skirtas finansų rinkos infrastruktūras dabar trukdo kai kurie į Sąjungos finansinių paslaugų teisės aktus įtraukti reikalavimai, kurie nebūtų visiškai pritaikyti kriptoturtui, laikomam finansinėmis priemonėmis, ir PRT naudojimui. Pavyzdžiui, prekybos kriptoturtu platformos paprastai suteikia prieigą neprofesionaliesiems investuotojams tiesiogiai, o tradicinės prekybos vietos paprastai suteikia prieigą per finansų tarpininkus;</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150</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Johan Van Overtveldt</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5 konstatuojamoji dalis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t>(5)</w:t>
            </w:r>
            <w:r w:rsidRPr="00837CC4">
              <w:tab/>
              <w:t xml:space="preserve">siekiant sudaryti sąlygas plėtoti kriptoturtą, laikomą finansinėmis priemonėmis, </w:t>
            </w:r>
            <w:r w:rsidRPr="00837CC4">
              <w:rPr>
                <w:b/>
                <w:bCs/>
                <w:i/>
                <w:iCs/>
              </w:rPr>
              <w:t>ir</w:t>
            </w:r>
            <w:r w:rsidRPr="00837CC4">
              <w:t xml:space="preserve"> </w:t>
            </w:r>
            <w:r w:rsidRPr="00837CC4">
              <w:rPr>
                <w:b/>
                <w:bCs/>
                <w:i/>
                <w:iCs/>
              </w:rPr>
              <w:t>PRT</w:t>
            </w:r>
            <w:r w:rsidRPr="00837CC4">
              <w:t>, kartu išlaikant aukšto lygio finansinį stabilumą, rinkos vientisumą, skaidrumą ir investuotojų apsaugą, būtų naudinga PRT rinkos infrastruktūroms parengti bandomąją tvarką. Pagal PRT rinkos infrastruktūroms skirtą bandomąją tvarką tokioms infrastruktūroms turėtų būti laikinai leidžiama netaikyti kai kurių konkrečių reikalavimų pagal Sąjungos finansinių paslaugų teisės aktus, kurie priešingu atveju trukdytų joms kurti prekybos kriptoturtu, laikomu finansinėmis priemonėmis, ir atsiskaitymo už jų sandorius sprendimus. Be to, bandomoji tvarka turėtų sudaryti sąlygas Europos vertybinių popierių ir rinkų institucijai (ESMA) ir kompetentingoms institucijoms įgyti patirties, susijusios su galimybėmis ir specifine rizika, kurias lemia kriptoturtas, laikomas finansinėmis priemonėmis, ir jo pagrindinė technologija;</w:t>
            </w:r>
          </w:p>
        </w:tc>
        <w:tc>
          <w:tcPr>
            <w:tcW w:w="4876" w:type="dxa"/>
          </w:tcPr>
          <w:p w:rsidR="0084543E" w:rsidRPr="00837CC4" w:rsidRDefault="0084543E" w:rsidP="00E51AD6">
            <w:pPr>
              <w:pStyle w:val="Normal6a"/>
            </w:pPr>
            <w:r w:rsidRPr="00837CC4">
              <w:t>(5)</w:t>
            </w:r>
            <w:r w:rsidRPr="00837CC4">
              <w:tab/>
              <w:t xml:space="preserve">siekiant sudaryti sąlygas plėtoti kriptoturtą, laikomą </w:t>
            </w:r>
            <w:r w:rsidRPr="00837CC4">
              <w:rPr>
                <w:b/>
                <w:bCs/>
                <w:i/>
                <w:iCs/>
              </w:rPr>
              <w:t>PRT grindžiamomis</w:t>
            </w:r>
            <w:r w:rsidRPr="00837CC4">
              <w:t xml:space="preserve"> finansinėmis priemonėmis, kartu išlaikant aukšto lygio finansinį stabilumą, rinkos vientisumą, skaidrumą ir investuotojų apsaugą, būtų naudinga PRT rinkos infrastruktūroms parengti bandomąją tvarką. Pagal PRT rinkos infrastruktūroms skirtą bandomąją tvarką tokioms infrastruktūroms turėtų būti laikinai leidžiama netaikyti kai kurių konkrečių reikalavimų pagal Sąjungos finansinių paslaugų teisės aktus, kurie priešingu atveju trukdytų joms kurti prekybos kriptoturtu, laikomu finansinėmis priemonėmis, ir atsiskaitymo už jų sandorius sprendimus. </w:t>
            </w:r>
            <w:r w:rsidRPr="00837CC4">
              <w:rPr>
                <w:b/>
                <w:bCs/>
                <w:i/>
                <w:iCs/>
              </w:rPr>
              <w:t>Kuriant bandomąją tvarką neturėtų būti kenkiama Europos Centrinio Banko (ECB) ir nacionalinių bankų, priklausančių Europos centrinių bankų sistemai (ECBS), užduotims ir įsipareigojimams skatinti sklandų mokėjimo sistemų veikimą ir užtikrinti veiksmingas ir patikimas tarpuskaitos ir mokėjimo sistemas Sąjungoje ir trečiosiose šalyse, kurie nustatyti Sutartyje dėl Europos Sąjungos veikimo ir ECBS bei ECB statutuose.</w:t>
            </w:r>
            <w:r w:rsidRPr="00837CC4">
              <w:rPr>
                <w:b/>
                <w:i/>
              </w:rPr>
              <w:t xml:space="preserve"> </w:t>
            </w:r>
            <w:r w:rsidRPr="00837CC4">
              <w:t>Be to, bandomoji tvarka turėtų sudaryti sąlygas Europos vertybinių popierių ir rinkų institucijai (ESMA) ir kompetentingoms institucijoms įgyti patirties, susijusios su galimybėmis ir specifine rizika, kurias lemia kriptoturtas, laikomas finansinėmis priemonėmis, ir jo pagrindinė technologija</w:t>
            </w:r>
            <w:r w:rsidRPr="00837CC4">
              <w:rPr>
                <w:b/>
                <w:bCs/>
                <w:i/>
                <w:iCs/>
              </w:rPr>
              <w:t>.</w:t>
            </w:r>
            <w:r w:rsidRPr="00837CC4">
              <w:t xml:space="preserve"> </w:t>
            </w:r>
            <w:r w:rsidRPr="00837CC4">
              <w:rPr>
                <w:b/>
                <w:i/>
              </w:rPr>
              <w:t>Todėl taikant šią bandomąją tvarką įgyta patirtis turėtų padėti rasti galimus praktinius pasiūlymus dėl tinkamos reguliavimo sistemos, kad būtų galima tikslingai pritaikyti galiojančius Sąjungos teisės aktus, susijusius su PRT grindžiamų finansinių priemonių emisija, saugojimu ir aptarnavimu, prekyba jomis ir atsiskaitymu už jas;</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pPr>
        <w:pStyle w:val="AmJustTitle"/>
      </w:pPr>
      <w:r w:rsidRPr="00837CC4">
        <w:rPr>
          <w:rStyle w:val="HideTWBExt"/>
          <w:i w:val="0"/>
          <w:noProof w:val="0"/>
        </w:rPr>
        <w:t>&lt;TitreJust&gt;</w:t>
      </w:r>
      <w:r w:rsidRPr="00837CC4">
        <w:t>Pagrindimas</w:t>
      </w:r>
      <w:r w:rsidRPr="00837CC4">
        <w:rPr>
          <w:rStyle w:val="HideTWBExt"/>
          <w:i w:val="0"/>
          <w:noProof w:val="0"/>
        </w:rPr>
        <w:t>&lt;/TitreJust&gt;</w:t>
      </w:r>
    </w:p>
    <w:p w:rsidR="0084543E" w:rsidRPr="00837CC4" w:rsidRDefault="0084543E" w:rsidP="0084543E">
      <w:pPr>
        <w:pStyle w:val="AmJustText"/>
      </w:pPr>
      <w:r w:rsidRPr="00837CC4">
        <w:t>Šiuo pakeitimu siekiama atsižvelgti į ECB nuomonėje pateiktą pasiūlymą. Atsižvelgiant į siūlomo reglamento ir pagrindinių ECBS užduočių skatinti sklandų mokėjimo sistemų veikimą ir užtikrinti veiksmingas ir patikimas tarpuskaitos ir mokėjimo sistemas Sąjungoje ir trečiosiose šalyse dubliavimąsi, reikėtų aiškiai nurodyti, kad siūlomu reglamentu nepažeidžiama ta ECBS užduotis.</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151</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Eva Kaili</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5 konstatuojamoji dalis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t>(5)</w:t>
            </w:r>
            <w:r w:rsidRPr="00837CC4">
              <w:tab/>
              <w:t>siekiant sudaryti sąlygas plėtoti kriptoturtą, laikomą finansinėmis priemonėmis, ir PRT, kartu išlaikant aukšto lygio finansinį stabilumą, rinkos vientisumą, skaidrumą ir investuotojų apsaugą, būtų naudinga PRT rinkos infrastruktūroms parengti bandomąją tvarką. Pagal PRT rinkos infrastruktūroms skirtą bandomąją tvarką tokioms infrastruktūroms turėtų būti laikinai leidžiama netaikyti kai kurių konkrečių reikalavimų pagal Sąjungos finansinių paslaugų teisės aktus, kurie priešingu atveju trukdytų joms kurti prekybos kriptoturtu, laikomu finansinėmis priemonėmis, ir atsiskaitymo už jų sandorius sprendimus. Be to, bandomoji tvarka turėtų sudaryti sąlygas Europos vertybinių popierių ir rinkų institucijai (ESMA) ir kompetentingoms institucijoms įgyti patirties, susijusios su galimybėmis ir specifine rizika, kurias lemia kriptoturtas, laikomas finansinėmis priemonėmis, ir jo pagrindinė technologija;</w:t>
            </w:r>
          </w:p>
        </w:tc>
        <w:tc>
          <w:tcPr>
            <w:tcW w:w="4876" w:type="dxa"/>
          </w:tcPr>
          <w:p w:rsidR="0084543E" w:rsidRPr="00837CC4" w:rsidRDefault="0084543E" w:rsidP="00E51AD6">
            <w:pPr>
              <w:pStyle w:val="Normal6a"/>
            </w:pPr>
            <w:r w:rsidRPr="00837CC4">
              <w:t>(5)</w:t>
            </w:r>
            <w:r w:rsidRPr="00837CC4">
              <w:tab/>
              <w:t xml:space="preserve">siekiant sudaryti sąlygas plėtoti kriptoturtą, laikomą finansinėmis priemonėmis, ir PRT, kartu išlaikant aukšto lygio finansinį stabilumą, rinkos vientisumą, skaidrumą ir investuotojų apsaugą, būtų naudinga PRT rinkos infrastruktūroms parengti bandomąją tvarką. Pagal PRT rinkos infrastruktūroms skirtą bandomąją tvarką tokioms infrastruktūroms turėtų būti laikinai leidžiama netaikyti kai kurių konkrečių reikalavimų pagal Sąjungos finansinių paslaugų teisės aktus, kurie priešingu atveju trukdytų joms kurti prekybos kriptoturtu, laikomu finansinėmis priemonėmis, ir atsiskaitymo už jų sandorius sprendimus. </w:t>
            </w:r>
            <w:r w:rsidRPr="00837CC4">
              <w:rPr>
                <w:b/>
                <w:bCs/>
                <w:i/>
                <w:iCs/>
              </w:rPr>
              <w:t>Prie bandomojo projekto reikėtų prisidėti visų pirma tikrinant tarpininkavimo vengimą, pasitelkiant CVPD, kai registruojami vertybiniai popieriai, suteikiant galimybę įregistruoti blokų grandinėje.</w:t>
            </w:r>
            <w:r w:rsidRPr="00837CC4">
              <w:rPr>
                <w:b/>
                <w:i/>
              </w:rPr>
              <w:t xml:space="preserve"> Reglamento (ES) Nr. 909/2014 (CVPDR) loginis pagrindas iš esmės yra grindžiamas siekiu užtikrinti pasitikėjimą, susijusį su investuotojų apsauga ir rinkos vientisumu, laikantis patikimos trečiosios šalies požiūrio. Bandomojo projekto tikslas turėtų būti leisti iš naujo nustatyti požiūrį, kuriuo galima pasitikėti, padedant suprasti, kaip reikėtų kurti naujus blokų grandinės modelius ar PRT grindžiamą pasitikėjimą. </w:t>
            </w:r>
            <w:r w:rsidRPr="00837CC4">
              <w:t>Be to, bandomoji tvarka turėtų sudaryti sąlygas Europos vertybinių popierių ir rinkų institucijai (ESMA) ir kompetentingoms institucijoms įgyti patirties, susijusios su galimybėmis ir specifine rizika, kurias lemia kriptoturtas, laikomas finansinėmis priemonėmis, ir jo pagrindinė technologija</w:t>
            </w:r>
            <w:r w:rsidRPr="00837CC4">
              <w:rPr>
                <w:b/>
                <w:bCs/>
                <w:i/>
                <w:iCs/>
              </w:rPr>
              <w:t>, siekiant tiksliai pritaikyti galiojančią Sąjungos teisinę sistemą, susijusią su PRT grindžiamų finansinių priemonių emisija, saugojimu ir aptarnavimu, prekyba jomis ir atsiskaitymu už jas</w:t>
            </w:r>
            <w:r w:rsidRPr="00837CC4">
              <w:t>;</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pPr>
        <w:pStyle w:val="AmJustTitle"/>
      </w:pPr>
      <w:r w:rsidRPr="00837CC4">
        <w:rPr>
          <w:rStyle w:val="HideTWBExt"/>
          <w:i w:val="0"/>
          <w:noProof w:val="0"/>
        </w:rPr>
        <w:t>&lt;TitreJust&gt;</w:t>
      </w:r>
      <w:r w:rsidRPr="00837CC4">
        <w:t>Pagrindimas</w:t>
      </w:r>
      <w:r w:rsidRPr="00837CC4">
        <w:rPr>
          <w:rStyle w:val="HideTWBExt"/>
          <w:i w:val="0"/>
          <w:noProof w:val="0"/>
        </w:rPr>
        <w:t>&lt;/TitreJust&gt;</w:t>
      </w:r>
    </w:p>
    <w:p w:rsidR="0084543E" w:rsidRPr="00837CC4" w:rsidRDefault="0084543E" w:rsidP="0084543E">
      <w:pPr>
        <w:pStyle w:val="AmJustText"/>
      </w:pPr>
      <w:r w:rsidRPr="00837CC4">
        <w:t>Redakcinė pastaba. Be to, reikia aiškiai nurodyti, kad bandomoji tvarka yra svarbi norint išbandyti vertybinių popierių registraciją be tarpininkų, suteikiant galimybę registraciją vykdyti blokų grandinėje. Taikant šią PRT bandomąją tvarką įgyta patirtis padės surinkti informacijos būsimiems teisėkūros pokyčiams.</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152</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Antonio Maria Rinaldi, Francesca Donato, Valentino Grant, Marco Zanni</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5 konstatuojamoji dalis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t>(5)</w:t>
            </w:r>
            <w:r w:rsidRPr="00837CC4">
              <w:tab/>
              <w:t>siekiant sudaryti sąlygas plėtoti kriptoturtą, laikomą finansinėmis priemonėmis, ir PRT, kartu išlaikant aukšto lygio finansinį stabilumą, rinkos vientisumą, skaidrumą ir investuotojų apsaugą, būtų naudinga PRT rinkos infrastruktūroms parengti bandomąją tvarką. Pagal PRT rinkos infrastruktūroms skirtą bandomąją tvarką tokioms infrastruktūroms turėtų būti laikinai leidžiama netaikyti kai kurių konkrečių reikalavimų pagal Sąjungos finansinių paslaugų teisės aktus, kurie priešingu atveju trukdytų joms kurti prekybos kriptoturtu, laikomu finansinėmis priemonėmis, ir atsiskaitymo už jų sandorius sprendimus. Be to, bandomoji tvarka turėtų sudaryti sąlygas Europos vertybinių popierių ir rinkų institucijai (ESMA) ir kompetentingoms institucijoms įgyti patirties, susijusios su galimybėmis ir specifine rizika, kurias lemia kriptoturtas, laikomas finansinėmis priemonėmis, ir jo pagrindinė technologija;</w:t>
            </w:r>
          </w:p>
        </w:tc>
        <w:tc>
          <w:tcPr>
            <w:tcW w:w="4876" w:type="dxa"/>
          </w:tcPr>
          <w:p w:rsidR="0084543E" w:rsidRPr="00837CC4" w:rsidRDefault="0084543E" w:rsidP="00E51AD6">
            <w:pPr>
              <w:pStyle w:val="Normal6a"/>
            </w:pPr>
            <w:r w:rsidRPr="00837CC4">
              <w:t>(5)</w:t>
            </w:r>
            <w:r w:rsidRPr="00837CC4">
              <w:tab/>
              <w:t xml:space="preserve">siekiant sudaryti sąlygas plėtoti kriptoturtą, laikomą finansinėmis priemonėmis, ir PRT, kartu išlaikant aukšto lygio finansinį stabilumą, rinkos vientisumą, skaidrumą ir investuotojų apsaugą, būtų naudinga PRT rinkos infrastruktūroms parengti bandomąją tvarką. Pagal PRT rinkos infrastruktūroms skirtą bandomąją tvarką tokioms infrastruktūroms turėtų būti laikinai leidžiama netaikyti kai kurių konkrečių reikalavimų pagal Sąjungos finansinių paslaugų teisės aktus, kurie priešingu atveju trukdytų joms kurti prekybos kriptoturtu, laikomu finansinėmis priemonėmis, ir atsiskaitymo už jų sandorius sprendimus. </w:t>
            </w:r>
            <w:r w:rsidRPr="00837CC4">
              <w:rPr>
                <w:b/>
                <w:i/>
              </w:rPr>
              <w:t>Rengiant bandomąją tvarką neturėtų būti daromas poveikis Europos centrinio banko (ECB) ir Europos centrinių bankų sistemos (ECBS) nacionalinių centrinių bankų funkcijoms ir pareigoms, kaip numatyta Sutartyje dėl Europos Sąjungos veikimo ir Europos centrinių bankų sistemos ir Europos Centrinio Banko statute, siekiant skatinti sklandų mokėjimo sistemų veikimą ir užtikrinti veiksmingas bei patikimas tarpuskaitos ir mokėjimo sistemas Sąjungoje ir kitose šalyse.</w:t>
            </w:r>
            <w:r w:rsidRPr="00837CC4">
              <w:t xml:space="preserve"> Be to, bandomoji tvarka turėtų sudaryti sąlygas Europos vertybinių popierių ir rinkų institucijai (ESMA) ir kompetentingoms institucijoms įgyti patirties, susijusios su galimybėmis ir specifine rizika, kurias lemia kriptoturtas, laikomas finansinėmis priemonėmis, ir jo pagrindinė technologija;</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{IT}</w:t>
      </w:r>
      <w:r w:rsidRPr="00837CC4">
        <w:t>it</w:t>
      </w:r>
      <w:r w:rsidRPr="00837CC4">
        <w:rPr>
          <w:rStyle w:val="HideTWBExt"/>
          <w:noProof w:val="0"/>
        </w:rPr>
        <w:t>&lt;/Original&gt;</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153</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Jonás Fernández, Eero Heinäluoma</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5 konstatuojamoji dalis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t>(5)</w:t>
            </w:r>
            <w:r w:rsidRPr="00837CC4">
              <w:tab/>
              <w:t>siekiant sudaryti sąlygas plėtoti kriptoturtą, laikomą finansinėmis priemonėmis, ir PRT, kartu išlaikant aukšto lygio finansinį stabilumą, rinkos vientisumą, skaidrumą ir investuotojų apsaugą, būtų naudinga PRT rinkos infrastruktūroms parengti bandomąją tvarką. Pagal PRT rinkos infrastruktūroms skirtą bandomąją tvarką tokioms infrastruktūroms turėtų būti laikinai leidžiama netaikyti kai kurių konkrečių reikalavimų pagal Sąjungos finansinių paslaugų teisės aktus, kurie priešingu atveju trukdytų joms kurti prekybos kriptoturtu, laikomu finansinėmis priemonėmis, ir atsiskaitymo už jų sandorius sprendimus. Be to, bandomoji tvarka turėtų sudaryti sąlygas Europos vertybinių popierių ir rinkų institucijai (ESMA) ir kompetentingoms institucijoms įgyti patirties, susijusios su galimybėmis ir specifine rizika, kurias lemia kriptoturtas, laikomas finansinėmis priemonėmis, ir jo pagrindinė technologija;</w:t>
            </w:r>
          </w:p>
        </w:tc>
        <w:tc>
          <w:tcPr>
            <w:tcW w:w="4876" w:type="dxa"/>
          </w:tcPr>
          <w:p w:rsidR="0084543E" w:rsidRPr="00837CC4" w:rsidRDefault="0084543E" w:rsidP="00E51AD6">
            <w:pPr>
              <w:pStyle w:val="Normal6a"/>
            </w:pPr>
            <w:r w:rsidRPr="00837CC4">
              <w:t>(5)</w:t>
            </w:r>
            <w:r w:rsidRPr="00837CC4">
              <w:tab/>
              <w:t>siekiant sudaryti sąlygas plėtoti kriptoturtą, laikomą finansinėmis priemonėmis, ir PRT, kartu išlaikant aukšto lygio finansinį stabilumą, rinkos vientisumą, skaidrumą ir investuotojų apsaugą, būtų naudinga PRT rinkos infrastruktūroms parengti bandomąją tvarką.</w:t>
            </w:r>
            <w:r w:rsidRPr="00837CC4">
              <w:rPr>
                <w:b/>
                <w:i/>
              </w:rPr>
              <w:t xml:space="preserve"> </w:t>
            </w:r>
            <w:r w:rsidRPr="00837CC4">
              <w:rPr>
                <w:b/>
                <w:bCs/>
                <w:i/>
                <w:iCs/>
              </w:rPr>
              <w:t>Kuriant bandomąją tvarką neturėtų būti kenkiama Europos Centrinio Banko (ECB) ir nacionalinių bankų, priklausančių Europos centrinių bankų sistemai (ECBS), užduotims ir įsipareigojimams skatinti sklandų mokėjimo sistemų veikimą ir užtikrinti veiksmingas ir patikimas tarpuskaitos ir mokėjimo sistemas Sąjungoje ir trečiosiose šalyse, kurie nustatyti Sutartyje dėl Europos Sąjungos veikimo ir ECBS bei ECB statutuose.</w:t>
            </w:r>
            <w:r w:rsidRPr="00837CC4">
              <w:t xml:space="preserve"> Pagal PRT rinkos infrastruktūroms skirtą bandomąją tvarką tokioms infrastruktūroms turėtų būti laikinai leidžiama netaikyti kai kurių konkrečių reikalavimų pagal Sąjungos finansinių paslaugų teisės aktus, kurie priešingu atveju trukdytų joms kurti prekybos kriptoturtu, laikomu finansinėmis priemonėmis, ir atsiskaitymo už jų sandorius sprendimus. Be to, bandomoji tvarka turėtų sudaryti sąlygas Europos vertybinių popierių ir rinkų institucijai (ESMA) ir kompetentingoms institucijoms įgyti patirties, susijusios su galimybėmis ir specifine rizika, kurias lemia kriptoturtas, laikomas finansinėmis priemonėmis, ir jo pagrindinė technologija;</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pPr>
        <w:pStyle w:val="AmJustTitle"/>
      </w:pPr>
      <w:r w:rsidRPr="00837CC4">
        <w:rPr>
          <w:rStyle w:val="HideTWBExt"/>
          <w:i w:val="0"/>
          <w:noProof w:val="0"/>
        </w:rPr>
        <w:t>&lt;TitreJust&gt;</w:t>
      </w:r>
      <w:r w:rsidRPr="00837CC4">
        <w:t>Pagrindimas</w:t>
      </w:r>
      <w:r w:rsidRPr="00837CC4">
        <w:rPr>
          <w:rStyle w:val="HideTWBExt"/>
          <w:i w:val="0"/>
          <w:noProof w:val="0"/>
        </w:rPr>
        <w:t>&lt;/TitreJust&gt;</w:t>
      </w:r>
    </w:p>
    <w:p w:rsidR="0084543E" w:rsidRPr="00837CC4" w:rsidRDefault="0084543E" w:rsidP="0084543E">
      <w:pPr>
        <w:pStyle w:val="AmJustText"/>
      </w:pPr>
      <w:r w:rsidRPr="00837CC4">
        <w:t>Remiantis ECB nuomone.</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154</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Sven Giegold</w:t>
      </w:r>
      <w:r w:rsidRPr="00837CC4">
        <w:rPr>
          <w:rStyle w:val="HideTWBExt"/>
          <w:b w:val="0"/>
          <w:noProof w:val="0"/>
        </w:rPr>
        <w:t>&lt;/Members&gt;</w:t>
      </w:r>
    </w:p>
    <w:p w:rsidR="0084543E" w:rsidRPr="00837CC4" w:rsidRDefault="0084543E" w:rsidP="0084543E">
      <w:r w:rsidRPr="00837CC4">
        <w:rPr>
          <w:rStyle w:val="HideTWBExt"/>
          <w:noProof w:val="0"/>
        </w:rPr>
        <w:t>&lt;AuNomDe&gt;</w:t>
      </w:r>
      <w:r w:rsidRPr="00837CC4">
        <w:rPr>
          <w:rStyle w:val="HideTWBInt"/>
          <w:noProof w:val="0"/>
        </w:rPr>
        <w:t>{Greens/EFA}</w:t>
      </w:r>
      <w:r w:rsidRPr="00837CC4">
        <w:t>Verts/ALE frakcijos vardu</w:t>
      </w:r>
      <w:r w:rsidRPr="00837CC4">
        <w:rPr>
          <w:rStyle w:val="HideTWBExt"/>
          <w:noProof w:val="0"/>
        </w:rPr>
        <w:t>&lt;/AuNomDe&gt;</w:t>
      </w:r>
    </w:p>
    <w:p w:rsidR="0084543E" w:rsidRPr="00837CC4" w:rsidRDefault="0084543E" w:rsidP="0084543E">
      <w:r w:rsidRPr="00837CC4">
        <w:rPr>
          <w:rStyle w:val="HideTWBExt"/>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5 konstatuojamoji dalis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t>(5)</w:t>
            </w:r>
            <w:r w:rsidRPr="00837CC4">
              <w:tab/>
              <w:t xml:space="preserve">siekiant sudaryti sąlygas plėtoti kriptoturtą, laikomą finansinėmis priemonėmis, ir PRT, kartu išlaikant aukšto lygio finansinį stabilumą, rinkos vientisumą, skaidrumą ir investuotojų apsaugą, būtų naudinga </w:t>
            </w:r>
            <w:r w:rsidRPr="00837CC4">
              <w:rPr>
                <w:b/>
                <w:bCs/>
                <w:i/>
                <w:iCs/>
              </w:rPr>
              <w:t>PRT rinkos infrastruktūroms</w:t>
            </w:r>
            <w:r w:rsidRPr="00837CC4">
              <w:t xml:space="preserve"> parengti bandomąją tvarką. Pagal PRT rinkos infrastruktūroms skirtą bandomąją tvarką tokioms infrastruktūroms turėtų būti laikinai leidžiama netaikyti kai kurių konkrečių reikalavimų pagal Sąjungos finansinių paslaugų teisės aktus, kurie priešingu atveju trukdytų joms kurti prekybos kriptoturtu, laikomu finansinėmis priemonėmis, ir atsiskaitymo už jų sandorius sprendimus. Be to, bandomoji tvarka turėtų sudaryti sąlygas Europos vertybinių popierių ir rinkų institucijai (ESMA) ir kompetentingoms institucijoms įgyti patirties, susijusios su galimybėmis ir specifine rizika, kurias lemia kriptoturtas, laikomas finansinėmis priemonėmis, ir jo pagrindinė technologija;</w:t>
            </w:r>
          </w:p>
        </w:tc>
        <w:tc>
          <w:tcPr>
            <w:tcW w:w="4876" w:type="dxa"/>
          </w:tcPr>
          <w:p w:rsidR="0084543E" w:rsidRPr="00837CC4" w:rsidRDefault="0084543E" w:rsidP="00E51AD6">
            <w:pPr>
              <w:pStyle w:val="Normal6a"/>
            </w:pPr>
            <w:r w:rsidRPr="00837CC4">
              <w:t>(5)</w:t>
            </w:r>
            <w:r w:rsidRPr="00837CC4">
              <w:tab/>
              <w:t>siekiant sudaryti sąlygas plėtoti kriptoturtą, laikomą finansinėmis priemonėmis, ir PRT, kartu išlaikant aukšto lygio finansinį stabilumą, rinkos vientisumą, skaidrumą ir investuotojų apsaugą</w:t>
            </w:r>
            <w:r w:rsidRPr="00837CC4">
              <w:rPr>
                <w:b/>
                <w:bCs/>
                <w:i/>
                <w:iCs/>
              </w:rPr>
              <w:t xml:space="preserve"> ir vengiant reguliavimo spragų</w:t>
            </w:r>
            <w:r w:rsidRPr="00837CC4">
              <w:t xml:space="preserve">, būtų naudinga parengti bandomąją </w:t>
            </w:r>
            <w:r w:rsidRPr="00837CC4">
              <w:rPr>
                <w:b/>
                <w:bCs/>
                <w:i/>
                <w:iCs/>
              </w:rPr>
              <w:t>PRT rinkos infrastruktūrų tikrinimo</w:t>
            </w:r>
            <w:r w:rsidRPr="00837CC4">
              <w:t xml:space="preserve"> tvarką. Pagal PRT rinkos infrastruktūroms skirtą bandomąją tvarką tokioms infrastruktūroms turėtų būti laikinai leidžiama netaikyti kai kurių konkrečių reikalavimų pagal Sąjungos finansinių paslaugų teisės aktus, kurie priešingu atveju trukdytų joms kurti prekybos kriptoturtu, laikomu finansinėmis priemonėmis, ir atsiskaitymo už jų sandorius sprendimus </w:t>
            </w:r>
            <w:r w:rsidRPr="00837CC4">
              <w:rPr>
                <w:b/>
                <w:bCs/>
                <w:i/>
                <w:iCs/>
              </w:rPr>
              <w:t>nesilpninant jokių galiojančių reikalavimų ir apsaugos priemonių, kurie taikomi tradicinėms rinkos infrastruktūroms</w:t>
            </w:r>
            <w:r w:rsidRPr="00837CC4">
              <w:t>.</w:t>
            </w:r>
            <w:r w:rsidRPr="00837CC4">
              <w:rPr>
                <w:b/>
                <w:i/>
              </w:rPr>
              <w:t xml:space="preserve"> </w:t>
            </w:r>
            <w:r w:rsidRPr="00837CC4">
              <w:rPr>
                <w:b/>
                <w:bCs/>
                <w:i/>
                <w:iCs/>
              </w:rPr>
              <w:t>Be to, PRT rinkos infrastruktūrose turėtų būti priimtos tinkamos apsaugos priemonės, kuriomis būtų siekiama veiksmingai apsaugoti investuotojus, susijusius su PRT naudojimu, ir nustatyti aiškias atsakomybės ribas ir atsakomybę už bet kokius dėl operacinių trūkumų klientų patirtus nuostolius.</w:t>
            </w:r>
            <w:r w:rsidRPr="00837CC4">
              <w:t xml:space="preserve"> Be to, bandomoji tvarka turėtų sudaryti sąlygas Europos vertybinių popierių ir rinkų institucijai (ESMA) ir kompetentingoms institucijoms </w:t>
            </w:r>
            <w:r w:rsidRPr="00837CC4">
              <w:rPr>
                <w:b/>
                <w:bCs/>
                <w:i/>
                <w:iCs/>
              </w:rPr>
              <w:t xml:space="preserve">mokytis iš klaidų ir </w:t>
            </w:r>
            <w:r w:rsidRPr="00837CC4">
              <w:t>įgyti patirties, susijusios su galimybėmis ir specifine rizika, kurias lemia kriptoturtas, laikomas finansinėmis priemonėmis, ir jo pagrindinė technologija;</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155</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Jessica Polfjärd, Christophe Hansen</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5 konstatuojamoji dalis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t>(5)</w:t>
            </w:r>
            <w:r w:rsidRPr="00837CC4">
              <w:tab/>
              <w:t xml:space="preserve">siekiant sudaryti sąlygas plėtoti kriptoturtą, laikomą finansinėmis priemonėmis, ir PRT, kartu išlaikant aukšto lygio finansinį stabilumą, rinkos vientisumą, skaidrumą ir investuotojų apsaugą, būtų naudinga PRT rinkos infrastruktūroms parengti bandomąją tvarką. Pagal PRT rinkos infrastruktūroms skirtą bandomąją tvarką tokioms infrastruktūroms turėtų būti laikinai leidžiama netaikyti kai kurių konkrečių reikalavimų pagal Sąjungos finansinių paslaugų teisės aktus, kurie priešingu atveju trukdytų joms kurti prekybos kriptoturtu, laikomu finansinėmis priemonėmis, ir atsiskaitymo už jų sandorius sprendimus. Be to, bandomoji tvarka turėtų sudaryti sąlygas Europos vertybinių popierių ir rinkų institucijai (ESMA) ir kompetentingoms institucijoms įgyti patirties, susijusios su galimybėmis ir specifine rizika, </w:t>
            </w:r>
            <w:r w:rsidRPr="00837CC4">
              <w:rPr>
                <w:b/>
                <w:bCs/>
                <w:i/>
                <w:iCs/>
              </w:rPr>
              <w:t>kurias lemia kriptoturtas</w:t>
            </w:r>
            <w:r w:rsidRPr="00837CC4">
              <w:t xml:space="preserve">, </w:t>
            </w:r>
            <w:r w:rsidRPr="00837CC4">
              <w:rPr>
                <w:b/>
                <w:bCs/>
                <w:i/>
                <w:iCs/>
              </w:rPr>
              <w:t>laikomas</w:t>
            </w:r>
            <w:r w:rsidRPr="00837CC4">
              <w:t xml:space="preserve"> finansinėmis priemonėmis, ir jo pagrindinė technologija;</w:t>
            </w:r>
          </w:p>
        </w:tc>
        <w:tc>
          <w:tcPr>
            <w:tcW w:w="4876" w:type="dxa"/>
          </w:tcPr>
          <w:p w:rsidR="0084543E" w:rsidRPr="00837CC4" w:rsidRDefault="0084543E" w:rsidP="00E51AD6">
            <w:pPr>
              <w:pStyle w:val="Normal6a"/>
            </w:pPr>
            <w:r w:rsidRPr="00837CC4">
              <w:t>(5)</w:t>
            </w:r>
            <w:r w:rsidRPr="00837CC4">
              <w:tab/>
              <w:t xml:space="preserve">siekiant sudaryti sąlygas plėtoti kriptoturtą, laikomą finansinėmis priemonėmis, ir PRT, kartu išlaikant aukšto lygio finansinį stabilumą, rinkos vientisumą, skaidrumą ir investuotojų apsaugą, būtų naudinga PRT rinkos infrastruktūroms parengti bandomąją tvarką. Pagal PRT rinkos infrastruktūroms skirtą bandomąją tvarką tokioms infrastruktūroms turėtų būti laikinai leidžiama netaikyti kai kurių konkrečių reikalavimų pagal Sąjungos finansinių paslaugų teisės aktus, kurie priešingu atveju trukdytų joms kurti prekybos kriptoturtu, laikomu finansinėmis priemonėmis, ir atsiskaitymo už jų sandorius sprendimus. Be to, bandomoji tvarka turėtų sudaryti sąlygas Europos vertybinių popierių ir rinkų institucijai (ESMA) ir kompetentingoms institucijoms įgyti patirties, susijusios su galimybėmis ir specifine rizika, </w:t>
            </w:r>
            <w:r w:rsidRPr="00837CC4">
              <w:rPr>
                <w:b/>
                <w:bCs/>
                <w:i/>
                <w:iCs/>
              </w:rPr>
              <w:t>susijusiomis su kriptoturtu</w:t>
            </w:r>
            <w:r w:rsidRPr="00837CC4">
              <w:t xml:space="preserve">, </w:t>
            </w:r>
            <w:r w:rsidRPr="00837CC4">
              <w:rPr>
                <w:b/>
                <w:bCs/>
                <w:i/>
                <w:iCs/>
              </w:rPr>
              <w:t>laikomu</w:t>
            </w:r>
            <w:r w:rsidRPr="00837CC4">
              <w:t xml:space="preserve"> finansinėmis priemonėmis, ir jo pagrindinė technologija</w:t>
            </w:r>
            <w:r w:rsidRPr="00837CC4">
              <w:rPr>
                <w:b/>
                <w:bCs/>
                <w:i/>
                <w:iCs/>
              </w:rPr>
              <w:t>.</w:t>
            </w:r>
            <w:r w:rsidRPr="00837CC4">
              <w:t xml:space="preserve"> </w:t>
            </w:r>
            <w:r w:rsidRPr="00837CC4">
              <w:rPr>
                <w:b/>
                <w:i/>
              </w:rPr>
              <w:t>Todėl taikant šią bandomąją tvarką įgyta patirtis turėtų padėti rasti galimus praktinius pasiūlymus dėl tinkamos reguliavimo sistemos, kad būtų galima tikslingai pritaikyti galiojančius Sąjungos teisės aktus, kuriais reglamentuojama su PRT grindžiamų finansinių priemonių emisija, saugojimas ir aptarnavimas, prekyba jomis ir atsiskaitymas už jas;</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156</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Stéphanie Yon-Courtin, Gilles Boyer, Olivier Chastel</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5 konstatuojamoji dalis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t>(5)</w:t>
            </w:r>
            <w:r w:rsidRPr="00837CC4">
              <w:tab/>
              <w:t>siekiant sudaryti sąlygas plėtoti kriptoturtą, laikomą finansinėmis priemonėmis, ir PRT, kartu išlaikant aukšto lygio finansinį stabilumą, rinkos vientisumą, skaidrumą ir investuotojų apsaugą, būtų naudinga PRT rinkos infrastruktūroms parengti bandomąją tvarką. Pagal PRT rinkos infrastruktūroms skirtą bandomąją tvarką tokioms infrastruktūroms turėtų būti laikinai leidžiama netaikyti kai kurių konkrečių reikalavimų pagal Sąjungos finansinių paslaugų teisės aktus, kurie priešingu atveju trukdytų joms kurti prekybos kriptoturtu, laikomu finansinėmis priemonėmis, ir atsiskaitymo už jų sandorius sprendimus. Be to, bandomoji tvarka turėtų sudaryti sąlygas Europos vertybinių popierių ir rinkų institucijai (ESMA) ir kompetentingoms institucijoms įgyti patirties, susijusios su galimybėmis ir specifine rizika, kurias lemia kriptoturtas, laikomas finansinėmis priemonėmis, ir jo pagrindinė technologija;</w:t>
            </w:r>
          </w:p>
        </w:tc>
        <w:tc>
          <w:tcPr>
            <w:tcW w:w="4876" w:type="dxa"/>
          </w:tcPr>
          <w:p w:rsidR="0084543E" w:rsidRPr="00837CC4" w:rsidRDefault="0084543E" w:rsidP="00E51AD6">
            <w:pPr>
              <w:pStyle w:val="Normal6a"/>
            </w:pPr>
            <w:r w:rsidRPr="00837CC4">
              <w:t>(5)</w:t>
            </w:r>
            <w:r w:rsidRPr="00837CC4">
              <w:tab/>
              <w:t>siekiant sudaryti sąlygas plėtoti kriptoturtą, laikomą finansinėmis priemonėmis, ir PRT, kartu išlaikant aukšto lygio finansinį stabilumą, rinkos vientisumą, skaidrumą ir investuotojų apsaugą, būtų naudinga PRT rinkos infrastruktūroms parengti bandomąją tvarką. Pagal PRT rinkos infrastruktūroms skirtą bandomąją tvarką tokioms infrastruktūroms turėtų būti laikinai leidžiama netaikyti kai kurių konkrečių reikalavimų pagal Sąjungos finansinių paslaugų teisės aktus, kurie priešingu atveju trukdytų joms kurti prekybos kriptoturtu, laikomu finansinėmis priemonėmis, ir atsiskaitymo už jų sandorius sprendimus. Be to, bandomoji tvarka turėtų sudaryti sąlygas Europos vertybinių popierių ir rinkų institucijai (ESMA) ir kompetentingoms institucijoms įgyti patirties, susijusios su galimybėmis ir specifine rizika, kurias lemia kriptoturtas, laikomas finansinėmis priemonėmis, ir jo pagrindinė technologija</w:t>
            </w:r>
            <w:r w:rsidRPr="00837CC4">
              <w:rPr>
                <w:b/>
                <w:bCs/>
                <w:i/>
                <w:iCs/>
              </w:rPr>
              <w:t>.</w:t>
            </w:r>
            <w:r w:rsidRPr="00837CC4">
              <w:t xml:space="preserve"> </w:t>
            </w:r>
            <w:r w:rsidRPr="00837CC4">
              <w:rPr>
                <w:b/>
                <w:i/>
              </w:rPr>
              <w:t>Kartu nustačius šią bandomąją tvarką turėtų būti nustatyti tik tiksliai galiojančią Sąjungos teisę atitinkantys pakeitimai, kuriais nebūtų iš esmės pakeistas prekybos ir poprekybinių funkcijų ir finansų rinkos infrastruktūros padėties atskyrimas;</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pPr>
        <w:pStyle w:val="AmJustTitle"/>
      </w:pPr>
      <w:r w:rsidRPr="00837CC4">
        <w:rPr>
          <w:rStyle w:val="HideTWBExt"/>
          <w:i w:val="0"/>
          <w:noProof w:val="0"/>
        </w:rPr>
        <w:t>&lt;TitreJust&gt;</w:t>
      </w:r>
      <w:r w:rsidRPr="00837CC4">
        <w:t>Pagrindimas</w:t>
      </w:r>
      <w:r w:rsidRPr="00837CC4">
        <w:rPr>
          <w:rStyle w:val="HideTWBExt"/>
          <w:i w:val="0"/>
          <w:noProof w:val="0"/>
        </w:rPr>
        <w:t>&lt;/TitreJust&gt;</w:t>
      </w:r>
    </w:p>
    <w:p w:rsidR="0084543E" w:rsidRPr="00837CC4" w:rsidRDefault="0084543E" w:rsidP="0084543E">
      <w:pPr>
        <w:pStyle w:val="AmJustText"/>
      </w:pPr>
      <w:r w:rsidRPr="00837CC4">
        <w:t>PRT bandomąja tvarka neturėtų būti nustatytas išsamesnės FPRR/R sistemos ir CVPD reglamento peržiūros precedentas, visų pirma kalbant apie finansų rinkos infrastruktūrų kategorizavimą. Bandomosios tvarkos nereikėtų susieti su OPS ir sistemingai sandorius savo viduje sudarančiais tarpininkais.</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157</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Eero Heinäluoma, Paul Tang, Jonás Fernández, Pedro Marques</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5 konstatuojamoji dalis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t>(5)</w:t>
            </w:r>
            <w:r w:rsidRPr="00837CC4">
              <w:tab/>
              <w:t xml:space="preserve">siekiant sudaryti sąlygas plėtoti kriptoturtą, laikomą finansinėmis priemonėmis, ir PRT, kartu išlaikant aukšto lygio finansinį stabilumą, rinkos vientisumą, skaidrumą </w:t>
            </w:r>
            <w:r w:rsidRPr="00837CC4">
              <w:rPr>
                <w:b/>
                <w:bCs/>
                <w:i/>
                <w:iCs/>
              </w:rPr>
              <w:t>ir</w:t>
            </w:r>
            <w:r w:rsidRPr="00837CC4">
              <w:t xml:space="preserve"> investuotojų apsaugą, būtų naudinga PRT rinkos infrastruktūroms parengti bandomąją tvarką. Pagal PRT rinkos infrastruktūroms skirtą bandomąją tvarką tokioms infrastruktūroms turėtų būti laikinai leidžiama netaikyti kai kurių konkrečių reikalavimų pagal Sąjungos finansinių paslaugų teisės aktus, kurie priešingu atveju trukdytų joms kurti prekybos kriptoturtu, laikomu finansinėmis priemonėmis, ir atsiskaitymo už jų sandorius sprendimus. Be to, bandomoji tvarka turėtų sudaryti sąlygas Europos vertybinių popierių ir rinkų institucijai (ESMA) ir kompetentingoms institucijoms įgyti patirties, susijusios su galimybėmis ir specifine rizika, kurias lemia kriptoturtas, laikomas finansinėmis priemonėmis, ir jo pagrindinė technologija;</w:t>
            </w:r>
          </w:p>
        </w:tc>
        <w:tc>
          <w:tcPr>
            <w:tcW w:w="4876" w:type="dxa"/>
          </w:tcPr>
          <w:p w:rsidR="0084543E" w:rsidRPr="00837CC4" w:rsidRDefault="0084543E" w:rsidP="00E51AD6">
            <w:pPr>
              <w:pStyle w:val="Normal6a"/>
            </w:pPr>
            <w:r w:rsidRPr="00837CC4">
              <w:t>(5)</w:t>
            </w:r>
            <w:r w:rsidRPr="00837CC4">
              <w:tab/>
              <w:t>siekiant sudaryti sąlygas plėtoti kriptoturtą, laikomą finansinėmis priemonėmis, ir PRT, kartu išlaikant aukšto lygio finansinį stabilumą, rinkos vientisumą, skaidrumą</w:t>
            </w:r>
            <w:r w:rsidRPr="00837CC4">
              <w:rPr>
                <w:b/>
                <w:bCs/>
                <w:i/>
                <w:iCs/>
              </w:rPr>
              <w:t>,</w:t>
            </w:r>
            <w:r w:rsidRPr="00837CC4">
              <w:t xml:space="preserve"> investuotojų apsaugą</w:t>
            </w:r>
            <w:r w:rsidRPr="00837CC4">
              <w:rPr>
                <w:b/>
                <w:bCs/>
                <w:i/>
                <w:iCs/>
              </w:rPr>
              <w:t xml:space="preserve"> ir mažą suvartojamos energijos kiekį</w:t>
            </w:r>
            <w:r w:rsidRPr="00837CC4">
              <w:t>, būtų naudinga PRT rinkos infrastruktūroms parengti bandomąją tvarką. Pagal PRT rinkos infrastruktūroms skirtą bandomąją tvarką tokioms infrastruktūroms turėtų būti laikinai leidžiama netaikyti kai kurių konkrečių reikalavimų pagal Sąjungos finansinių paslaugų teisės aktus, kurie priešingu atveju trukdytų joms kurti prekybos kriptoturtu, laikomu finansinėmis priemonėmis, ir atsiskaitymo už jų sandorius sprendimus. Be to, bandomoji tvarka turėtų sudaryti sąlygas Europos vertybinių popierių ir rinkų institucijai (ESMA) ir kompetentingoms institucijoms įgyti patirties, susijusios su galimybėmis ir specifine rizika, kurias lemia kriptoturtas, laikomas finansinėmis priemonėmis, ir jo pagrindinė technologija</w:t>
            </w:r>
            <w:r w:rsidRPr="00837CC4">
              <w:rPr>
                <w:b/>
                <w:bCs/>
                <w:i/>
                <w:iCs/>
              </w:rPr>
              <w:t>, kuriai turėtų būti būdingas mažas suvartojamos energijos kiekis</w:t>
            </w:r>
            <w:r w:rsidRPr="00837CC4">
              <w:t>;</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158</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Markus Ferber</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5 a konstatuojamoji dalis (nauja)</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p>
        </w:tc>
        <w:tc>
          <w:tcPr>
            <w:tcW w:w="4876" w:type="dxa"/>
          </w:tcPr>
          <w:p w:rsidR="0084543E" w:rsidRPr="00837CC4" w:rsidRDefault="0084543E" w:rsidP="00E51AD6">
            <w:pPr>
              <w:pStyle w:val="Normal6a"/>
            </w:pPr>
            <w:r w:rsidRPr="00837CC4">
              <w:rPr>
                <w:b/>
                <w:i/>
              </w:rPr>
              <w:t>(5a)</w:t>
            </w:r>
            <w:r w:rsidRPr="00837CC4">
              <w:tab/>
            </w:r>
            <w:r w:rsidRPr="00837CC4">
              <w:rPr>
                <w:b/>
                <w:i/>
              </w:rPr>
              <w:t>bandomoji PRT grindžiamos rinkos infrastruktūros tvarka neturėtų skatinti kurti reguliavimo spragų. Todėl reikėtų taikyti bendrą principą „vienoda veikla, vienoda rizika, vienodos taisyklės“;</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159</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Eva Kaili</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6 konstatuojamoji dalis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t>(6)</w:t>
            </w:r>
            <w:r w:rsidRPr="00837CC4">
              <w:tab/>
              <w:t>siekiant šio tikslo reikėtų sukurti naują PRT rinkos infrastruktūrų Sąjungos statusą. Šis PRT rinkos infrastruktūrų statusas turėtų būti neprivalomas ir neturėtų trukdyti finansų rinkos infrastruktūroms, kaip antai prekybos vietoms, centriniams vertybinių popierių depozitoriumams ir pagrindinėms sandorio šalims, plėtoti prekybos ir poprekybinių paslaugų ir veiklos, skirtų kriptoturtui, laikomam finansinėmis priemonėmis arba grindžiamam PRT, pagal galiojančius Sąjungos finansinių paslaugų teisės aktus;</w:t>
            </w:r>
          </w:p>
        </w:tc>
        <w:tc>
          <w:tcPr>
            <w:tcW w:w="4876" w:type="dxa"/>
          </w:tcPr>
          <w:p w:rsidR="0084543E" w:rsidRPr="00837CC4" w:rsidRDefault="0084543E" w:rsidP="00E51AD6">
            <w:pPr>
              <w:pStyle w:val="Normal6a"/>
            </w:pPr>
            <w:r w:rsidRPr="00837CC4">
              <w:t>(6)</w:t>
            </w:r>
            <w:r w:rsidRPr="00837CC4">
              <w:tab/>
              <w:t>siekiant šio tikslo reikėtų sukurti naują PRT rinkos infrastruktūrų Sąjungos statusą</w:t>
            </w:r>
            <w:r w:rsidRPr="00837CC4">
              <w:rPr>
                <w:b/>
                <w:bCs/>
                <w:i/>
                <w:iCs/>
              </w:rPr>
              <w:t>, siekiant užtikrinti, kad Sąjungas galėtų išsaugoti savo kompetentingą vadovavimą, susijusį su kriptožetonais pakeistu turtu, ir prisidėti prie to turto antrinės rinkos plėtros</w:t>
            </w:r>
            <w:r w:rsidRPr="00837CC4">
              <w:t>. Šis PRT rinkos infrastruktūrų statusas turėtų būti neprivalomas ir neturėtų trukdyti finansų rinkos infrastruktūroms, kaip antai prekybos vietoms, centriniams vertybinių popierių depozitoriumams ir pagrindinėms sandorio šalims, plėtoti prekybos ir poprekybinių paslaugų ir veiklos, skirtų kriptoturtui, laikomam finansinėmis priemonėmis arba grindžiamam PRT, pagal galiojančius Sąjungos finansinių paslaugų teisės aktus;</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pPr>
        <w:pStyle w:val="AmJustTitle"/>
      </w:pPr>
      <w:r w:rsidRPr="00837CC4">
        <w:rPr>
          <w:rStyle w:val="HideTWBExt"/>
          <w:i w:val="0"/>
          <w:noProof w:val="0"/>
        </w:rPr>
        <w:t>&lt;TitreJust&gt;</w:t>
      </w:r>
      <w:r w:rsidRPr="00837CC4">
        <w:t>Pagrindimas</w:t>
      </w:r>
      <w:r w:rsidRPr="00837CC4">
        <w:rPr>
          <w:rStyle w:val="HideTWBExt"/>
          <w:i w:val="0"/>
          <w:noProof w:val="0"/>
        </w:rPr>
        <w:t>&lt;/TitreJust&gt;</w:t>
      </w:r>
    </w:p>
    <w:p w:rsidR="0084543E" w:rsidRPr="00837CC4" w:rsidRDefault="0084543E" w:rsidP="0084543E">
      <w:pPr>
        <w:pStyle w:val="AmJustText"/>
      </w:pPr>
      <w:r w:rsidRPr="00837CC4">
        <w:t>Svarbu pabrėžti, kad ES turi toliau vadovauti naujai pasaulinei PRT grindžiamai ekonomikai, kurioje bus sudarytos galimybės masto ekonomijai ir veiksmingumui kriptožetonais pakeisto turto rinkose.</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160</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Jonás Fernández, Eero Heinäluoma</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6 a konstatuojamoji dalis (nauja)</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p>
        </w:tc>
        <w:tc>
          <w:tcPr>
            <w:tcW w:w="4876" w:type="dxa"/>
          </w:tcPr>
          <w:p w:rsidR="0084543E" w:rsidRPr="00837CC4" w:rsidRDefault="0084543E" w:rsidP="00E51AD6">
            <w:pPr>
              <w:pStyle w:val="Normal6a"/>
            </w:pPr>
            <w:r w:rsidRPr="00837CC4">
              <w:rPr>
                <w:b/>
                <w:i/>
              </w:rPr>
              <w:t>(6a)</w:t>
            </w:r>
            <w:r w:rsidRPr="00837CC4">
              <w:tab/>
            </w:r>
            <w:r w:rsidRPr="00837CC4">
              <w:rPr>
                <w:b/>
                <w:i/>
              </w:rPr>
              <w:t>kadangi ECBS, valstybių narių nacionalinių įstaigų, atliekančių panašias funkcijas, arba kitų valdžios institucijų, kurioms pavesta dalyvauti valdant valstybės skolą Sąjungoje, narių valdomi CVDP valdo PRT vertybinių popierių atsiskaitymo sistemas, neturėtų būti reikalaujama, kad jie siektų konkrečių kompetentingų institucijų išimčių ar leidimų, nes nereikalaujama, kad tokie CVDP teiktų ataskaitas kompetentingoms institucijoms arba laikytųsi jų nurodymų, ir jiems taikomi tam tikri Reglamento (ES) Nr. 909/2014 reikalavimai, laikantis to reglamento 1 straipsnio 4 dalies;</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pPr>
        <w:pStyle w:val="AmJustTitle"/>
      </w:pPr>
      <w:r w:rsidRPr="00837CC4">
        <w:rPr>
          <w:rStyle w:val="HideTWBExt"/>
          <w:i w:val="0"/>
          <w:noProof w:val="0"/>
        </w:rPr>
        <w:t>&lt;TitreJust&gt;</w:t>
      </w:r>
      <w:r w:rsidRPr="00837CC4">
        <w:t>Pagrindimas</w:t>
      </w:r>
      <w:r w:rsidRPr="00837CC4">
        <w:rPr>
          <w:rStyle w:val="HideTWBExt"/>
          <w:i w:val="0"/>
          <w:noProof w:val="0"/>
        </w:rPr>
        <w:t>&lt;/TitreJust&gt;</w:t>
      </w:r>
    </w:p>
    <w:p w:rsidR="0084543E" w:rsidRPr="00837CC4" w:rsidRDefault="0084543E" w:rsidP="0084543E">
      <w:pPr>
        <w:pStyle w:val="AmJustText"/>
      </w:pPr>
      <w:r w:rsidRPr="00837CC4">
        <w:t>Remiantis ECB nuomone.</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161</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Johan Van Overtveldt</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6 a konstatuojamoji dalis (nauja)</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p>
        </w:tc>
        <w:tc>
          <w:tcPr>
            <w:tcW w:w="4876" w:type="dxa"/>
          </w:tcPr>
          <w:p w:rsidR="0084543E" w:rsidRPr="00837CC4" w:rsidRDefault="0084543E" w:rsidP="00E51AD6">
            <w:pPr>
              <w:pStyle w:val="Normal6a"/>
            </w:pPr>
            <w:r w:rsidRPr="00837CC4">
              <w:rPr>
                <w:b/>
                <w:i/>
              </w:rPr>
              <w:t>(6a)</w:t>
            </w:r>
            <w:r w:rsidRPr="00837CC4">
              <w:tab/>
            </w:r>
            <w:r w:rsidRPr="00837CC4">
              <w:rPr>
                <w:b/>
                <w:i/>
              </w:rPr>
              <w:t>kadangi ECBS, valstybių narių nacionalinių įstaigų, atliekančių panašias funkcijas, arba kitų valdžios institucijų, kurioms pavesta dalyvauti valdant valstybės skolą Sąjungoje, narių valdomi CVDP valdo PRT vertybinių popierių atsiskaitymo sistemas, neturėtų būti reikalaujama, kad jie siektų konkrečių kompetentingų institucijų išimčių ar leidimų, nes nereikalaujama, kad tokie CVDP teiktų ataskaitas kompetentingoms institucijoms arba laikytųsi jų nurodymų, ir jiems taikomi tam tikri Reglamento (ES) Nr. 909/2014 reikalavimai, laikantis to reglamento 1 straipsnio 4 dalies;</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pPr>
        <w:pStyle w:val="AmJustTitle"/>
      </w:pPr>
      <w:r w:rsidRPr="00837CC4">
        <w:rPr>
          <w:rStyle w:val="HideTWBExt"/>
          <w:i w:val="0"/>
          <w:noProof w:val="0"/>
        </w:rPr>
        <w:t>&lt;TitreJust&gt;</w:t>
      </w:r>
      <w:r w:rsidRPr="00837CC4">
        <w:t>Pagrindimas</w:t>
      </w:r>
      <w:r w:rsidRPr="00837CC4">
        <w:rPr>
          <w:rStyle w:val="HideTWBExt"/>
          <w:i w:val="0"/>
          <w:noProof w:val="0"/>
        </w:rPr>
        <w:t>&lt;/TitreJust&gt;</w:t>
      </w:r>
    </w:p>
    <w:p w:rsidR="0084543E" w:rsidRPr="00837CC4" w:rsidRDefault="0084543E" w:rsidP="0084543E">
      <w:pPr>
        <w:pStyle w:val="AmJustText"/>
      </w:pPr>
      <w:r w:rsidRPr="00837CC4">
        <w:t>Šiuo pakeitimu siekiama atsižvelgti į ECB nuomonėje pateiktą pasiūlymą. Kad būtų užtikrintas teisinis tikrumas, ECB siūlo aiškiai nurodyti, kad ECBS centrinių bankų, veikiančių PRT vertybinių popierių atskaitymo sistemoje, valdomiems CVPD netaikomos siūlomo reglamento nuostatos dėl išimčių suteikimo ir leidimų panaikinimo proceso.</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162</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Eva Kaili</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7 konstatuojamoji dalis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t>(7)</w:t>
            </w:r>
            <w:r w:rsidRPr="00837CC4">
              <w:tab/>
              <w:t>PRT rinkos infrastruktūra turėtų būti apibrėžiama arba kaip PRT daugiašalė prekybos sistema (PRT DPS), arba kaip PRT vertybinių popierių atsiskaitymo sistema;</w:t>
            </w:r>
          </w:p>
        </w:tc>
        <w:tc>
          <w:tcPr>
            <w:tcW w:w="4876" w:type="dxa"/>
          </w:tcPr>
          <w:p w:rsidR="0084543E" w:rsidRPr="00837CC4" w:rsidRDefault="0084543E" w:rsidP="00E51AD6">
            <w:pPr>
              <w:pStyle w:val="Normal6a"/>
            </w:pPr>
            <w:r w:rsidRPr="00837CC4">
              <w:t>(7)</w:t>
            </w:r>
            <w:r w:rsidRPr="00837CC4">
              <w:tab/>
              <w:t>PRT rinkos infrastruktūra turėtų būti apibrėžiama arba kaip PRT daugiašalė prekybos sistema (PRT DPS), arba kaip PRT vertybinių popierių atsiskaitymo sistema</w:t>
            </w:r>
            <w:r w:rsidRPr="00837CC4">
              <w:rPr>
                <w:b/>
                <w:bCs/>
                <w:i/>
                <w:iCs/>
              </w:rPr>
              <w:t>.</w:t>
            </w:r>
            <w:r w:rsidRPr="00837CC4">
              <w:t xml:space="preserve"> </w:t>
            </w:r>
            <w:r w:rsidRPr="00837CC4">
              <w:rPr>
                <w:b/>
                <w:i/>
              </w:rPr>
              <w:t>Tos PRT rinkos infrastruktūros turėtų galėti bendradarbiauti su kitais rinkos dalyviais, kad būtų rasti PRT pagrįsti novatoriški sprendimai dėl kiekvieno finansinių paslaugų vertės grandinės segmento;</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pPr>
        <w:pStyle w:val="AmJustTitle"/>
      </w:pPr>
      <w:r w:rsidRPr="00837CC4">
        <w:rPr>
          <w:rStyle w:val="HideTWBExt"/>
          <w:i w:val="0"/>
          <w:noProof w:val="0"/>
        </w:rPr>
        <w:t>&lt;TitreJust&gt;</w:t>
      </w:r>
      <w:r w:rsidRPr="00837CC4">
        <w:t>Pagrindimas</w:t>
      </w:r>
      <w:r w:rsidRPr="00837CC4">
        <w:rPr>
          <w:rStyle w:val="HideTWBExt"/>
          <w:i w:val="0"/>
          <w:noProof w:val="0"/>
        </w:rPr>
        <w:t>&lt;/TitreJust&gt;</w:t>
      </w:r>
    </w:p>
    <w:p w:rsidR="0084543E" w:rsidRPr="00837CC4" w:rsidRDefault="0084543E" w:rsidP="0084543E">
      <w:pPr>
        <w:pStyle w:val="AmJustText"/>
      </w:pPr>
      <w:r w:rsidRPr="00837CC4">
        <w:t>Priėmus bandomąją tvarką rinkos dalyviams, kurie gali nenorėti patys tapti PRT rinkos infrastruktūros dalimi, tačiau pageidauja suvienyti jėgas bendradarbiaudami su PRT rinkos infrastruktūromis, turėtų būti suteikta galimybių išbandyti naujus informacijos saugojimo blokų grandinėje modelius.</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163</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Eva Kaili</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8 konstatuojamoji dalis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t>(8)</w:t>
            </w:r>
            <w:r w:rsidRPr="00837CC4">
              <w:tab/>
              <w:t xml:space="preserve">PRT DPS turėtų būti daugiašalė prekybos sistema, kurią valdo investicinė įmonė arba rinkos operatorius, valdantys įmonę </w:t>
            </w:r>
            <w:r w:rsidRPr="00837CC4">
              <w:rPr>
                <w:b/>
                <w:bCs/>
                <w:i/>
                <w:iCs/>
              </w:rPr>
              <w:t>arba reguliuojamą rinką</w:t>
            </w:r>
            <w:r w:rsidRPr="00837CC4">
              <w:t>, ir galbūt pati reguliuojama rinka, kuriai suteiktas veiklos leidimas pagal Direktyvą 2014/65/ES (Finansinių priemonių rinkų direktyvą, FPRD II), kuri yra gavusi specialų leidimą pagal šį reglamentą. Tokiai PRT DPS turėtų būti taikomi visi daugiašalei prekybos sistemai pagal Direktyvą 2014/65/ES (Finansinių priemonių rinkų direktyvą, FPRD II), Europos Parlamento ir Tarybos reglamentą (ES) Nr. 600/2014 (Finansinių priemonių rinkų reglamentą, FPRR)</w:t>
            </w:r>
            <w:r w:rsidRPr="00837CC4">
              <w:rPr>
                <w:rStyle w:val="Sup"/>
              </w:rPr>
              <w:t>41</w:t>
            </w:r>
            <w:r w:rsidRPr="00837CC4">
              <w:t xml:space="preserve"> ar visus kitus </w:t>
            </w:r>
            <w:r w:rsidRPr="00837CC4">
              <w:rPr>
                <w:b/>
                <w:bCs/>
                <w:i/>
                <w:iCs/>
              </w:rPr>
              <w:t>ES</w:t>
            </w:r>
            <w:r w:rsidRPr="00837CC4">
              <w:t xml:space="preserve"> finansinių paslaugų teisės aktus taikytini reikalavimai, išskyrus atvejį, kai </w:t>
            </w:r>
            <w:r w:rsidRPr="00837CC4">
              <w:rPr>
                <w:b/>
                <w:bCs/>
                <w:i/>
                <w:iCs/>
              </w:rPr>
              <w:t>jos</w:t>
            </w:r>
            <w:r w:rsidRPr="00837CC4">
              <w:t xml:space="preserve"> nacionalinė kompetentinga institucija yra leidusi taikyti vieną ar kelias išimtis pagal šį reglamentą ir Europos Parlamento ir Tarybos direktyvą (ES) .../...</w:t>
            </w:r>
            <w:r w:rsidRPr="00837CC4">
              <w:rPr>
                <w:rStyle w:val="Sup"/>
              </w:rPr>
              <w:t>42</w:t>
            </w:r>
            <w:r w:rsidRPr="00837CC4">
              <w:t>;</w:t>
            </w:r>
          </w:p>
        </w:tc>
        <w:tc>
          <w:tcPr>
            <w:tcW w:w="4876" w:type="dxa"/>
          </w:tcPr>
          <w:p w:rsidR="0084543E" w:rsidRPr="00837CC4" w:rsidRDefault="0084543E" w:rsidP="00E51AD6">
            <w:pPr>
              <w:pStyle w:val="Normal6a"/>
            </w:pPr>
            <w:r w:rsidRPr="00837CC4">
              <w:t>(8)</w:t>
            </w:r>
            <w:r w:rsidRPr="00837CC4">
              <w:tab/>
              <w:t xml:space="preserve">PRT DPS turėtų būti daugiašalė prekybos sistema, kurią valdo investicinė įmonė arba rinkos operatorius, valdantys </w:t>
            </w:r>
            <w:r w:rsidRPr="00837CC4">
              <w:rPr>
                <w:b/>
                <w:bCs/>
                <w:i/>
                <w:iCs/>
              </w:rPr>
              <w:t xml:space="preserve">reguliuojamosios rinkos </w:t>
            </w:r>
            <w:r w:rsidRPr="00837CC4">
              <w:t xml:space="preserve">įmonę, ir galbūt pati reguliuojama rinka, kuriai suteiktas veiklos leidimas pagal Direktyvą 2014/65/ES (Finansinių priemonių rinkų direktyvą, FPRD II), kuri yra gavusi specialų leidimą pagal šį reglamentą. Tokiai PRT DPS </w:t>
            </w:r>
            <w:r w:rsidRPr="00837CC4">
              <w:rPr>
                <w:b/>
                <w:bCs/>
                <w:i/>
                <w:iCs/>
              </w:rPr>
              <w:t>ir jos operatoriui</w:t>
            </w:r>
            <w:r w:rsidRPr="00837CC4">
              <w:t xml:space="preserve"> turėtų būti taikomi visi daugiašalei prekybos sistemai </w:t>
            </w:r>
            <w:r w:rsidRPr="00837CC4">
              <w:rPr>
                <w:b/>
                <w:bCs/>
                <w:i/>
                <w:iCs/>
              </w:rPr>
              <w:t>ir jos operatoriams</w:t>
            </w:r>
            <w:r w:rsidRPr="00837CC4">
              <w:t xml:space="preserve"> pagal Direktyvą 2014/65/ES (Finansinių priemonių rinkų direktyvą, FPRD II), Europos Parlamento ir Tarybos reglamentą (ES) Nr. 600/2014 (Finansinių priemonių rinkų reglamentą, FPRR)</w:t>
            </w:r>
            <w:r w:rsidRPr="00837CC4">
              <w:rPr>
                <w:rStyle w:val="Sup"/>
              </w:rPr>
              <w:t>41</w:t>
            </w:r>
            <w:r w:rsidRPr="00837CC4">
              <w:t xml:space="preserve"> ir visus kitus </w:t>
            </w:r>
            <w:r w:rsidRPr="00837CC4">
              <w:rPr>
                <w:b/>
                <w:bCs/>
                <w:i/>
                <w:iCs/>
              </w:rPr>
              <w:t>galiojančius Sąjungos</w:t>
            </w:r>
            <w:r w:rsidRPr="00837CC4">
              <w:t xml:space="preserve"> finansinių paslaugų teisės aktus taikytini reikalavimai, išskyrus atvejį, kai PRT DPS operatoriui nacionalinė kompetentinga institucija yra leidusi taikyti vieną ar kelias išimtis pagal šį reglamentą ir Europos Parlamento ir Tarybos direktyvą (ES) .../...</w:t>
            </w:r>
            <w:r w:rsidRPr="00837CC4">
              <w:rPr>
                <w:rStyle w:val="Sup"/>
              </w:rPr>
              <w:t>42</w:t>
            </w:r>
            <w:r w:rsidRPr="00837CC4">
              <w:rPr>
                <w:b/>
                <w:bCs/>
                <w:i/>
                <w:iCs/>
              </w:rPr>
              <w:t>.</w:t>
            </w:r>
            <w:r w:rsidRPr="00837CC4">
              <w:t xml:space="preserve"> </w:t>
            </w:r>
            <w:r w:rsidRPr="00837CC4">
              <w:rPr>
                <w:b/>
                <w:i/>
              </w:rPr>
              <w:t>Naujiems rinkos dalyviams arba reguliuojamiems subjektams, kaip antai investicinėms įmonėms arba kredito institucijoms, kurios pageidauja PRT DPS valdyti pagal šį reglamentą, turėtų būti leidžiama laikytis vieno žingsnio taikymo procedūros pateikiant prašymą savo nacionalinei kompetentingai institucijai išduoti leidimą pagal Direktyvą 2014/65/ES (FPRD II) ir tuo pat metu nurodant bet kokią išimtį, kurią jie pageidauja gauti, laikantis šio reglamento ir Europos Parlamento ir Tarybos direktyvos (ES) .../...;</w:t>
            </w:r>
          </w:p>
        </w:tc>
      </w:tr>
      <w:tr w:rsidR="0084543E" w:rsidRPr="00837CC4" w:rsidTr="00E51AD6">
        <w:trPr>
          <w:jc w:val="center"/>
        </w:trPr>
        <w:tc>
          <w:tcPr>
            <w:tcW w:w="4876" w:type="dxa"/>
          </w:tcPr>
          <w:p w:rsidR="0084543E" w:rsidRPr="00837CC4" w:rsidRDefault="0084543E" w:rsidP="00E51AD6">
            <w:pPr>
              <w:pStyle w:val="Normal6a"/>
            </w:pPr>
            <w:r w:rsidRPr="00837CC4">
              <w:t>_________________</w:t>
            </w:r>
          </w:p>
        </w:tc>
        <w:tc>
          <w:tcPr>
            <w:tcW w:w="4876" w:type="dxa"/>
          </w:tcPr>
          <w:p w:rsidR="0084543E" w:rsidRPr="00837CC4" w:rsidRDefault="0084543E" w:rsidP="00E51AD6">
            <w:pPr>
              <w:pStyle w:val="Normal6a"/>
            </w:pPr>
            <w:r w:rsidRPr="00837CC4">
              <w:t>_________________</w:t>
            </w:r>
          </w:p>
        </w:tc>
      </w:tr>
      <w:tr w:rsidR="0084543E" w:rsidRPr="00837CC4" w:rsidTr="00E51AD6">
        <w:trPr>
          <w:jc w:val="center"/>
        </w:trPr>
        <w:tc>
          <w:tcPr>
            <w:tcW w:w="4876" w:type="dxa"/>
          </w:tcPr>
          <w:p w:rsidR="0084543E" w:rsidRPr="00837CC4" w:rsidRDefault="0084543E" w:rsidP="00E51AD6">
            <w:pPr>
              <w:pStyle w:val="Normal6a"/>
            </w:pPr>
            <w:r w:rsidRPr="00837CC4">
              <w:rPr>
                <w:rStyle w:val="Sup"/>
              </w:rPr>
              <w:t>41</w:t>
            </w:r>
            <w:r w:rsidRPr="00837CC4">
              <w:t xml:space="preserve"> 2014 m. gegužės 15 d. Europos Parlamento ir Tarybos reglamentas (ES) Nr. 600/2014 dėl finansinių priemonių rinkų, kuriuo iš dalies keičiamas Reglamentas (ES) Nr. 648/2012 (OL L 173, 2014 6 12, p. 84).</w:t>
            </w:r>
          </w:p>
        </w:tc>
        <w:tc>
          <w:tcPr>
            <w:tcW w:w="4876" w:type="dxa"/>
          </w:tcPr>
          <w:p w:rsidR="0084543E" w:rsidRPr="00837CC4" w:rsidRDefault="0084543E" w:rsidP="00E51AD6">
            <w:pPr>
              <w:pStyle w:val="Normal6a"/>
            </w:pPr>
            <w:r w:rsidRPr="00837CC4">
              <w:rPr>
                <w:rStyle w:val="Sup"/>
              </w:rPr>
              <w:t>41</w:t>
            </w:r>
            <w:r w:rsidRPr="00837CC4">
              <w:t xml:space="preserve"> 2014 m. gegužės 15 d. Europos Parlamento ir Tarybos reglamentas (ES) Nr. 600/2014 dėl finansinių priemonių rinkų, kuriuo iš dalies keičiamas Reglamentas (ES) Nr. 648/2012 (OL L 173, 2014 6 12, p. 84).</w:t>
            </w:r>
          </w:p>
        </w:tc>
      </w:tr>
      <w:tr w:rsidR="0084543E" w:rsidRPr="00837CC4" w:rsidTr="00E51AD6">
        <w:trPr>
          <w:jc w:val="center"/>
        </w:trPr>
        <w:tc>
          <w:tcPr>
            <w:tcW w:w="4876" w:type="dxa"/>
          </w:tcPr>
          <w:p w:rsidR="0084543E" w:rsidRPr="00837CC4" w:rsidRDefault="0084543E" w:rsidP="00E51AD6">
            <w:pPr>
              <w:pStyle w:val="Normal6a"/>
            </w:pPr>
            <w:r w:rsidRPr="00837CC4">
              <w:rPr>
                <w:rStyle w:val="Sup"/>
              </w:rPr>
              <w:t>42</w:t>
            </w:r>
            <w:r w:rsidRPr="00837CC4">
              <w:t xml:space="preserve"> Pasiūlymas dėl Europos Parlamento ir Tarybos direktyvos, kuria iš dalies keičiamos direktyvos 2006/43/EB, 2009/65/EB, 2009/138/ES, 2011/61/ES, ES/2013/36, 2014/65/ES, (ES) 2015/2366 ir ES/2016/2341, COM(2020) 596.</w:t>
            </w:r>
          </w:p>
        </w:tc>
        <w:tc>
          <w:tcPr>
            <w:tcW w:w="4876" w:type="dxa"/>
          </w:tcPr>
          <w:p w:rsidR="0084543E" w:rsidRPr="00837CC4" w:rsidRDefault="0084543E" w:rsidP="00E51AD6">
            <w:pPr>
              <w:pStyle w:val="Normal6a"/>
            </w:pPr>
            <w:r w:rsidRPr="00837CC4">
              <w:rPr>
                <w:rStyle w:val="Sup"/>
              </w:rPr>
              <w:t>42</w:t>
            </w:r>
            <w:r w:rsidRPr="00837CC4">
              <w:t xml:space="preserve"> Pasiūlymas dėl Europos Parlamento ir Tarybos direktyvos, kuria iš dalies keičiamos direktyvos 2006/43/EB, 2009/65/EB, 2009/138/ES, 2011/61/ES, ES/2013/36, 2014/65/ES, (ES) 2015/2366 ir ES/2016/2341, COM(2020) 596.</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pPr>
        <w:pStyle w:val="AmJustTitle"/>
      </w:pPr>
      <w:r w:rsidRPr="00837CC4">
        <w:rPr>
          <w:rStyle w:val="HideTWBExt"/>
          <w:i w:val="0"/>
          <w:noProof w:val="0"/>
        </w:rPr>
        <w:t>&lt;TitreJust&gt;</w:t>
      </w:r>
      <w:r w:rsidRPr="00837CC4">
        <w:t>Pagrindimas</w:t>
      </w:r>
      <w:r w:rsidRPr="00837CC4">
        <w:rPr>
          <w:rStyle w:val="HideTWBExt"/>
          <w:i w:val="0"/>
          <w:noProof w:val="0"/>
        </w:rPr>
        <w:t>&lt;/TitreJust&gt;</w:t>
      </w:r>
    </w:p>
    <w:p w:rsidR="0084543E" w:rsidRPr="00837CC4" w:rsidRDefault="0084543E" w:rsidP="0084543E">
      <w:pPr>
        <w:pStyle w:val="AmJustText"/>
      </w:pPr>
      <w:r w:rsidRPr="00837CC4">
        <w:t>Kai kurie reikalavimai taikomi rinkos infrastruktūros operatoriui. Be to, labai svarbu naujiems dalyviams, kurie pageidautų dalyvauti bandomojoje tvarkoje tapdami PRT DPS, numatyti vieno žingsnio leidimo išdavimo procedūrą. Taip siekiama išvengti dvigubos leidimo išdavimo procedūros, kuriai reikia daug išteklių ir laiko, kuri taptų didele našta naujam rinkos dalyviui.</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164</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Sven Giegold</w:t>
      </w:r>
      <w:r w:rsidRPr="00837CC4">
        <w:rPr>
          <w:rStyle w:val="HideTWBExt"/>
          <w:b w:val="0"/>
          <w:noProof w:val="0"/>
        </w:rPr>
        <w:t>&lt;/Members&gt;</w:t>
      </w:r>
    </w:p>
    <w:p w:rsidR="0084543E" w:rsidRPr="00837CC4" w:rsidRDefault="0084543E" w:rsidP="0084543E">
      <w:r w:rsidRPr="00837CC4">
        <w:rPr>
          <w:rStyle w:val="HideTWBExt"/>
          <w:noProof w:val="0"/>
        </w:rPr>
        <w:t>&lt;AuNomDe&gt;</w:t>
      </w:r>
      <w:r w:rsidRPr="00837CC4">
        <w:rPr>
          <w:rStyle w:val="HideTWBInt"/>
          <w:noProof w:val="0"/>
        </w:rPr>
        <w:t>{Greens/EFA}</w:t>
      </w:r>
      <w:r w:rsidRPr="00837CC4">
        <w:t>Verts/ALE frakcijos vardu</w:t>
      </w:r>
      <w:r w:rsidRPr="00837CC4">
        <w:rPr>
          <w:rStyle w:val="HideTWBExt"/>
          <w:noProof w:val="0"/>
        </w:rPr>
        <w:t>&lt;/AuNomDe&gt;</w:t>
      </w:r>
    </w:p>
    <w:p w:rsidR="0084543E" w:rsidRPr="00837CC4" w:rsidRDefault="0084543E" w:rsidP="0084543E">
      <w:r w:rsidRPr="00837CC4">
        <w:rPr>
          <w:rStyle w:val="HideTWBExt"/>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8 konstatuojamoji dalis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t>(8)</w:t>
            </w:r>
            <w:r w:rsidRPr="00837CC4">
              <w:tab/>
              <w:t>PRT DPS turėtų būti daugiašalė prekybos sistema, kurią valdo investicinė įmonė arba rinkos operatorius, valdantys reguliuojamosios rinkos įmonę, ir galbūt pati reguliuojama rinka, kuriai suteiktas veiklos leidimas pagal Direktyvą 2014/65/ES (Finansinių priemonių rinkų direktyvą, FPRD II), kuri yra gavusi specialų leidimą pagal šį reglamentą. Tokiai PRT DPS turėtų būti taikomi visi daugiašalei prekybos sistemai pagal Direktyvą 2014/65/ES (Finansinių priemonių rinkų direktyvą, FPRD II), Europos Parlamento ir Tarybos reglamentą (ES) Nr. 600/2014 (Finansinių priemonių rinkų reglamentą, FPRR)</w:t>
            </w:r>
            <w:r w:rsidRPr="00837CC4">
              <w:rPr>
                <w:rStyle w:val="Sup"/>
              </w:rPr>
              <w:t>41</w:t>
            </w:r>
            <w:r w:rsidRPr="00837CC4">
              <w:t xml:space="preserve"> ar visus kitus </w:t>
            </w:r>
            <w:r w:rsidRPr="00837CC4">
              <w:rPr>
                <w:b/>
                <w:bCs/>
                <w:i/>
                <w:iCs/>
              </w:rPr>
              <w:t>ES</w:t>
            </w:r>
            <w:r w:rsidRPr="00837CC4">
              <w:t xml:space="preserve"> finansinių paslaugų teisės aktus taikytini reikalavimai, išskyrus </w:t>
            </w:r>
            <w:r w:rsidRPr="00837CC4">
              <w:rPr>
                <w:b/>
                <w:bCs/>
                <w:i/>
                <w:iCs/>
              </w:rPr>
              <w:t>atvejį, kai jos nacionalinė kompetentinga institucija yra leidusi taikyti vieną ar kelias išimtis</w:t>
            </w:r>
            <w:r w:rsidRPr="00837CC4">
              <w:t xml:space="preserve"> pagal šį reglamentą </w:t>
            </w:r>
            <w:r w:rsidRPr="00837CC4">
              <w:rPr>
                <w:b/>
                <w:bCs/>
                <w:i/>
                <w:iCs/>
              </w:rPr>
              <w:t>ir Europos Parlamento ir Tarybos direktyvą (ES) .../...</w:t>
            </w:r>
            <w:r w:rsidRPr="00837CC4">
              <w:rPr>
                <w:rStyle w:val="SupBoldItalic"/>
                <w:b w:val="0"/>
                <w:bCs/>
                <w:i w:val="0"/>
                <w:iCs/>
              </w:rPr>
              <w:t>42</w:t>
            </w:r>
            <w:r w:rsidRPr="00837CC4">
              <w:t>;</w:t>
            </w:r>
          </w:p>
        </w:tc>
        <w:tc>
          <w:tcPr>
            <w:tcW w:w="4876" w:type="dxa"/>
          </w:tcPr>
          <w:p w:rsidR="0084543E" w:rsidRPr="00837CC4" w:rsidRDefault="0084543E" w:rsidP="00E51AD6">
            <w:pPr>
              <w:pStyle w:val="Normal6a"/>
            </w:pPr>
            <w:r w:rsidRPr="00837CC4">
              <w:t>(8)</w:t>
            </w:r>
            <w:r w:rsidRPr="00837CC4">
              <w:tab/>
              <w:t>PRT DPS turėtų būti daugiašalė prekybos sistema, kurią valdo investicinė įmonė arba rinkos operatorius, valdantys įmonę arba reguliuojamą rinką, ir galbūt pati reguliuojama rinka, kuriai suteiktas veiklos leidimas pagal Direktyvą 2014/65/ES (Finansinių priemonių rinkų direktyvą, FPRD II), kuri yra gavusi specialų leidimą pagal šį reglamentą. Tokiai PRT DPS turėtų būti taikomi visi daugiašalei prekybos sistemai pagal Direktyvą 2014/65/ES (Finansinių priemonių rinkų direktyvą, FPRD II), Europos Parlamento ir Tarybos reglamentą (ES) Nr. 600/2014 (Finansinių priemonių rinkų reglamentą, FPRR)</w:t>
            </w:r>
            <w:r w:rsidRPr="00837CC4">
              <w:rPr>
                <w:rStyle w:val="Sup"/>
              </w:rPr>
              <w:t>41</w:t>
            </w:r>
            <w:r w:rsidRPr="00837CC4">
              <w:t xml:space="preserve"> ar visus kitus ES finansinių paslaugų teisės aktus taikytini reikalavimai, išskyrus </w:t>
            </w:r>
            <w:r w:rsidRPr="00837CC4">
              <w:rPr>
                <w:b/>
                <w:bCs/>
                <w:i/>
                <w:iCs/>
              </w:rPr>
              <w:t>reikalavimus, nuo kurių taikymo ją atleido ESMA</w:t>
            </w:r>
            <w:r w:rsidRPr="00837CC4">
              <w:t xml:space="preserve"> pagal šį reglamentą</w:t>
            </w:r>
            <w:r w:rsidRPr="00837CC4">
              <w:rPr>
                <w:b/>
                <w:bCs/>
              </w:rPr>
              <w:t>.</w:t>
            </w:r>
            <w:r w:rsidRPr="00837CC4">
              <w:rPr>
                <w:b/>
                <w:i/>
              </w:rPr>
              <w:t xml:space="preserve"> </w:t>
            </w:r>
            <w:r w:rsidRPr="00837CC4">
              <w:rPr>
                <w:b/>
                <w:bCs/>
                <w:i/>
                <w:iCs/>
              </w:rPr>
              <w:t>Siekiant sudaryti galimybes konkurencijai, kartu išsaugant vienodas sąlygas ir aukštus standartus, susijusius su investuotojų apsauga, rinkos vientisumu ir finansiniu stabilumu, nauji dalyviai turėtų galėti naudotis bandomąja tvarka, jeigu jie laikysis tokių pačių reikalavimų, kurie yra taikomi investicinėms įmonėms, kurioms išduotas leidimas pagal Direktyvą 2014/65/ES (FPRD) ir bet kokius kitus Sąjungos finansinių paslaugų teisės aktus, išskyrus bet kokias pagal šį reglamentą taikomas išimtis</w:t>
            </w:r>
            <w:r w:rsidRPr="00837CC4">
              <w:t>;</w:t>
            </w:r>
          </w:p>
        </w:tc>
      </w:tr>
      <w:tr w:rsidR="0084543E" w:rsidRPr="00837CC4" w:rsidTr="00E51AD6">
        <w:trPr>
          <w:jc w:val="center"/>
        </w:trPr>
        <w:tc>
          <w:tcPr>
            <w:tcW w:w="4876" w:type="dxa"/>
          </w:tcPr>
          <w:p w:rsidR="0084543E" w:rsidRPr="00837CC4" w:rsidRDefault="0084543E" w:rsidP="00E51AD6">
            <w:pPr>
              <w:pStyle w:val="Normal6a"/>
            </w:pPr>
            <w:r w:rsidRPr="00837CC4">
              <w:t>_________________</w:t>
            </w:r>
          </w:p>
        </w:tc>
        <w:tc>
          <w:tcPr>
            <w:tcW w:w="4876" w:type="dxa"/>
          </w:tcPr>
          <w:p w:rsidR="0084543E" w:rsidRPr="00837CC4" w:rsidRDefault="0084543E" w:rsidP="00E51AD6">
            <w:pPr>
              <w:pStyle w:val="Normal6a"/>
            </w:pPr>
            <w:r w:rsidRPr="00837CC4">
              <w:t>_________________</w:t>
            </w:r>
          </w:p>
        </w:tc>
      </w:tr>
      <w:tr w:rsidR="0084543E" w:rsidRPr="00837CC4" w:rsidTr="00E51AD6">
        <w:trPr>
          <w:jc w:val="center"/>
        </w:trPr>
        <w:tc>
          <w:tcPr>
            <w:tcW w:w="4876" w:type="dxa"/>
          </w:tcPr>
          <w:p w:rsidR="0084543E" w:rsidRPr="00837CC4" w:rsidRDefault="0084543E" w:rsidP="00E51AD6">
            <w:pPr>
              <w:pStyle w:val="Normal6a"/>
            </w:pPr>
            <w:r w:rsidRPr="00837CC4">
              <w:rPr>
                <w:rStyle w:val="Sup"/>
              </w:rPr>
              <w:t>41</w:t>
            </w:r>
            <w:r w:rsidRPr="00837CC4">
              <w:t xml:space="preserve"> 2014 m. gegužės 15 d. Europos Parlamento ir Tarybos reglamentas (ES) Nr. 600/2014 dėl finansinių priemonių rinkų, kuriuo iš dalies keičiamas Reglamentas (ES) Nr. 648/2012 (OL L 173, 2014 6 12, p. 84).</w:t>
            </w:r>
          </w:p>
        </w:tc>
        <w:tc>
          <w:tcPr>
            <w:tcW w:w="4876" w:type="dxa"/>
          </w:tcPr>
          <w:p w:rsidR="0084543E" w:rsidRPr="00837CC4" w:rsidRDefault="0084543E" w:rsidP="00E51AD6">
            <w:pPr>
              <w:pStyle w:val="Normal6a"/>
            </w:pPr>
            <w:r w:rsidRPr="00837CC4">
              <w:rPr>
                <w:rStyle w:val="Sup"/>
              </w:rPr>
              <w:t>41</w:t>
            </w:r>
            <w:r w:rsidRPr="00837CC4">
              <w:t xml:space="preserve"> 2014 m. gegužės 15 d. Europos Parlamento ir Tarybos reglamentas (ES) Nr. 600/2014 dėl finansinių priemonių rinkų, kuriuo iš dalies keičiamas Reglamentas (ES) Nr. 648/2012 (OL L 173, 2014 6 12, p. 84).</w:t>
            </w:r>
          </w:p>
        </w:tc>
      </w:tr>
      <w:tr w:rsidR="0084543E" w:rsidRPr="00837CC4" w:rsidTr="00E51AD6">
        <w:trPr>
          <w:jc w:val="center"/>
        </w:trPr>
        <w:tc>
          <w:tcPr>
            <w:tcW w:w="4876" w:type="dxa"/>
          </w:tcPr>
          <w:p w:rsidR="0084543E" w:rsidRPr="00837CC4" w:rsidRDefault="0084543E" w:rsidP="00E51AD6">
            <w:pPr>
              <w:pStyle w:val="Normal6a"/>
            </w:pPr>
            <w:r w:rsidRPr="00837CC4">
              <w:rPr>
                <w:rStyle w:val="SupBoldItalic"/>
                <w:b w:val="0"/>
                <w:bCs/>
                <w:i w:val="0"/>
                <w:iCs/>
              </w:rPr>
              <w:t>42</w:t>
            </w:r>
            <w:r w:rsidRPr="00837CC4">
              <w:rPr>
                <w:b/>
                <w:bCs/>
                <w:i/>
                <w:iCs/>
              </w:rPr>
              <w:t xml:space="preserve"> Pasiūlymas dėl Europos Parlamento ir Tarybos direktyvos, kuria iš dalies keičiamos direktyvos 2006/43/EB, 2009/65/EB, 2009/138/ES, 2011/61/ES, ES/2013/36, 2014/65/ES, (ES) 2015/2366 ir ES/2016/2341, COM(2020) 596.</w:t>
            </w:r>
          </w:p>
        </w:tc>
        <w:tc>
          <w:tcPr>
            <w:tcW w:w="4876" w:type="dxa"/>
          </w:tcPr>
          <w:p w:rsidR="0084543E" w:rsidRPr="00837CC4" w:rsidRDefault="0084543E" w:rsidP="00E51AD6">
            <w:pPr>
              <w:pStyle w:val="Normal6a"/>
            </w:pP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165</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Stéphanie Yon-Courtin, Ondřej Kovařík, Gilles Boyer, Olivier Chastel</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8 konstatuojamoji dalis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t>(8)</w:t>
            </w:r>
            <w:r w:rsidRPr="00837CC4">
              <w:tab/>
              <w:t>PRT DPS turėtų būti daugiašalė prekybos sistema, kurią valdo investicinė įmonė arba rinkos operatorius, valdantys reguliuojamosios rinkos įmonę, ir galbūt pati reguliuojama rinka, kuriai suteiktas veiklos leidimas pagal Direktyvą 2014/65/ES (Finansinių priemonių rinkų direktyvą, FPRD II), kuri yra gavusi specialų leidimą pagal šį reglamentą. Tokiai PRT DPS turėtų būti taikomi visi daugiašalei prekybos sistemai pagal Direktyvą 2014/65/ES (Finansinių priemonių rinkų direktyvą, FPRD II), Europos Parlamento ir Tarybos reglamentą (ES) Nr. 600/2014 (Finansinių priemonių rinkų reglamentą, FPRR)</w:t>
            </w:r>
            <w:r w:rsidRPr="00837CC4">
              <w:rPr>
                <w:rStyle w:val="Sup"/>
              </w:rPr>
              <w:t>41</w:t>
            </w:r>
            <w:r w:rsidRPr="00837CC4">
              <w:t xml:space="preserve"> ar visus kitus ES finansinių paslaugų teisės aktus taikytini reikalavimai, išskyrus atvejį, kai jos nacionalinė kompetentinga institucija yra leidusi taikyti vieną ar kelias išimtis pagal šį reglamentą ir Europos Parlamento ir Tarybos direktyvą (ES) .../...</w:t>
            </w:r>
            <w:r w:rsidRPr="00837CC4">
              <w:rPr>
                <w:rStyle w:val="Sup"/>
              </w:rPr>
              <w:t>42</w:t>
            </w:r>
            <w:r w:rsidRPr="00837CC4">
              <w:t>;</w:t>
            </w:r>
          </w:p>
        </w:tc>
        <w:tc>
          <w:tcPr>
            <w:tcW w:w="4876" w:type="dxa"/>
          </w:tcPr>
          <w:p w:rsidR="0084543E" w:rsidRPr="00837CC4" w:rsidRDefault="0084543E" w:rsidP="00E51AD6">
            <w:pPr>
              <w:pStyle w:val="Normal6a"/>
            </w:pPr>
            <w:r w:rsidRPr="00837CC4">
              <w:t>(8)</w:t>
            </w:r>
            <w:r w:rsidRPr="00837CC4">
              <w:tab/>
              <w:t xml:space="preserve">PRT DPS turėtų būti daugiašalė prekybos sistema, kurią valdo </w:t>
            </w:r>
            <w:r w:rsidRPr="00837CC4">
              <w:rPr>
                <w:b/>
                <w:bCs/>
                <w:i/>
                <w:iCs/>
              </w:rPr>
              <w:t>subjektas, įskaitant investicinę įmonę</w:t>
            </w:r>
            <w:r w:rsidRPr="00837CC4">
              <w:t xml:space="preserve"> arba rinkos </w:t>
            </w:r>
            <w:r w:rsidRPr="00837CC4">
              <w:rPr>
                <w:b/>
                <w:bCs/>
                <w:i/>
                <w:iCs/>
              </w:rPr>
              <w:t>operatorių</w:t>
            </w:r>
            <w:r w:rsidRPr="00837CC4">
              <w:t xml:space="preserve">, </w:t>
            </w:r>
            <w:r w:rsidRPr="00837CC4">
              <w:rPr>
                <w:b/>
                <w:bCs/>
                <w:i/>
                <w:iCs/>
              </w:rPr>
              <w:t>valdančius</w:t>
            </w:r>
            <w:r w:rsidRPr="00837CC4">
              <w:t xml:space="preserve"> reguliuojamosios rinkos įmonę, </w:t>
            </w:r>
            <w:r w:rsidRPr="00837CC4">
              <w:rPr>
                <w:b/>
                <w:bCs/>
                <w:i/>
                <w:iCs/>
              </w:rPr>
              <w:t xml:space="preserve">tačiau jais neapsiribojant, </w:t>
            </w:r>
            <w:r w:rsidRPr="00837CC4">
              <w:t>ir galbūt pati reguliuojama rinka, kuriai suteiktas veiklos leidimas pagal Direktyvą 2014/65/ES (Finansinių priemonių rinkų direktyvą, FPRD II), kuri yra gavusi specialų leidimą pagal šį reglamentą. Tokiai PRT DPS turėtų būti taikomi visi daugiašalei prekybos sistemai pagal Direktyvą 2014/65/ES (Finansinių priemonių rinkų direktyvą, FPRD II), Europos Parlamento ir Tarybos reglamentą (ES) Nr. 600/2014 (Finansinių priemonių rinkų reglamentą, FPRR)</w:t>
            </w:r>
            <w:r w:rsidRPr="00837CC4">
              <w:rPr>
                <w:rStyle w:val="Sup"/>
              </w:rPr>
              <w:t>41</w:t>
            </w:r>
            <w:r w:rsidRPr="00837CC4">
              <w:t xml:space="preserve"> ar visus kitus ES finansinių paslaugų teisės aktus taikytini reikalavimai, išskyrus atvejį, kai jos nacionalinė kompetentinga institucija yra leidusi taikyti vieną ar kelias išimtis pagal šį reglamentą ir Europos Parlamento ir Tarybos direktyvą (ES) .../...</w:t>
            </w:r>
            <w:r w:rsidRPr="00837CC4">
              <w:rPr>
                <w:rStyle w:val="Sup"/>
              </w:rPr>
              <w:t>42</w:t>
            </w:r>
            <w:r w:rsidRPr="00837CC4">
              <w:t>;</w:t>
            </w:r>
          </w:p>
        </w:tc>
      </w:tr>
      <w:tr w:rsidR="0084543E" w:rsidRPr="00837CC4" w:rsidTr="00E51AD6">
        <w:trPr>
          <w:jc w:val="center"/>
        </w:trPr>
        <w:tc>
          <w:tcPr>
            <w:tcW w:w="4876" w:type="dxa"/>
          </w:tcPr>
          <w:p w:rsidR="0084543E" w:rsidRPr="00837CC4" w:rsidRDefault="0084543E" w:rsidP="00E51AD6">
            <w:pPr>
              <w:pStyle w:val="Normal6a"/>
            </w:pPr>
            <w:r w:rsidRPr="00837CC4">
              <w:t>_________________</w:t>
            </w:r>
          </w:p>
        </w:tc>
        <w:tc>
          <w:tcPr>
            <w:tcW w:w="4876" w:type="dxa"/>
          </w:tcPr>
          <w:p w:rsidR="0084543E" w:rsidRPr="00837CC4" w:rsidRDefault="0084543E" w:rsidP="00E51AD6">
            <w:pPr>
              <w:pStyle w:val="Normal6a"/>
            </w:pPr>
            <w:r w:rsidRPr="00837CC4">
              <w:t>_________________</w:t>
            </w:r>
          </w:p>
        </w:tc>
      </w:tr>
      <w:tr w:rsidR="0084543E" w:rsidRPr="00837CC4" w:rsidTr="00E51AD6">
        <w:trPr>
          <w:jc w:val="center"/>
        </w:trPr>
        <w:tc>
          <w:tcPr>
            <w:tcW w:w="4876" w:type="dxa"/>
          </w:tcPr>
          <w:p w:rsidR="0084543E" w:rsidRPr="00837CC4" w:rsidRDefault="0084543E" w:rsidP="00E51AD6">
            <w:pPr>
              <w:pStyle w:val="Normal6a"/>
            </w:pPr>
            <w:r w:rsidRPr="00837CC4">
              <w:rPr>
                <w:rStyle w:val="Sup"/>
              </w:rPr>
              <w:t>41</w:t>
            </w:r>
            <w:r w:rsidRPr="00837CC4">
              <w:t xml:space="preserve"> 2014 m. gegužės 15 d. Europos Parlamento ir Tarybos reglamentas (ES) Nr. 600/2014 dėl finansinių priemonių rinkų, kuriuo iš dalies keičiamas Reglamentas (ES) Nr. 648/2012 (OL L 173, 2014 6 12, p. 84).</w:t>
            </w:r>
          </w:p>
        </w:tc>
        <w:tc>
          <w:tcPr>
            <w:tcW w:w="4876" w:type="dxa"/>
          </w:tcPr>
          <w:p w:rsidR="0084543E" w:rsidRPr="00837CC4" w:rsidRDefault="0084543E" w:rsidP="00E51AD6">
            <w:pPr>
              <w:pStyle w:val="Normal6a"/>
            </w:pPr>
            <w:r w:rsidRPr="00837CC4">
              <w:rPr>
                <w:rStyle w:val="Sup"/>
              </w:rPr>
              <w:t>41</w:t>
            </w:r>
            <w:r w:rsidRPr="00837CC4">
              <w:t xml:space="preserve"> 2014 m. gegužės 15 d. Europos Parlamento ir Tarybos reglamentas (ES) Nr. 600/2014 dėl finansinių priemonių rinkų, kuriuo iš dalies keičiamas Reglamentas (ES) Nr. 648/2012 (OL L 173, 2014 6 12, p. 84).</w:t>
            </w:r>
          </w:p>
        </w:tc>
      </w:tr>
      <w:tr w:rsidR="0084543E" w:rsidRPr="00837CC4" w:rsidTr="00E51AD6">
        <w:trPr>
          <w:jc w:val="center"/>
        </w:trPr>
        <w:tc>
          <w:tcPr>
            <w:tcW w:w="4876" w:type="dxa"/>
          </w:tcPr>
          <w:p w:rsidR="0084543E" w:rsidRPr="00837CC4" w:rsidRDefault="0084543E" w:rsidP="00E51AD6">
            <w:pPr>
              <w:pStyle w:val="Normal6a"/>
            </w:pPr>
            <w:r w:rsidRPr="00837CC4">
              <w:rPr>
                <w:rStyle w:val="Sup"/>
              </w:rPr>
              <w:t>42</w:t>
            </w:r>
            <w:r w:rsidRPr="00837CC4">
              <w:t xml:space="preserve"> Pasiūlymas dėl Europos Parlamento ir Tarybos direktyvos, kuria iš dalies keičiamos direktyvos 2006/43/EB, 2009/65/EB, 2009/138/ES, 2011/61/ES, ES/2013/36, 2014/65/ES, (ES) 2015/2366 ir ES/2016/2341, COM(2020) 596.</w:t>
            </w:r>
          </w:p>
        </w:tc>
        <w:tc>
          <w:tcPr>
            <w:tcW w:w="4876" w:type="dxa"/>
          </w:tcPr>
          <w:p w:rsidR="0084543E" w:rsidRPr="00837CC4" w:rsidRDefault="0084543E" w:rsidP="00E51AD6">
            <w:pPr>
              <w:pStyle w:val="Normal6a"/>
            </w:pPr>
            <w:r w:rsidRPr="00837CC4">
              <w:rPr>
                <w:rStyle w:val="Sup"/>
              </w:rPr>
              <w:t>42</w:t>
            </w:r>
            <w:r w:rsidRPr="00837CC4">
              <w:t xml:space="preserve"> Pasiūlymas dėl Europos Parlamento ir Tarybos direktyvos, kuria iš dalies keičiamos direktyvos 2006/43/EB, 2009/65/EB, 2009/138/ES, 2011/61/ES, ES/2013/36, 2014/65/ES, (ES) 2015/2366 ir ES/2016/2341, COM(2020) 596.</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pPr>
        <w:pStyle w:val="AmJustTitle"/>
      </w:pPr>
      <w:r w:rsidRPr="00837CC4">
        <w:rPr>
          <w:rStyle w:val="HideTWBExt"/>
          <w:i w:val="0"/>
          <w:noProof w:val="0"/>
        </w:rPr>
        <w:t>&lt;TitreJust&gt;</w:t>
      </w:r>
      <w:r w:rsidRPr="00837CC4">
        <w:t>Pagrindimas</w:t>
      </w:r>
      <w:r w:rsidRPr="00837CC4">
        <w:rPr>
          <w:rStyle w:val="HideTWBExt"/>
          <w:i w:val="0"/>
          <w:noProof w:val="0"/>
        </w:rPr>
        <w:t>&lt;/TitreJust&gt;</w:t>
      </w:r>
    </w:p>
    <w:p w:rsidR="0084543E" w:rsidRPr="00837CC4" w:rsidRDefault="0084543E" w:rsidP="0084543E">
      <w:pPr>
        <w:pStyle w:val="AmJustText"/>
      </w:pPr>
      <w:r w:rsidRPr="00837CC4">
        <w:t>Bandomosios tvarkos atvirumas naujų dalyvių atžvilgiu.</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166</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Gunnar Beck, Maximilian Krah</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8 konstatuojamoji dalis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t>(8)</w:t>
            </w:r>
            <w:r w:rsidRPr="00837CC4">
              <w:tab/>
              <w:t>PRT DPS turėtų būti daugiašalė prekybos sistema, kurią valdo investicinė įmonė arba rinkos operatorius, valdantys įmonę arba reguliuojamą rinką, ir galbūt pati reguliuojama rinka, kuriai suteiktas veiklos leidimas pagal Direktyvą 2014/65/ES (Finansinių priemonių rinkų direktyvą, FPRD II), kuri yra gavusi specialų leidimą pagal šį reglamentą. Tokiai PRT DPS turėtų būti taikomi visi daugiašalei prekybos sistemai pagal Direktyvą 2014/65/ES (Finansinių priemonių rinkų direktyvą, FPRD II), Europos Parlamento ir Tarybos reglamentą (ES) Nr. 600/2014 (Finansinių priemonių rinkų reglamentą, FPRR)</w:t>
            </w:r>
            <w:r w:rsidRPr="00837CC4">
              <w:rPr>
                <w:rStyle w:val="Sup"/>
              </w:rPr>
              <w:t>41</w:t>
            </w:r>
            <w:r w:rsidRPr="00837CC4">
              <w:t xml:space="preserve"> ar visus kitus ES finansinių paslaugų teisės aktus taikytini reikalavimai, išskyrus atvejį, kai jos nacionalinė kompetentinga institucija yra leidusi taikyti vieną ar kelias išimtis pagal šį reglamentą ir Europos Parlamento ir Tarybos direktyvą (ES) .../...</w:t>
            </w:r>
            <w:r w:rsidRPr="00837CC4">
              <w:rPr>
                <w:rStyle w:val="Sup"/>
              </w:rPr>
              <w:t>42</w:t>
            </w:r>
            <w:r w:rsidRPr="00837CC4">
              <w:t>;</w:t>
            </w:r>
          </w:p>
        </w:tc>
        <w:tc>
          <w:tcPr>
            <w:tcW w:w="4876" w:type="dxa"/>
          </w:tcPr>
          <w:p w:rsidR="0084543E" w:rsidRPr="00837CC4" w:rsidRDefault="0084543E" w:rsidP="00E51AD6">
            <w:pPr>
              <w:pStyle w:val="Normal6a"/>
            </w:pPr>
            <w:r w:rsidRPr="00837CC4">
              <w:t>(8)</w:t>
            </w:r>
            <w:r w:rsidRPr="00837CC4">
              <w:tab/>
              <w:t>PRT DPS turėtų būti daugiašalė prekybos sistema, kurią valdo investicinė įmonė</w:t>
            </w:r>
            <w:r w:rsidRPr="00837CC4">
              <w:rPr>
                <w:b/>
                <w:bCs/>
                <w:i/>
                <w:iCs/>
              </w:rPr>
              <w:t>, kriptoturto emitentas</w:t>
            </w:r>
            <w:r w:rsidRPr="00837CC4">
              <w:t xml:space="preserve"> arba rinkos operatorius, valdantys reguliuojamosios rinkos įmonę, ir galbūt pati reguliuojama rinka, kuriai suteiktas veiklos leidimas pagal Direktyvą 2014/65/ES (Finansinių priemonių rinkų direktyvą, FPRD II), kuri yra gavusi specialų leidimą pagal šį reglamentą. Tokiai PRT DPS turėtų būti taikomi visi daugiašalei prekybos sistemai pagal Direktyvą 2014/65/ES (Finansinių priemonių rinkų direktyvą, FPRD II), Europos Parlamento ir Tarybos reglamentą (ES) Nr. 600/2014 (Finansinių priemonių rinkų reglamentą, FPRR)</w:t>
            </w:r>
            <w:r w:rsidRPr="00837CC4">
              <w:rPr>
                <w:rStyle w:val="Sup"/>
              </w:rPr>
              <w:t>41</w:t>
            </w:r>
            <w:r w:rsidRPr="00837CC4">
              <w:t xml:space="preserve"> ar visus kitus ES finansinių paslaugų teisės aktus taikytini reikalavimai, išskyrus atvejį, kai jos nacionalinė kompetentinga institucija yra leidusi taikyti vieną ar kelias išimtis pagal šį reglamentą ir Europos Parlamento ir Tarybos direktyvą (ES) .../...</w:t>
            </w:r>
            <w:r w:rsidRPr="00837CC4">
              <w:rPr>
                <w:rStyle w:val="Sup"/>
              </w:rPr>
              <w:t>42</w:t>
            </w:r>
            <w:r w:rsidRPr="00837CC4">
              <w:t>;</w:t>
            </w:r>
          </w:p>
        </w:tc>
      </w:tr>
      <w:tr w:rsidR="0084543E" w:rsidRPr="00837CC4" w:rsidTr="00E51AD6">
        <w:trPr>
          <w:jc w:val="center"/>
        </w:trPr>
        <w:tc>
          <w:tcPr>
            <w:tcW w:w="4876" w:type="dxa"/>
          </w:tcPr>
          <w:p w:rsidR="0084543E" w:rsidRPr="00837CC4" w:rsidRDefault="0084543E" w:rsidP="00E51AD6">
            <w:pPr>
              <w:pStyle w:val="Normal6a"/>
            </w:pPr>
            <w:r w:rsidRPr="00837CC4">
              <w:t>_________________</w:t>
            </w:r>
          </w:p>
        </w:tc>
        <w:tc>
          <w:tcPr>
            <w:tcW w:w="4876" w:type="dxa"/>
          </w:tcPr>
          <w:p w:rsidR="0084543E" w:rsidRPr="00837CC4" w:rsidRDefault="0084543E" w:rsidP="00E51AD6">
            <w:pPr>
              <w:pStyle w:val="Normal6a"/>
            </w:pPr>
            <w:r w:rsidRPr="00837CC4">
              <w:t>_________________</w:t>
            </w:r>
          </w:p>
        </w:tc>
      </w:tr>
      <w:tr w:rsidR="0084543E" w:rsidRPr="00837CC4" w:rsidTr="00E51AD6">
        <w:trPr>
          <w:jc w:val="center"/>
        </w:trPr>
        <w:tc>
          <w:tcPr>
            <w:tcW w:w="4876" w:type="dxa"/>
          </w:tcPr>
          <w:p w:rsidR="0084543E" w:rsidRPr="00837CC4" w:rsidRDefault="0084543E" w:rsidP="00E51AD6">
            <w:pPr>
              <w:pStyle w:val="Normal6a"/>
            </w:pPr>
            <w:r w:rsidRPr="00837CC4">
              <w:rPr>
                <w:rStyle w:val="Sup"/>
              </w:rPr>
              <w:t>41</w:t>
            </w:r>
            <w:r w:rsidRPr="00837CC4">
              <w:t xml:space="preserve"> 2014 m. gegužės 15 d. Europos Parlamento ir Tarybos reglamentas (ES) Nr. 600/2014 dėl finansinių priemonių rinkų, kuriuo iš dalies keičiamas Reglamentas (ES) Nr. 648/2012 (OL L 173, 2014 6 12, p. 84).</w:t>
            </w:r>
          </w:p>
        </w:tc>
        <w:tc>
          <w:tcPr>
            <w:tcW w:w="4876" w:type="dxa"/>
          </w:tcPr>
          <w:p w:rsidR="0084543E" w:rsidRPr="00837CC4" w:rsidRDefault="0084543E" w:rsidP="00E51AD6">
            <w:pPr>
              <w:pStyle w:val="Normal6a"/>
            </w:pPr>
            <w:r w:rsidRPr="00837CC4">
              <w:rPr>
                <w:rStyle w:val="Sup"/>
              </w:rPr>
              <w:t>41</w:t>
            </w:r>
            <w:r w:rsidRPr="00837CC4">
              <w:t xml:space="preserve"> 2014 m. gegužės 15 d. Europos Parlamento ir Tarybos reglamentas (ES) Nr. 600/2014 dėl finansinių priemonių rinkų, kuriuo iš dalies keičiamas Reglamentas (ES) Nr. 648/2012 (OL L 173, 2014 6 12, p. 84).</w:t>
            </w:r>
          </w:p>
        </w:tc>
      </w:tr>
      <w:tr w:rsidR="0084543E" w:rsidRPr="00837CC4" w:rsidTr="00E51AD6">
        <w:trPr>
          <w:jc w:val="center"/>
        </w:trPr>
        <w:tc>
          <w:tcPr>
            <w:tcW w:w="4876" w:type="dxa"/>
          </w:tcPr>
          <w:p w:rsidR="0084543E" w:rsidRPr="00837CC4" w:rsidRDefault="0084543E" w:rsidP="00E51AD6">
            <w:pPr>
              <w:pStyle w:val="Normal6a"/>
            </w:pPr>
            <w:r w:rsidRPr="00837CC4">
              <w:rPr>
                <w:rStyle w:val="Sup"/>
              </w:rPr>
              <w:t>42</w:t>
            </w:r>
            <w:r w:rsidRPr="00837CC4">
              <w:t xml:space="preserve"> Pasiūlymas dėl Europos Parlamento ir Tarybos direktyvos, kuria iš dalies keičiamos direktyvos 2006/43/EB, 2009/65/EB, 2009/138/ES, 2011/61/ES, ES/2013/36, 2014/65/ES, (ES) 2015/2366 ir ES/2016/2341, COM(2020) 596.</w:t>
            </w:r>
          </w:p>
        </w:tc>
        <w:tc>
          <w:tcPr>
            <w:tcW w:w="4876" w:type="dxa"/>
          </w:tcPr>
          <w:p w:rsidR="0084543E" w:rsidRPr="00837CC4" w:rsidRDefault="0084543E" w:rsidP="00E51AD6">
            <w:pPr>
              <w:pStyle w:val="Normal6a"/>
            </w:pPr>
            <w:r w:rsidRPr="00837CC4">
              <w:rPr>
                <w:rStyle w:val="Sup"/>
              </w:rPr>
              <w:t>42</w:t>
            </w:r>
            <w:r w:rsidRPr="00837CC4">
              <w:t xml:space="preserve"> Pasiūlymas dėl Europos Parlamento ir Tarybos direktyvos, kuria iš dalies keičiamos direktyvos 2006/43/EB, 2009/65/EB, 2009/138/ES, 2011/61/ES, ES/2013/36, 2014/65/ES, (ES) 2015/2366 ir ES/2016/2341, COM(2020) 596.</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167</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Jessica Polfjärd</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8 konstatuojamoji dalis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t>(8)</w:t>
            </w:r>
            <w:r w:rsidRPr="00837CC4">
              <w:tab/>
              <w:t xml:space="preserve">PRT DPS turėtų būti daugiašalė prekybos sistema, kurią valdo investicinė įmonė arba rinkos operatorius, valdantys įmonę </w:t>
            </w:r>
            <w:r w:rsidRPr="00837CC4">
              <w:rPr>
                <w:b/>
                <w:bCs/>
                <w:i/>
                <w:iCs/>
              </w:rPr>
              <w:t>arba reguliuojamą rinką</w:t>
            </w:r>
            <w:r w:rsidRPr="00837CC4">
              <w:t>, ir galbūt pati reguliuojama rinka, kuriai suteiktas veiklos leidimas pagal Direktyvą 2014/65/ES (Finansinių priemonių rinkų direktyvą, FPRD II), kuri yra gavusi specialų leidimą pagal šį reglamentą. Tokiai PRT DPS turėtų būti taikomi visi daugiašalei prekybos sistemai pagal Direktyvą 2014/65/ES (Finansinių priemonių rinkų direktyvą, FPRD II), Europos Parlamento ir Tarybos reglamentą (ES) Nr. 600/2014 (Finansinių priemonių rinkų reglamentą, FPRR)</w:t>
            </w:r>
            <w:r w:rsidRPr="00837CC4">
              <w:rPr>
                <w:rStyle w:val="Sup"/>
              </w:rPr>
              <w:t>41</w:t>
            </w:r>
            <w:r w:rsidRPr="00837CC4">
              <w:t xml:space="preserve"> </w:t>
            </w:r>
            <w:r w:rsidRPr="00837CC4">
              <w:rPr>
                <w:b/>
                <w:bCs/>
                <w:i/>
                <w:iCs/>
              </w:rPr>
              <w:t>ar</w:t>
            </w:r>
            <w:r w:rsidRPr="00837CC4">
              <w:t xml:space="preserve"> visus kitus </w:t>
            </w:r>
            <w:r w:rsidRPr="00837CC4">
              <w:rPr>
                <w:b/>
                <w:bCs/>
                <w:i/>
                <w:iCs/>
              </w:rPr>
              <w:t>ES</w:t>
            </w:r>
            <w:r w:rsidRPr="00837CC4">
              <w:t xml:space="preserve"> finansinių paslaugų teisės aktus taikytini reikalavimai, išskyrus atvejį, kai jos nacionalinė kompetentinga institucija yra leidusi taikyti vieną ar kelias išimtis pagal šį reglamentą ir Europos Parlamento ir Tarybos direktyvą (ES) .../...</w:t>
            </w:r>
            <w:r w:rsidRPr="00837CC4">
              <w:rPr>
                <w:rStyle w:val="Sup"/>
              </w:rPr>
              <w:t>42</w:t>
            </w:r>
            <w:r w:rsidRPr="00837CC4">
              <w:t>;</w:t>
            </w:r>
          </w:p>
        </w:tc>
        <w:tc>
          <w:tcPr>
            <w:tcW w:w="4876" w:type="dxa"/>
          </w:tcPr>
          <w:p w:rsidR="0084543E" w:rsidRPr="00837CC4" w:rsidRDefault="0084543E" w:rsidP="00E51AD6">
            <w:pPr>
              <w:pStyle w:val="Normal6a"/>
            </w:pPr>
            <w:r w:rsidRPr="00837CC4">
              <w:t>(8)</w:t>
            </w:r>
            <w:r w:rsidRPr="00837CC4">
              <w:tab/>
              <w:t xml:space="preserve">PRT DPS turėtų būti daugiašalė prekybos sistema, kurią valdo investicinė įmonė arba rinkos operatorius, valdantys </w:t>
            </w:r>
            <w:r w:rsidRPr="00837CC4">
              <w:rPr>
                <w:b/>
                <w:bCs/>
                <w:i/>
                <w:iCs/>
              </w:rPr>
              <w:t xml:space="preserve">reguliuojamosios trinkos </w:t>
            </w:r>
            <w:r w:rsidRPr="00837CC4">
              <w:t>įmonę, ir galbūt pati reguliuojama rinka, kuriai suteiktas veiklos leidimas pagal Direktyvą 2014/65/ES (Finansinių priemonių rinkų direktyvą, FPRD II), kuri yra gavusi specialų leidimą pagal šį reglamentą. Tokiai PRT DPS turėtų būti taikomi visi daugiašalei prekybos sistemai pagal Direktyvą 2014/65/ES (Finansinių priemonių rinkų direktyvą, FPRD II), Europos Parlamento ir Tarybos reglamentą (ES) Nr. 600/2014 (Finansinių priemonių rinkų reglamentą, FPRR)</w:t>
            </w:r>
            <w:r w:rsidRPr="00837CC4">
              <w:rPr>
                <w:rStyle w:val="Sup"/>
              </w:rPr>
              <w:t>41</w:t>
            </w:r>
            <w:r w:rsidRPr="00837CC4">
              <w:t xml:space="preserve"> </w:t>
            </w:r>
            <w:r w:rsidRPr="00837CC4">
              <w:rPr>
                <w:b/>
                <w:bCs/>
                <w:i/>
                <w:iCs/>
              </w:rPr>
              <w:t>ir</w:t>
            </w:r>
            <w:r w:rsidRPr="00837CC4">
              <w:t xml:space="preserve"> visus kitus </w:t>
            </w:r>
            <w:r w:rsidRPr="00837CC4">
              <w:rPr>
                <w:b/>
                <w:bCs/>
                <w:i/>
                <w:iCs/>
              </w:rPr>
              <w:t>galiojančius Sąjungos</w:t>
            </w:r>
            <w:r w:rsidRPr="00837CC4">
              <w:t xml:space="preserve"> finansinių paslaugų teisės aktus taikytini reikalavimai, išskyrus atvejį, kai jos nacionalinė kompetentinga institucija yra leidusi taikyti vieną ar kelias išimtis pagal šį reglamentą ir Europos Parlamento ir Tarybos direktyvą (ES) .../...</w:t>
            </w:r>
            <w:r w:rsidRPr="00837CC4">
              <w:rPr>
                <w:rStyle w:val="Sup"/>
              </w:rPr>
              <w:t>42</w:t>
            </w:r>
            <w:r w:rsidRPr="00837CC4">
              <w:t>;</w:t>
            </w:r>
          </w:p>
        </w:tc>
      </w:tr>
      <w:tr w:rsidR="0084543E" w:rsidRPr="00837CC4" w:rsidTr="00E51AD6">
        <w:trPr>
          <w:jc w:val="center"/>
        </w:trPr>
        <w:tc>
          <w:tcPr>
            <w:tcW w:w="4876" w:type="dxa"/>
          </w:tcPr>
          <w:p w:rsidR="0084543E" w:rsidRPr="00837CC4" w:rsidRDefault="0084543E" w:rsidP="00E51AD6">
            <w:pPr>
              <w:pStyle w:val="Normal6a"/>
            </w:pPr>
            <w:r w:rsidRPr="00837CC4">
              <w:t>_________________</w:t>
            </w:r>
          </w:p>
        </w:tc>
        <w:tc>
          <w:tcPr>
            <w:tcW w:w="4876" w:type="dxa"/>
          </w:tcPr>
          <w:p w:rsidR="0084543E" w:rsidRPr="00837CC4" w:rsidRDefault="0084543E" w:rsidP="00E51AD6">
            <w:pPr>
              <w:pStyle w:val="Normal6a"/>
            </w:pPr>
            <w:r w:rsidRPr="00837CC4">
              <w:t>_________________</w:t>
            </w:r>
          </w:p>
        </w:tc>
      </w:tr>
      <w:tr w:rsidR="0084543E" w:rsidRPr="00837CC4" w:rsidTr="00E51AD6">
        <w:trPr>
          <w:jc w:val="center"/>
        </w:trPr>
        <w:tc>
          <w:tcPr>
            <w:tcW w:w="4876" w:type="dxa"/>
          </w:tcPr>
          <w:p w:rsidR="0084543E" w:rsidRPr="00837CC4" w:rsidRDefault="0084543E" w:rsidP="00E51AD6">
            <w:pPr>
              <w:pStyle w:val="Normal6a"/>
            </w:pPr>
            <w:r w:rsidRPr="00837CC4">
              <w:rPr>
                <w:rStyle w:val="Sup"/>
              </w:rPr>
              <w:t>41</w:t>
            </w:r>
            <w:r w:rsidRPr="00837CC4">
              <w:t xml:space="preserve"> 2014 m. gegužės 15 d. Europos Parlamento ir Tarybos reglamentas (ES) Nr. 600/2014 dėl finansinių priemonių rinkų, kuriuo iš dalies keičiamas Reglamentas (ES) Nr. 648/2012 (OL L 173, 2014 6 12, p. 84).</w:t>
            </w:r>
          </w:p>
        </w:tc>
        <w:tc>
          <w:tcPr>
            <w:tcW w:w="4876" w:type="dxa"/>
          </w:tcPr>
          <w:p w:rsidR="0084543E" w:rsidRPr="00837CC4" w:rsidRDefault="0084543E" w:rsidP="00E51AD6">
            <w:pPr>
              <w:pStyle w:val="Normal6a"/>
            </w:pPr>
            <w:r w:rsidRPr="00837CC4">
              <w:rPr>
                <w:rStyle w:val="Sup"/>
              </w:rPr>
              <w:t>41</w:t>
            </w:r>
            <w:r w:rsidRPr="00837CC4">
              <w:t xml:space="preserve"> 2014 m. gegužės 15 d. Europos Parlamento ir Tarybos reglamentas (ES) Nr. 600/2014 dėl finansinių priemonių rinkų, kuriuo iš dalies keičiamas Reglamentas (ES) Nr. 648/2012 (OL L 173, 2014 6 12, p. 84).</w:t>
            </w:r>
          </w:p>
        </w:tc>
      </w:tr>
      <w:tr w:rsidR="0084543E" w:rsidRPr="00837CC4" w:rsidTr="00E51AD6">
        <w:trPr>
          <w:jc w:val="center"/>
        </w:trPr>
        <w:tc>
          <w:tcPr>
            <w:tcW w:w="4876" w:type="dxa"/>
          </w:tcPr>
          <w:p w:rsidR="0084543E" w:rsidRPr="00837CC4" w:rsidRDefault="0084543E" w:rsidP="00E51AD6">
            <w:pPr>
              <w:pStyle w:val="Normal6a"/>
            </w:pPr>
            <w:r w:rsidRPr="00837CC4">
              <w:rPr>
                <w:rStyle w:val="Sup"/>
              </w:rPr>
              <w:t>42</w:t>
            </w:r>
            <w:r w:rsidRPr="00837CC4">
              <w:t xml:space="preserve"> Pasiūlymas dėl Europos Parlamento ir Tarybos direktyvos, kuria iš dalies keičiamos direktyvos 2006/43/EB, 2009/65/EB, 2009/138/ES, 2011/61/ES, ES/2013/36, 2014/65/ES, (ES) 2015/2366 ir ES/2016/2341, COM(2020) 596.</w:t>
            </w:r>
          </w:p>
        </w:tc>
        <w:tc>
          <w:tcPr>
            <w:tcW w:w="4876" w:type="dxa"/>
          </w:tcPr>
          <w:p w:rsidR="0084543E" w:rsidRPr="00837CC4" w:rsidRDefault="0084543E" w:rsidP="00E51AD6">
            <w:pPr>
              <w:pStyle w:val="Normal6a"/>
            </w:pPr>
            <w:r w:rsidRPr="00837CC4">
              <w:rPr>
                <w:rStyle w:val="Sup"/>
              </w:rPr>
              <w:t>42</w:t>
            </w:r>
            <w:r w:rsidRPr="00837CC4">
              <w:t xml:space="preserve"> Pasiūlymas dėl Europos Parlamento ir Tarybos direktyvos, kuria iš dalies keičiamos direktyvos 2006/43/EB, 2009/65/EB, 2009/138/ES, 2011/61/ES, ES/2013/36, 2014/65/ES, (ES) 2015/2366 ir ES/2016/2341, COM(2020) 596.</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168</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Stéphanie Yon-Courtin, Ondřej Kovařík, Gilles Boyer, Olivier Chastel</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8 a konstatuojamoji dalis (nauja)</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p>
        </w:tc>
        <w:tc>
          <w:tcPr>
            <w:tcW w:w="4876" w:type="dxa"/>
          </w:tcPr>
          <w:p w:rsidR="0084543E" w:rsidRPr="00837CC4" w:rsidRDefault="0084543E" w:rsidP="00E51AD6">
            <w:pPr>
              <w:pStyle w:val="Normal6a"/>
            </w:pPr>
            <w:r w:rsidRPr="00837CC4">
              <w:rPr>
                <w:b/>
                <w:i/>
              </w:rPr>
              <w:t>(8a)</w:t>
            </w:r>
            <w:r w:rsidRPr="00837CC4">
              <w:tab/>
            </w:r>
            <w:r w:rsidRPr="00837CC4">
              <w:rPr>
                <w:b/>
                <w:i/>
              </w:rPr>
              <w:t>subjektams, kuriems pagal Direktyvą 2014/65/ES neišduotas leidimas, turėtų būti leidžiama pateikti prašymą dėl specialaus leidimo pagal šį reglamentą valdyti PRT DPS išdavimo, taikant skubos tvarka procedūrą;</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pPr>
        <w:pStyle w:val="AmJustTitle"/>
      </w:pPr>
      <w:r w:rsidRPr="00837CC4">
        <w:rPr>
          <w:rStyle w:val="HideTWBExt"/>
          <w:i w:val="0"/>
          <w:noProof w:val="0"/>
        </w:rPr>
        <w:t>&lt;TitreJust&gt;</w:t>
      </w:r>
      <w:r w:rsidRPr="00837CC4">
        <w:t>Pagrindimas</w:t>
      </w:r>
      <w:r w:rsidRPr="00837CC4">
        <w:rPr>
          <w:rStyle w:val="HideTWBExt"/>
          <w:i w:val="0"/>
          <w:noProof w:val="0"/>
        </w:rPr>
        <w:t>&lt;/TitreJust&gt;</w:t>
      </w:r>
    </w:p>
    <w:p w:rsidR="0084543E" w:rsidRPr="00837CC4" w:rsidRDefault="0084543E" w:rsidP="0084543E">
      <w:pPr>
        <w:pStyle w:val="AmJustText"/>
      </w:pPr>
      <w:r w:rsidRPr="00837CC4">
        <w:t>Naujiems dalyviams, kuriems prašymo pateikimo metu nesuteiktas leidimas valdyti DPS, taikoma paspartinta procedūra.</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169</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Eva Kaili</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9 konstatuojamoji dalis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t>(9)</w:t>
            </w:r>
            <w:r w:rsidRPr="00837CC4">
              <w:tab/>
              <w:t xml:space="preserve">naudojant paskirstytojo registro technologiją, kai visi sandoriai registruojami </w:t>
            </w:r>
            <w:r w:rsidRPr="00837CC4">
              <w:rPr>
                <w:b/>
                <w:bCs/>
                <w:i/>
                <w:iCs/>
              </w:rPr>
              <w:t>decentralizuotame registre</w:t>
            </w:r>
            <w:r w:rsidRPr="00837CC4">
              <w:t xml:space="preserve">, galima paspartinti ir priartinti prekybą ir atsiskaitymą beveik prie tikrojo laiko ir būtų galima sudaryti sąlygas prekybai ir poprekybinei veiklai sujungti. Tačiau pagal dabartines taisykles numatyta, kad prekybos ir atsiskaitymo veiklą vykdo atskiros rinkos infrastruktūros. Pagal Europos Parlamento ir Tarybos reglamentą (ES) Nr. 909/2014 (Centrinių vertybinių popierių depozitoriumų reglamentą) reikalaujama, kad finansinės priemonės, kuriomis leidžiama prekiauti prekybos vietoje, kaip apibrėžta Direktyvoje 2014/65/ES (Finansinių priemonių rinkų direktyvoje, FPRD II), būtų registruojamos centriniame vertybinių popierių depozitoriume (CVPD), o paskirstytasis registras galėtų būti potencialiai naudojamas kaip decentralizuota tokio depozitoriumo </w:t>
            </w:r>
            <w:r w:rsidRPr="00837CC4">
              <w:rPr>
                <w:b/>
                <w:bCs/>
                <w:i/>
                <w:iCs/>
              </w:rPr>
              <w:t>versija</w:t>
            </w:r>
            <w:r w:rsidRPr="00837CC4">
              <w:t xml:space="preserve">. Todėl esama pagrindo leisti PRT </w:t>
            </w:r>
            <w:r w:rsidRPr="00837CC4">
              <w:rPr>
                <w:b/>
                <w:bCs/>
                <w:i/>
                <w:iCs/>
              </w:rPr>
              <w:t>DPS vykdyti tam tikra</w:t>
            </w:r>
            <w:r w:rsidRPr="00837CC4">
              <w:t xml:space="preserve"> veiklą, kurią paprastai vykdo CVPD. Taigi leidus taikyti atitinkamą (-as) išimtį (-is) PRT DPS turėtų būti leidžiama užtikrinti pirminį PRT perleidžiamųjų vertybinių popierių registravimą, atsiskaitymą už PRT perleidžiamųjų vertybinių popierių sandorius ir šių vertybinių popierių saugojimą;</w:t>
            </w:r>
          </w:p>
        </w:tc>
        <w:tc>
          <w:tcPr>
            <w:tcW w:w="4876" w:type="dxa"/>
          </w:tcPr>
          <w:p w:rsidR="0084543E" w:rsidRPr="00837CC4" w:rsidRDefault="0084543E" w:rsidP="00E51AD6">
            <w:pPr>
              <w:pStyle w:val="Normal6a"/>
            </w:pPr>
            <w:r w:rsidRPr="00837CC4">
              <w:t>(9)</w:t>
            </w:r>
            <w:r w:rsidRPr="00837CC4">
              <w:tab/>
              <w:t xml:space="preserve">naudojant paskirstytojo registro technologiją, kai visi sandoriai registruojami </w:t>
            </w:r>
            <w:r w:rsidRPr="00837CC4">
              <w:rPr>
                <w:b/>
                <w:bCs/>
                <w:i/>
                <w:iCs/>
              </w:rPr>
              <w:t>decentralizuotoje skaitmeninėje duomenų bazėje</w:t>
            </w:r>
            <w:r w:rsidRPr="00837CC4">
              <w:t xml:space="preserve">, galima paspartinti ir priartinti prekybą ir atsiskaitymą beveik prie tikrojo laiko ir būtų galima sudaryti sąlygas prekybai ir poprekybinei veiklai sujungti. Tačiau pagal dabartines taisykles numatyta, kad prekybos ir atsiskaitymo veiklą vykdo atskiros rinkos infrastruktūros. Pagal Europos Parlamento ir Tarybos reglamentą (ES) Nr. 909/2014 (Centrinių vertybinių popierių depozitoriumų reglamentą) reikalaujama, kad finansinės priemonės, kuriomis leidžiama prekiauti prekybos vietoje, kaip apibrėžta Direktyvoje 2014/65/ES (Finansinių priemonių rinkų direktyvoje, FPRD II), būtų registruojamos centriniame vertybinių popierių depozitoriume (CVPD), o paskirstytasis registras galėtų būti potencialiai naudojamas kaip decentralizuota tokio depozitoriumo </w:t>
            </w:r>
            <w:r w:rsidRPr="00837CC4">
              <w:rPr>
                <w:b/>
                <w:bCs/>
                <w:i/>
                <w:iCs/>
              </w:rPr>
              <w:t>duomenų bazė</w:t>
            </w:r>
            <w:r w:rsidRPr="00837CC4">
              <w:t xml:space="preserve">. Todėl esama pagrindo leisti PRT </w:t>
            </w:r>
            <w:r w:rsidRPr="00837CC4">
              <w:rPr>
                <w:b/>
                <w:bCs/>
                <w:i/>
                <w:iCs/>
              </w:rPr>
              <w:t>rinkos infrastruktūrai derinti</w:t>
            </w:r>
            <w:r w:rsidRPr="00837CC4">
              <w:t xml:space="preserve"> veiklą, kurią paprastai vykdo </w:t>
            </w:r>
            <w:r w:rsidRPr="00837CC4">
              <w:rPr>
                <w:b/>
                <w:bCs/>
                <w:i/>
                <w:iCs/>
              </w:rPr>
              <w:t>tiek DPS, tiek</w:t>
            </w:r>
            <w:r w:rsidRPr="00837CC4">
              <w:t xml:space="preserve"> CVDP. Taigi leidus taikyti atitinkamą (-as) išimtį (-is) </w:t>
            </w:r>
            <w:r w:rsidRPr="00837CC4">
              <w:rPr>
                <w:b/>
                <w:bCs/>
                <w:i/>
                <w:iCs/>
              </w:rPr>
              <w:t xml:space="preserve">ir išdavus susijusį leidimą </w:t>
            </w:r>
            <w:r w:rsidRPr="00837CC4">
              <w:t xml:space="preserve">PRT </w:t>
            </w:r>
            <w:r w:rsidRPr="00837CC4">
              <w:rPr>
                <w:b/>
                <w:bCs/>
                <w:i/>
                <w:iCs/>
              </w:rPr>
              <w:t>rinkos infrastruktūrai</w:t>
            </w:r>
            <w:r w:rsidRPr="00837CC4">
              <w:t xml:space="preserve"> turėtų būti leidžiama užtikrinti pirminį PRT perleidžiamųjų vertybinių popierių registravimą</w:t>
            </w:r>
            <w:r w:rsidRPr="00837CC4">
              <w:rPr>
                <w:b/>
                <w:bCs/>
                <w:i/>
                <w:iCs/>
              </w:rPr>
              <w:t xml:space="preserve"> ir prekybą jais</w:t>
            </w:r>
            <w:r w:rsidRPr="00837CC4">
              <w:t>, atsiskaitymą už PRT perleidžiamųjų vertybinių popierių sandorius ir šių vertybinių popierių saugojimą</w:t>
            </w:r>
            <w:r w:rsidRPr="00837CC4">
              <w:rPr>
                <w:b/>
                <w:bCs/>
                <w:i/>
                <w:iCs/>
              </w:rPr>
              <w:t xml:space="preserve"> taikant paskirstytojo registro technologiją</w:t>
            </w:r>
            <w:r w:rsidRPr="00837CC4">
              <w:t>;</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170</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Jessica Polfjärd</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9 konstatuojamoji dalis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t>(9)</w:t>
            </w:r>
            <w:r w:rsidRPr="00837CC4">
              <w:tab/>
              <w:t xml:space="preserve">naudojant paskirstytojo registro technologiją, kai visi sandoriai registruojami </w:t>
            </w:r>
            <w:r w:rsidRPr="00837CC4">
              <w:rPr>
                <w:b/>
                <w:bCs/>
                <w:i/>
                <w:iCs/>
              </w:rPr>
              <w:t>decentralizuotame</w:t>
            </w:r>
            <w:r w:rsidRPr="00837CC4">
              <w:t xml:space="preserve"> registre, galima paspartinti ir priartinti prekybą ir atsiskaitymą beveik prie tikrojo laiko ir būtų galima sudaryti sąlygas prekybai ir poprekybinei veiklai sujungti. Tačiau pagal dabartines taisykles numatyta, kad prekybos ir atsiskaitymo veiklą vykdo atskiros rinkos infrastruktūros. Pagal Europos Parlamento ir Tarybos reglamentą (ES) Nr. 909/2014 (Centrinių vertybinių popierių depozitoriumų reglamentą) reikalaujama, kad finansinės priemonės, kuriomis leidžiama prekiauti prekybos vietoje, kaip apibrėžta Direktyvoje 2014/65/ES (Finansinių priemonių rinkų direktyvoje, FPRD II), būtų registruojamos centriniame vertybinių popierių depozitoriume (CVPD), o paskirstytasis registras galėtų būti potencialiai naudojamas kaip decentralizuota tokio depozitoriumo versija. Todėl esama pagrindo leisti PRT DPS vykdyti tam </w:t>
            </w:r>
            <w:r w:rsidRPr="00837CC4">
              <w:rPr>
                <w:b/>
                <w:bCs/>
                <w:i/>
                <w:iCs/>
              </w:rPr>
              <w:t>tikra</w:t>
            </w:r>
            <w:r w:rsidRPr="00837CC4">
              <w:t xml:space="preserve"> veiklą, kurią paprastai vykdo CVPD. Taigi leidus taikyti atitinkamą (-as) išimtį (-is) PRT DPS turėtų būti leidžiama užtikrinti pirminį PRT perleidžiamųjų vertybinių popierių registravimą, atsiskaitymą už PRT perleidžiamųjų vertybinių popierių sandorius ir šių vertybinių popierių saugojimą;</w:t>
            </w:r>
          </w:p>
        </w:tc>
        <w:tc>
          <w:tcPr>
            <w:tcW w:w="4876" w:type="dxa"/>
          </w:tcPr>
          <w:p w:rsidR="0084543E" w:rsidRPr="00837CC4" w:rsidRDefault="0084543E" w:rsidP="00E51AD6">
            <w:pPr>
              <w:pStyle w:val="Normal6a"/>
            </w:pPr>
            <w:r w:rsidRPr="00837CC4">
              <w:t>(9)</w:t>
            </w:r>
            <w:r w:rsidRPr="00837CC4">
              <w:tab/>
              <w:t xml:space="preserve">naudojant paskirstytojo registro technologiją, kai visi sandoriai registruojami </w:t>
            </w:r>
            <w:r w:rsidRPr="00837CC4">
              <w:rPr>
                <w:b/>
                <w:bCs/>
                <w:i/>
                <w:iCs/>
              </w:rPr>
              <w:t>paskirstytajame</w:t>
            </w:r>
            <w:r w:rsidRPr="00837CC4">
              <w:t xml:space="preserve"> registre, galima paspartinti ir priartinti prekybą ir atsiskaitymą beveik prie tikrojo laiko ir būtų galima sudaryti sąlygas prekybai ir poprekybinei veiklai sujungti. Tačiau pagal dabartines taisykles numatyta, kad prekybos ir atsiskaitymo veiklą vykdo atskiros rinkos infrastruktūros. Pagal Europos Parlamento ir Tarybos reglamentą (ES) Nr. 909/2014 (Centrinių vertybinių popierių depozitoriumų reglamentą) reikalaujama, kad finansinės priemonės, kuriomis leidžiama prekiauti prekybos vietoje, kaip apibrėžta Direktyvoje 2014/65/ES (Finansinių priemonių rinkų direktyvoje, FPRD II), būtų registruojamos centriniame vertybinių popierių depozitoriume (CVPD), o paskirstytasis registras galėtų būti potencialiai naudojamas kaip decentralizuota tokio depozitoriumo versija. Todėl esama pagrindo leisti PRT DPS vykdyti tam </w:t>
            </w:r>
            <w:r w:rsidRPr="00837CC4">
              <w:rPr>
                <w:b/>
                <w:bCs/>
                <w:i/>
                <w:iCs/>
              </w:rPr>
              <w:t>tikrą</w:t>
            </w:r>
            <w:r w:rsidRPr="00837CC4">
              <w:t xml:space="preserve"> veiklą, kurią paprastai vykdo CVPD. Taigi leidus taikyti atitinkamą (-as) išimtį (-is) PRT DPS turėtų būti leidžiama užtikrinti pirminį PRT perleidžiamųjų vertybinių popierių registravimą, atsiskaitymą už PRT perleidžiamųjų vertybinių popierių sandorius ir šių vertybinių popierių saugojimą;</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171</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Sven Giegold</w:t>
      </w:r>
      <w:r w:rsidRPr="00837CC4">
        <w:rPr>
          <w:rStyle w:val="HideTWBExt"/>
          <w:b w:val="0"/>
          <w:noProof w:val="0"/>
        </w:rPr>
        <w:t>&lt;/Members&gt;</w:t>
      </w:r>
    </w:p>
    <w:p w:rsidR="0084543E" w:rsidRPr="00837CC4" w:rsidRDefault="0084543E" w:rsidP="0084543E">
      <w:r w:rsidRPr="00837CC4">
        <w:rPr>
          <w:rStyle w:val="HideTWBExt"/>
          <w:noProof w:val="0"/>
        </w:rPr>
        <w:t>&lt;AuNomDe&gt;</w:t>
      </w:r>
      <w:r w:rsidRPr="00837CC4">
        <w:rPr>
          <w:rStyle w:val="HideTWBInt"/>
          <w:noProof w:val="0"/>
        </w:rPr>
        <w:t>{Greens/EFA}</w:t>
      </w:r>
      <w:r w:rsidRPr="00837CC4">
        <w:t>Verts/ALE frakcijos vardu</w:t>
      </w:r>
      <w:r w:rsidRPr="00837CC4">
        <w:rPr>
          <w:rStyle w:val="HideTWBExt"/>
          <w:noProof w:val="0"/>
        </w:rPr>
        <w:t>&lt;/AuNomDe&gt;</w:t>
      </w:r>
    </w:p>
    <w:p w:rsidR="0084543E" w:rsidRPr="00837CC4" w:rsidRDefault="0084543E" w:rsidP="0084543E">
      <w:r w:rsidRPr="00837CC4">
        <w:rPr>
          <w:rStyle w:val="HideTWBExt"/>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10 konstatuojamoji dalis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t>(10)</w:t>
            </w:r>
            <w:r w:rsidRPr="00837CC4">
              <w:tab/>
              <w:t xml:space="preserve">PRT vertybinių popierių atsiskaitymo sistema turėtų būti pagal Reglamentą (ES) Nr. 909/2014 (Centrinių vertybinių popierių depozitoriumų reglamentą) veiklos leidimą gavusio CVPD, kuriam išduotas specialus leidimas pagal šį reglamentą, valdoma vertybinių popierių atsiskaitymo sistema. PRT vertybinių popierių atsiskaitymo sistemai ir ją valdančiam CVPD turėtų būti taikomi atitinkami Reglamento (ES) Nr. 909/2014 (Centrinių vertybinių popierių depozitoriumų reglamento) reikalavimai, išskyrus </w:t>
            </w:r>
            <w:r w:rsidRPr="00837CC4">
              <w:rPr>
                <w:b/>
                <w:bCs/>
                <w:i/>
                <w:iCs/>
              </w:rPr>
              <w:t>atvejus, kai nacionalinė kompetentinga institucija</w:t>
            </w:r>
            <w:r w:rsidRPr="00837CC4">
              <w:t xml:space="preserve"> PRT vertybinių popierių atsiskaitymo sistemą valdančiam CVPD yra </w:t>
            </w:r>
            <w:r w:rsidRPr="00837CC4">
              <w:rPr>
                <w:b/>
                <w:bCs/>
                <w:i/>
                <w:iCs/>
              </w:rPr>
              <w:t>leidusi taikyti vieną ar kelias išimtis</w:t>
            </w:r>
            <w:r w:rsidRPr="00837CC4">
              <w:t xml:space="preserve"> pagal šį reglamentą;</w:t>
            </w:r>
          </w:p>
        </w:tc>
        <w:tc>
          <w:tcPr>
            <w:tcW w:w="4876" w:type="dxa"/>
          </w:tcPr>
          <w:p w:rsidR="0084543E" w:rsidRPr="00837CC4" w:rsidRDefault="0084543E" w:rsidP="00E51AD6">
            <w:pPr>
              <w:pStyle w:val="Normal6a"/>
            </w:pPr>
            <w:r w:rsidRPr="00837CC4">
              <w:t>(10)</w:t>
            </w:r>
            <w:r w:rsidRPr="00837CC4">
              <w:tab/>
              <w:t xml:space="preserve">PRT vertybinių popierių atsiskaitymo sistema turėtų būti pagal Reglamentą (ES) Nr. 909/2014 (Centrinių vertybinių popierių depozitoriumų reglamentą) veiklos leidimą gavusio CVPD, kuriam išduotas specialus leidimas pagal šį reglamentą, valdoma vertybinių popierių atsiskaitymo sistema. PRT vertybinių popierių atsiskaitymo sistemai ir ją valdančiam CVPD turėtų būti taikomi atitinkami Reglamento (ES) Nr. 909/2014 (Centrinių vertybinių popierių depozitoriumų reglamento) reikalavimai, išskyrus </w:t>
            </w:r>
            <w:r w:rsidRPr="00837CC4">
              <w:rPr>
                <w:b/>
                <w:bCs/>
                <w:i/>
                <w:iCs/>
              </w:rPr>
              <w:t>reikalavimus, kurių netaikyti</w:t>
            </w:r>
            <w:r w:rsidRPr="00837CC4">
              <w:t xml:space="preserve"> PRT vertybinių popierių atsiskaitymo sistemą valdančiam CVPD yra </w:t>
            </w:r>
            <w:r w:rsidRPr="00837CC4">
              <w:rPr>
                <w:b/>
                <w:bCs/>
                <w:i/>
                <w:iCs/>
              </w:rPr>
              <w:t>leidusi ESMA</w:t>
            </w:r>
            <w:r w:rsidRPr="00837CC4">
              <w:t xml:space="preserve"> pagal šį reglamentą</w:t>
            </w:r>
            <w:r w:rsidRPr="00837CC4">
              <w:rPr>
                <w:b/>
                <w:bCs/>
                <w:i/>
                <w:iCs/>
              </w:rPr>
              <w:t>;</w:t>
            </w:r>
            <w:r w:rsidRPr="00837CC4">
              <w:t xml:space="preserve"> </w:t>
            </w:r>
            <w:r w:rsidRPr="00837CC4">
              <w:rPr>
                <w:b/>
                <w:bCs/>
                <w:i/>
                <w:iCs/>
              </w:rPr>
              <w:t>Siekiant sudaryti galimybes konkurencijai, kartu išsaugant vienodas sąlygas ir aukštus standartus, susijusius su investuotojų apsauga, rinkos vientisumu ir finansiniu stabilumu, nauji dalyviai turėtų galėti naudotis bandomąja tvarka, jeigu jie laikysis reikalavimų, kurie yra taikomi CVPD, kuriems išduotas leidimas pagal Reglamentą (ES) Nr. 909/2014, atitinkantis jų verslo pobūdį, mastą ir riziką, ir bet kokius kitus Sąjungos finansinių paslaugų teisės aktus, išskyrus pagal šį reglamentą taikomas išimtis.</w:t>
            </w:r>
            <w:r w:rsidRPr="00837CC4">
              <w:rPr>
                <w:b/>
                <w:i/>
              </w:rPr>
              <w:t xml:space="preserve"> Siekiant užtikrinti verslo tęstinumą, kartu užtikrinant sąžiningą konkurenciją, nauji dalyviai turėtų sudaryti susitarimus su leidimus turinčiais CVPD, kurie turėtų pasiūlyti tokį susitarimą sudaryti nediskriminuojant ir taikant tikrosiomis išlaidomis pagrįstą tinkamą komercinį mokestį;</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172</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Jessica Polfjärd</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10 konstatuojamoji dalis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t>(10)</w:t>
            </w:r>
            <w:r w:rsidRPr="00837CC4">
              <w:tab/>
              <w:t>PRT vertybinių popierių atsiskaitymo sistema turėtų būti pagal Reglamentą (ES) Nr. 909/2014 (Centrinių vertybinių popierių depozitoriumų reglamentą) veiklos leidimą gavusio CVPD, kuriam išduotas specialus leidimas pagal šį reglamentą, valdoma vertybinių popierių atsiskaitymo sistema. PRT vertybinių popierių atsiskaitymo sistemai ir ją valdančiam CVPD turėtų būti taikomi atitinkami Reglamento (ES) Nr. 909/2014 (Centrinių vertybinių popierių depozitoriumų reglamento) reikalavimai, išskyrus atvejus, kai nacionalinė kompetentinga institucija PRT vertybinių popierių atsiskaitymo sistemą valdančiam CVPD yra leidusi taikyti vieną ar kelias išimtis pagal šį reglamentą;</w:t>
            </w:r>
          </w:p>
        </w:tc>
        <w:tc>
          <w:tcPr>
            <w:tcW w:w="4876" w:type="dxa"/>
          </w:tcPr>
          <w:p w:rsidR="0084543E" w:rsidRPr="00837CC4" w:rsidRDefault="0084543E" w:rsidP="00E51AD6">
            <w:pPr>
              <w:pStyle w:val="Normal6a"/>
            </w:pPr>
            <w:r w:rsidRPr="00837CC4">
              <w:t>(10)</w:t>
            </w:r>
            <w:r w:rsidRPr="00837CC4">
              <w:tab/>
              <w:t xml:space="preserve">PRT vertybinių popierių atsiskaitymo sistema turėtų būti pagal Reglamentą (ES) Nr. 909/2014 (Centrinių vertybinių popierių depozitoriumų reglamentą) veiklos leidimą gavusio CVPD, kuriam išduotas specialus leidimas pagal šį reglamentą, valdoma vertybinių popierių atsiskaitymo sistema. PRT vertybinių popierių atsiskaitymo sistemai ir ją valdančiam CVPD turėtų būti taikomi atitinkami Reglamento (ES) Nr. 909/2014 (Centrinių vertybinių popierių depozitoriumų reglamento) </w:t>
            </w:r>
            <w:r w:rsidRPr="00837CC4">
              <w:rPr>
                <w:b/>
                <w:bCs/>
                <w:i/>
                <w:iCs/>
              </w:rPr>
              <w:t xml:space="preserve">ir bet kokių kitų galiojančių Sąjungos finansinių paslaugų teisės aktų </w:t>
            </w:r>
            <w:r w:rsidRPr="00837CC4">
              <w:t>reikalavimai, išskyrus atvejus, kai nacionalinė kompetentinga institucija PRT vertybinių popierių atsiskaitymo sistemą valdančiam CVPD yra leidusi taikyti vieną ar kelias išimtis pagal šį reglamentą;</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173</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Stéphanie Yon-Courtin, Ondřej Kovařík, Gilles Boyer, Olivier Chastel</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10 konstatuojamoji dalis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t>(10)</w:t>
            </w:r>
            <w:r w:rsidRPr="00837CC4">
              <w:tab/>
              <w:t xml:space="preserve">PRT vertybinių popierių atsiskaitymo sistema turėtų būti pagal Reglamentą (ES) Nr. 909/2014 (Centrinių vertybinių popierių depozitoriumų reglamentą) veiklos leidimą gavusio CVPD, kuriam išduotas specialus leidimas pagal šį reglamentą, valdoma vertybinių popierių atsiskaitymo sistema. PRT vertybinių popierių atsiskaitymo sistemai ir ją valdančiam </w:t>
            </w:r>
            <w:r w:rsidRPr="00837CC4">
              <w:rPr>
                <w:b/>
                <w:bCs/>
                <w:i/>
                <w:iCs/>
              </w:rPr>
              <w:t>CVPD</w:t>
            </w:r>
            <w:r w:rsidRPr="00837CC4">
              <w:t xml:space="preserve"> turėtų būti taikomi atitinkami Reglamento (ES) Nr. 909/2014 (Centrinių vertybinių popierių depozitoriumų reglamento) reikalavimai, išskyrus atvejus, kai nacionalinė kompetentinga institucija PRT vertybinių popierių atsiskaitymo sistemą valdančiam </w:t>
            </w:r>
            <w:r w:rsidRPr="00837CC4">
              <w:rPr>
                <w:b/>
                <w:bCs/>
                <w:i/>
                <w:iCs/>
              </w:rPr>
              <w:t>CVPD</w:t>
            </w:r>
            <w:r w:rsidRPr="00837CC4">
              <w:t xml:space="preserve"> yra leidusi taikyti vieną ar kelias išimtis pagal šį reglamentą;</w:t>
            </w:r>
          </w:p>
        </w:tc>
        <w:tc>
          <w:tcPr>
            <w:tcW w:w="4876" w:type="dxa"/>
          </w:tcPr>
          <w:p w:rsidR="0084543E" w:rsidRPr="00837CC4" w:rsidRDefault="0084543E" w:rsidP="00E51AD6">
            <w:pPr>
              <w:pStyle w:val="Normal6a"/>
            </w:pPr>
            <w:r w:rsidRPr="00837CC4">
              <w:t>(10)</w:t>
            </w:r>
            <w:r w:rsidRPr="00837CC4">
              <w:tab/>
              <w:t xml:space="preserve">PRT vertybinių popierių atsiskaitymo sistema turėtų būti pagal Reglamentą (ES) Nr. 909/2014 (Centrinių vertybinių popierių depozitoriumų reglamentą) veiklos leidimą gavusio CVPD, kuriam išduotas specialus leidimas pagal šį reglamentą, </w:t>
            </w:r>
            <w:r w:rsidRPr="00837CC4">
              <w:rPr>
                <w:b/>
                <w:bCs/>
                <w:i/>
                <w:iCs/>
              </w:rPr>
              <w:t>valdomas subjektas, įskaitant</w:t>
            </w:r>
            <w:r w:rsidRPr="00837CC4">
              <w:t xml:space="preserve"> vertybinių popierių atsiskaitymo </w:t>
            </w:r>
            <w:r w:rsidRPr="00837CC4">
              <w:rPr>
                <w:b/>
                <w:bCs/>
                <w:i/>
                <w:iCs/>
              </w:rPr>
              <w:t>sistemą, tačiau ja neapsiribojant</w:t>
            </w:r>
            <w:r w:rsidRPr="00837CC4">
              <w:t xml:space="preserve">. PRT vertybinių popierių atsiskaitymo sistemai ir ją valdančiam </w:t>
            </w:r>
            <w:r w:rsidRPr="00837CC4">
              <w:rPr>
                <w:b/>
                <w:bCs/>
                <w:i/>
                <w:iCs/>
              </w:rPr>
              <w:t>subjektui</w:t>
            </w:r>
            <w:r w:rsidRPr="00837CC4">
              <w:t xml:space="preserve"> turėtų būti taikomi atitinkami Reglamento (ES) Nr. 909/2014 (Centrinių vertybinių popierių depozitoriumų reglamento) reikalavimai, išskyrus atvejus, kai nacionalinė kompetentinga institucija PRT vertybinių popierių atsiskaitymo sistemą valdančiam </w:t>
            </w:r>
            <w:r w:rsidRPr="00837CC4">
              <w:rPr>
                <w:b/>
                <w:bCs/>
                <w:i/>
                <w:iCs/>
              </w:rPr>
              <w:t>subjektui</w:t>
            </w:r>
            <w:r w:rsidRPr="00837CC4">
              <w:t xml:space="preserve"> yra leidusi taikyti vieną ar kelias išimtis pagal šį reglamentą;</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pPr>
        <w:pStyle w:val="AmJustTitle"/>
      </w:pPr>
      <w:r w:rsidRPr="00837CC4">
        <w:rPr>
          <w:rStyle w:val="HideTWBExt"/>
          <w:i w:val="0"/>
          <w:noProof w:val="0"/>
        </w:rPr>
        <w:t>&lt;TitreJust&gt;</w:t>
      </w:r>
      <w:r w:rsidRPr="00837CC4">
        <w:t>Pagrindimas</w:t>
      </w:r>
      <w:r w:rsidRPr="00837CC4">
        <w:rPr>
          <w:rStyle w:val="HideTWBExt"/>
          <w:i w:val="0"/>
          <w:noProof w:val="0"/>
        </w:rPr>
        <w:t>&lt;/TitreJust&gt;</w:t>
      </w:r>
    </w:p>
    <w:p w:rsidR="0084543E" w:rsidRPr="00837CC4" w:rsidRDefault="0084543E" w:rsidP="0084543E">
      <w:pPr>
        <w:pStyle w:val="AmJustText"/>
      </w:pPr>
      <w:r w:rsidRPr="00837CC4">
        <w:t>Bandomosios tvarkos atvirumas naujų dalyvių atžvilgiu.</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174</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Eva Kaili</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10 konstatuojamoji dalis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t>(10)</w:t>
            </w:r>
            <w:r w:rsidRPr="00837CC4">
              <w:tab/>
              <w:t>PRT vertybinių popierių atsiskaitymo sistema turėtų būti pagal Reglamentą (ES) Nr. 909/2014 (Centrinių vertybinių popierių depozitoriumų reglamentą) veiklos leidimą gavusio CVPD, kuriam išduotas specialus leidimas pagal šį reglamentą, valdoma vertybinių popierių atsiskaitymo sistema. PRT vertybinių popierių atsiskaitymo sistemai ir ją valdančiam CVPD turėtų būti taikomi atitinkami Reglamento (ES) Nr. 909/2014 (Centrinių vertybinių popierių depozitoriumų reglamento) reikalavimai, išskyrus atvejus, kai nacionalinė kompetentinga institucija PRT vertybinių popierių atsiskaitymo sistemą valdančiam CVPD yra leidusi taikyti vieną ar kelias išimtis pagal šį reglamentą;</w:t>
            </w:r>
          </w:p>
        </w:tc>
        <w:tc>
          <w:tcPr>
            <w:tcW w:w="4876" w:type="dxa"/>
          </w:tcPr>
          <w:p w:rsidR="0084543E" w:rsidRPr="00837CC4" w:rsidRDefault="0084543E" w:rsidP="00E51AD6">
            <w:pPr>
              <w:pStyle w:val="Normal6a"/>
            </w:pPr>
            <w:r w:rsidRPr="00837CC4">
              <w:t>(10)</w:t>
            </w:r>
            <w:r w:rsidRPr="00837CC4">
              <w:tab/>
              <w:t>PRT vertybinių popierių atsiskaitymo sistema turėtų būti pagal Reglamentą (ES) Nr. 909/2014 (Centrinių vertybinių popierių depozitoriumų reglamentą) veiklos leidimą gavusio CVPD, kuriam išduotas specialus leidimas pagal šį reglamentą, valdoma vertybinių popierių atsiskaitymo sistema. PRT vertybinių popierių atsiskaitymo sistemai ir ją valdančiam CVPD turėtų būti taikomi atitinkami Reglamento (ES) Nr. 909/2014 (Centrinių vertybinių popierių depozitoriumų reglamento) reikalavimai, išskyrus atvejus, kai nacionalinė kompetentinga institucija PRT vertybinių popierių atsiskaitymo sistemą valdančiam CVPD yra leidusi taikyti vieną ar kelias išimtis pagal šį reglamentą</w:t>
            </w:r>
            <w:r w:rsidRPr="00837CC4">
              <w:rPr>
                <w:b/>
                <w:bCs/>
                <w:i/>
                <w:iCs/>
              </w:rPr>
              <w:t>.</w:t>
            </w:r>
            <w:r w:rsidRPr="00837CC4">
              <w:t xml:space="preserve"> </w:t>
            </w:r>
            <w:r w:rsidRPr="00837CC4">
              <w:rPr>
                <w:b/>
                <w:i/>
              </w:rPr>
              <w:t>Naujiems rinkos dalyviams arba reguliuojamiems subjektams, kaip antai investicinėms įmonėms arba kredito institucijoms, kurios pageidauja PRT VPAS valdyti pagal šį reglamentą, turėtų būti leidžiama laikytis vieno žingsnio taikymo procedūros pateikiant prašymą savo nacionalinei kompetentingai institucijai išduoti leidimą pagal Reglamentą (ES) Nr. 909/2014 (CVPDR) ir tuo pat metu nurodant bet kokią išimtį, kurią jie pageidauja gauti, laikantis šio reglamento ir Europos Parlamento ir Tarybos direktyvos (ES) .../...;</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pPr>
        <w:pStyle w:val="AmJustTitle"/>
      </w:pPr>
      <w:r w:rsidRPr="00837CC4">
        <w:rPr>
          <w:rStyle w:val="HideTWBExt"/>
          <w:i w:val="0"/>
          <w:noProof w:val="0"/>
        </w:rPr>
        <w:t>&lt;TitreJust&gt;</w:t>
      </w:r>
      <w:r w:rsidRPr="00837CC4">
        <w:t>Pagrindimas</w:t>
      </w:r>
      <w:r w:rsidRPr="00837CC4">
        <w:rPr>
          <w:rStyle w:val="HideTWBExt"/>
          <w:i w:val="0"/>
          <w:noProof w:val="0"/>
        </w:rPr>
        <w:t>&lt;/TitreJust&gt;</w:t>
      </w:r>
    </w:p>
    <w:p w:rsidR="0084543E" w:rsidRPr="00837CC4" w:rsidRDefault="0084543E" w:rsidP="0084543E">
      <w:pPr>
        <w:pStyle w:val="AmJustText"/>
      </w:pPr>
      <w:r w:rsidRPr="00837CC4">
        <w:t>Redakcinė pastaba. Kai kurie reikalavimai taikomi rinkos infrastruktūros operatoriui. Be to, labai svarbu naujiems dalyviams, kurie pageidautų dalyvauti bandomojoje tvarkoje valdydami PRT VPAS, numatyti vieno žingsnio leidimo išdavimo procedūrą. Taip siekiama išvengti dvigubos leidimo išdavimo procedūros, kuriai reikia daug išteklių ir laiko, kuri taptų didele našta naujam rinkos dalyviui.</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175</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Eero Heinäluoma, Paul Tang, Jonás Fernández, Pedro Marques</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10 konstatuojamoji dalis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t>(10)</w:t>
            </w:r>
            <w:r w:rsidRPr="00837CC4">
              <w:tab/>
              <w:t>PRT vertybinių popierių atsiskaitymo sistema turėtų būti pagal Reglamentą (ES) Nr. 909/2014 (Centrinių vertybinių popierių depozitoriumų reglamentą) veiklos leidimą gavusio CVPD, kuriam išduotas specialus leidimas pagal šį reglamentą, valdoma vertybinių popierių atsiskaitymo sistema. PRT vertybinių popierių atsiskaitymo sistemai ir ją valdančiam CVPD turėtų būti taikomi atitinkami Reglamento (ES) Nr. 909/2014 (Centrinių vertybinių popierių depozitoriumų reglamento) reikalavimai, išskyrus atvejus, kai nacionalinė kompetentinga institucija PRT vertybinių popierių atsiskaitymo sistemą valdančiam CVPD yra leidusi taikyti vieną ar kelias išimtis pagal šį reglamentą;</w:t>
            </w:r>
          </w:p>
        </w:tc>
        <w:tc>
          <w:tcPr>
            <w:tcW w:w="4876" w:type="dxa"/>
          </w:tcPr>
          <w:p w:rsidR="0084543E" w:rsidRPr="00837CC4" w:rsidRDefault="0084543E" w:rsidP="00E51AD6">
            <w:pPr>
              <w:pStyle w:val="Normal6a"/>
            </w:pPr>
            <w:r w:rsidRPr="00837CC4">
              <w:t>(10)</w:t>
            </w:r>
            <w:r w:rsidRPr="00837CC4">
              <w:tab/>
              <w:t>PRT vertybinių popierių atsiskaitymo sistema turėtų būti pagal Reglamentą (ES) Nr. 909/2014 (Centrinių vertybinių popierių depozitoriumų reglamentą) veiklos leidimą gavusio CVPD, kuriam išduotas specialus leidimas pagal šį reglamentą, valdoma vertybinių popierių atsiskaitymo sistema. PRT vertybinių popierių atsiskaitymo sistemai ir ją valdančiam CVPD turėtų būti taikomi atitinkami Reglamento (ES) Nr. 909/2014 (Centrinių vertybinių popierių depozitoriumų reglamento) reikalavimai, išskyrus atvejus, kai nacionalinė kompetentinga institucija PRT vertybinių popierių atsiskaitymo sistemą valdančiam CVPD yra leidusi taikyti vieną ar kelias išimtis pagal šį reglamentą</w:t>
            </w:r>
            <w:r w:rsidRPr="00837CC4">
              <w:rPr>
                <w:b/>
                <w:bCs/>
                <w:i/>
                <w:iCs/>
              </w:rPr>
              <w:t>.</w:t>
            </w:r>
            <w:r w:rsidRPr="00837CC4">
              <w:t xml:space="preserve"> </w:t>
            </w:r>
            <w:r w:rsidRPr="00837CC4">
              <w:rPr>
                <w:b/>
                <w:i/>
              </w:rPr>
              <w:t>Tokia išimtis gali būti taikoma tik jeigu PRT vertybinių popierių atsiskaitymo sistema bus ekologiška;</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176</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Stéphanie Yon-Courtin, Ondřej Kovařík, Gilles Boyer, Olivier Chastel</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10 a konstatuojamoji dalis (nauja)</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p>
        </w:tc>
        <w:tc>
          <w:tcPr>
            <w:tcW w:w="4876" w:type="dxa"/>
          </w:tcPr>
          <w:p w:rsidR="0084543E" w:rsidRPr="00837CC4" w:rsidRDefault="0084543E" w:rsidP="00E51AD6">
            <w:pPr>
              <w:pStyle w:val="Normal6a"/>
            </w:pPr>
            <w:r w:rsidRPr="00837CC4">
              <w:rPr>
                <w:b/>
                <w:i/>
              </w:rPr>
              <w:t>(10a)</w:t>
            </w:r>
            <w:r w:rsidRPr="00837CC4">
              <w:tab/>
            </w:r>
            <w:r w:rsidRPr="00837CC4">
              <w:rPr>
                <w:b/>
                <w:i/>
              </w:rPr>
              <w:t>subjektams, kuriems pagal Reglamentą (ES) neišduotas leidimas, turėtų būti leidžiama teikti prašymą dėl specialaus leidimo pagal šį reglamentą valdyti PRT vertybinių popierių atsiskaitymo sistemą, taikant išdavimo skubos tvarka procedūrą;</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pPr>
        <w:pStyle w:val="AmJustTitle"/>
      </w:pPr>
      <w:r w:rsidRPr="00837CC4">
        <w:rPr>
          <w:rStyle w:val="HideTWBExt"/>
          <w:i w:val="0"/>
          <w:noProof w:val="0"/>
        </w:rPr>
        <w:t>&lt;TitreJust&gt;</w:t>
      </w:r>
      <w:r w:rsidRPr="00837CC4">
        <w:t>Pagrindimas</w:t>
      </w:r>
      <w:r w:rsidRPr="00837CC4">
        <w:rPr>
          <w:rStyle w:val="HideTWBExt"/>
          <w:i w:val="0"/>
          <w:noProof w:val="0"/>
        </w:rPr>
        <w:t>&lt;/TitreJust&gt;</w:t>
      </w:r>
    </w:p>
    <w:p w:rsidR="0084543E" w:rsidRPr="00837CC4" w:rsidRDefault="0084543E" w:rsidP="0084543E">
      <w:pPr>
        <w:pStyle w:val="AmJustText"/>
      </w:pPr>
      <w:r w:rsidRPr="00837CC4">
        <w:t>Naujiems dalyviams, kuriems prašymo pateikimo metu nesuteiktas leidimas valdyti CVDP, taikoma paspartinta procedūra.</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177</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Eva Kaili</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11 konstatuojamoji dalis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t>(11)</w:t>
            </w:r>
            <w:r w:rsidRPr="00837CC4">
              <w:tab/>
              <w:t xml:space="preserve">PRT DPS arba PRT </w:t>
            </w:r>
            <w:r w:rsidRPr="00837CC4">
              <w:rPr>
                <w:b/>
                <w:bCs/>
                <w:i/>
                <w:iCs/>
              </w:rPr>
              <w:t>vertybinių popierių atsiskaitymo sistemą</w:t>
            </w:r>
            <w:r w:rsidRPr="00837CC4">
              <w:t xml:space="preserve"> valdantis CVPD turėtų tik leisti prekiauti PRT perleidžiamaisiais vertybiniais popieriais arba juos registruoti savo paskirstytajame registre. PRT perleidžiamieji vertybiniai popieriai turėtų būti kriptoturtas, kuris laikomas perleidžiamaisiais vertybiniais popieriais, apibrėžtais Direktyvoje 2014/65/ES (Finansinių priemonių rinkų direktyvoje, FPRD II), ir yra išleidžiamas, perleidžiamas ir saugomas paskirstytajame registre;</w:t>
            </w:r>
          </w:p>
        </w:tc>
        <w:tc>
          <w:tcPr>
            <w:tcW w:w="4876" w:type="dxa"/>
          </w:tcPr>
          <w:p w:rsidR="0084543E" w:rsidRPr="00837CC4" w:rsidRDefault="0084543E" w:rsidP="00E51AD6">
            <w:pPr>
              <w:pStyle w:val="Normal6a"/>
            </w:pPr>
            <w:r w:rsidRPr="00837CC4">
              <w:t>(11)</w:t>
            </w:r>
            <w:r w:rsidRPr="00837CC4">
              <w:tab/>
              <w:t xml:space="preserve">PRT DPS arba PRT </w:t>
            </w:r>
            <w:r w:rsidRPr="00837CC4">
              <w:rPr>
                <w:b/>
                <w:bCs/>
                <w:i/>
                <w:iCs/>
              </w:rPr>
              <w:t>VPAS</w:t>
            </w:r>
            <w:r w:rsidRPr="00837CC4">
              <w:t xml:space="preserve"> valdantis CVPD turėtų tik leisti prekiauti PRT perleidžiamaisiais vertybiniais popieriais arba juos registruoti savo paskirstytajame registre. PRT perleidžiamieji vertybiniai popieriai turėtų būti kriptoturtas, kuris laikomas perleidžiamaisiais vertybiniais popieriais, apibrėžtais Direktyvoje 2014/65/ES (Finansinių priemonių rinkų direktyvoje, FPRD II), ir yra išleidžiamas, perleidžiamas ir saugomas paskirstytajame registre</w:t>
            </w:r>
            <w:r w:rsidRPr="00837CC4">
              <w:rPr>
                <w:b/>
                <w:bCs/>
                <w:i/>
                <w:iCs/>
              </w:rPr>
              <w:t>.</w:t>
            </w:r>
            <w:r w:rsidRPr="00837CC4">
              <w:rPr>
                <w:b/>
                <w:i/>
              </w:rPr>
              <w:t> Šiame reglamente turėtų būti nurodyti PRT perleidžiamieji vertybiniai popieriai, kuriais galima prekiauti arba kurie gali būti registruojami;</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pPr>
        <w:pStyle w:val="AmJustTitle"/>
      </w:pPr>
      <w:r w:rsidRPr="00837CC4">
        <w:rPr>
          <w:rStyle w:val="HideTWBExt"/>
          <w:i w:val="0"/>
          <w:noProof w:val="0"/>
        </w:rPr>
        <w:t>&lt;TitreJust&gt;</w:t>
      </w:r>
      <w:r w:rsidRPr="00837CC4">
        <w:t>Pagrindimas</w:t>
      </w:r>
      <w:r w:rsidRPr="00837CC4">
        <w:rPr>
          <w:rStyle w:val="HideTWBExt"/>
          <w:i w:val="0"/>
          <w:noProof w:val="0"/>
        </w:rPr>
        <w:t>&lt;/TitreJust&gt;</w:t>
      </w:r>
    </w:p>
    <w:p w:rsidR="0084543E" w:rsidRPr="00837CC4" w:rsidRDefault="0084543E" w:rsidP="0084543E">
      <w:pPr>
        <w:pStyle w:val="AmJustText"/>
      </w:pPr>
      <w:r w:rsidRPr="00837CC4">
        <w:t>Apibrėžtis „PRT perleidžiamieji vertybiniai popieriai“ nurodyta FPRD II 4 straipsnio 1 dalies 44 punkto a ir b papunkčiuose, į kuriuos įtraukta daugiau informacijos nei numatyta šio reglamento 3 straipsnio 1 dalyje.</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178</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Jessica Polfjärd, Christophe Hansen</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11 konstatuojamoji dalis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t>(11)</w:t>
            </w:r>
            <w:r w:rsidRPr="00837CC4">
              <w:tab/>
              <w:t xml:space="preserve">PRT DPS arba PRT vertybinių popierių atsiskaitymo sistemą valdantis CVPD turėtų tik leisti prekiauti PRT perleidžiamaisiais vertybiniais popieriais arba juos registruoti </w:t>
            </w:r>
            <w:r w:rsidRPr="00837CC4">
              <w:rPr>
                <w:b/>
                <w:bCs/>
                <w:i/>
                <w:iCs/>
              </w:rPr>
              <w:t>savo</w:t>
            </w:r>
            <w:r w:rsidRPr="00837CC4">
              <w:t xml:space="preserve"> paskirstytajame registre. PRT perleidžiamieji vertybiniai popieriai turėtų būti kriptoturtas, kuris laikomas perleidžiamaisiais vertybiniais popieriais, apibrėžtais Direktyvoje 2014/65/ES (Finansinių priemonių rinkų direktyvoje, FPRD II), ir yra išleidžiamas, perleidžiamas ir saugomas paskirstytajame registre;</w:t>
            </w:r>
          </w:p>
        </w:tc>
        <w:tc>
          <w:tcPr>
            <w:tcW w:w="4876" w:type="dxa"/>
          </w:tcPr>
          <w:p w:rsidR="0084543E" w:rsidRPr="00837CC4" w:rsidRDefault="0084543E" w:rsidP="00E51AD6">
            <w:pPr>
              <w:pStyle w:val="Normal6a"/>
            </w:pPr>
            <w:r w:rsidRPr="00837CC4">
              <w:t>(11)</w:t>
            </w:r>
            <w:r w:rsidRPr="00837CC4">
              <w:tab/>
              <w:t>PRT DPS arba PRT vertybinių popierių atsiskaitymo sistemą valdantis CVPD turėtų tik leisti prekiauti PRT perleidžiamaisiais vertybiniais popieriais arba juos registruoti paskirstytajame registre. PRT perleidžiamieji vertybiniai popieriai turėtų būti kriptoturtas, kuris laikomas perleidžiamaisiais vertybiniais popieriais, apibrėžtais Direktyvoje 2014/65/ES (Finansinių priemonių rinkų direktyvoje, FPRD II), ir yra išleidžiamas, perleidžiamas ir saugomas paskirstytajame registre;</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179</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Stéphanie Yon-Courtin, Ondřej Kovařík, Gilles Boyer, Olivier Chastel</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11 konstatuojamoji dalis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t>(11)</w:t>
            </w:r>
            <w:r w:rsidRPr="00837CC4">
              <w:tab/>
              <w:t xml:space="preserve">PRT DPS arba PRT vertybinių popierių atsiskaitymo sistemą valdantis </w:t>
            </w:r>
            <w:r w:rsidRPr="00837CC4">
              <w:rPr>
                <w:b/>
                <w:bCs/>
                <w:i/>
                <w:iCs/>
              </w:rPr>
              <w:t>CVPD</w:t>
            </w:r>
            <w:r w:rsidRPr="00837CC4">
              <w:t xml:space="preserve"> turėtų tik leisti prekiauti PRT perleidžiamaisiais vertybiniais popieriais arba juos registruoti savo paskirstytajame registre. PRT perleidžiamieji vertybiniai popieriai turėtų būti kriptoturtas, kuris laikomas perleidžiamaisiais vertybiniais popieriais, apibrėžtais Direktyvoje 2014/65/ES (Finansinių priemonių rinkų direktyvoje, FPRD II), ir yra išleidžiamas, perleidžiamas ir saugomas paskirstytajame registre;</w:t>
            </w:r>
          </w:p>
        </w:tc>
        <w:tc>
          <w:tcPr>
            <w:tcW w:w="4876" w:type="dxa"/>
          </w:tcPr>
          <w:p w:rsidR="0084543E" w:rsidRPr="00837CC4" w:rsidRDefault="0084543E" w:rsidP="00E51AD6">
            <w:pPr>
              <w:pStyle w:val="Normal6a"/>
            </w:pPr>
            <w:r w:rsidRPr="00837CC4">
              <w:t>(11)</w:t>
            </w:r>
            <w:r w:rsidRPr="00837CC4">
              <w:tab/>
              <w:t xml:space="preserve">PRT DPS arba PRT vertybinių popierių atsiskaitymo sistemą valdantis </w:t>
            </w:r>
            <w:r w:rsidRPr="00837CC4">
              <w:rPr>
                <w:b/>
                <w:bCs/>
                <w:i/>
                <w:iCs/>
              </w:rPr>
              <w:t>subjektas</w:t>
            </w:r>
            <w:r w:rsidRPr="00837CC4">
              <w:t xml:space="preserve"> turėtų tik leisti prekiauti PRT perleidžiamaisiais vertybiniais popieriais arba juos registruoti savo paskirstytajame registre. PRT perleidžiamieji vertybiniai popieriai turėtų būti kriptoturtas, kuris laikomas perleidžiamaisiais vertybiniais popieriais, apibrėžtais Direktyvoje 2014/65/ES (Finansinių priemonių rinkų direktyvoje, FPRD II), ir yra išleidžiamas, perleidžiamas ir saugomas paskirstytajame registre;</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pPr>
        <w:pStyle w:val="AmJustTitle"/>
      </w:pPr>
      <w:r w:rsidRPr="00837CC4">
        <w:rPr>
          <w:rStyle w:val="HideTWBExt"/>
          <w:i w:val="0"/>
          <w:noProof w:val="0"/>
        </w:rPr>
        <w:t>&lt;TitreJust&gt;</w:t>
      </w:r>
      <w:r w:rsidRPr="00837CC4">
        <w:t>Pagrindimas</w:t>
      </w:r>
      <w:r w:rsidRPr="00837CC4">
        <w:rPr>
          <w:rStyle w:val="HideTWBExt"/>
          <w:i w:val="0"/>
          <w:noProof w:val="0"/>
        </w:rPr>
        <w:t>&lt;/TitreJust&gt;</w:t>
      </w:r>
    </w:p>
    <w:p w:rsidR="0084543E" w:rsidRPr="00837CC4" w:rsidRDefault="0084543E" w:rsidP="0084543E">
      <w:pPr>
        <w:pStyle w:val="AmJustText"/>
      </w:pPr>
      <w:r w:rsidRPr="00837CC4">
        <w:t>Bandomosios tvarkos atvirumas naujų dalyvių atžvilgiu.</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180</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Eero Heinäluoma, Jonás Fernández, Pedro Marques</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11 konstatuojamoji dalis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t>(11)</w:t>
            </w:r>
            <w:r w:rsidRPr="00837CC4">
              <w:tab/>
              <w:t>PRT DPS arba PRT vertybinių popierių atsiskaitymo sistemą valdantis CVPD turėtų tik leisti prekiauti PRT perleidžiamaisiais vertybiniais popieriais arba juos registruoti savo paskirstytajame registre. PRT perleidžiamieji vertybiniai popieriai turėtų būti kriptoturtas, kuris laikomas perleidžiamaisiais vertybiniais popieriais, apibrėžtais Direktyvoje 2014/65/ES (Finansinių priemonių rinkų direktyvoje, FPRD II), ir yra išleidžiamas, perleidžiamas ir saugomas paskirstytajame registre;</w:t>
            </w:r>
          </w:p>
        </w:tc>
        <w:tc>
          <w:tcPr>
            <w:tcW w:w="4876" w:type="dxa"/>
          </w:tcPr>
          <w:p w:rsidR="0084543E" w:rsidRPr="00837CC4" w:rsidRDefault="0084543E" w:rsidP="00E51AD6">
            <w:pPr>
              <w:pStyle w:val="Normal6a"/>
            </w:pPr>
            <w:r w:rsidRPr="00837CC4">
              <w:t>(11)</w:t>
            </w:r>
            <w:r w:rsidRPr="00837CC4">
              <w:tab/>
              <w:t>PRT DPS arba PRT vertybinių popierių atsiskaitymo sistemą valdantis CVPD turėtų tik leisti prekiauti PRT perleidžiamaisiais vertybiniais popieriais arba juos registruoti savo paskirstytajame registre. PRT perleidžiamieji vertybiniai popieriai turėtų būti kriptoturtas, kuris laikomas perleidžiamaisiais vertybiniais popieriais, apibrėžtais Direktyvoje 2014/65/ES (Finansinių priemonių rinkų direktyvoje, FPRD II), ir yra išleidžiamas, perleidžiamas ir saugomas paskirstytajame registre</w:t>
            </w:r>
            <w:r w:rsidRPr="00837CC4">
              <w:rPr>
                <w:b/>
                <w:bCs/>
                <w:i/>
                <w:iCs/>
              </w:rPr>
              <w:t>.</w:t>
            </w:r>
          </w:p>
        </w:tc>
      </w:tr>
      <w:tr w:rsidR="0084543E" w:rsidRPr="00837CC4" w:rsidTr="00E51AD6">
        <w:trPr>
          <w:jc w:val="center"/>
        </w:trPr>
        <w:tc>
          <w:tcPr>
            <w:tcW w:w="4876" w:type="dxa"/>
          </w:tcPr>
          <w:p w:rsidR="0084543E" w:rsidRPr="00837CC4" w:rsidRDefault="0084543E" w:rsidP="00E51AD6">
            <w:pPr>
              <w:pStyle w:val="Normal6a"/>
            </w:pPr>
          </w:p>
        </w:tc>
        <w:tc>
          <w:tcPr>
            <w:tcW w:w="4876" w:type="dxa"/>
          </w:tcPr>
          <w:p w:rsidR="0084543E" w:rsidRPr="00837CC4" w:rsidRDefault="0084543E" w:rsidP="00E51AD6">
            <w:pPr>
              <w:pStyle w:val="Normal6a"/>
            </w:pPr>
            <w:r w:rsidRPr="00837CC4">
              <w:rPr>
                <w:b/>
                <w:i/>
              </w:rPr>
              <w:t>PRT rinkos infrastruktūrai tenka atsakomybė už riziką, susijusią su jos valdomos PRT veikimu, būtent už registro skaidrumo riziką, kibernetinę riziką ir veiklos riziką;</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181</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Eva Kaili</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12 konstatuojamoji dalis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t>(12)</w:t>
            </w:r>
            <w:r w:rsidRPr="00837CC4">
              <w:tab/>
              <w:t xml:space="preserve">siekiant sudaryti sąlygas inovacijoms ir eksperimentams patikimoje reglamentavimo aplinkoje, kartu išlaikant finansinį stabilumą, perleidžiamieji vertybiniai popieriai, kuriais leidžiama prekiauti </w:t>
            </w:r>
            <w:r w:rsidRPr="00837CC4">
              <w:rPr>
                <w:b/>
                <w:bCs/>
                <w:i/>
                <w:iCs/>
              </w:rPr>
              <w:t>PRT DPS</w:t>
            </w:r>
            <w:r w:rsidRPr="00837CC4">
              <w:t xml:space="preserve"> arba kurie registruojami PRT </w:t>
            </w:r>
            <w:r w:rsidRPr="00837CC4">
              <w:rPr>
                <w:b/>
                <w:bCs/>
                <w:i/>
                <w:iCs/>
              </w:rPr>
              <w:t>vertybinių popierių atsiskaitymo sistemą valdančiame CVPD</w:t>
            </w:r>
            <w:r w:rsidRPr="00837CC4">
              <w:t xml:space="preserve">, turėtų apsiriboti vertybiniais popieriais, pavyzdžiui, akcijomis </w:t>
            </w:r>
            <w:r w:rsidRPr="00837CC4">
              <w:rPr>
                <w:b/>
                <w:bCs/>
                <w:i/>
                <w:iCs/>
              </w:rPr>
              <w:t>ir</w:t>
            </w:r>
            <w:r w:rsidRPr="00837CC4">
              <w:t xml:space="preserve"> obligacijomis</w:t>
            </w:r>
            <w:r w:rsidRPr="00837CC4">
              <w:rPr>
                <w:b/>
                <w:bCs/>
                <w:i/>
                <w:iCs/>
              </w:rPr>
              <w:t>, kurie nėra likvidūs</w:t>
            </w:r>
            <w:r w:rsidRPr="00837CC4">
              <w:t xml:space="preserve">. Kad būtų galima nustatyti, ar akcija </w:t>
            </w:r>
            <w:r w:rsidRPr="00837CC4">
              <w:rPr>
                <w:b/>
                <w:bCs/>
                <w:i/>
                <w:iCs/>
              </w:rPr>
              <w:t>arba</w:t>
            </w:r>
            <w:r w:rsidRPr="00837CC4">
              <w:t xml:space="preserve"> obligacija yra </w:t>
            </w:r>
            <w:r w:rsidRPr="00837CC4">
              <w:rPr>
                <w:b/>
                <w:bCs/>
                <w:i/>
                <w:iCs/>
              </w:rPr>
              <w:t>likvidi</w:t>
            </w:r>
            <w:r w:rsidRPr="00837CC4">
              <w:t xml:space="preserve">, šiame reglamente turėtų būti nustatytos tam tikros ribos. Siekiant išvengti bet kokios rizikos finansiniam stabilumui, PRT perleidžiamųjų vertybinių popierių, kuriuos registruoja PRT </w:t>
            </w:r>
            <w:r w:rsidRPr="00837CC4">
              <w:rPr>
                <w:b/>
                <w:bCs/>
                <w:i/>
                <w:iCs/>
              </w:rPr>
              <w:t>vertybinių popierių atsiskaitymo sistemą</w:t>
            </w:r>
            <w:r w:rsidRPr="00837CC4">
              <w:t xml:space="preserve"> valdantis CVPD arba kuriais leidžiama prekiauti PRT DPS, visa rinkos vertė taip pat turėtų būti apribota.</w:t>
            </w:r>
            <w:r w:rsidRPr="00837CC4">
              <w:rPr>
                <w:b/>
                <w:i/>
              </w:rPr>
              <w:t xml:space="preserve"> </w:t>
            </w:r>
            <w:r w:rsidRPr="00837CC4">
              <w:rPr>
                <w:b/>
                <w:bCs/>
                <w:i/>
                <w:iCs/>
              </w:rPr>
              <w:t>Be to, PRT rinkos infrastruktūroms turėtų būti draudžiama prekiauti valstybės obligacijomis arba jas registruoti paskirstytajame registre.</w:t>
            </w:r>
            <w:r w:rsidRPr="00837CC4">
              <w:t xml:space="preserve"> Kad nacionalinės kompetentingos institucijos galėtų patikrinti, ar PRT perleidžiamieji vertybiniai popieriai, kuriais prekiaujama arba kurie yra registruoti PRT rinkos infrastruktūroje, atitinka pagal šį reglamentą nustatytas sąlygas, joms turėtų būti leidžiama įpareigoti tokias PRT rinkos infrastruktūras teikti ataskaitas;</w:t>
            </w:r>
          </w:p>
        </w:tc>
        <w:tc>
          <w:tcPr>
            <w:tcW w:w="4876" w:type="dxa"/>
          </w:tcPr>
          <w:p w:rsidR="0084543E" w:rsidRPr="00837CC4" w:rsidRDefault="0084543E" w:rsidP="00E51AD6">
            <w:pPr>
              <w:pStyle w:val="Normal6a"/>
            </w:pPr>
            <w:r w:rsidRPr="00837CC4">
              <w:t>(12)</w:t>
            </w:r>
            <w:r w:rsidRPr="00837CC4">
              <w:tab/>
              <w:t xml:space="preserve">siekiant sudaryti sąlygas inovacijoms ir eksperimentams patikimoje reglamentavimo aplinkoje, kartu išlaikant finansinį stabilumą, perleidžiamieji vertybiniai popieriai, kuriais leidžiama prekiauti arba kurie registruojami PRT </w:t>
            </w:r>
            <w:r w:rsidRPr="00837CC4">
              <w:rPr>
                <w:b/>
                <w:bCs/>
                <w:i/>
                <w:iCs/>
              </w:rPr>
              <w:t>rinkos infrastruktūroje</w:t>
            </w:r>
            <w:r w:rsidRPr="00837CC4">
              <w:t>, turėtų apsiriboti vertybiniais popieriais, pavyzdžiui, akcijomis</w:t>
            </w:r>
            <w:r w:rsidRPr="00837CC4">
              <w:rPr>
                <w:b/>
                <w:bCs/>
                <w:i/>
                <w:iCs/>
              </w:rPr>
              <w:t>,</w:t>
            </w:r>
            <w:r w:rsidRPr="00837CC4">
              <w:t xml:space="preserve"> obligacijomis,</w:t>
            </w:r>
            <w:r w:rsidRPr="00837CC4">
              <w:rPr>
                <w:b/>
                <w:bCs/>
                <w:i/>
                <w:iCs/>
              </w:rPr>
              <w:t>, įskaitant vyriausybės obligacijas ir biržinių fondų vienetus (BFV), kurių vertė nesiekia šiame reglamente nustatytos ribinės vertės</w:t>
            </w:r>
            <w:r w:rsidRPr="00837CC4">
              <w:t>. Kad būtų galima nustatyti, ar akcija</w:t>
            </w:r>
            <w:r w:rsidRPr="00837CC4">
              <w:rPr>
                <w:b/>
                <w:bCs/>
                <w:i/>
                <w:iCs/>
              </w:rPr>
              <w:t>,</w:t>
            </w:r>
            <w:r w:rsidRPr="00837CC4">
              <w:t xml:space="preserve"> obligacija</w:t>
            </w:r>
            <w:r w:rsidRPr="00837CC4">
              <w:rPr>
                <w:b/>
                <w:bCs/>
                <w:i/>
                <w:iCs/>
              </w:rPr>
              <w:t>, BFV, KIPVPS arba AIF</w:t>
            </w:r>
            <w:r w:rsidRPr="00837CC4">
              <w:t xml:space="preserve"> yra </w:t>
            </w:r>
            <w:r w:rsidRPr="00837CC4">
              <w:rPr>
                <w:b/>
                <w:bCs/>
                <w:i/>
                <w:iCs/>
              </w:rPr>
              <w:t>likvidūs</w:t>
            </w:r>
            <w:r w:rsidRPr="00837CC4">
              <w:t xml:space="preserve">, šiame reglamente turėtų būti nustatytos tam tikros ribos. Siekiant išvengti bet kokios rizikos finansiniam stabilumui, PRT perleidžiamųjų vertybinių popierių, kuriuos registruoja PRT </w:t>
            </w:r>
            <w:r w:rsidRPr="00837CC4">
              <w:rPr>
                <w:b/>
                <w:bCs/>
                <w:i/>
                <w:iCs/>
              </w:rPr>
              <w:t>VPAS</w:t>
            </w:r>
            <w:r w:rsidRPr="00837CC4">
              <w:t xml:space="preserve"> valdantis CVPD arba kuriais leidžiama prekiauti PRT DPS, visa rinkos vertė taip pat turėtų būti apribota. Kad nacionalinės kompetentingos institucijos galėtų patikrinti, ar PRT perleidžiamieji vertybiniai popieriai, kuriais prekiaujama arba kurie yra registruoti PRT rinkos infrastruktūroje, </w:t>
            </w:r>
            <w:r w:rsidRPr="00837CC4">
              <w:rPr>
                <w:b/>
                <w:bCs/>
                <w:i/>
                <w:iCs/>
              </w:rPr>
              <w:t xml:space="preserve">tuo laikotarpiu, kai jiems leidžiama dalyvauti bandomojoje tvarkoje, </w:t>
            </w:r>
            <w:r w:rsidRPr="00837CC4">
              <w:t xml:space="preserve">atitinka pagal šį reglamentą nustatytas sąlygas, joms turėtų būti leidžiama įpareigoti tokias PRT rinkos infrastruktūras </w:t>
            </w:r>
            <w:r w:rsidRPr="00837CC4">
              <w:rPr>
                <w:b/>
                <w:bCs/>
                <w:i/>
                <w:iCs/>
              </w:rPr>
              <w:t xml:space="preserve">reguliariai </w:t>
            </w:r>
            <w:r w:rsidRPr="00837CC4">
              <w:t>teikti ataskaitas</w:t>
            </w:r>
            <w:r w:rsidRPr="00837CC4">
              <w:rPr>
                <w:b/>
                <w:bCs/>
                <w:i/>
                <w:iCs/>
              </w:rPr>
              <w:t>, kaip numatyta šiame reglamente</w:t>
            </w:r>
            <w:r w:rsidRPr="00837CC4">
              <w:t>;</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pPr>
        <w:pStyle w:val="AmJustTitle"/>
      </w:pPr>
      <w:r w:rsidRPr="00837CC4">
        <w:rPr>
          <w:rStyle w:val="HideTWBExt"/>
          <w:i w:val="0"/>
          <w:noProof w:val="0"/>
        </w:rPr>
        <w:t>&lt;TitreJust&gt;</w:t>
      </w:r>
      <w:r w:rsidRPr="00837CC4">
        <w:t>Pagrindimas</w:t>
      </w:r>
      <w:r w:rsidRPr="00837CC4">
        <w:rPr>
          <w:rStyle w:val="HideTWBExt"/>
          <w:i w:val="0"/>
          <w:noProof w:val="0"/>
        </w:rPr>
        <w:t>&lt;/TitreJust&gt;</w:t>
      </w:r>
    </w:p>
    <w:p w:rsidR="0084543E" w:rsidRPr="00837CC4" w:rsidRDefault="0084543E" w:rsidP="0084543E">
      <w:pPr>
        <w:pStyle w:val="AmJustText"/>
      </w:pPr>
      <w:r w:rsidRPr="00837CC4">
        <w:t>Siūloma išplėsti priimtinų perleidžiamųjų vertybinių popierių taikymo sritį, į ją įtraukiant BFV, kurie investuoja į PRT perleidžiamuosius vertybinius popierius ir (arba) kuriais yra prekiaujama, už kuriuos atsiskaitoma arba kurie saugomi pasitelkiant PRT, kad būtų suteiktos didesnės galimybės eksperimentuoti, laikantis Reglamente nustatytų ribų. Galiausiai ne mažiau svarbu ir tai, kad būtų aiškiai nurodyta, jog PRT rinkos infrastruktūromis turėtų būti nuolat laikomasi minėtų ribų, kol jie veikia pagal reglamente numatytą leidimą.</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182</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Jessica Polfjärd</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12 konstatuojamoji dalis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t>(12)</w:t>
            </w:r>
            <w:r w:rsidRPr="00837CC4">
              <w:tab/>
              <w:t xml:space="preserve">siekiant sudaryti sąlygas inovacijoms ir eksperimentams patikimoje reglamentavimo aplinkoje, kartu išlaikant finansinį stabilumą, perleidžiamieji vertybiniai popieriai, kuriais leidžiama prekiauti PRT DPS arba kurie registruojami PRT vertybinių popierių atsiskaitymo sistemą valdančiame CVPD, turėtų apsiriboti vertybiniais popieriais, pavyzdžiui, akcijomis ir obligacijomis, </w:t>
            </w:r>
            <w:r w:rsidRPr="00837CC4">
              <w:rPr>
                <w:b/>
                <w:bCs/>
                <w:i/>
                <w:iCs/>
              </w:rPr>
              <w:t>kurie nėra likvidūs</w:t>
            </w:r>
            <w:r w:rsidRPr="00837CC4">
              <w:t>. Kad būtų galima nustatyti, ar akcija arba obligacija yra likvidi, šiame reglamente turėtų būti nustatytos tam tikros ribos. Siekiant išvengti bet kokios rizikos finansiniam stabilumui, PRT perleidžiamųjų vertybinių popierių, kuriuos registruoja PRT vertybinių popierių atsiskaitymo sistemą valdantis CVPD arba kuriais leidžiama prekiauti PRT DPS, visa rinkos vertė taip pat turėtų būti apribota. Be to, PRT rinkos infrastruktūroms turėtų būti draudžiama prekiauti valstybės obligacijomis arba jas registruoti paskirstytajame registre. Kad nacionalinės kompetentingos institucijos galėtų patikrinti, ar PRT perleidžiamieji vertybiniai popieriai, kuriais prekiaujama arba kurie yra registruoti PRT rinkos infrastruktūroje, atitinka pagal šį reglamentą nustatytas sąlygas, joms turėtų būti leidžiama įpareigoti tokias PRT rinkos infrastruktūras teikti ataskaitas;</w:t>
            </w:r>
          </w:p>
        </w:tc>
        <w:tc>
          <w:tcPr>
            <w:tcW w:w="4876" w:type="dxa"/>
          </w:tcPr>
          <w:p w:rsidR="0084543E" w:rsidRPr="00837CC4" w:rsidRDefault="0084543E" w:rsidP="00E51AD6">
            <w:pPr>
              <w:pStyle w:val="Normal6a"/>
            </w:pPr>
            <w:r w:rsidRPr="00837CC4">
              <w:t>(12)</w:t>
            </w:r>
            <w:r w:rsidRPr="00837CC4">
              <w:tab/>
              <w:t xml:space="preserve">siekiant sudaryti sąlygas inovacijoms ir eksperimentams patikimoje reglamentavimo aplinkoje, kartu išlaikant finansinį stabilumą, perleidžiamieji vertybiniai popieriai, kuriais leidžiama prekiauti PRT DPS arba kurie registruojami PRT vertybinių popierių atsiskaitymo sistemą valdančiame CVPD, turėtų apsiriboti vertybiniais popieriais, pavyzdžiui, akcijomis ir obligacijomis, </w:t>
            </w:r>
            <w:r w:rsidRPr="00837CC4">
              <w:rPr>
                <w:b/>
                <w:bCs/>
                <w:i/>
                <w:iCs/>
              </w:rPr>
              <w:t>kuriems taikomos šiame reglamente nustatytos vertės ribos</w:t>
            </w:r>
            <w:r w:rsidRPr="00837CC4">
              <w:t>. Kad būtų galima nustatyti, ar akcija arba obligacija yra likvidi, šiame reglamente turėtų būti nustatytos tam tikros ribos. Siekiant išvengti bet kokios rizikos finansiniam stabilumui, PRT perleidžiamųjų vertybinių popierių, kuriuos registruoja PRT vertybinių popierių atsiskaitymo sistemą valdantis CVPD arba kuriais leidžiama prekiauti PRT DPS, visa rinkos vertė taip pat turėtų būti apribota. Be to, PRT rinkos infrastruktūroms turėtų būti draudžiama prekiauti valstybės obligacijomis arba jas registruoti paskirstytajame registre. Kad nacionalinės kompetentingos institucijos galėtų patikrinti, ar PRT perleidžiamieji vertybiniai popieriai, kuriais prekiaujama arba kurie yra registruoti PRT rinkos infrastruktūroje, atitinka pagal šį reglamentą nustatytas sąlygas, joms turėtų būti leidžiama įpareigoti tokias PRT rinkos infrastruktūras teikti ataskaitas;</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183</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Stéphanie Yon-Courtin, Ondřej Kovařík, Gilles Boyer, Olivier Chastel</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12 konstatuojamoji dalis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t>(12)</w:t>
            </w:r>
            <w:r w:rsidRPr="00837CC4">
              <w:tab/>
              <w:t xml:space="preserve">siekiant sudaryti sąlygas inovacijoms ir eksperimentams patikimoje reglamentavimo aplinkoje, kartu išlaikant finansinį stabilumą, perleidžiamieji vertybiniai popieriai, kuriais leidžiama prekiauti PRT DPS arba kurie registruojami PRT vertybinių popierių atsiskaitymo sistemą valdančiame </w:t>
            </w:r>
            <w:r w:rsidRPr="00837CC4">
              <w:rPr>
                <w:b/>
                <w:bCs/>
                <w:i/>
                <w:iCs/>
              </w:rPr>
              <w:t>CVPD</w:t>
            </w:r>
            <w:r w:rsidRPr="00837CC4">
              <w:t xml:space="preserve">, turėtų apsiriboti vertybiniais popieriais, pavyzdžiui, akcijomis ir obligacijomis, kurie nėra likvidūs. Kad būtų galima nustatyti, ar akcija arba obligacija yra likvidi, šiame reglamente turėtų būti nustatytos tam tikros ribos. Siekiant išvengti bet kokios rizikos finansiniam stabilumui, PRT perleidžiamųjų vertybinių popierių, kuriuos registruoja PRT vertybinių popierių atsiskaitymo sistemą valdantis </w:t>
            </w:r>
            <w:r w:rsidRPr="00837CC4">
              <w:rPr>
                <w:b/>
                <w:bCs/>
                <w:i/>
                <w:iCs/>
              </w:rPr>
              <w:t>CVPD</w:t>
            </w:r>
            <w:r w:rsidRPr="00837CC4">
              <w:t xml:space="preserve"> arba kuriais leidžiama prekiauti PRT DPS, visa rinkos vertė taip pat turėtų būti apribota. Be to, PRT rinkos infrastruktūroms turėtų būti draudžiama prekiauti valstybės obligacijomis arba jas registruoti paskirstytajame registre. Kad nacionalinės kompetentingos institucijos galėtų patikrinti, ar PRT perleidžiamieji vertybiniai popieriai, kuriais prekiaujama arba kurie yra registruoti PRT rinkos infrastruktūroje, atitinka pagal šį reglamentą nustatytas sąlygas, joms turėtų būti leidžiama įpareigoti tokias PRT rinkos infrastruktūras teikti ataskaitas;</w:t>
            </w:r>
          </w:p>
        </w:tc>
        <w:tc>
          <w:tcPr>
            <w:tcW w:w="4876" w:type="dxa"/>
          </w:tcPr>
          <w:p w:rsidR="0084543E" w:rsidRPr="00837CC4" w:rsidRDefault="0084543E" w:rsidP="00E51AD6">
            <w:pPr>
              <w:pStyle w:val="Normal6a"/>
            </w:pPr>
            <w:r w:rsidRPr="00837CC4">
              <w:t>(12)</w:t>
            </w:r>
            <w:r w:rsidRPr="00837CC4">
              <w:tab/>
              <w:t xml:space="preserve">siekiant sudaryti sąlygas inovacijoms ir eksperimentams patikimoje reglamentavimo aplinkoje, kartu išlaikant finansinį stabilumą, perleidžiamieji vertybiniai popieriai, kuriais leidžiama prekiauti PRT DPS arba kurie registruojami PRT vertybinių popierių atsiskaitymo sistemą valdančiame </w:t>
            </w:r>
            <w:r w:rsidRPr="00837CC4">
              <w:rPr>
                <w:b/>
                <w:bCs/>
                <w:i/>
                <w:iCs/>
              </w:rPr>
              <w:t>subjekte</w:t>
            </w:r>
            <w:r w:rsidRPr="00837CC4">
              <w:t xml:space="preserve">, turėtų apsiriboti vertybiniais popieriais, pavyzdžiui, akcijomis ir obligacijomis, kurie nėra likvidūs. Kad būtų galima nustatyti, ar akcija arba obligacija yra likvidi, šiame reglamente turėtų būti nustatytos tam tikros ribos. Siekiant išvengti bet kokios rizikos finansiniam stabilumui, PRT perleidžiamųjų vertybinių popierių, kuriuos registruoja PRT vertybinių popierių atsiskaitymo sistemą valdantis </w:t>
            </w:r>
            <w:r w:rsidRPr="00837CC4">
              <w:rPr>
                <w:b/>
                <w:bCs/>
                <w:i/>
                <w:iCs/>
              </w:rPr>
              <w:t>subjektas</w:t>
            </w:r>
            <w:r w:rsidRPr="00837CC4">
              <w:t xml:space="preserve"> arba kuriais leidžiama prekiauti PRT DPS, visa rinkos vertė taip pat turėtų būti apribota. Be to, PRT rinkos infrastruktūroms turėtų būti draudžiama prekiauti valstybės obligacijomis arba jas registruoti paskirstytajame registre. Kad nacionalinės kompetentingos institucijos galėtų patikrinti, ar PRT perleidžiamieji vertybiniai popieriai, kuriais prekiaujama arba kurie yra registruoti PRT rinkos infrastruktūroje, atitinka pagal šį reglamentą nustatytas sąlygas, joms turėtų būti leidžiama įpareigoti tokias PRT rinkos infrastruktūras teikti ataskaitas;</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pPr>
        <w:pStyle w:val="AmJustTitle"/>
      </w:pPr>
      <w:r w:rsidRPr="00837CC4">
        <w:rPr>
          <w:rStyle w:val="HideTWBExt"/>
          <w:i w:val="0"/>
          <w:noProof w:val="0"/>
        </w:rPr>
        <w:t>&lt;TitreJust&gt;</w:t>
      </w:r>
      <w:r w:rsidRPr="00837CC4">
        <w:t>Pagrindimas</w:t>
      </w:r>
      <w:r w:rsidRPr="00837CC4">
        <w:rPr>
          <w:rStyle w:val="HideTWBExt"/>
          <w:i w:val="0"/>
          <w:noProof w:val="0"/>
        </w:rPr>
        <w:t>&lt;/TitreJust&gt;</w:t>
      </w:r>
    </w:p>
    <w:p w:rsidR="0084543E" w:rsidRPr="00837CC4" w:rsidRDefault="0084543E" w:rsidP="0084543E">
      <w:pPr>
        <w:pStyle w:val="AmJustText"/>
      </w:pPr>
      <w:r w:rsidRPr="00837CC4">
        <w:t>Bandomosios tvarkos atvirumas naujų dalyvių atžvilgiu.</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184</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Jessica Polfjärd</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13 konstatuojamoji dalis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t>(13)</w:t>
            </w:r>
            <w:r w:rsidRPr="00837CC4">
              <w:tab/>
              <w:t>siekiant užtikrinti vienodas sąlygas perleidžiamiesiems vertybiniams popieriams, kuriais leidžiama prekiauti tradicinėje prekybos vietoje, kaip apibrėžta Direktyvoje 2014/65/ES (Finansinių priemonių rinkų direktyvoje, FPRD II), ir užtikrinti aukšto lygio rinkos vientisumą, PRT perleidžiamiesiems vertybiniams popieriams, kuriais leidžiama prekiauti PRT DPS, turėtų būti visais atvejais taikomos piktnaudžiauti rinka draudžiančios nuostatos, įtvirtintos Reglamente (ES) Nr. 596/2014 (Piktnaudžiavimo rinka reglamente);</w:t>
            </w:r>
          </w:p>
        </w:tc>
        <w:tc>
          <w:tcPr>
            <w:tcW w:w="4876" w:type="dxa"/>
          </w:tcPr>
          <w:p w:rsidR="0084543E" w:rsidRPr="00837CC4" w:rsidRDefault="0084543E" w:rsidP="00E51AD6">
            <w:pPr>
              <w:pStyle w:val="Normal6a"/>
            </w:pPr>
            <w:r w:rsidRPr="00837CC4">
              <w:t>(13)</w:t>
            </w:r>
            <w:r w:rsidRPr="00837CC4">
              <w:tab/>
              <w:t xml:space="preserve">siekiant užtikrinti vienodas sąlygas perleidžiamiesiems vertybiniams popieriams, kuriais leidžiama prekiauti tradicinėje prekybos vietoje, kaip apibrėžta Direktyvoje 2014/65/ES (Finansinių priemonių rinkų direktyvoje, FPRD II), ir užtikrinti aukšto lygio rinkos vientisumą, </w:t>
            </w:r>
            <w:r w:rsidRPr="00837CC4">
              <w:rPr>
                <w:b/>
                <w:bCs/>
                <w:i/>
                <w:iCs/>
              </w:rPr>
              <w:t xml:space="preserve">investuotojų apsaugą ir finansinį stabilumą, </w:t>
            </w:r>
            <w:r w:rsidRPr="00837CC4">
              <w:t>PRT perleidžiamiesiems vertybiniams popieriams, kuriais leidžiama prekiauti PRT DPS, turėtų būti visais atvejais taikomos piktnaudžiauti rinka draudžiančios nuostatos, įtvirtintos Reglamente (ES) Nr. 596/2014 (Piktnaudžiavimo rinka reglamente);</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185</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Eero Heinäluoma, Jonás Fernández, Pedro Marques</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13 konstatuojamoji dalis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t>(13)</w:t>
            </w:r>
            <w:r w:rsidRPr="00837CC4">
              <w:tab/>
              <w:t>siekiant užtikrinti vienodas sąlygas perleidžiamiesiems vertybiniams popieriams, kuriais leidžiama prekiauti tradicinėje prekybos vietoje, kaip apibrėžta Direktyvoje 2014/65/ES (Finansinių priemonių rinkų direktyvoje, FPRD II), ir užtikrinti aukšto lygio rinkos vientisumą, PRT perleidžiamiesiems vertybiniams popieriams, kuriais leidžiama prekiauti PRT DPS, turėtų būti visais atvejais taikomos piktnaudžiauti rinka draudžiančios nuostatos, įtvirtintos Reglamente (ES) Nr. 596/2014 (Piktnaudžiavimo rinka reglamente);</w:t>
            </w:r>
          </w:p>
        </w:tc>
        <w:tc>
          <w:tcPr>
            <w:tcW w:w="4876" w:type="dxa"/>
          </w:tcPr>
          <w:p w:rsidR="0084543E" w:rsidRPr="00837CC4" w:rsidRDefault="0084543E" w:rsidP="00E51AD6">
            <w:pPr>
              <w:pStyle w:val="Normal6a"/>
            </w:pPr>
            <w:r w:rsidRPr="00837CC4">
              <w:t>(13)</w:t>
            </w:r>
            <w:r w:rsidRPr="00837CC4">
              <w:tab/>
              <w:t xml:space="preserve">siekiant užtikrinti vienodas sąlygas perleidžiamiesiems vertybiniams popieriams, kuriais leidžiama prekiauti tradicinėje prekybos vietoje, kaip apibrėžta Direktyvoje 2014/65/ES (Finansinių priemonių rinkų direktyvoje, FPRD II), ir užtikrinti aukšto lygio rinkos vientisumą, </w:t>
            </w:r>
            <w:r w:rsidRPr="00837CC4">
              <w:rPr>
                <w:b/>
                <w:bCs/>
                <w:i/>
                <w:iCs/>
              </w:rPr>
              <w:t xml:space="preserve">investuotojų apsaugą ir finansinį stabilumą, </w:t>
            </w:r>
            <w:r w:rsidRPr="00837CC4">
              <w:t>PRT perleidžiamiesiems vertybiniams popieriams, kuriais leidžiama prekiauti PRT DPS, turėtų būti visais atvejais taikomos piktnaudžiauti rinka draudžiančios nuostatos, įtvirtintos Reglamente (ES) Nr. 596/2014 (Piktnaudžiavimo rinka reglamente);</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186</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Eva Kaili</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14 konstatuojamoji dalis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t>(14)</w:t>
            </w:r>
            <w:r w:rsidRPr="00837CC4">
              <w:tab/>
              <w:t>PRT DPS turėtų galėti prašyti kompetentingos institucijos leisti laikinai taikyti vieną ar daugiau šiame reglamente numatytų išimčių, jeigu ta PRT DPS atitinka tokioms išimtims taikomas sąlygas ir papildomus pagal šį reglamentą nustatytus reikalavimus, kuriais siekiama valdyti naujų formų riziką, kurią kelia PRT naudojimas. Be to, PRT DPS turėtų laikytis kompetentingos institucijos nustatytų kompensacinių priemonių, kad pasiektų nuostata, kurios atžvilgiu prašyta taikyti išimtį, siekiamus tikslus;</w:t>
            </w:r>
          </w:p>
        </w:tc>
        <w:tc>
          <w:tcPr>
            <w:tcW w:w="4876" w:type="dxa"/>
          </w:tcPr>
          <w:p w:rsidR="0084543E" w:rsidRPr="00837CC4" w:rsidRDefault="0084543E" w:rsidP="00E51AD6">
            <w:pPr>
              <w:pStyle w:val="Normal6a"/>
            </w:pPr>
            <w:r w:rsidRPr="00837CC4">
              <w:t>(14)</w:t>
            </w:r>
            <w:r w:rsidRPr="00837CC4">
              <w:tab/>
            </w:r>
            <w:r w:rsidRPr="00837CC4">
              <w:rPr>
                <w:b/>
                <w:bCs/>
                <w:i/>
                <w:iCs/>
              </w:rPr>
              <w:t xml:space="preserve">remiantis ESMA paskelbta rekomendacija, </w:t>
            </w:r>
            <w:r w:rsidRPr="00837CC4">
              <w:t xml:space="preserve">PRT DPS turėtų galėti prašyti kompetentingos institucijos leisti laikinai taikyti vieną ar daugiau šiame reglamente numatytų išimčių, jeigu ta PRT DPS atitinka tokioms išimtims taikomas sąlygas ir papildomus pagal šį reglamentą nustatytus reikalavimus, kuriais siekiama valdyti naujų formų riziką, kurią kelia PRT naudojimas. Be to, PRT DPS turėtų laikytis kompetentingos institucijos nustatytų </w:t>
            </w:r>
            <w:r w:rsidRPr="00837CC4">
              <w:rPr>
                <w:b/>
                <w:bCs/>
                <w:i/>
                <w:iCs/>
              </w:rPr>
              <w:t xml:space="preserve">arba ESMA rekomenduotų </w:t>
            </w:r>
            <w:r w:rsidRPr="00837CC4">
              <w:t xml:space="preserve">kompensacinių </w:t>
            </w:r>
            <w:r w:rsidRPr="00837CC4">
              <w:rPr>
                <w:b/>
                <w:bCs/>
                <w:i/>
                <w:iCs/>
              </w:rPr>
              <w:t xml:space="preserve">arba taisomųjų </w:t>
            </w:r>
            <w:r w:rsidRPr="00837CC4">
              <w:t>priemonių, kad pasiektų nuostata, kurios atžvilgiu prašyta taikyti išimtį, siekiamus tikslus;</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pPr>
        <w:pStyle w:val="AmJustTitle"/>
      </w:pPr>
      <w:r w:rsidRPr="00837CC4">
        <w:rPr>
          <w:rStyle w:val="HideTWBExt"/>
          <w:i w:val="0"/>
          <w:noProof w:val="0"/>
        </w:rPr>
        <w:t>&lt;TitreJust&gt;</w:t>
      </w:r>
      <w:r w:rsidRPr="00837CC4">
        <w:t>Pagrindimas</w:t>
      </w:r>
      <w:r w:rsidRPr="00837CC4">
        <w:rPr>
          <w:rStyle w:val="HideTWBExt"/>
          <w:i w:val="0"/>
          <w:noProof w:val="0"/>
        </w:rPr>
        <w:t>&lt;/TitreJust&gt;</w:t>
      </w:r>
    </w:p>
    <w:p w:rsidR="0084543E" w:rsidRPr="00837CC4" w:rsidRDefault="0084543E" w:rsidP="0084543E">
      <w:pPr>
        <w:pStyle w:val="AmJustText"/>
      </w:pPr>
      <w:r w:rsidRPr="00837CC4">
        <w:t>Siekiant užtikrinti įvairių nacionalinių kompetentingų institucijų, kurių technologijų išmanymo lygis gali skirtis, visoje Sąjungoje pagal šį reglamentą taikomų išimčių priežiūros konvergenciją, nuoseklumą ir proporcingumą ir taip skatinti vienodas sąlygas ir atgrasyti nuo reguliavimo spragų, siūloma labiau stiprinti ESMA vaidmenį. Laikantis Komisijos kapitalo rinkų sąjungos naujo veiksmų plano 16 straipsnio.</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187</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Eero Heinäluoma, Paul Tang, Jonás Fernández, Pedro Marques</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14 konstatuojamoji dalis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t>(14)</w:t>
            </w:r>
            <w:r w:rsidRPr="00837CC4">
              <w:tab/>
              <w:t>PRT DPS turėtų galėti prašyti kompetentingos institucijos leisti laikinai taikyti vieną ar daugiau šiame reglamente numatytų išimčių, jeigu ta PRT DPS atitinka tokioms išimtims taikomas sąlygas ir papildomus pagal šį reglamentą nustatytus reikalavimus, kuriais siekiama valdyti naujų formų riziką, kurią kelia PRT naudojimas. Be to, PRT DPS turėtų laikytis kompetentingos institucijos nustatytų kompensacinių priemonių, kad pasiektų nuostata, kurios atžvilgiu prašyta taikyti išimtį, siekiamus tikslus;</w:t>
            </w:r>
          </w:p>
        </w:tc>
        <w:tc>
          <w:tcPr>
            <w:tcW w:w="4876" w:type="dxa"/>
          </w:tcPr>
          <w:p w:rsidR="0084543E" w:rsidRPr="00837CC4" w:rsidRDefault="0084543E" w:rsidP="00E51AD6">
            <w:pPr>
              <w:pStyle w:val="Normal6a"/>
            </w:pPr>
            <w:r w:rsidRPr="00837CC4">
              <w:t>(14)</w:t>
            </w:r>
            <w:r w:rsidRPr="00837CC4">
              <w:tab/>
              <w:t>PRT DPS</w:t>
            </w:r>
            <w:r w:rsidRPr="00837CC4">
              <w:rPr>
                <w:b/>
                <w:bCs/>
                <w:i/>
                <w:iCs/>
              </w:rPr>
              <w:t>, gavusi ESMA rekomendaciją,</w:t>
            </w:r>
            <w:r w:rsidRPr="00837CC4">
              <w:t xml:space="preserve"> turėtų galėti prašyti kompetentingos institucijos leisti laikinai taikyti vieną ar daugiau šiame reglamente numatytų išimčių, jeigu ta PRT DPS atitinka tokioms išimtims taikomas sąlygas ir papildomus pagal šį reglamentą nustatytus reikalavimus, kuriais siekiama valdyti naujų formų riziką, kurią kelia PRT naudojimas. Be to, PRT DPS turėtų laikytis kompetentingos institucijos nustatytų kompensacinių</w:t>
            </w:r>
            <w:r w:rsidRPr="00837CC4">
              <w:rPr>
                <w:b/>
                <w:bCs/>
                <w:i/>
                <w:iCs/>
              </w:rPr>
              <w:t xml:space="preserve"> arba korekcinių</w:t>
            </w:r>
            <w:r w:rsidRPr="00837CC4">
              <w:t xml:space="preserve"> priemonių, kad pasiektų nuostata, kurios atžvilgiu prašyta taikyti išimtį, siekiamus tikslus;</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188</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Christophe Hansen, Lídia Pereira</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14 konstatuojamoji dalis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t>(14)</w:t>
            </w:r>
            <w:r w:rsidRPr="00837CC4">
              <w:tab/>
              <w:t>PRT DPS turėtų galėti prašyti kompetentingos institucijos leisti laikinai taikyti vieną ar daugiau šiame reglamente numatytų išimčių, jeigu ta PRT DPS atitinka tokioms išimtims taikomas sąlygas ir papildomus pagal šį reglamentą nustatytus reikalavimus, kuriais siekiama valdyti naujų formų riziką, kurią kelia PRT naudojimas. Be to, PRT DPS turėtų laikytis kompetentingos institucijos nustatytų kompensacinių priemonių, kad pasiektų nuostata, kurios atžvilgiu prašyta taikyti išimtį, siekiamus tikslus;</w:t>
            </w:r>
          </w:p>
        </w:tc>
        <w:tc>
          <w:tcPr>
            <w:tcW w:w="4876" w:type="dxa"/>
          </w:tcPr>
          <w:p w:rsidR="0084543E" w:rsidRPr="00837CC4" w:rsidRDefault="0084543E" w:rsidP="00E51AD6">
            <w:pPr>
              <w:pStyle w:val="Normal6a"/>
            </w:pPr>
            <w:r w:rsidRPr="00837CC4">
              <w:t>(14)</w:t>
            </w:r>
            <w:r w:rsidRPr="00837CC4">
              <w:tab/>
              <w:t>PRT DPS</w:t>
            </w:r>
            <w:r w:rsidRPr="00837CC4">
              <w:rPr>
                <w:b/>
                <w:bCs/>
                <w:i/>
                <w:iCs/>
              </w:rPr>
              <w:t>, gavusi neprivalomą ESMA nuomonę,</w:t>
            </w:r>
            <w:r w:rsidRPr="00837CC4">
              <w:t xml:space="preserve"> turėtų galėti prašyti kompetentingos institucijos leisti laikinai taikyti vieną ar daugiau šiame reglamente numatytų išimčių, jeigu ta PRT DPS atitinka tokioms išimtims taikomas sąlygas ir papildomus pagal šį reglamentą nustatytus reikalavimus, kuriais siekiama valdyti naujų formų riziką, kurią kelia PRT naudojimas. Be to, PRT DPS turėtų laikytis kompetentingos institucijos nustatytų kompensacinių priemonių, kad pasiektų nuostata, kurios atžvilgiu prašyta taikyti išimtį, siekiamus tikslus;</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189</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Eva Kaili</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15 konstatuojamoji dalis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t>(15)</w:t>
            </w:r>
            <w:r w:rsidRPr="00837CC4">
              <w:tab/>
              <w:t>kai finansine priemone leidžiama prekiauti DPS, ji registruojama veiklos leidimą turinčiame centriniame vertybinių popierių depozitoriume pagal Reglamentą (ES) Nr. 909/2014 (</w:t>
            </w:r>
            <w:r w:rsidRPr="00837CC4">
              <w:rPr>
                <w:b/>
                <w:bCs/>
                <w:i/>
                <w:iCs/>
              </w:rPr>
              <w:t>Centrinių vertybinių popierių depozitoriumų reglamentą</w:t>
            </w:r>
            <w:r w:rsidRPr="00837CC4">
              <w:t xml:space="preserve">). Nors perleidžiamųjų vertybinių popierių registravimas ir atsiskaitymas už susijusius sandorius potencialiai galėtų vykti paskirstytajame registre, Reglamentu (ES) Nr. 909/2014 nustatomas CVPD tarpininkavimas, todėl pagal jį reikėtų registravimą paskirstytajame registre pakartoti CVPD lygmeniu, taip galbūt nulemiant pagal šį reglamentą PRT rinkos infrastruktūrų administruojamos finansinės priemonės prekybos ciklo funkciškai perteklinį dubliavimąsi. Todėl PRT DPS turėtų turėti galimybę prašyti taikyti išimtį, susijusią su įrašo apskaitos sistemoje reikalavimu ir registravimu CVPD, kurie nustatyti Reglamentu (ES) Nr. 909/2014, jeigu PRT DPS atitinka CVPD taikomus lygiaverčius reikalavimus. PRT DPS turėtų registruoti perleidžiamuosius vertybinius popierius </w:t>
            </w:r>
            <w:r w:rsidRPr="00837CC4">
              <w:rPr>
                <w:b/>
                <w:bCs/>
                <w:i/>
                <w:iCs/>
              </w:rPr>
              <w:t>savo</w:t>
            </w:r>
            <w:r w:rsidRPr="00837CC4">
              <w:t xml:space="preserve"> paskirstytajame registre, užtikrinti emisijų vientisumą paskirstytajame registre, nustatyti ir atnaujinti PRT perleidžiamųjų vertybinių popierių saugojimo procedūras, užbaigti atsiskaitymą už sandorius ir vykdyti neatsiskaitymo prevenciją;</w:t>
            </w:r>
          </w:p>
        </w:tc>
        <w:tc>
          <w:tcPr>
            <w:tcW w:w="4876" w:type="dxa"/>
          </w:tcPr>
          <w:p w:rsidR="0084543E" w:rsidRPr="00837CC4" w:rsidRDefault="0084543E" w:rsidP="00E51AD6">
            <w:pPr>
              <w:pStyle w:val="Normal6a"/>
            </w:pPr>
            <w:r w:rsidRPr="00837CC4">
              <w:t>(15)</w:t>
            </w:r>
            <w:r w:rsidRPr="00837CC4">
              <w:tab/>
              <w:t xml:space="preserve">kai finansine priemone leidžiama prekiauti DPS, ji registruojama veiklos leidimą turinčiame centriniame vertybinių popierių depozitoriume </w:t>
            </w:r>
            <w:r w:rsidRPr="00837CC4">
              <w:rPr>
                <w:b/>
                <w:bCs/>
                <w:i/>
                <w:iCs/>
              </w:rPr>
              <w:t>(CVPD)</w:t>
            </w:r>
            <w:r w:rsidRPr="00837CC4">
              <w:t xml:space="preserve"> pagal Reglamentą (ES) Nr. 909/2014 (</w:t>
            </w:r>
            <w:r w:rsidRPr="00837CC4">
              <w:rPr>
                <w:b/>
                <w:bCs/>
                <w:i/>
                <w:iCs/>
              </w:rPr>
              <w:t>CVPDR</w:t>
            </w:r>
            <w:r w:rsidRPr="00837CC4">
              <w:t>). Nors perleidžiamųjų vertybinių popierių registravimas ir atsiskaitymas už susijusius sandorius potencialiai galėtų vykti paskirstytajame registre, Reglamentu (ES) Nr. 909/2014 nustatomas CVPD tarpininkavimas, todėl pagal jį reikėtų registravimą paskirstytajame registre pakartoti CVPD lygmeniu, taip galbūt nulemiant pagal šį reglamentą PRT rinkos infrastruktūrų administruojamos finansinės priemonės prekybos ciklo funkciškai perteklinį dubliavimąsi. Todėl PRT DPS turėtų turėti galimybę prašyti taikyti išimtį, susijusią su įrašo apskaitos sistemoje reikalavimu ir registravimu CVPD, kurie nustatyti Reglamentu (ES) Nr. 909/2014, jeigu PRT DPS atitinka CVPD taikomus lygiaverčius reikalavimus. PRT DPS turėtų registruoti perleidžiamuosius vertybinius popierius paskirstytajame registre, užtikrinti emisijų vientisumą paskirstytajame registre, nustatyti ir atnaujinti PRT perleidžiamųjų vertybinių popierių saugojimo procedūras, užbaigti atsiskaitymą už sandorius ir vykdyti neatsiskaitymo prevenciją;</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pPr>
        <w:pStyle w:val="AmJustTitle"/>
      </w:pPr>
      <w:r w:rsidRPr="00837CC4">
        <w:rPr>
          <w:rStyle w:val="HideTWBExt"/>
          <w:i w:val="0"/>
          <w:noProof w:val="0"/>
        </w:rPr>
        <w:t>&lt;TitreJust&gt;</w:t>
      </w:r>
      <w:r w:rsidRPr="00837CC4">
        <w:t>Pagrindimas</w:t>
      </w:r>
      <w:r w:rsidRPr="00837CC4">
        <w:rPr>
          <w:rStyle w:val="HideTWBExt"/>
          <w:i w:val="0"/>
          <w:noProof w:val="0"/>
        </w:rPr>
        <w:t>&lt;/TitreJust&gt;</w:t>
      </w:r>
    </w:p>
    <w:p w:rsidR="0084543E" w:rsidRPr="00837CC4" w:rsidRDefault="0084543E" w:rsidP="0084543E">
      <w:pPr>
        <w:pStyle w:val="AmJustText"/>
      </w:pPr>
      <w:r w:rsidRPr="00837CC4">
        <w:t>Galimybės naudoti viešąsias, leistinas ar konsorciumo blokų grandines, kurios jau naudojamos Europos PRT projektuose, suteiktų galimybę taikant bandomąją tvarką išbandyti ir parengti naujus modelius ir (arba) vaidmenis ir užtikrinti perspektyvumą. Vykdant kiekvienos rūšies (viešosios, konsorciumo ar privačiosios) pasirinktos PRT nacionalinių kompetentingų institucijų ir ESMA leidimo išdavimo procesą, PRT DPS arba PRT VPAS turės dokumentais įrodyti ir užtikrinti investuotojų apsaugą, rinkos vientisumą ir finansinį stabilumą.</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190</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Jessica Polfjärd</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15 konstatuojamoji dalis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t>(15)</w:t>
            </w:r>
            <w:r w:rsidRPr="00837CC4">
              <w:tab/>
              <w:t xml:space="preserve">kai finansine priemone leidžiama prekiauti DPS, ji registruojama veiklos leidimą turinčiame centriniame vertybinių popierių depozitoriume pagal Reglamentą (ES) Nr. 909/2014 (Centrinių vertybinių popierių depozitoriumų reglamentą). Nors perleidžiamųjų vertybinių popierių registravimas ir atsiskaitymas už susijusius sandorius potencialiai galėtų vykti paskirstytajame registre, Reglamentu (ES) Nr. 909/2014 nustatomas CVPD tarpininkavimas, todėl pagal jį reikėtų registravimą paskirstytajame registre pakartoti CVPD lygmeniu, taip galbūt nulemiant pagal šį reglamentą PRT rinkos infrastruktūrų administruojamos finansinės priemonės prekybos ciklo funkciškai perteklinį dubliavimąsi. Todėl PRT DPS turėtų turėti galimybę prašyti taikyti išimtį, susijusią su įrašo apskaitos sistemoje reikalavimu ir registravimu CVPD, kurie nustatyti Reglamentu (ES) Nr. 909/2014, jeigu PRT DPS atitinka CVPD taikomus lygiaverčius reikalavimus. PRT DPS turėtų registruoti perleidžiamuosius vertybinius popierius </w:t>
            </w:r>
            <w:r w:rsidRPr="00837CC4">
              <w:rPr>
                <w:b/>
                <w:bCs/>
                <w:i/>
                <w:iCs/>
              </w:rPr>
              <w:t>savo</w:t>
            </w:r>
            <w:r w:rsidRPr="00837CC4">
              <w:t xml:space="preserve"> paskirstytajame registre, užtikrinti emisijų vientisumą paskirstytajame registre, nustatyti ir atnaujinti PRT perleidžiamųjų vertybinių popierių saugojimo procedūras, užbaigti atsiskaitymą už sandorius ir vykdyti neatsiskaitymo prevenciją;</w:t>
            </w:r>
          </w:p>
        </w:tc>
        <w:tc>
          <w:tcPr>
            <w:tcW w:w="4876" w:type="dxa"/>
          </w:tcPr>
          <w:p w:rsidR="0084543E" w:rsidRPr="00837CC4" w:rsidRDefault="0084543E" w:rsidP="00E51AD6">
            <w:pPr>
              <w:pStyle w:val="Normal6a"/>
            </w:pPr>
            <w:r w:rsidRPr="00837CC4">
              <w:t>(15)</w:t>
            </w:r>
            <w:r w:rsidRPr="00837CC4">
              <w:tab/>
              <w:t>kai finansine priemone leidžiama prekiauti DPS, ji registruojama veiklos leidimą turinčiame centriniame vertybinių popierių depozitoriume pagal Reglamentą (ES) Nr. 909/2014 (Centrinių vertybinių popierių depozitoriumų reglamentą). Nors perleidžiamųjų vertybinių popierių registravimas ir atsiskaitymas už susijusius sandorius potencialiai galėtų vykti paskirstytajame registre, Reglamentu (ES) Nr. 909/2014 nustatomas CVPD tarpininkavimas, todėl pagal jį reikėtų registravimą paskirstytajame registre pakartoti CVPD lygmeniu, taip galbūt nulemiant pagal šį reglamentą PRT rinkos infrastruktūrų administruojamos finansinės priemonės prekybos ciklo funkciškai perteklinį dubliavimąsi. Todėl PRT DPS turėtų turėti galimybę prašyti taikyti išimtį, susijusią su įrašo apskaitos sistemoje reikalavimu ir registravimu CVPD, kurie nustatyti Reglamentu (ES) Nr. 909/2014, jeigu PRT DPS atitinka CVPD taikomus lygiaverčius reikalavimus. PRT DPS turėtų registruoti perleidžiamuosius vertybinius popierius paskirstytajame registre, užtikrinti emisijų vientisumą paskirstytajame registre, nustatyti ir atnaujinti PRT perleidžiamųjų vertybinių popierių saugojimo procedūras, užbaigti atsiskaitymą už sandorius ir vykdyti neatsiskaitymo prevenciją;</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191</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Eva Kaili</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16 konstatuojamoji dalis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t>(16)</w:t>
            </w:r>
            <w:r w:rsidRPr="00837CC4">
              <w:tab/>
              <w:t xml:space="preserve">vykdydama atsiskaitymą už PRT perleidžiamųjų vertybinių popierių sandorius, PRT DPS turėtų užtikrinti, kad pirkėjo mokėjimas už PRT perleidžiamuosius vertybinius popierius įvyktų tuo pačiu metu, kai pardavėjas pateikia PRT perleidžiamuosius vertybinius popierius (vienalaikis vertybinių popierių ir lėšų pateikimas). Kai tikslinga ir įmanoma, </w:t>
            </w:r>
            <w:r w:rsidRPr="00837CC4">
              <w:rPr>
                <w:b/>
                <w:bCs/>
                <w:i/>
                <w:iCs/>
              </w:rPr>
              <w:t>piniginės</w:t>
            </w:r>
            <w:r w:rsidRPr="00837CC4">
              <w:t xml:space="preserve"> dalies atsiskaitymas turėtų būti vykdomas centrinio banko pinigais, o kai netikslinga ar neįmanoma – komercinio banko pinigais. Siekiant išbandyti inovatyvius sprendimus ir leisti </w:t>
            </w:r>
            <w:r w:rsidRPr="00837CC4">
              <w:rPr>
                <w:b/>
                <w:bCs/>
                <w:i/>
                <w:iCs/>
              </w:rPr>
              <w:t>piniginės</w:t>
            </w:r>
            <w:r w:rsidRPr="00837CC4">
              <w:t xml:space="preserve"> dalies atsiskaitymą vykdyti paskirstytajame registre, reikėtų leisti PRT DPS naudoti vadinamąsias atsiskaitymo monetas, kitaip tariant, kriptožetonais pakeistus komercinio banko pinigus, arba e. pinigus žetonus, kaip apibrėžta Reglamente 2021/XX dėl kriptoturto rinkų</w:t>
            </w:r>
            <w:r w:rsidRPr="00837CC4">
              <w:rPr>
                <w:rStyle w:val="SupBoldItalic"/>
              </w:rPr>
              <w:t>43</w:t>
            </w:r>
            <w:r w:rsidRPr="00837CC4">
              <w:t xml:space="preserve">. Kai </w:t>
            </w:r>
            <w:r w:rsidRPr="00837CC4">
              <w:rPr>
                <w:b/>
                <w:bCs/>
                <w:i/>
                <w:iCs/>
              </w:rPr>
              <w:t>piniginės</w:t>
            </w:r>
            <w:r w:rsidRPr="00837CC4">
              <w:t xml:space="preserve"> dalies atsiskaitymas vykdomas komercinio banko pinigais, PRT DPS turėtų riboti sandorio šalies riziką nustatydamos griežtus kriterijus kredito įstaigoms, vykdančioms piniginės dalies atsiskaitymą, ir stebėdamos, ar šios jų laikosi; šie griežti kriterijai būtų taikomi kredito įstaigų reguliavimui ir priežiūrai, kreditingumui, kapitalizacijai, galimybei naudotis likvidumo priemonėmis ir veiklos patikimumui;</w:t>
            </w:r>
          </w:p>
        </w:tc>
        <w:tc>
          <w:tcPr>
            <w:tcW w:w="4876" w:type="dxa"/>
          </w:tcPr>
          <w:p w:rsidR="0084543E" w:rsidRPr="00837CC4" w:rsidRDefault="0084543E" w:rsidP="00E51AD6">
            <w:pPr>
              <w:pStyle w:val="Normal6a"/>
            </w:pPr>
            <w:r w:rsidRPr="00837CC4">
              <w:t>(16)</w:t>
            </w:r>
            <w:r w:rsidRPr="00837CC4">
              <w:tab/>
              <w:t xml:space="preserve">vykdydama atsiskaitymą už PRT perleidžiamųjų vertybinių popierių sandorius, PRT DPS turėtų užtikrinti, kad pirkėjo mokėjimas už PRT perleidžiamuosius vertybinius popierius įvyktų tuo pačiu metu, kai pardavėjas pateikia PRT perleidžiamuosius vertybinius popierius (vienalaikis vertybinių popierių ir lėšų pateikimas). Kai tikslinga ir įmanoma, </w:t>
            </w:r>
            <w:r w:rsidRPr="00837CC4">
              <w:rPr>
                <w:b/>
                <w:bCs/>
                <w:i/>
                <w:iCs/>
              </w:rPr>
              <w:t>mokėjimo sudėtinės</w:t>
            </w:r>
            <w:r w:rsidRPr="00837CC4">
              <w:t xml:space="preserve"> dalies atsiskaitymas turėtų būti vykdomas centrinio banko pinigais, o kai netikslinga ar neįmanoma – komercinio banko pinigais. Siekiant išbandyti inovatyvius sprendimus ir leisti </w:t>
            </w:r>
            <w:r w:rsidRPr="00837CC4">
              <w:rPr>
                <w:b/>
                <w:bCs/>
                <w:i/>
                <w:iCs/>
              </w:rPr>
              <w:t>mokėjimo sudėtinės</w:t>
            </w:r>
            <w:r w:rsidRPr="00837CC4">
              <w:t xml:space="preserve"> dalies atsiskaitymą vykdyti paskirstytajame registre, reikėtų leisti PRT DPS naudoti vadinamąsias atsiskaitymo monetas, kitaip tariant, kriptožetonais pakeistus komercinio banko pinigus, arba e. pinigus žetonus, kaip apibrėžta Reglamente 2021/XX dėl kriptoturto rinkų. Kai </w:t>
            </w:r>
            <w:r w:rsidRPr="00837CC4">
              <w:rPr>
                <w:b/>
                <w:bCs/>
                <w:i/>
                <w:iCs/>
              </w:rPr>
              <w:t>mokėjimo sudėtinės</w:t>
            </w:r>
            <w:r w:rsidRPr="00837CC4">
              <w:t xml:space="preserve"> dalies atsiskaitymas vykdomas komercinio banko pinigais, PRT DPS turėtų riboti sandorio šalies riziką nustatydamos griežtus kriterijus kredito įstaigoms, vykdančioms piniginės dalies atsiskaitymą, ir stebėdamos, ar šios jų laikosi; šie griežti kriterijai būtų taikomi kredito įstaigų reguliavimui ir priežiūrai, kreditingumui, kapitalizacijai, galimybei naudotis likvidumo priemonėmis ir veiklos patikimumui</w:t>
            </w:r>
            <w:r w:rsidRPr="00837CC4">
              <w:rPr>
                <w:b/>
                <w:bCs/>
                <w:i/>
                <w:iCs/>
              </w:rPr>
              <w:t>.</w:t>
            </w:r>
            <w:r w:rsidRPr="00837CC4">
              <w:t xml:space="preserve"> </w:t>
            </w:r>
            <w:r w:rsidRPr="00837CC4">
              <w:rPr>
                <w:b/>
                <w:i/>
              </w:rPr>
              <w:t>Kai mokėjimo sudėtinės dalies atsiskaitymas vykdomas e. pinigų žetonais, PRT DPS dalyviai turėtų galėti tiesiogiai atsidaryti PRT DPS sąskaitas mokėjimo sudėtinės dalies atsiskaitymo, vykdomo e. pinigų žetonais, tikslais ir jos dalyviai turėtų galėti atsidaryti sąskaitą trečiojoje šalyje, teikiančioje su e. pinigų žetonais susijusias paslaugas. Tais atvejais, PRT DPS arba trečioji šalis turėtų būti e. pinigų žetonais emitentės ir jos turėtų užtikrinti, kad mokėjimo sudėtinės dalies atsiskaitymas būtų vykdomas e. pinigų žetonais. Kadangi, remiantis Reglamentu Nr. 2021/XX dėl kriptoturto rinkų, e. pinigų žetonus gali išleisti tik kredito įstaigos arba e. pinigų įstaigos, pagal šį reglamentą teikiamomis išimtimis, susijusiomis su CVPDR mokėjimo atsiskaitymų nuostatomis, neketinama PRT DPS arba e. pinigų žetonus leidžiančios arba per savo sąskaitas vertybinių popierių sandorių sudėtinės dalies atskaitymus vykdančios trečiosios šalies atleisti nuo Reglamente Nr. 2021/XX dėl kriptoturto rinkų nustatytų licencijavimo reikalavimų;</w:t>
            </w:r>
          </w:p>
        </w:tc>
      </w:tr>
      <w:tr w:rsidR="0084543E" w:rsidRPr="00837CC4" w:rsidTr="00E51AD6">
        <w:trPr>
          <w:jc w:val="center"/>
        </w:trPr>
        <w:tc>
          <w:tcPr>
            <w:tcW w:w="4876" w:type="dxa"/>
          </w:tcPr>
          <w:p w:rsidR="0084543E" w:rsidRPr="00837CC4" w:rsidRDefault="0084543E" w:rsidP="00E51AD6">
            <w:pPr>
              <w:pStyle w:val="Normal6a"/>
            </w:pPr>
            <w:r w:rsidRPr="00837CC4">
              <w:t>_________________</w:t>
            </w:r>
          </w:p>
        </w:tc>
        <w:tc>
          <w:tcPr>
            <w:tcW w:w="4876" w:type="dxa"/>
          </w:tcPr>
          <w:p w:rsidR="0084543E" w:rsidRPr="00837CC4" w:rsidRDefault="0084543E" w:rsidP="00E51AD6">
            <w:pPr>
              <w:pStyle w:val="Normal6a"/>
            </w:pPr>
          </w:p>
        </w:tc>
      </w:tr>
      <w:tr w:rsidR="0084543E" w:rsidRPr="00837CC4" w:rsidTr="00E51AD6">
        <w:trPr>
          <w:jc w:val="center"/>
        </w:trPr>
        <w:tc>
          <w:tcPr>
            <w:tcW w:w="4876" w:type="dxa"/>
          </w:tcPr>
          <w:p w:rsidR="0084543E" w:rsidRPr="00837CC4" w:rsidRDefault="0084543E" w:rsidP="00E51AD6">
            <w:pPr>
              <w:pStyle w:val="Normal6a"/>
            </w:pPr>
            <w:r w:rsidRPr="00837CC4">
              <w:rPr>
                <w:rStyle w:val="SupBoldItalic"/>
                <w:b w:val="0"/>
                <w:bCs/>
                <w:i w:val="0"/>
                <w:iCs/>
              </w:rPr>
              <w:t>43</w:t>
            </w:r>
            <w:r w:rsidRPr="00837CC4">
              <w:rPr>
                <w:b/>
                <w:bCs/>
                <w:i/>
                <w:iCs/>
              </w:rPr>
              <w:t xml:space="preserve"> Pasiūlymas dėl Europos Parlamento ir Tarybos reglamento dėl kriptoturto rinkų, kuriuo iš dalies keičiama Direktyva (ES) 2019/1937, COM(2020)593.</w:t>
            </w:r>
          </w:p>
        </w:tc>
        <w:tc>
          <w:tcPr>
            <w:tcW w:w="4876" w:type="dxa"/>
          </w:tcPr>
          <w:p w:rsidR="0084543E" w:rsidRPr="00837CC4" w:rsidRDefault="0084543E" w:rsidP="00E51AD6">
            <w:pPr>
              <w:pStyle w:val="Normal6a"/>
            </w:pP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pPr>
        <w:pStyle w:val="AmJustTitle"/>
      </w:pPr>
      <w:r w:rsidRPr="00837CC4">
        <w:rPr>
          <w:rStyle w:val="HideTWBExt"/>
          <w:i w:val="0"/>
          <w:noProof w:val="0"/>
        </w:rPr>
        <w:t>&lt;TitreJust&gt;</w:t>
      </w:r>
      <w:r w:rsidRPr="00837CC4">
        <w:t>Pagrindimas</w:t>
      </w:r>
      <w:r w:rsidRPr="00837CC4">
        <w:rPr>
          <w:rStyle w:val="HideTWBExt"/>
          <w:i w:val="0"/>
          <w:noProof w:val="0"/>
        </w:rPr>
        <w:t>&lt;/TitreJust&gt;</w:t>
      </w:r>
    </w:p>
    <w:p w:rsidR="0084543E" w:rsidRPr="00837CC4" w:rsidRDefault="0084543E" w:rsidP="0084543E">
      <w:pPr>
        <w:pStyle w:val="AmJustText"/>
      </w:pPr>
      <w:r w:rsidRPr="00837CC4">
        <w:t>Redakcinė pastaba. Be to, siūloma įtraukti balandžio 28 d. ECB nuomonės dėl PRT bandomosios tvarkos 3.3.7 punktą, susijusį su atsiskaitymu e. pinigų žetonais.</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192</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Eva Kaili</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18 konstatuojamoji dalis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t>(18)</w:t>
            </w:r>
            <w:r w:rsidRPr="00837CC4">
              <w:tab/>
              <w:t>kad PRT DPS būtų leista taikyti išimtį pagal šį reglamentą, ji turėtų įrodyti, kad išimtis yra proporcinga ir taikoma tik PRT naudojimui, kaip aprašyta jos verslo plane, ir kad prašoma išimtis bus taikoma tik PRT DPS, nesuteikiant galimybių ja naudotis jokiai kitai DPS, valdomai tos pačios investicinės įmonės ar rinkos operatoriaus;</w:t>
            </w:r>
          </w:p>
        </w:tc>
        <w:tc>
          <w:tcPr>
            <w:tcW w:w="4876" w:type="dxa"/>
          </w:tcPr>
          <w:p w:rsidR="0084543E" w:rsidRPr="00837CC4" w:rsidRDefault="0084543E" w:rsidP="00E51AD6">
            <w:pPr>
              <w:pStyle w:val="Normal6a"/>
            </w:pPr>
            <w:r w:rsidRPr="00837CC4">
              <w:t>(18)</w:t>
            </w:r>
            <w:r w:rsidRPr="00837CC4">
              <w:tab/>
              <w:t xml:space="preserve">kad PRT DPS būtų leista taikyti išimtį pagal šį reglamentą, ji turėtų įrodyti, kad </w:t>
            </w:r>
            <w:r w:rsidRPr="00837CC4">
              <w:rPr>
                <w:b/>
                <w:bCs/>
                <w:i/>
                <w:iCs/>
              </w:rPr>
              <w:t>prašoma</w:t>
            </w:r>
            <w:r w:rsidRPr="00837CC4">
              <w:t xml:space="preserve"> išimtis yra proporcinga ir taikoma tik PRT naudojimui, kaip aprašyta jos verslo plane, ir kad prašoma išimtis bus taikoma tik PRT DPS, nesuteikiant galimybių ja naudotis jokiai kitai DPS, valdomai tos pačios investicinės įmonės ar rinkos operatoriaus</w:t>
            </w:r>
            <w:r w:rsidRPr="00837CC4">
              <w:rPr>
                <w:b/>
                <w:bCs/>
              </w:rPr>
              <w:t>.</w:t>
            </w:r>
            <w:r w:rsidRPr="00837CC4">
              <w:t xml:space="preserve"> </w:t>
            </w:r>
            <w:r w:rsidRPr="00837CC4">
              <w:rPr>
                <w:b/>
                <w:i/>
              </w:rPr>
              <w:t>Be to, jeigu PRT DPS operatorius valdo bet kurią kitą DPS, reikėtų įrodyti, kad PRT DPS operacijos jokiomis aplinkybėmis nedarys įtakos jokių kitų DPS operacijoms ir patikimumui, pvz., kai vienas ar daugiau subjektų dalyvauja tiek įprastoje DPS, tiek PRT DPS, kurias valdo tas pats operatorius. Tomis aplinkybėmis PRT DPS operatorius turėtų aiškiai nurodyti nemokumo ir atsiskaitymų baigtumo riziką, kuri kyla jos dalyviams, taip pat bet kokias kitas priemones, kurias jis įgyvendino tam, kad tokia rizika būtų sumažinta;</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pPr>
        <w:pStyle w:val="AmJustTitle"/>
      </w:pPr>
      <w:r w:rsidRPr="00837CC4">
        <w:rPr>
          <w:rStyle w:val="HideTWBExt"/>
          <w:i w:val="0"/>
          <w:noProof w:val="0"/>
        </w:rPr>
        <w:t>&lt;TitreJust&gt;</w:t>
      </w:r>
      <w:r w:rsidRPr="00837CC4">
        <w:t>Pagrindimas</w:t>
      </w:r>
      <w:r w:rsidRPr="00837CC4">
        <w:rPr>
          <w:rStyle w:val="HideTWBExt"/>
          <w:i w:val="0"/>
          <w:noProof w:val="0"/>
        </w:rPr>
        <w:t>&lt;/TitreJust&gt;</w:t>
      </w:r>
    </w:p>
    <w:p w:rsidR="0084543E" w:rsidRPr="00837CC4" w:rsidRDefault="0084543E" w:rsidP="0084543E">
      <w:pPr>
        <w:pStyle w:val="AmJustText"/>
      </w:pPr>
      <w:r w:rsidRPr="00837CC4">
        <w:t>Redakcinės pastabos. Be to, siūloma įtraukti balandžio 28 d. ECB nuomonės dėl PRT bandomosios tvarkos 3.4 punkto antrą pastabą, kad būtų numatytas PRT DPS veiklos atskyrimas, jeigu jų operatorius taip pat valdo kitas DPS.</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193</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Stéphanie Yon-Courtin, Ondřej Kovařík, Gilles Boyer, Olivier Chastel</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18 konstatuojamoji dalis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t>(18)</w:t>
            </w:r>
            <w:r w:rsidRPr="00837CC4">
              <w:tab/>
              <w:t>kad PRT DPS būtų leista taikyti išimtį pagal šį reglamentą, ji turėtų įrodyti, kad išimtis yra proporcinga ir taikoma tik PRT naudojimui, kaip aprašyta jos verslo plane, ir kad prašoma išimtis bus taikoma tik PRT DPS, nesuteikiant galimybių ja naudotis jokiai kitai DPS, valdomai tos pačios investicinės įmonės ar rinkos operatoriaus;</w:t>
            </w:r>
          </w:p>
        </w:tc>
        <w:tc>
          <w:tcPr>
            <w:tcW w:w="4876" w:type="dxa"/>
          </w:tcPr>
          <w:p w:rsidR="0084543E" w:rsidRPr="00837CC4" w:rsidRDefault="0084543E" w:rsidP="00E51AD6">
            <w:pPr>
              <w:pStyle w:val="Normal6a"/>
            </w:pPr>
            <w:r w:rsidRPr="00837CC4">
              <w:t>(18)</w:t>
            </w:r>
            <w:r w:rsidRPr="00837CC4">
              <w:tab/>
              <w:t>kad PRT DPS būtų leista taikyti išimtį pagal šį reglamentą, ji turėtų įrodyti, kad išimtis yra proporcinga ir taikoma tik PRT naudojimui, kaip aprašyta jos verslo plane, ir kad prašoma išimtis bus taikoma tik PRT DPS</w:t>
            </w:r>
            <w:r w:rsidRPr="00837CC4">
              <w:rPr>
                <w:b/>
                <w:bCs/>
                <w:i/>
                <w:iCs/>
              </w:rPr>
              <w:t xml:space="preserve"> ir kai PRT DPS valdantis subjektas yra investicinė įmonė arba rinkos operatorius</w:t>
            </w:r>
            <w:r w:rsidRPr="00837CC4">
              <w:t>, nesuteikiant galimybių ja naudotis jokiai kitai DPS, valdomai tos pačios investicinės įmonės ar rinkos operatoriaus;</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pPr>
        <w:pStyle w:val="AmJustTitle"/>
      </w:pPr>
      <w:r w:rsidRPr="00837CC4">
        <w:rPr>
          <w:rStyle w:val="HideTWBExt"/>
          <w:i w:val="0"/>
          <w:noProof w:val="0"/>
        </w:rPr>
        <w:t>&lt;TitreJust&gt;</w:t>
      </w:r>
      <w:r w:rsidRPr="00837CC4">
        <w:t>Pagrindimas</w:t>
      </w:r>
      <w:r w:rsidRPr="00837CC4">
        <w:rPr>
          <w:rStyle w:val="HideTWBExt"/>
          <w:i w:val="0"/>
          <w:noProof w:val="0"/>
        </w:rPr>
        <w:t>&lt;/TitreJust&gt;</w:t>
      </w:r>
    </w:p>
    <w:p w:rsidR="0084543E" w:rsidRPr="00837CC4" w:rsidRDefault="0084543E" w:rsidP="0084543E">
      <w:pPr>
        <w:pStyle w:val="AmJustText"/>
      </w:pPr>
      <w:r w:rsidRPr="00837CC4">
        <w:t>Bandomosios tvarkos atvirumas naujų dalyvių atžvilgiu.</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194</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Eva Kaili</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19 konstatuojamoji dalis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t>(19)</w:t>
            </w:r>
            <w:r w:rsidRPr="00837CC4">
              <w:tab/>
              <w:t xml:space="preserve">PRT </w:t>
            </w:r>
            <w:r w:rsidRPr="00837CC4">
              <w:rPr>
                <w:b/>
                <w:bCs/>
                <w:i/>
                <w:iCs/>
              </w:rPr>
              <w:t>vertybinių popierių atsiskaitymo sistemą</w:t>
            </w:r>
            <w:r w:rsidRPr="00837CC4">
              <w:t xml:space="preserve"> valdantis CVPD turėtų galėti prašyti atitinkamos kompetentingos institucijos leisti laikinai taikyti vieną ar daugiau šiame reglamente numatytų išimčių, jeigu jis </w:t>
            </w:r>
            <w:r w:rsidRPr="00837CC4">
              <w:rPr>
                <w:b/>
                <w:bCs/>
                <w:i/>
                <w:iCs/>
              </w:rPr>
              <w:t>atitiko</w:t>
            </w:r>
            <w:r w:rsidRPr="00837CC4">
              <w:t xml:space="preserve"> tokioms išimtims taikomas sąlygas ir papildomus reikalavimus, kuriais siekiama valdyti naujų formų riziką, kurią kelia PRT naudojimas. PRT </w:t>
            </w:r>
            <w:r w:rsidRPr="00837CC4">
              <w:rPr>
                <w:b/>
                <w:bCs/>
                <w:i/>
                <w:iCs/>
              </w:rPr>
              <w:t>vertybinių popierių atsiskaitymo sistemą</w:t>
            </w:r>
            <w:r w:rsidRPr="00837CC4">
              <w:t xml:space="preserve"> valdantis CVPD turėtų laikytis kompetentingos institucijos nustatytų kompensacinių priemonių, kad pasiektų nuostata, kurios atžvilgiu prašyta taikyti išimtį, siekiamus tikslus;</w:t>
            </w:r>
          </w:p>
        </w:tc>
        <w:tc>
          <w:tcPr>
            <w:tcW w:w="4876" w:type="dxa"/>
          </w:tcPr>
          <w:p w:rsidR="0084543E" w:rsidRPr="00837CC4" w:rsidRDefault="0084543E" w:rsidP="00E51AD6">
            <w:pPr>
              <w:pStyle w:val="Normal6a"/>
            </w:pPr>
            <w:r w:rsidRPr="00837CC4">
              <w:t>(19)</w:t>
            </w:r>
            <w:r w:rsidRPr="00837CC4">
              <w:tab/>
              <w:t xml:space="preserve">PRT </w:t>
            </w:r>
            <w:r w:rsidRPr="00837CC4">
              <w:rPr>
                <w:b/>
                <w:bCs/>
                <w:i/>
                <w:iCs/>
              </w:rPr>
              <w:t>VPAS</w:t>
            </w:r>
            <w:r w:rsidRPr="00837CC4">
              <w:t xml:space="preserve"> valdantis CVPD</w:t>
            </w:r>
            <w:r w:rsidRPr="00837CC4">
              <w:rPr>
                <w:b/>
                <w:bCs/>
                <w:i/>
                <w:iCs/>
              </w:rPr>
              <w:t>, remdamasis ESMA rekomendacija,</w:t>
            </w:r>
            <w:r w:rsidRPr="00837CC4">
              <w:t xml:space="preserve"> turėtų galėti prašyti atitinkamos kompetentingos institucijos leisti laikinai taikyti vieną ar daugiau šiame reglamente numatytų išimčių, jeigu jis </w:t>
            </w:r>
            <w:r w:rsidRPr="00837CC4">
              <w:rPr>
                <w:b/>
                <w:bCs/>
                <w:i/>
                <w:iCs/>
              </w:rPr>
              <w:t>atitinka</w:t>
            </w:r>
            <w:r w:rsidRPr="00837CC4">
              <w:t xml:space="preserve"> tokioms išimtims taikomas sąlygas ir</w:t>
            </w:r>
            <w:r w:rsidRPr="00837CC4">
              <w:rPr>
                <w:b/>
                <w:bCs/>
                <w:i/>
                <w:iCs/>
              </w:rPr>
              <w:t xml:space="preserve"> pagal šį reglamentą nustatytus</w:t>
            </w:r>
            <w:r w:rsidRPr="00837CC4">
              <w:t xml:space="preserve"> papildomus reikalavimus, kuriais siekiama valdyti naujų formų riziką, kurią kelia PRT naudojimas. PRT </w:t>
            </w:r>
            <w:r w:rsidRPr="00837CC4">
              <w:rPr>
                <w:b/>
                <w:bCs/>
                <w:i/>
                <w:iCs/>
              </w:rPr>
              <w:t>VPAS</w:t>
            </w:r>
            <w:r w:rsidRPr="00837CC4">
              <w:t xml:space="preserve"> valdantis CVPD turėtų laikytis kompetentingos institucijos nustatytų</w:t>
            </w:r>
            <w:r w:rsidRPr="00837CC4">
              <w:rPr>
                <w:b/>
                <w:bCs/>
                <w:i/>
                <w:iCs/>
              </w:rPr>
              <w:t xml:space="preserve"> arba ESMA rekomenduotų</w:t>
            </w:r>
            <w:r w:rsidRPr="00837CC4">
              <w:t xml:space="preserve"> kompensacinių </w:t>
            </w:r>
            <w:r w:rsidRPr="00837CC4">
              <w:rPr>
                <w:b/>
                <w:bCs/>
                <w:i/>
                <w:iCs/>
              </w:rPr>
              <w:t xml:space="preserve">arba taisomųjų </w:t>
            </w:r>
            <w:r w:rsidRPr="00837CC4">
              <w:t>priemonių, kad pasiektų nuostata, kurios atžvilgiu prašyta taikyti išimtį, siekiamus tikslus;</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195</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Stéphanie Yon-Courtin, Ondřej Kovařík, Gilles Boyer, Olivier Chastel</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19 konstatuojamoji dalis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t>(19)</w:t>
            </w:r>
            <w:r w:rsidRPr="00837CC4">
              <w:tab/>
              <w:t xml:space="preserve">PRT vertybinių popierių atsiskaitymo sistemą valdantis </w:t>
            </w:r>
            <w:r w:rsidRPr="00837CC4">
              <w:rPr>
                <w:b/>
                <w:bCs/>
                <w:i/>
                <w:iCs/>
              </w:rPr>
              <w:t>CVPD</w:t>
            </w:r>
            <w:r w:rsidRPr="00837CC4">
              <w:t xml:space="preserve"> turėtų galėti prašyti atitinkamos kompetentingos institucijos leisti laikinai taikyti vieną ar daugiau šiame reglamente numatytų išimčių, jeigu jis atitiko tokioms išimtims taikomas sąlygas ir papildomus reikalavimus, kuriais siekiama valdyti naujų formų riziką, kurią kelia PRT naudojimas. PRT vertybinių popierių atsiskaitymo sistemą valdantis </w:t>
            </w:r>
            <w:r w:rsidRPr="00837CC4">
              <w:rPr>
                <w:b/>
                <w:bCs/>
                <w:i/>
                <w:iCs/>
              </w:rPr>
              <w:t>CVPD</w:t>
            </w:r>
            <w:r w:rsidRPr="00837CC4">
              <w:t xml:space="preserve"> turėtų laikytis kompetentingos institucijos nustatytų kompensacinių priemonių, kad pasiektų nuostata, kurios atžvilgiu prašyta taikyti išimtį, siekiamus tikslus;</w:t>
            </w:r>
          </w:p>
        </w:tc>
        <w:tc>
          <w:tcPr>
            <w:tcW w:w="4876" w:type="dxa"/>
          </w:tcPr>
          <w:p w:rsidR="0084543E" w:rsidRPr="00837CC4" w:rsidRDefault="0084543E" w:rsidP="00E51AD6">
            <w:pPr>
              <w:pStyle w:val="Normal6a"/>
            </w:pPr>
            <w:r w:rsidRPr="00837CC4">
              <w:t>(19)</w:t>
            </w:r>
            <w:r w:rsidRPr="00837CC4">
              <w:tab/>
              <w:t xml:space="preserve">PRT vertybinių popierių atsiskaitymo sistemą valdantis </w:t>
            </w:r>
            <w:r w:rsidRPr="00837CC4">
              <w:rPr>
                <w:b/>
                <w:bCs/>
                <w:i/>
                <w:iCs/>
              </w:rPr>
              <w:t>subjektas</w:t>
            </w:r>
            <w:r w:rsidRPr="00837CC4">
              <w:t xml:space="preserve"> turėtų galėti prašyti atitinkamos kompetentingos institucijos leisti laikinai taikyti vieną ar daugiau šiame reglamente numatytų išimčių, jeigu jis atitiko tokioms išimtims taikomas sąlygas ir papildomus reikalavimus, kuriais siekiama valdyti naujų formų riziką, kurią kelia PRT naudojimas. PRT vertybinių popierių atsiskaitymo sistemą valdantis </w:t>
            </w:r>
            <w:r w:rsidRPr="00837CC4">
              <w:rPr>
                <w:b/>
                <w:bCs/>
                <w:i/>
                <w:iCs/>
              </w:rPr>
              <w:t>subjektas</w:t>
            </w:r>
            <w:r w:rsidRPr="00837CC4">
              <w:t xml:space="preserve"> turėtų laikytis kompetentingos institucijos nustatytų kompensacinių priemonių, kad pasiektų nuostata, kurios atžvilgiu prašyta taikyti išimtį, siekiamus tikslus;</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pPr>
        <w:pStyle w:val="AmJustTitle"/>
      </w:pPr>
      <w:r w:rsidRPr="00837CC4">
        <w:rPr>
          <w:rStyle w:val="HideTWBExt"/>
          <w:i w:val="0"/>
          <w:noProof w:val="0"/>
        </w:rPr>
        <w:t>&lt;TitreJust&gt;</w:t>
      </w:r>
      <w:r w:rsidRPr="00837CC4">
        <w:t>Pagrindimas</w:t>
      </w:r>
      <w:r w:rsidRPr="00837CC4">
        <w:rPr>
          <w:rStyle w:val="HideTWBExt"/>
          <w:i w:val="0"/>
          <w:noProof w:val="0"/>
        </w:rPr>
        <w:t>&lt;/TitreJust&gt;</w:t>
      </w:r>
    </w:p>
    <w:p w:rsidR="0084543E" w:rsidRPr="00837CC4" w:rsidRDefault="0084543E" w:rsidP="0084543E">
      <w:pPr>
        <w:pStyle w:val="AmJustText"/>
      </w:pPr>
      <w:r w:rsidRPr="00837CC4">
        <w:t>Bandomosios tvarkos atvirumas naujų dalyvių atžvilgiu.</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196</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Eva Kaili</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20 konstatuojamoji dalis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t>(20)</w:t>
            </w:r>
            <w:r w:rsidRPr="00837CC4">
              <w:tab/>
            </w:r>
            <w:r w:rsidRPr="00837CC4">
              <w:rPr>
                <w:b/>
                <w:bCs/>
                <w:i/>
                <w:iCs/>
              </w:rPr>
              <w:t>vertybinių popierių atsiskaitymo sistemą</w:t>
            </w:r>
            <w:r w:rsidRPr="00837CC4">
              <w:t xml:space="preserve"> valdančiam CVPD turėtų būti leidžiama prašyti leisti netaikyti skirtingų nuostatų, kuriomis gali būti sudaromos reglamentavimo kliūtys plėtoti perleidžiamųjų vertybinių popierių atsiskaitymo sistemas. Pavyzdžiui, CVPD turėtų turėti galimybę prašyti leisti nesilaikyti kai kurių Reglamento (ES) Nr. 909/2014 (Centrinių vertybinių popierių depozitoriumų reglamento) apibrėžčių, kaip antai sąvokų „nemateriali forma“, „vertybinių popierių sąskaita“ ir „pervedimo nurodymai“, ir nesilaikyti nuostatų, kuriose daroma nuoroda į sąvoką „vertybinių popierių sąskaita“, pavyzdžiui, vertybinių popierių registravimo, emisijos vientisumo ar sąskaitų atskyrimo taisyklių. CVPD valdo </w:t>
            </w:r>
            <w:r w:rsidRPr="00837CC4">
              <w:rPr>
                <w:b/>
                <w:bCs/>
                <w:i/>
                <w:iCs/>
              </w:rPr>
              <w:t>vertybinių popierių atsiskaitymo sistemą</w:t>
            </w:r>
            <w:r w:rsidRPr="00837CC4">
              <w:t xml:space="preserve">, atlikdami savo dalyvių vertybinių popierių sąskaitų kreditavimą ir debetavimą. Tačiau PRT sistemoje ne visada gali būti vertybinių popierių sąskaitų, kuriose taikomas dvejybinio (ar daugybinio) įrašo būdas. Todėl PRT </w:t>
            </w:r>
            <w:r w:rsidRPr="00837CC4">
              <w:rPr>
                <w:b/>
                <w:bCs/>
                <w:i/>
                <w:iCs/>
              </w:rPr>
              <w:t>vertybinių popierių atsiskaitymo sistemą</w:t>
            </w:r>
            <w:r w:rsidRPr="00837CC4">
              <w:t xml:space="preserve"> valdantis CVPD turėtų galėti prašyti leisti netaikyti taisyklių, kuriose daroma nuoroda į sąvoką „vertybinių popierių sąskaita“ arba „įrašų darymas apskaitos sistemoje“, jeigu tai būtų būtina tam, kad būtų įmanoma registruoti PRT perleidžiamuosius vertybinius popierius paskirstytajame registre</w:t>
            </w:r>
            <w:r w:rsidRPr="00837CC4">
              <w:rPr>
                <w:b/>
                <w:bCs/>
                <w:i/>
                <w:iCs/>
              </w:rPr>
              <w:t>, užtikrinti</w:t>
            </w:r>
            <w:r w:rsidRPr="00837CC4">
              <w:t xml:space="preserve"> PRT perleidžiamųjų vertybinių popierių emisijos vientisumą paskirstytajame registre ir atskirti įvairių dalyvių turimus PRT perleidžiamuosius vertybinius popierius;</w:t>
            </w:r>
          </w:p>
        </w:tc>
        <w:tc>
          <w:tcPr>
            <w:tcW w:w="4876" w:type="dxa"/>
          </w:tcPr>
          <w:p w:rsidR="0084543E" w:rsidRPr="00837CC4" w:rsidRDefault="0084543E" w:rsidP="00E51AD6">
            <w:pPr>
              <w:pStyle w:val="Normal6a"/>
            </w:pPr>
            <w:r w:rsidRPr="00837CC4">
              <w:t>(20)</w:t>
            </w:r>
            <w:r w:rsidRPr="00837CC4">
              <w:tab/>
            </w:r>
            <w:r w:rsidRPr="00837CC4">
              <w:rPr>
                <w:b/>
                <w:bCs/>
                <w:i/>
                <w:iCs/>
              </w:rPr>
              <w:t>VPAS</w:t>
            </w:r>
            <w:r w:rsidRPr="00837CC4">
              <w:t xml:space="preserve"> valdančiam CVPD turėtų būti leidžiama prašyti leisti netaikyti skirtingų nuostatų, kuriomis gali būti sudaromos reglamentavimo kliūtys plėtoti perleidžiamųjų vertybinių popierių atsiskaitymo sistemas. Pavyzdžiui, CVPD turėtų turėti galimybę prašyti leisti nesilaikyti kai kurių Reglamento (ES) Nr. 909/2014 (Centrinių vertybinių popierių depozitoriumų reglamento) apibrėžčių, kaip antai sąvokų „nemateriali forma“, „vertybinių popierių sąskaita“ ir „pervedimo nurodymai“, ir nesilaikyti nuostatų, kuriose daroma nuoroda į sąvoką „vertybinių popierių sąskaita“, pavyzdžiui, vertybinių popierių registravimo, emisijos vientisumo ar sąskaitų atskyrimo taisyklių. CVPD valdo </w:t>
            </w:r>
            <w:r w:rsidRPr="00837CC4">
              <w:rPr>
                <w:b/>
                <w:bCs/>
                <w:i/>
                <w:iCs/>
              </w:rPr>
              <w:t>VPAS</w:t>
            </w:r>
            <w:r w:rsidRPr="00837CC4">
              <w:t xml:space="preserve">, atlikdami savo dalyvių vertybinių popierių sąskaitų kreditavimą ir debetavimą. Tačiau PRT sistemoje ne visada gali būti vertybinių popierių sąskaitų, kuriose taikomas dvejybinio (ar daugybinio) įrašo būdas. Todėl PRT </w:t>
            </w:r>
            <w:r w:rsidRPr="00837CC4">
              <w:rPr>
                <w:b/>
                <w:bCs/>
                <w:i/>
                <w:iCs/>
              </w:rPr>
              <w:t>VPAS</w:t>
            </w:r>
            <w:r w:rsidRPr="00837CC4">
              <w:t xml:space="preserve"> valdantis CVPD turėtų galėti prašyti leisti netaikyti taisyklių, kuriose daroma nuoroda į sąvoką „vertybinių popierių sąskaita“ arba „įrašų darymas apskaitos sistemoje“, jeigu tai būtų būtina tam, kad būtų įmanoma registruoti PRT perleidžiamuosius vertybinius popierius paskirstytajame registre</w:t>
            </w:r>
            <w:r w:rsidRPr="00837CC4">
              <w:rPr>
                <w:b/>
                <w:bCs/>
                <w:i/>
                <w:iCs/>
              </w:rPr>
              <w:t>.</w:t>
            </w:r>
            <w:r w:rsidRPr="00837CC4">
              <w:rPr>
                <w:b/>
                <w:i/>
              </w:rPr>
              <w:t xml:space="preserve"> </w:t>
            </w:r>
            <w:r w:rsidRPr="00837CC4">
              <w:rPr>
                <w:b/>
                <w:bCs/>
                <w:i/>
                <w:iCs/>
              </w:rPr>
              <w:t>Tačiau vis tiek reikėtų reikalauti, kad visi PRT VPAS valdantys CVPD užtikrintų</w:t>
            </w:r>
            <w:r w:rsidRPr="00837CC4">
              <w:t xml:space="preserve"> PRT perleidžiamųjų vertybinių popierių emisijos vientisumą paskirstytajame registre ir atskirti įvairių dalyvių turimus PRT perleidžiamuosius vertybinius popierius;</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pPr>
        <w:pStyle w:val="AmJustTitle"/>
      </w:pPr>
      <w:r w:rsidRPr="00837CC4">
        <w:rPr>
          <w:rStyle w:val="HideTWBExt"/>
          <w:i w:val="0"/>
          <w:noProof w:val="0"/>
        </w:rPr>
        <w:t>&lt;TitreJust&gt;</w:t>
      </w:r>
      <w:r w:rsidRPr="00837CC4">
        <w:t>Pagrindimas</w:t>
      </w:r>
      <w:r w:rsidRPr="00837CC4">
        <w:rPr>
          <w:rStyle w:val="HideTWBExt"/>
          <w:i w:val="0"/>
          <w:noProof w:val="0"/>
        </w:rPr>
        <w:t>&lt;/TitreJust&gt;</w:t>
      </w:r>
    </w:p>
    <w:p w:rsidR="0084543E" w:rsidRPr="00837CC4" w:rsidRDefault="0084543E" w:rsidP="0084543E">
      <w:pPr>
        <w:pStyle w:val="AmJustText"/>
      </w:pPr>
      <w:r w:rsidRPr="00837CC4">
        <w:t>Redakcinė pastaba. Reikia užtikrinti, kad PRT VPAS valdantys CVDP būtų įpareigoti užtikrinti PRT perleidžiamųjų vertybinių popierių emisijos vientisumą bet kuriomis kitomis priemonėmis, jeigu jie nenaudoja vertybinių popierių sąskaitų, kaip atitinkamai reikalaujama DPS atžvilgiu.</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197</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Jessica Polfjärd</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20 konstatuojamoji dalis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t>(20)</w:t>
            </w:r>
            <w:r w:rsidRPr="00837CC4">
              <w:tab/>
              <w:t xml:space="preserve">vertybinių popierių atsiskaitymo sistemą valdančiam CVPD turėtų būti leidžiama prašyti leisti netaikyti </w:t>
            </w:r>
            <w:r w:rsidRPr="00837CC4">
              <w:rPr>
                <w:b/>
                <w:bCs/>
                <w:i/>
                <w:iCs/>
              </w:rPr>
              <w:t>skirtingų</w:t>
            </w:r>
            <w:r w:rsidRPr="00837CC4">
              <w:t xml:space="preserve"> nuostatų, kuriomis gali būti sudaromos reglamentavimo kliūtys plėtoti perleidžiamųjų vertybinių popierių atsiskaitymo sistemas. Pavyzdžiui, CVPD turėtų turėti galimybę prašyti leisti nesilaikyti kai kurių Reglamento (ES) Nr. 909/2014 (Centrinių vertybinių popierių depozitoriumų reglamento) apibrėžčių, kaip antai sąvokų „nemateriali forma“, „vertybinių popierių sąskaita“ ir „pervedimo nurodymai“, ir nesilaikyti nuostatų, kuriose daroma nuoroda į sąvoką „vertybinių popierių sąskaita“, pavyzdžiui, vertybinių popierių registravimo, emisijos vientisumo ar sąskaitų atskyrimo taisyklių. CVPD valdo vertybinių popierių atsiskaitymo sistemą, atlikdami savo dalyvių vertybinių popierių sąskaitų kreditavimą ir debetavimą. Tačiau PRT sistemoje ne visada gali būti vertybinių popierių sąskaitų, kuriose taikomas dvejybinio (ar daugybinio) įrašo būdas. Todėl PRT vertybinių popierių atsiskaitymo sistemą valdantis CVPD turėtų galėti prašyti leisti netaikyti taisyklių, kuriose daroma nuoroda į sąvoką „vertybinių popierių sąskaita“ arba „įrašų darymas apskaitos sistemoje“, jeigu tai būtų būtina tam, kad būtų įmanoma registruoti PRT perleidžiamuosius vertybinius popierius paskirstytajame registre, užtikrinti PRT perleidžiamųjų vertybinių popierių emisijos vientisumą paskirstytajame registre ir atskirti įvairių dalyvių turimus PRT perleidžiamuosius vertybinius popierius;</w:t>
            </w:r>
          </w:p>
        </w:tc>
        <w:tc>
          <w:tcPr>
            <w:tcW w:w="4876" w:type="dxa"/>
          </w:tcPr>
          <w:p w:rsidR="0084543E" w:rsidRPr="00837CC4" w:rsidRDefault="0084543E" w:rsidP="00E51AD6">
            <w:pPr>
              <w:pStyle w:val="Normal6a"/>
            </w:pPr>
            <w:r w:rsidRPr="00837CC4">
              <w:t>(20)</w:t>
            </w:r>
            <w:r w:rsidRPr="00837CC4">
              <w:tab/>
              <w:t xml:space="preserve">vertybinių popierių atsiskaitymo sistemą valdančiam CVPD turėtų būti leidžiama prašyti leisti netaikyti </w:t>
            </w:r>
            <w:r w:rsidRPr="00837CC4">
              <w:rPr>
                <w:b/>
                <w:bCs/>
                <w:i/>
                <w:iCs/>
              </w:rPr>
              <w:t>tam tikrų</w:t>
            </w:r>
            <w:r w:rsidRPr="00837CC4">
              <w:t xml:space="preserve"> nuostatų, kuriomis gali būti sudaromos reglamentavimo kliūtys plėtoti perleidžiamųjų vertybinių popierių atsiskaitymo sistemas. Pavyzdžiui, CVPD turėtų turėti galimybę prašyti leisti nesilaikyti kai kurių Reglamento (ES) Nr. 909/2014 (Centrinių vertybinių popierių depozitoriumų reglamento) apibrėžčių, kaip antai sąvokų „nemateriali forma“, „vertybinių popierių sąskaita“ ir „pervedimo nurodymai“, ir nesilaikyti nuostatų, kuriose daroma nuoroda į sąvoką „vertybinių popierių sąskaita“, pavyzdžiui, vertybinių popierių registravimo, emisijos vientisumo ar sąskaitų atskyrimo taisyklių. CVPD valdo vertybinių popierių atsiskaitymo sistemą, atlikdami savo dalyvių vertybinių popierių sąskaitų kreditavimą ir debetavimą. Tačiau PRT sistemoje ne visada gali būti vertybinių popierių sąskaitų, kuriose taikomas dvejybinio (ar daugybinio) įrašo būdas. Todėl PRT vertybinių popierių atsiskaitymo sistemą valdantis CVPD turėtų galėti prašyti leisti netaikyti taisyklių, kuriose daroma nuoroda į sąvoką „vertybinių popierių sąskaita“ arba „įrašų darymas apskaitos sistemoje“, jeigu tai būtų būtina tam, kad būtų įmanoma registruoti PRT perleidžiamuosius vertybinius popierius paskirstytajame registre, užtikrinti PRT perleidžiamųjų vertybinių popierių emisijos vientisumą paskirstytajame registre ir atskirti įvairių dalyvių turimus PRT perleidžiamuosius vertybinius popierius;</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198</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Eva Kaili</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21 konstatuojamoji dalis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t>(21)</w:t>
            </w:r>
            <w:r w:rsidRPr="00837CC4">
              <w:tab/>
              <w:t>pagal Reglamentą (ES) Nr. 909/2014 (</w:t>
            </w:r>
            <w:r w:rsidRPr="00837CC4">
              <w:rPr>
                <w:b/>
                <w:bCs/>
                <w:i/>
                <w:iCs/>
              </w:rPr>
              <w:t>Centrinių vertybinių popierių depozitoriumų reglamentą</w:t>
            </w:r>
            <w:r w:rsidRPr="00837CC4">
              <w:t xml:space="preserve">) CVPD gali perduoti trečiajai šaliai pagrindinės paslaugos teikimą tik gavęs kompetentingos institucijos leidimą. Be to, CVPD privalo laikytis kelių sąlygų, kad dėl veiklos rangos jo atsakomybė nebūtų perduodama, o pareigos jo dalyvių ar emitentų atžvilgiu nepasikeistų. Priklausomai nuo verslo plano PRT </w:t>
            </w:r>
            <w:r w:rsidRPr="00837CC4">
              <w:rPr>
                <w:b/>
                <w:bCs/>
                <w:i/>
                <w:iCs/>
              </w:rPr>
              <w:t>vertybinių popierių atsiskaitymo sistemą</w:t>
            </w:r>
            <w:r w:rsidRPr="00837CC4">
              <w:t xml:space="preserve"> valdantis CVPD galėtų pageidauti dalytis atsakomybe už savo paskirstytojo registro, kuriame registruojami perleidžiamieji vertybiniai popieriai, valdymą su kitais subjektais, be kita ko, savo dalyviais. PRT </w:t>
            </w:r>
            <w:r w:rsidRPr="00837CC4">
              <w:rPr>
                <w:b/>
                <w:bCs/>
                <w:i/>
                <w:iCs/>
              </w:rPr>
              <w:t>vertybinių popierių atsiskaitymo sistema</w:t>
            </w:r>
            <w:r w:rsidRPr="00837CC4">
              <w:t xml:space="preserve"> turėtų galėti prašyti leisti nesilaikyti veiklos rangos reikalavimų, kad galėtų kurti tokius inovatyvius verslo modelius. Tokiu atveju jie turėtų įrodyti, kad veiklos rangos nuostatos yra nesuderinamos su PRT naudojimu, numatytu jų verslo plane, ir taip pat turėtų įrodyti, kad yra įvykdyti kai kurie būtiniausi veiklos rangos reikalavimai;</w:t>
            </w:r>
          </w:p>
        </w:tc>
        <w:tc>
          <w:tcPr>
            <w:tcW w:w="4876" w:type="dxa"/>
          </w:tcPr>
          <w:p w:rsidR="0084543E" w:rsidRPr="00837CC4" w:rsidRDefault="0084543E" w:rsidP="00E51AD6">
            <w:pPr>
              <w:pStyle w:val="Normal6a"/>
            </w:pPr>
            <w:r w:rsidRPr="00837CC4">
              <w:t>(21)</w:t>
            </w:r>
            <w:r w:rsidRPr="00837CC4">
              <w:tab/>
              <w:t>pagal Reglamentą (ES) Nr. 909/2014 (</w:t>
            </w:r>
            <w:r w:rsidRPr="00837CC4">
              <w:rPr>
                <w:b/>
                <w:bCs/>
                <w:i/>
                <w:iCs/>
              </w:rPr>
              <w:t>CVPDR</w:t>
            </w:r>
            <w:r w:rsidRPr="00837CC4">
              <w:t xml:space="preserve">) CVPD gali perduoti trečiajai šaliai pagrindinės paslaugos teikimą tik gavęs kompetentingos institucijos leidimą. Be to, CVPD privalo laikytis kelių sąlygų, kad dėl veiklos rangos jo atsakomybė nebūtų perduodama, o pareigos jo dalyvių ar emitentų atžvilgiu nepasikeistų. Priklausomai nuo verslo plano PRT </w:t>
            </w:r>
            <w:r w:rsidRPr="00837CC4">
              <w:rPr>
                <w:b/>
                <w:bCs/>
                <w:i/>
                <w:iCs/>
              </w:rPr>
              <w:t>VPAS</w:t>
            </w:r>
            <w:r w:rsidRPr="00837CC4">
              <w:t xml:space="preserve"> valdantis CVPD galėtų pageidauti dalytis atsakomybe už savo paskirstytojo registro, kuriame registruojami perleidžiamieji vertybiniai popieriai, valdymą su kitais subjektais, be kita ko, savo dalyviais. PRT </w:t>
            </w:r>
            <w:r w:rsidRPr="00837CC4">
              <w:rPr>
                <w:b/>
                <w:bCs/>
                <w:i/>
                <w:iCs/>
              </w:rPr>
              <w:t>VPAS valdantis CVPD</w:t>
            </w:r>
            <w:r w:rsidRPr="00837CC4">
              <w:t xml:space="preserve"> turėtų galėti prašyti leisti nesilaikyti veiklos rangos reikalavimų, kad galėtų kurti tokius inovatyvius verslo modelius. Tokiu atveju jie turėtų įrodyti, kad veiklos rangos nuostatos yra nesuderinamos su PRT naudojimu, numatytu jų verslo plane, ir taip pat turėtų įrodyti, kad yra įvykdyti kai kurie būtiniausi veiklos rangos reikalavimai;</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199</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Stéphanie Yon-Courtin, Ondřej Kovařík, Gilles Boyer, Olivier Chastel</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21 konstatuojamoji dalis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t>(21)</w:t>
            </w:r>
            <w:r w:rsidRPr="00837CC4">
              <w:tab/>
              <w:t xml:space="preserve">pagal Reglamentą (ES) Nr. 909/2014 (Centrinių vertybinių popierių depozitoriumų reglamentą) CVPD gali perduoti trečiajai šaliai pagrindinės paslaugos teikimą tik gavęs kompetentingos institucijos leidimą. Be to, CVPD privalo laikytis kelių sąlygų, kad dėl veiklos rangos jo atsakomybė nebūtų perduodama, o pareigos jo dalyvių ar emitentų atžvilgiu nepasikeistų. Priklausomai nuo verslo plano PRT vertybinių popierių atsiskaitymo sistemą valdantis </w:t>
            </w:r>
            <w:r w:rsidRPr="00837CC4">
              <w:rPr>
                <w:b/>
                <w:bCs/>
                <w:i/>
                <w:iCs/>
              </w:rPr>
              <w:t>CVPD</w:t>
            </w:r>
            <w:r w:rsidRPr="00837CC4">
              <w:t xml:space="preserve"> galėtų pageidauti dalytis atsakomybe už savo paskirstytojo registro, kuriame registruojami perleidžiamieji vertybiniai popieriai, valdymą su kitais subjektais, be kita ko, savo dalyviais. PRT vertybinių popierių atsiskaitymo sistema turėtų galėti prašyti leisti nesilaikyti veiklos rangos reikalavimų, kad galėtų kurti tokius inovatyvius verslo modelius. Tokiu atveju jie turėtų įrodyti, kad veiklos rangos nuostatos yra nesuderinamos su PRT naudojimu, numatytu jų verslo plane, ir taip pat turėtų įrodyti, kad yra įvykdyti kai kurie būtiniausi veiklos rangos reikalavimai;</w:t>
            </w:r>
          </w:p>
        </w:tc>
        <w:tc>
          <w:tcPr>
            <w:tcW w:w="4876" w:type="dxa"/>
          </w:tcPr>
          <w:p w:rsidR="0084543E" w:rsidRPr="00837CC4" w:rsidRDefault="0084543E" w:rsidP="00E51AD6">
            <w:pPr>
              <w:pStyle w:val="Normal6a"/>
            </w:pPr>
            <w:r w:rsidRPr="00837CC4">
              <w:t>(21)</w:t>
            </w:r>
            <w:r w:rsidRPr="00837CC4">
              <w:tab/>
              <w:t xml:space="preserve">pagal Reglamentą (ES) Nr. 909/2014 (Centrinių vertybinių popierių depozitoriumų reglamentą) CVPD gali perduoti trečiajai šaliai pagrindinės paslaugos teikimą tik gavęs kompetentingos institucijos leidimą. Be to, CVPD privalo laikytis kelių sąlygų, kad dėl veiklos rangos jo atsakomybė nebūtų perduodama, o pareigos jo dalyvių ar emitentų atžvilgiu nepasikeistų. Priklausomai nuo verslo plano PRT vertybinių popierių atsiskaitymo sistemą valdantis </w:t>
            </w:r>
            <w:r w:rsidRPr="00837CC4">
              <w:rPr>
                <w:b/>
                <w:bCs/>
                <w:i/>
                <w:iCs/>
              </w:rPr>
              <w:t>subjektas</w:t>
            </w:r>
            <w:r w:rsidRPr="00837CC4">
              <w:t xml:space="preserve"> galėtų pageidauti dalytis atsakomybe už savo paskirstytojo registro, kuriame registruojami perleidžiamieji vertybiniai popieriai, valdymą su kitais subjektais, be kita ko, savo dalyviais. PRT vertybinių popierių atsiskaitymo sistema turėtų galėti prašyti leisti nesilaikyti veiklos rangos reikalavimų, kad galėtų kurti tokius inovatyvius verslo modelius. Tokiu atveju jie turėtų įrodyti, kad veiklos rangos nuostatos yra nesuderinamos su PRT naudojimu, numatytu jų verslo plane, ir taip pat turėtų įrodyti, kad yra įvykdyti kai kurie būtiniausi veiklos rangos reikalavimai;</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pPr>
        <w:pStyle w:val="AmJustTitle"/>
      </w:pPr>
      <w:r w:rsidRPr="00837CC4">
        <w:rPr>
          <w:rStyle w:val="HideTWBExt"/>
          <w:i w:val="0"/>
          <w:noProof w:val="0"/>
        </w:rPr>
        <w:t>&lt;TitreJust&gt;</w:t>
      </w:r>
      <w:r w:rsidRPr="00837CC4">
        <w:t>Pagrindimas</w:t>
      </w:r>
      <w:r w:rsidRPr="00837CC4">
        <w:rPr>
          <w:rStyle w:val="HideTWBExt"/>
          <w:i w:val="0"/>
          <w:noProof w:val="0"/>
        </w:rPr>
        <w:t>&lt;/TitreJust&gt;</w:t>
      </w:r>
    </w:p>
    <w:p w:rsidR="0084543E" w:rsidRPr="00837CC4" w:rsidRDefault="0084543E" w:rsidP="0084543E">
      <w:pPr>
        <w:pStyle w:val="AmJustText"/>
      </w:pPr>
      <w:r w:rsidRPr="00837CC4">
        <w:t>Bandomosios tvarkos atvirumas naujiems dalyviams ir technologinis neutralumas, susijęs su nuosavybinėmis ir viešosiomis PRT.</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200</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Jessica Polfjärd</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21 konstatuojamoji dalis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t>(21)</w:t>
            </w:r>
            <w:r w:rsidRPr="00837CC4">
              <w:tab/>
              <w:t>pagal Reglamentą (ES) Nr. 909/2014 (Centrinių vertybinių popierių depozitoriumų reglamentą) CVPD gali perduoti trečiajai šaliai pagrindinės paslaugos teikimą tik gavęs kompetentingos institucijos leidimą. Be to, CVPD privalo laikytis kelių sąlygų, kad dėl veiklos rangos jo atsakomybė nebūtų perduodama, o pareigos jo dalyvių ar emitentų atžvilgiu nepasikeistų. Priklausomai nuo verslo plano PRT vertybinių popierių atsiskaitymo sistemą valdantis CVPD galėtų pageidauti dalytis atsakomybe už savo paskirstytojo registro, kuriame registruojami perleidžiamieji vertybiniai popieriai, valdymą su kitais subjektais, be kita ko, savo dalyviais. PRT vertybinių popierių atsiskaitymo sistema turėtų galėti prašyti leisti nesilaikyti veiklos rangos reikalavimų, kad galėtų kurti tokius inovatyvius verslo modelius. Tokiu atveju jie turėtų įrodyti, kad veiklos rangos nuostatos yra nesuderinamos su PRT naudojimu, numatytu jų verslo plane, ir taip pat turėtų įrodyti, kad yra įvykdyti kai kurie būtiniausi veiklos rangos reikalavimai;</w:t>
            </w:r>
          </w:p>
        </w:tc>
        <w:tc>
          <w:tcPr>
            <w:tcW w:w="4876" w:type="dxa"/>
          </w:tcPr>
          <w:p w:rsidR="0084543E" w:rsidRPr="00837CC4" w:rsidRDefault="0084543E" w:rsidP="00E51AD6">
            <w:pPr>
              <w:pStyle w:val="Normal6a"/>
            </w:pPr>
            <w:r w:rsidRPr="00837CC4">
              <w:rPr>
                <w:i/>
                <w:iCs/>
              </w:rPr>
              <w:t>(Tekstas lietuvių kalba nekeičiamas.)</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201</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Eva Kaili</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22 konstatuojamoji dalis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t>(22)</w:t>
            </w:r>
            <w:r w:rsidRPr="00837CC4">
              <w:tab/>
              <w:t xml:space="preserve">tokia reglamentavimo kliūtis kaip kredito įstaigos ar investicinės įmonės tarpininkavimo prievolė, užkertanti kelią neprofesionaliesiems investuotojams tiesiogiai naudotis CVPD valdomomis atsiskaitymo ir pateikimo sistemomis, galėtų trukdyti kurti alternatyvius PRT grindžiamus atsiskaitymo modelius, suteikiančius tiesioginę prieigą neprofesionaliesiems investuotojams. Todėl PRT </w:t>
            </w:r>
            <w:r w:rsidRPr="00837CC4">
              <w:rPr>
                <w:b/>
                <w:bCs/>
                <w:i/>
                <w:iCs/>
              </w:rPr>
              <w:t>vertybinių popierių atsiskaitymo sistemą</w:t>
            </w:r>
            <w:r w:rsidRPr="00837CC4">
              <w:t xml:space="preserve"> valdančiam CVPD turėtų būti leidžiama prašyti leisti netaikyti dalyvio sąvokos, nustatytos Reglamente (ES) Nr. 909/2014 (</w:t>
            </w:r>
            <w:r w:rsidRPr="00837CC4">
              <w:rPr>
                <w:b/>
                <w:bCs/>
                <w:i/>
                <w:iCs/>
              </w:rPr>
              <w:t>Centrinių vertybinių popierių depozitoriumų reglamente</w:t>
            </w:r>
            <w:r w:rsidRPr="00837CC4">
              <w:t xml:space="preserve">). Kai </w:t>
            </w:r>
            <w:r w:rsidRPr="00837CC4">
              <w:rPr>
                <w:b/>
                <w:bCs/>
                <w:i/>
                <w:iCs/>
              </w:rPr>
              <w:t>vertybinių popierių atsiskaitymo sistemą</w:t>
            </w:r>
            <w:r w:rsidRPr="00837CC4">
              <w:t xml:space="preserve"> valdantis CVPD prašo leisti netaikyti tarpininkavimo prievolės pagal Reglamentą (ES) Nr. 909/2014 (</w:t>
            </w:r>
            <w:r w:rsidRPr="00837CC4">
              <w:rPr>
                <w:b/>
                <w:bCs/>
                <w:i/>
                <w:iCs/>
              </w:rPr>
              <w:t>Centrinių vertybinių popierių depozitoriumų reglamentą</w:t>
            </w:r>
            <w:r w:rsidRPr="00837CC4">
              <w:t xml:space="preserve">), jis turėtų užtikrinti, kad tie asmenys būtų pakankamai geros reputacijos ir kompetentingi bei tinkami kovos su pinigų plovimu ir terorizmo finansavimu srityje. </w:t>
            </w:r>
            <w:r w:rsidRPr="00837CC4">
              <w:rPr>
                <w:b/>
                <w:bCs/>
                <w:i/>
                <w:iCs/>
              </w:rPr>
              <w:t>Vertybinių popierių atsiskaitymo sistemą</w:t>
            </w:r>
            <w:r w:rsidRPr="00837CC4">
              <w:t xml:space="preserve"> valdantis CVPD turėtų taip pat užtikrinti, kad tie dalyviai turėtų pakankamų gebėjimų, kompetencijos, patirties ir žinių, susijusių su poprekybiniais procesais ir PRT veikimu;</w:t>
            </w:r>
          </w:p>
        </w:tc>
        <w:tc>
          <w:tcPr>
            <w:tcW w:w="4876" w:type="dxa"/>
          </w:tcPr>
          <w:p w:rsidR="0084543E" w:rsidRPr="00837CC4" w:rsidRDefault="0084543E" w:rsidP="00E51AD6">
            <w:pPr>
              <w:pStyle w:val="Normal6a"/>
            </w:pPr>
            <w:r w:rsidRPr="00837CC4">
              <w:t>(22)</w:t>
            </w:r>
            <w:r w:rsidRPr="00837CC4">
              <w:tab/>
              <w:t xml:space="preserve">tokia reglamentavimo kliūtis kaip kredito įstaigos ar investicinės įmonės tarpininkavimo prievolė, užkertanti kelią neprofesionaliesiems investuotojams tiesiogiai naudotis CVPD valdomomis atsiskaitymo ir pateikimo sistemomis, galėtų trukdyti kurti alternatyvius PRT grindžiamus atsiskaitymo modelius, suteikiančius tiesioginę prieigą neprofesionaliesiems investuotojams. Todėl PRT </w:t>
            </w:r>
            <w:r w:rsidRPr="00837CC4">
              <w:rPr>
                <w:b/>
                <w:bCs/>
                <w:i/>
                <w:iCs/>
              </w:rPr>
              <w:t>VPAS</w:t>
            </w:r>
            <w:r w:rsidRPr="00837CC4">
              <w:t xml:space="preserve"> valdančiam CVPD turėtų būti leidžiama prašyti leisti netaikyti dalyvio sąvokos, nustatytos Reglamente (ES) Nr. 909/2014 (</w:t>
            </w:r>
            <w:r w:rsidRPr="00837CC4">
              <w:rPr>
                <w:b/>
                <w:bCs/>
                <w:i/>
                <w:iCs/>
              </w:rPr>
              <w:t>CVPDR</w:t>
            </w:r>
            <w:r w:rsidRPr="00837CC4">
              <w:t xml:space="preserve">). Kai </w:t>
            </w:r>
            <w:r w:rsidRPr="00837CC4">
              <w:rPr>
                <w:b/>
                <w:bCs/>
                <w:i/>
                <w:iCs/>
              </w:rPr>
              <w:t>VPAS</w:t>
            </w:r>
            <w:r w:rsidRPr="00837CC4">
              <w:t xml:space="preserve"> valdantis CVPD prašo leisti netaikyti tarpininkavimo prievolės pagal Reglamentą (ES) Nr. 909/2014 (</w:t>
            </w:r>
            <w:r w:rsidRPr="00837CC4">
              <w:rPr>
                <w:b/>
                <w:bCs/>
                <w:i/>
                <w:iCs/>
              </w:rPr>
              <w:t>CVPDR</w:t>
            </w:r>
            <w:r w:rsidRPr="00837CC4">
              <w:t xml:space="preserve">), jis turėtų užtikrinti, kad tie asmenys būtų pakankamai geros reputacijos ir kompetentingi bei tinkami kovos su pinigų plovimu ir terorizmo finansavimu srityje. </w:t>
            </w:r>
            <w:r w:rsidRPr="00837CC4">
              <w:rPr>
                <w:b/>
                <w:bCs/>
                <w:i/>
                <w:iCs/>
              </w:rPr>
              <w:t>VPAS</w:t>
            </w:r>
            <w:r w:rsidRPr="00837CC4">
              <w:t xml:space="preserve"> valdantis CVPD turėtų taip pat užtikrinti, kad tie dalyviai turėtų pakankamų gebėjimų, kompetencijos, patirties ir žinių, susijusių su poprekybiniais procesais ir PRT veikimu;</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202</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Eva Kaili</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23 konstatuojamoji dalis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t>(23)</w:t>
            </w:r>
            <w:r w:rsidRPr="00837CC4">
              <w:tab/>
              <w:t>subjektai, atitinkantys reikalavimus dalyvauti CVPD, kuriam taikomas Reglamentas (ES) Nr. 909/2014 (</w:t>
            </w:r>
            <w:r w:rsidRPr="00837CC4">
              <w:rPr>
                <w:b/>
                <w:bCs/>
                <w:i/>
                <w:iCs/>
              </w:rPr>
              <w:t>Centrinių vertybinių popierių depozitoriumų reglamentas</w:t>
            </w:r>
            <w:r w:rsidRPr="00837CC4">
              <w:t xml:space="preserve">), yra nustatomi pagal subjektus, atitinkančius reikalavimus dalyvauti </w:t>
            </w:r>
            <w:r w:rsidRPr="00837CC4">
              <w:rPr>
                <w:b/>
                <w:bCs/>
                <w:i/>
                <w:iCs/>
              </w:rPr>
              <w:t>vertybinių popierių atsiskaitymo sistemoje</w:t>
            </w:r>
            <w:r w:rsidRPr="00837CC4">
              <w:t>, kuri laikoma sistema ir apie kurią pranešama pagal Direktyvą 98/26/EB (toliau – Atsiskaitymų baigtinumo direktyva), nes pagal Reglamentą (ES) Nr. 909/2014 (</w:t>
            </w:r>
            <w:r w:rsidRPr="00837CC4">
              <w:rPr>
                <w:b/>
                <w:bCs/>
                <w:i/>
                <w:iCs/>
              </w:rPr>
              <w:t>Centrinių vertybinių popierių depozitoriumų reglamentą</w:t>
            </w:r>
            <w:r w:rsidRPr="00837CC4">
              <w:t xml:space="preserve">) CVPD valdomos vertybinių popierių atsiskaitymo sistemos privalo būti laikomos sistemomis ir apie jas turi būti pranešta pagal Direktyvą 98/26/EB. PRT </w:t>
            </w:r>
            <w:r w:rsidRPr="00837CC4">
              <w:rPr>
                <w:b/>
                <w:bCs/>
                <w:i/>
                <w:iCs/>
              </w:rPr>
              <w:t>vertybinių popierių atsiskaitymo sistema</w:t>
            </w:r>
            <w:r w:rsidRPr="00837CC4">
              <w:t>, kuri prašo leisti netaikyti dalyvavimo reikalavimų, nustatytų Reglamente (ES) Nr. 909/2014 (</w:t>
            </w:r>
            <w:r w:rsidRPr="00837CC4">
              <w:rPr>
                <w:b/>
                <w:bCs/>
                <w:i/>
                <w:iCs/>
              </w:rPr>
              <w:t>Centrinių vertybinių popierių depozitoriumų reglamente</w:t>
            </w:r>
            <w:r w:rsidRPr="00837CC4">
              <w:t xml:space="preserve">), nesilaikytų Direktyvoje 98/26/EB nustatytų dalyvavimo reikalavimų. Taigi pagal tą direktyvą tokia PRT </w:t>
            </w:r>
            <w:r w:rsidRPr="00837CC4">
              <w:rPr>
                <w:b/>
                <w:bCs/>
                <w:i/>
                <w:iCs/>
              </w:rPr>
              <w:t>vertybinių popierių atsiskaitymo sistema</w:t>
            </w:r>
            <w:r w:rsidRPr="00837CC4">
              <w:t xml:space="preserve"> negalėtų būti laikoma sistema ir kad apie ją pranešta. Tačiau tai netrukdytų PRT </w:t>
            </w:r>
            <w:r w:rsidRPr="00837CC4">
              <w:rPr>
                <w:b/>
                <w:bCs/>
                <w:i/>
                <w:iCs/>
              </w:rPr>
              <w:t>vertybinių popierių atsiskaitymo sistemai</w:t>
            </w:r>
            <w:r w:rsidRPr="00837CC4">
              <w:t>, atitinkančiai visus Direktyvos 98/26/EB reikalavimus, būti laikoma sistema ir kad apie ją pranešta;</w:t>
            </w:r>
          </w:p>
        </w:tc>
        <w:tc>
          <w:tcPr>
            <w:tcW w:w="4876" w:type="dxa"/>
          </w:tcPr>
          <w:p w:rsidR="0084543E" w:rsidRPr="00837CC4" w:rsidRDefault="0084543E" w:rsidP="00E51AD6">
            <w:pPr>
              <w:pStyle w:val="Normal6a"/>
            </w:pPr>
            <w:r w:rsidRPr="00837CC4">
              <w:t>(23)</w:t>
            </w:r>
            <w:r w:rsidRPr="00837CC4">
              <w:tab/>
              <w:t>subjektai, atitinkantys reikalavimus dalyvauti CVPD, kuriam taikomas Reglamentas (ES) Nr. 909/2014 (</w:t>
            </w:r>
            <w:r w:rsidRPr="00837CC4">
              <w:rPr>
                <w:b/>
                <w:bCs/>
                <w:i/>
                <w:iCs/>
              </w:rPr>
              <w:t>CVPDR</w:t>
            </w:r>
            <w:r w:rsidRPr="00837CC4">
              <w:t xml:space="preserve">), yra nustatomi pagal subjektus, atitinkančius reikalavimus dalyvauti </w:t>
            </w:r>
            <w:r w:rsidRPr="00837CC4">
              <w:rPr>
                <w:b/>
                <w:bCs/>
                <w:i/>
                <w:iCs/>
              </w:rPr>
              <w:t>VPAS</w:t>
            </w:r>
            <w:r w:rsidRPr="00837CC4">
              <w:t>, kuri laikoma sistema ir apie kurią pranešama pagal Direktyvą 98/26/EB (toliau – Atsiskaitymų baigtinumo direktyva), nes pagal Reglamentą (ES) Nr. 909/2014 (</w:t>
            </w:r>
            <w:r w:rsidRPr="00837CC4">
              <w:rPr>
                <w:b/>
                <w:bCs/>
                <w:i/>
                <w:iCs/>
              </w:rPr>
              <w:t>CVPDR</w:t>
            </w:r>
            <w:r w:rsidRPr="00837CC4">
              <w:t xml:space="preserve">) CVPD valdomos vertybinių popierių atsiskaitymo sistemos privalo būti laikomos sistemomis ir apie jas turi būti pranešta pagal Direktyvą 98/26/EB. PRT </w:t>
            </w:r>
            <w:r w:rsidRPr="00837CC4">
              <w:rPr>
                <w:b/>
                <w:bCs/>
                <w:i/>
                <w:iCs/>
              </w:rPr>
              <w:t>VPAS</w:t>
            </w:r>
            <w:r w:rsidRPr="00837CC4">
              <w:t>, kuri prašo leisti netaikyti dalyvavimo reikalavimų, nustatytų Reglamente (ES) Nr. 909/2014 (</w:t>
            </w:r>
            <w:r w:rsidRPr="00837CC4">
              <w:rPr>
                <w:b/>
                <w:bCs/>
                <w:i/>
                <w:iCs/>
              </w:rPr>
              <w:t>CVPDR</w:t>
            </w:r>
            <w:r w:rsidRPr="00837CC4">
              <w:t xml:space="preserve">), nesilaikytų Direktyvoje 98/26/EB nustatytų dalyvavimo reikalavimų. Taigi pagal tą direktyvą tokia PRT </w:t>
            </w:r>
            <w:r w:rsidRPr="00837CC4">
              <w:rPr>
                <w:b/>
                <w:bCs/>
                <w:i/>
                <w:iCs/>
              </w:rPr>
              <w:t>VPAS</w:t>
            </w:r>
            <w:r w:rsidRPr="00837CC4">
              <w:t xml:space="preserve"> negalėtų būti laikoma sistema ir kad apie ją pranešta. Tačiau tai netrukdytų PRT </w:t>
            </w:r>
            <w:r w:rsidRPr="00837CC4">
              <w:rPr>
                <w:b/>
                <w:bCs/>
                <w:i/>
                <w:iCs/>
              </w:rPr>
              <w:t>VPAS</w:t>
            </w:r>
            <w:r w:rsidRPr="00837CC4">
              <w:t>, atitinkančiai visus Direktyvos 98/26/EB reikalavimus, būti laikoma sistema ir kad apie ją pranešta</w:t>
            </w:r>
            <w:r w:rsidRPr="00837CC4">
              <w:rPr>
                <w:b/>
                <w:bCs/>
                <w:i/>
                <w:iCs/>
              </w:rPr>
              <w:t>.</w:t>
            </w:r>
            <w:r w:rsidRPr="00837CC4">
              <w:t xml:space="preserve"> </w:t>
            </w:r>
            <w:r w:rsidRPr="00837CC4">
              <w:rPr>
                <w:b/>
                <w:i/>
              </w:rPr>
              <w:t>Be to, jeigu PRT VPAS neprilygsta „sistemos“ valdymui, kaip nurodyta Atsiskaitymų baigtinumo direktyvoje, be kita ko, dėl to, kad juridiniai asmenys yra tinkami PRT VPAS dalyviai, jame numatytų nemokumo apsaugos priemonių neturėtų būti galima taikyti pačiai PRT VPAS. Be to, jeigu PRT VPAS operatorius valdo bet kurią kitą CVPD, reikėtų įrodyti, kad PRT VPAS operacijos jokiomis aplinkybėmis nedarys įtakos jokių kitų CVPD operacijoms ir patikimumui, pvz., kai vienas ar daugiau subjektų dalyvauja tiek įprastoje VPAS, tiek PRT VPAS, kurias valdo tas pats CVPD. Tomis aplinkybėmis PRT VPAS valdantis CVPD turėtų aiškiai nurodyti nemokumo ir atsiskaitymų baigtumo riziką, kuri kyla jos dalyviams, taip pat bet kokias kitas priemones, kurias jis įgyvendino tam, kad tokia rizika būtų sumažinta;</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pPr>
        <w:pStyle w:val="AmJustTitle"/>
      </w:pPr>
      <w:r w:rsidRPr="00837CC4">
        <w:rPr>
          <w:rStyle w:val="HideTWBExt"/>
          <w:i w:val="0"/>
          <w:noProof w:val="0"/>
        </w:rPr>
        <w:t>&lt;TitreJust&gt;</w:t>
      </w:r>
      <w:r w:rsidRPr="00837CC4">
        <w:t>Pagrindimas</w:t>
      </w:r>
      <w:r w:rsidRPr="00837CC4">
        <w:rPr>
          <w:rStyle w:val="HideTWBExt"/>
          <w:i w:val="0"/>
          <w:noProof w:val="0"/>
        </w:rPr>
        <w:t>&lt;/TitreJust&gt;</w:t>
      </w:r>
    </w:p>
    <w:p w:rsidR="0084543E" w:rsidRPr="00837CC4" w:rsidRDefault="0084543E" w:rsidP="0084543E">
      <w:pPr>
        <w:pStyle w:val="AmJustText"/>
      </w:pPr>
      <w:r w:rsidRPr="00837CC4">
        <w:t>Redakcinės pastabos. Be to, siūloma įtraukti tam tikrą balandžio 28 d. ECB nuomonės dėl PRT bandomosios tvarkos 3.4 punkto turinį, kad būtų numatyta PRT VPAS veiklos atskyrimas, jeigu jų operatorius taip pat valdo kitas CVPD.</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203</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Eva Kaili</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24 konstatuojamoji dalis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t>(24)</w:t>
            </w:r>
            <w:r w:rsidRPr="00837CC4">
              <w:tab/>
              <w:t>Reglamentu (ES) Nr. 909/2014 (</w:t>
            </w:r>
            <w:r w:rsidRPr="00837CC4">
              <w:rPr>
                <w:b/>
                <w:bCs/>
                <w:i/>
                <w:iCs/>
              </w:rPr>
              <w:t>Centrinių vertybinių popierių depozitoriumų reglamentu</w:t>
            </w:r>
            <w:r w:rsidRPr="00837CC4">
              <w:t xml:space="preserve">) skatinama vykdyti atsiskaitymą už sandorius centrinio banko pinigais. Kai </w:t>
            </w:r>
            <w:r w:rsidRPr="00837CC4">
              <w:rPr>
                <w:b/>
                <w:bCs/>
                <w:i/>
                <w:iCs/>
              </w:rPr>
              <w:t>piniginės</w:t>
            </w:r>
            <w:r w:rsidRPr="00837CC4">
              <w:t xml:space="preserve"> dalies atsiskaitymo vykdyti centrinio banko pinigais neįmanoma ir netikslinga, šis atsiskaitymas gali būti vykdomas komercinio banko pinigais. PRT </w:t>
            </w:r>
            <w:r w:rsidRPr="00837CC4">
              <w:rPr>
                <w:b/>
                <w:bCs/>
                <w:i/>
                <w:iCs/>
              </w:rPr>
              <w:t>vertybinių popierių atsiskaitymo sistemą</w:t>
            </w:r>
            <w:r w:rsidRPr="00837CC4">
              <w:t xml:space="preserve"> valdančiam CVPD gali būti sudėtinga taikyti tą nuostatą, nes tokiam CVPD reikėtų daryti pakeitimus piniginių lėšų sąskaitose tuo pačiu metu, kai </w:t>
            </w:r>
            <w:r w:rsidRPr="00837CC4">
              <w:rPr>
                <w:b/>
                <w:bCs/>
                <w:i/>
                <w:iCs/>
              </w:rPr>
              <w:t>PRT</w:t>
            </w:r>
            <w:r w:rsidRPr="00837CC4">
              <w:t xml:space="preserve"> įvykdomas vertybinių popierių pateikimas. PRT </w:t>
            </w:r>
            <w:r w:rsidRPr="00837CC4">
              <w:rPr>
                <w:b/>
                <w:bCs/>
                <w:i/>
                <w:iCs/>
              </w:rPr>
              <w:t>vertybinių popierių atsiskaitymo sistemą</w:t>
            </w:r>
            <w:r w:rsidRPr="00837CC4">
              <w:t xml:space="preserve"> valdančiam CVPD reikėtų leisti prašyti leidimo netaikyti Reglamento (ES) Nr. 909/2014 (Centrinių vertybinių popierių depozitoriumų reglamento) piniginės dalies atsiskaitymo taisyklių, kad jis galėtų kurti inovatyvius sprendimus, pavyzdžiui, siūlyti naudoti atsiskaitymo monetas arba e. pinigus žetonus, kaip apibrėžta Reglamente 2021/XX dėl kriptoturto rinkų</w:t>
            </w:r>
            <w:r w:rsidRPr="00837CC4">
              <w:rPr>
                <w:rStyle w:val="SupBoldItalic"/>
              </w:rPr>
              <w:t>45</w:t>
            </w:r>
            <w:r w:rsidRPr="00837CC4">
              <w:t>;</w:t>
            </w:r>
          </w:p>
        </w:tc>
        <w:tc>
          <w:tcPr>
            <w:tcW w:w="4876" w:type="dxa"/>
          </w:tcPr>
          <w:p w:rsidR="0084543E" w:rsidRPr="00837CC4" w:rsidRDefault="0084543E" w:rsidP="00E51AD6">
            <w:pPr>
              <w:pStyle w:val="Normal6a"/>
            </w:pPr>
            <w:r w:rsidRPr="00837CC4">
              <w:t>(24)</w:t>
            </w:r>
            <w:r w:rsidRPr="00837CC4">
              <w:tab/>
              <w:t>Reglamentu (ES) Nr. 909/2014 (</w:t>
            </w:r>
            <w:r w:rsidRPr="00837CC4">
              <w:rPr>
                <w:b/>
                <w:bCs/>
                <w:i/>
                <w:iCs/>
              </w:rPr>
              <w:t>CVPDR</w:t>
            </w:r>
            <w:r w:rsidRPr="00837CC4">
              <w:t xml:space="preserve">) skatinama vykdyti atsiskaitymą už sandorius centrinio banko pinigais. Kai </w:t>
            </w:r>
            <w:r w:rsidRPr="00837CC4">
              <w:rPr>
                <w:b/>
                <w:bCs/>
                <w:i/>
                <w:iCs/>
              </w:rPr>
              <w:t>mokėjimo sudėtinės</w:t>
            </w:r>
            <w:r w:rsidRPr="00837CC4">
              <w:t xml:space="preserve"> dalies atsiskaitymo vykdyti centrinio banko pinigais neįmanoma ir netikslinga, šis atsiskaitymas gali būti vykdomas komercinio banko pinigais. PRT </w:t>
            </w:r>
            <w:r w:rsidRPr="00837CC4">
              <w:rPr>
                <w:b/>
                <w:bCs/>
                <w:i/>
                <w:iCs/>
              </w:rPr>
              <w:t>VPAS</w:t>
            </w:r>
            <w:r w:rsidRPr="00837CC4">
              <w:t xml:space="preserve"> valdančiam CVPD gali būti sudėtinga taikyti tą nuostatą, nes tokiam CVPD reikėtų daryti pakeitimus piniginių lėšų sąskaitose tuo pačiu metu, kai </w:t>
            </w:r>
            <w:r w:rsidRPr="00837CC4">
              <w:rPr>
                <w:b/>
                <w:bCs/>
                <w:i/>
                <w:iCs/>
              </w:rPr>
              <w:t>paskirstytajame registre</w:t>
            </w:r>
            <w:r w:rsidRPr="00837CC4">
              <w:t xml:space="preserve"> įvykdomas vertybinių popierių pateikimas. PRT </w:t>
            </w:r>
            <w:r w:rsidRPr="00837CC4">
              <w:rPr>
                <w:b/>
                <w:bCs/>
                <w:i/>
                <w:iCs/>
              </w:rPr>
              <w:t>VPAS</w:t>
            </w:r>
            <w:r w:rsidRPr="00837CC4">
              <w:t xml:space="preserve"> valdančiam CVPD reikėtų leisti prašyti leidimo netaikyti Reglamento (ES) Nr. 909/2014 (Centrinių vertybinių popierių depozitoriumų reglamento) piniginės dalies atsiskaitymo taisyklių, kad jis galėtų kurti inovatyvius sprendimus, pavyzdžiui, siūlyti naudoti atsiskaitymo monetas arba e. pinigus žetonus, kaip apibrėžta Reglamente 2021/XX dėl kriptoturto rinkų</w:t>
            </w:r>
            <w:r w:rsidRPr="00837CC4">
              <w:rPr>
                <w:b/>
                <w:bCs/>
                <w:i/>
                <w:iCs/>
              </w:rPr>
              <w:t>.</w:t>
            </w:r>
            <w:r w:rsidRPr="00837CC4">
              <w:rPr>
                <w:b/>
                <w:i/>
              </w:rPr>
              <w:t xml:space="preserve"> </w:t>
            </w:r>
            <w:r w:rsidRPr="00837CC4">
              <w:rPr>
                <w:b/>
                <w:bCs/>
                <w:i/>
                <w:iCs/>
              </w:rPr>
              <w:t>Kai mokėjimo sudėtinės dalies atsiskaitymas vykdomas e. pinigų žetonais, PRT DPS dalyviai turėtų galėti atsidaryti sąskaitas</w:t>
            </w:r>
            <w:r w:rsidRPr="00837CC4">
              <w:t>;</w:t>
            </w:r>
          </w:p>
        </w:tc>
      </w:tr>
      <w:tr w:rsidR="0084543E" w:rsidRPr="00837CC4" w:rsidTr="00E51AD6">
        <w:trPr>
          <w:jc w:val="center"/>
        </w:trPr>
        <w:tc>
          <w:tcPr>
            <w:tcW w:w="4876" w:type="dxa"/>
          </w:tcPr>
          <w:p w:rsidR="0084543E" w:rsidRPr="00837CC4" w:rsidRDefault="0084543E" w:rsidP="00E51AD6">
            <w:pPr>
              <w:pStyle w:val="Normal6a"/>
            </w:pPr>
            <w:r w:rsidRPr="00837CC4">
              <w:t>_________________</w:t>
            </w:r>
          </w:p>
        </w:tc>
        <w:tc>
          <w:tcPr>
            <w:tcW w:w="4876" w:type="dxa"/>
          </w:tcPr>
          <w:p w:rsidR="0084543E" w:rsidRPr="00837CC4" w:rsidRDefault="0084543E" w:rsidP="00E51AD6">
            <w:pPr>
              <w:pStyle w:val="Normal6a"/>
            </w:pPr>
          </w:p>
        </w:tc>
      </w:tr>
      <w:tr w:rsidR="0084543E" w:rsidRPr="00837CC4" w:rsidTr="00E51AD6">
        <w:trPr>
          <w:jc w:val="center"/>
        </w:trPr>
        <w:tc>
          <w:tcPr>
            <w:tcW w:w="4876" w:type="dxa"/>
          </w:tcPr>
          <w:p w:rsidR="0084543E" w:rsidRPr="00837CC4" w:rsidRDefault="0084543E" w:rsidP="00E51AD6">
            <w:pPr>
              <w:pStyle w:val="Normal6a"/>
            </w:pPr>
            <w:r w:rsidRPr="00837CC4">
              <w:rPr>
                <w:rStyle w:val="SupBoldItalic"/>
                <w:b w:val="0"/>
                <w:bCs/>
                <w:i w:val="0"/>
                <w:iCs/>
              </w:rPr>
              <w:t>45</w:t>
            </w:r>
            <w:r w:rsidRPr="00837CC4">
              <w:rPr>
                <w:b/>
                <w:bCs/>
                <w:i/>
                <w:iCs/>
              </w:rPr>
              <w:t xml:space="preserve"> Pasiūlymas dėl Europos Parlamento ir Tarybos reglamento dėl kriptoturto rinkų, kuriuo iš dalies keičiama Direktyva (ES) 2019/1937, COM(2020) 593.</w:t>
            </w:r>
          </w:p>
        </w:tc>
        <w:tc>
          <w:tcPr>
            <w:tcW w:w="4876" w:type="dxa"/>
          </w:tcPr>
          <w:p w:rsidR="0084543E" w:rsidRPr="00837CC4" w:rsidRDefault="0084543E" w:rsidP="00E51AD6">
            <w:pPr>
              <w:pStyle w:val="Normal6a"/>
            </w:pP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pPr>
        <w:pStyle w:val="AmJustTitle"/>
      </w:pPr>
      <w:r w:rsidRPr="00837CC4">
        <w:rPr>
          <w:rStyle w:val="HideTWBExt"/>
          <w:i w:val="0"/>
          <w:noProof w:val="0"/>
        </w:rPr>
        <w:t>&lt;TitreJust&gt;</w:t>
      </w:r>
      <w:r w:rsidRPr="00837CC4">
        <w:t>Pagrindimas</w:t>
      </w:r>
      <w:r w:rsidRPr="00837CC4">
        <w:rPr>
          <w:rStyle w:val="HideTWBExt"/>
          <w:i w:val="0"/>
          <w:noProof w:val="0"/>
        </w:rPr>
        <w:t>&lt;/TitreJust&gt;</w:t>
      </w:r>
    </w:p>
    <w:p w:rsidR="0084543E" w:rsidRPr="00837CC4" w:rsidRDefault="0084543E" w:rsidP="0084543E">
      <w:pPr>
        <w:pStyle w:val="AmJustText"/>
      </w:pPr>
      <w:r w:rsidRPr="00837CC4">
        <w:t>Redakcinė pastaba. Be to, siūloma įtraukti balandžio 28 d. ECB nuomonės dėl PRT bandomosios tvarkos 3.3.7 punktą, susijusį su atsiskaitymu e. pinigų žetonais.</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204</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Eva Kaili</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24 a konstatuojamoji dalis (nauja)</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p>
        </w:tc>
        <w:tc>
          <w:tcPr>
            <w:tcW w:w="4876" w:type="dxa"/>
          </w:tcPr>
          <w:p w:rsidR="0084543E" w:rsidRPr="00837CC4" w:rsidRDefault="0084543E" w:rsidP="00E51AD6">
            <w:pPr>
              <w:pStyle w:val="Normal6a"/>
            </w:pPr>
            <w:r w:rsidRPr="00837CC4">
              <w:rPr>
                <w:b/>
                <w:i/>
              </w:rPr>
              <w:t>(24a)</w:t>
            </w:r>
            <w:r w:rsidRPr="00837CC4">
              <w:tab/>
            </w:r>
            <w:r w:rsidRPr="00837CC4">
              <w:rPr>
                <w:b/>
                <w:i/>
              </w:rPr>
              <w:t>fiziniai asmenys galėtų tiesiogiai dalyvauti PRT rinkos infrastruktūrose ir, jeigu PRT DPS perleidžiamųjų vertybinių popierių mokėjimo sudėtinės dalies atsiskaitymas būtų įtrauktas į asmens, kuris nėra licencijuota kredito įstaiga, įrašus, dėl to būtų sukurtos grynųjų pinigų sąskaitos, priklausančios fiziniams asmenims ir juridiniams asmenims, kaip antai labai mažoms, mažosioms ir vidutinio dydžio įmonėms, o PRT rinkos infrastruktūroms nebūtų taikoma indėlių garantijų sistemos apsauga, numatyta pagal Europos Parlamento ir Tarybos direktyvą 2014/49/ES (Direktyvą dėl indėlių garantijų sistemų), ir pirmenybė indėlininkams pagal Europos Parlamento ir Tarybos direktyvą 2014/59/ES (BGPD). Direktyva dėl indėlių garantijų sistemų ir pirmenybė indėlininkams pagal BGPD yra taikomos tik kredito balanso pavidalo indėliams, kurie atsiranda dėl sąskaitoje paliktų lėšų arba dėl laikinų aplinkybių, kylančių dėl įprastų bankų sandorių, ir kuriuos kredito įstaiga privalo grąžinti. Tomis aplinkybėmis PRT rinkos infrastruktūros turėtų savo dalyviams aiškiai atskleisti informaciją, kad jie nėra saugomi pagal atitinkamas Indėlių garantijų sistemų direktyvos ir BGPD nuostatas;</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pPr>
        <w:pStyle w:val="AmJustTitle"/>
      </w:pPr>
      <w:r w:rsidRPr="00837CC4">
        <w:rPr>
          <w:rStyle w:val="HideTWBExt"/>
          <w:i w:val="0"/>
          <w:noProof w:val="0"/>
        </w:rPr>
        <w:t>&lt;TitreJust&gt;</w:t>
      </w:r>
      <w:r w:rsidRPr="00837CC4">
        <w:t>Pagrindimas</w:t>
      </w:r>
      <w:r w:rsidRPr="00837CC4">
        <w:rPr>
          <w:rStyle w:val="HideTWBExt"/>
          <w:i w:val="0"/>
          <w:noProof w:val="0"/>
        </w:rPr>
        <w:t>&lt;/TitreJust&gt;</w:t>
      </w:r>
    </w:p>
    <w:p w:rsidR="0084543E" w:rsidRPr="00837CC4" w:rsidRDefault="0084543E" w:rsidP="0084543E">
      <w:pPr>
        <w:pStyle w:val="AmJustText"/>
      </w:pPr>
      <w:r w:rsidRPr="00837CC4">
        <w:t>Remiantis balandžio 28 d. ECB nuomonės dėl PRT 3.3.9 punktu, siekiant užtikrinti didesnę investuotojų apsaugą, rinkos vientisumą ir finansinio stabilumo nuostatas, labai svarbu PRT rinkos infrastruktūroms aiškiai nurodyti įpareigojimą atskleisti visus atvejus, kai gali būti netaikomos indėlių garantijų sistemos.</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205</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Eva Kaili</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25 konstatuojamoji dalis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t>(25)</w:t>
            </w:r>
            <w:r w:rsidRPr="00837CC4">
              <w:tab/>
              <w:t>pagal Reglamentą (ES) Nr. 909/2014 (</w:t>
            </w:r>
            <w:r w:rsidRPr="00837CC4">
              <w:rPr>
                <w:b/>
                <w:bCs/>
                <w:i/>
                <w:iCs/>
              </w:rPr>
              <w:t>Centrinių vertybinių popierių depozitoriumų reglamentą</w:t>
            </w:r>
            <w:r w:rsidRPr="00837CC4">
              <w:t xml:space="preserve">) CVPD privalo suteikti prieigą kitam CVPD arba kitoms rinkos infrastruktūroms. Suteikti prieigą prie PRT </w:t>
            </w:r>
            <w:r w:rsidRPr="00837CC4">
              <w:rPr>
                <w:b/>
                <w:bCs/>
                <w:i/>
                <w:iCs/>
              </w:rPr>
              <w:t>vertybinių popierių atsiskaitymo sistemą</w:t>
            </w:r>
            <w:r w:rsidRPr="00837CC4">
              <w:t xml:space="preserve"> valdančio CVPD gali būti painu ar sudėtinga, nes senųjų sistemų sąveikumas su PRT dar neišbandytas. PRT </w:t>
            </w:r>
            <w:r w:rsidRPr="00837CC4">
              <w:rPr>
                <w:b/>
                <w:bCs/>
                <w:i/>
                <w:iCs/>
              </w:rPr>
              <w:t>vertybinių popierių atsiskaitymo sistemai</w:t>
            </w:r>
            <w:r w:rsidRPr="00837CC4">
              <w:t xml:space="preserve"> taip pat turėtų būti suteikta galimybė prašyti leisti netaikyti tokių taisyklių, jeigu ji gali įrodyti, kad tokių taisyklių taikymas yra neproporcingas atsižvelgiant į PRT </w:t>
            </w:r>
            <w:r w:rsidRPr="00837CC4">
              <w:rPr>
                <w:b/>
                <w:bCs/>
                <w:i/>
                <w:iCs/>
              </w:rPr>
              <w:t>vertybinių popierių atsiskaitymo sistemos</w:t>
            </w:r>
            <w:r w:rsidRPr="00837CC4">
              <w:t xml:space="preserve"> dydį;</w:t>
            </w:r>
          </w:p>
        </w:tc>
        <w:tc>
          <w:tcPr>
            <w:tcW w:w="4876" w:type="dxa"/>
          </w:tcPr>
          <w:p w:rsidR="0084543E" w:rsidRPr="00837CC4" w:rsidRDefault="0084543E" w:rsidP="00E51AD6">
            <w:pPr>
              <w:pStyle w:val="Normal6a"/>
            </w:pPr>
            <w:r w:rsidRPr="00837CC4">
              <w:t>(25)</w:t>
            </w:r>
            <w:r w:rsidRPr="00837CC4">
              <w:tab/>
              <w:t>pagal Reglamentą (ES) Nr. 909/2014 (</w:t>
            </w:r>
            <w:r w:rsidRPr="00837CC4">
              <w:rPr>
                <w:b/>
                <w:bCs/>
                <w:i/>
                <w:iCs/>
              </w:rPr>
              <w:t>CVPDR</w:t>
            </w:r>
            <w:r w:rsidRPr="00837CC4">
              <w:t xml:space="preserve">) CVPD privalo suteikti prieigą kitam CVPD arba kitoms rinkos infrastruktūroms. Suteikti prieigą prie PRT </w:t>
            </w:r>
            <w:r w:rsidRPr="00837CC4">
              <w:rPr>
                <w:b/>
                <w:bCs/>
                <w:i/>
                <w:iCs/>
              </w:rPr>
              <w:t>VPAS</w:t>
            </w:r>
            <w:r w:rsidRPr="00837CC4">
              <w:t xml:space="preserve"> valdančio CVPD gali būti </w:t>
            </w:r>
            <w:r w:rsidRPr="00837CC4">
              <w:rPr>
                <w:b/>
                <w:bCs/>
                <w:i/>
                <w:iCs/>
              </w:rPr>
              <w:t xml:space="preserve">techniškai sudėtingiau, </w:t>
            </w:r>
            <w:r w:rsidRPr="00837CC4">
              <w:t xml:space="preserve">painu ar sudėtinga, nes senųjų sistemų sąveikumas su PRT dar neišbandytas. PRT </w:t>
            </w:r>
            <w:r w:rsidRPr="00837CC4">
              <w:rPr>
                <w:b/>
                <w:bCs/>
                <w:i/>
                <w:iCs/>
              </w:rPr>
              <w:t>VPAS</w:t>
            </w:r>
            <w:r w:rsidRPr="00837CC4">
              <w:t xml:space="preserve"> taip pat turėtų būti suteikta galimybė prašyti leisti netaikyti tokių taisyklių, jeigu ji gali įrodyti, kad tokių taisyklių taikymas yra neproporcingas atsižvelgiant į PRT </w:t>
            </w:r>
            <w:r w:rsidRPr="00837CC4">
              <w:rPr>
                <w:b/>
                <w:bCs/>
                <w:i/>
                <w:iCs/>
              </w:rPr>
              <w:t>VPAS</w:t>
            </w:r>
            <w:r w:rsidRPr="00837CC4">
              <w:t xml:space="preserve"> dydį;</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pPr>
        <w:pStyle w:val="AmJustTitle"/>
      </w:pPr>
      <w:r w:rsidRPr="00837CC4">
        <w:rPr>
          <w:rStyle w:val="HideTWBExt"/>
          <w:i w:val="0"/>
          <w:noProof w:val="0"/>
        </w:rPr>
        <w:t>&lt;TitreJust&gt;</w:t>
      </w:r>
      <w:r w:rsidRPr="00837CC4">
        <w:t>Pagrindimas</w:t>
      </w:r>
      <w:r w:rsidRPr="00837CC4">
        <w:rPr>
          <w:rStyle w:val="HideTWBExt"/>
          <w:i w:val="0"/>
          <w:noProof w:val="0"/>
        </w:rPr>
        <w:t>&lt;/TitreJust&gt;</w:t>
      </w:r>
    </w:p>
    <w:p w:rsidR="0084543E" w:rsidRPr="00837CC4" w:rsidRDefault="0084543E" w:rsidP="0084543E">
      <w:pPr>
        <w:pStyle w:val="AmJustText"/>
      </w:pPr>
      <w:r w:rsidRPr="00837CC4">
        <w:t>Redakcinės pastabos. Be to, siūloma apsvarstyti galimybę standartizuoti duomenų apibrėžtis ar pranešimų protokolus, kurie yra būtini siekiant palengvinti prieigą prie skirtingų sistemų ir skatinti sąveikumą.</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206</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Eva Kaili</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26 konstatuojamoji dalis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t>(26)</w:t>
            </w:r>
            <w:r w:rsidRPr="00837CC4">
              <w:tab/>
              <w:t xml:space="preserve">nepriklausomai nuo to, kurios taisyklės prašoma leisti netaikyti, PRT </w:t>
            </w:r>
            <w:r w:rsidRPr="00837CC4">
              <w:rPr>
                <w:b/>
                <w:bCs/>
                <w:i/>
                <w:iCs/>
              </w:rPr>
              <w:t>vertybinių popierių atsiskaitymo sistemą</w:t>
            </w:r>
            <w:r w:rsidRPr="00837CC4">
              <w:t xml:space="preserve"> valdantis CVPD turėtų įrodyti, kad prašoma išimtis yra proporcinga PRT naudojimui bei juo grindžiama. Be to, išimtis turėtų būti taikoma tik PRT </w:t>
            </w:r>
            <w:r w:rsidRPr="00837CC4">
              <w:rPr>
                <w:b/>
                <w:bCs/>
                <w:i/>
                <w:iCs/>
              </w:rPr>
              <w:t>vertybinių popierių atsiskaitymo sistemai</w:t>
            </w:r>
            <w:r w:rsidRPr="00837CC4">
              <w:t xml:space="preserve">, o ne kitoms to paties CVPD valdomoms </w:t>
            </w:r>
            <w:r w:rsidRPr="00837CC4">
              <w:rPr>
                <w:b/>
                <w:bCs/>
                <w:i/>
                <w:iCs/>
              </w:rPr>
              <w:t>vertybinių popierių atsiskaitymo sistemoms</w:t>
            </w:r>
            <w:r w:rsidRPr="00837CC4">
              <w:t>;</w:t>
            </w:r>
          </w:p>
        </w:tc>
        <w:tc>
          <w:tcPr>
            <w:tcW w:w="4876" w:type="dxa"/>
          </w:tcPr>
          <w:p w:rsidR="0084543E" w:rsidRPr="00837CC4" w:rsidRDefault="0084543E" w:rsidP="00E51AD6">
            <w:pPr>
              <w:pStyle w:val="Normal6a"/>
            </w:pPr>
            <w:r w:rsidRPr="00837CC4">
              <w:t>(26)</w:t>
            </w:r>
            <w:r w:rsidRPr="00837CC4">
              <w:tab/>
              <w:t xml:space="preserve">nepriklausomai nuo to, kurios taisyklės prašoma leisti netaikyti, PRT </w:t>
            </w:r>
            <w:r w:rsidRPr="00837CC4">
              <w:rPr>
                <w:b/>
                <w:bCs/>
                <w:i/>
                <w:iCs/>
              </w:rPr>
              <w:t>VPAS</w:t>
            </w:r>
            <w:r w:rsidRPr="00837CC4">
              <w:t xml:space="preserve"> valdantis CVPD turėtų įrodyti, kad prašoma išimtis yra proporcinga PRT naudojimui bei juo grindžiama. Be to, išimtis turėtų būti taikoma tik PRT </w:t>
            </w:r>
            <w:r w:rsidRPr="00837CC4">
              <w:rPr>
                <w:b/>
                <w:bCs/>
                <w:i/>
                <w:iCs/>
              </w:rPr>
              <w:t>VPAS</w:t>
            </w:r>
            <w:r w:rsidRPr="00837CC4">
              <w:t xml:space="preserve">, o ne kitoms to paties CVPD valdomoms </w:t>
            </w:r>
            <w:r w:rsidRPr="00837CC4">
              <w:rPr>
                <w:b/>
                <w:bCs/>
                <w:i/>
                <w:iCs/>
              </w:rPr>
              <w:t>VPAS</w:t>
            </w:r>
            <w:r w:rsidRPr="00837CC4">
              <w:t>;</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207</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Eva Kaili</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27 konstatuojamoji dalis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t>(27)</w:t>
            </w:r>
            <w:r w:rsidRPr="00837CC4">
              <w:tab/>
              <w:t xml:space="preserve">palyginti su tradicinėmis rinkos infrastruktūromis, PRT rinkos infrastruktūroms taip pat turėtų būti taikomi papildomi reikalavimai. Šių reikalavimų reikia siekiant išvengti rizikos, kurią gali kelti PRT naudojimas arba naujas PRT rinkos infrastruktūros veiklos vykdymo būdas. Todėl PRT rinkos </w:t>
            </w:r>
            <w:r w:rsidRPr="00837CC4">
              <w:rPr>
                <w:b/>
                <w:bCs/>
                <w:i/>
                <w:iCs/>
              </w:rPr>
              <w:t>infrastruktūra</w:t>
            </w:r>
            <w:r w:rsidRPr="00837CC4">
              <w:t xml:space="preserve"> turėtų parengti aiškų verslo planą, kuriame būtų išsamiai nurodyta, kaip bus naudojama PRT ir kokių teisinių priemonių bus imtasi;</w:t>
            </w:r>
          </w:p>
        </w:tc>
        <w:tc>
          <w:tcPr>
            <w:tcW w:w="4876" w:type="dxa"/>
          </w:tcPr>
          <w:p w:rsidR="0084543E" w:rsidRPr="00837CC4" w:rsidRDefault="0084543E" w:rsidP="00E51AD6">
            <w:pPr>
              <w:pStyle w:val="Normal6a"/>
            </w:pPr>
            <w:r w:rsidRPr="00837CC4">
              <w:t>(27)</w:t>
            </w:r>
            <w:r w:rsidRPr="00837CC4">
              <w:tab/>
              <w:t xml:space="preserve">palyginti su tradicinėmis rinkos infrastruktūromis, PRT rinkos infrastruktūroms </w:t>
            </w:r>
            <w:r w:rsidRPr="00837CC4">
              <w:rPr>
                <w:b/>
                <w:bCs/>
                <w:i/>
                <w:iCs/>
              </w:rPr>
              <w:t>ir jų operatoriams</w:t>
            </w:r>
            <w:r w:rsidRPr="00837CC4">
              <w:t xml:space="preserve"> taip pat turėtų būti taikomi papildomi reikalavimai. Šių reikalavimų reikia siekiant išvengti rizikos, kurią gali kelti PRT naudojimas arba naujas PRT rinkos infrastruktūros veiklos vykdymo būdas. Todėl PRT rinkos </w:t>
            </w:r>
            <w:r w:rsidRPr="00837CC4">
              <w:rPr>
                <w:b/>
                <w:bCs/>
                <w:i/>
                <w:iCs/>
              </w:rPr>
              <w:t>infrastruktūros ir jų operatoriai</w:t>
            </w:r>
            <w:r w:rsidRPr="00837CC4">
              <w:t xml:space="preserve"> turėtų parengti aiškų verslo planą, kuriame būtų išsamiai nurodyta, kaip bus naudojama PRT ir kokių teisinių priemonių bus imtasi;</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pPr>
        <w:pStyle w:val="AmJustTitle"/>
      </w:pPr>
      <w:r w:rsidRPr="00837CC4">
        <w:rPr>
          <w:rStyle w:val="HideTWBExt"/>
          <w:i w:val="0"/>
          <w:noProof w:val="0"/>
        </w:rPr>
        <w:t>&lt;TitreJust&gt;</w:t>
      </w:r>
      <w:r w:rsidRPr="00837CC4">
        <w:t>Pagrindimas</w:t>
      </w:r>
      <w:r w:rsidRPr="00837CC4">
        <w:rPr>
          <w:rStyle w:val="HideTWBExt"/>
          <w:i w:val="0"/>
          <w:noProof w:val="0"/>
        </w:rPr>
        <w:t>&lt;/TitreJust&gt;</w:t>
      </w:r>
    </w:p>
    <w:p w:rsidR="0084543E" w:rsidRPr="00837CC4" w:rsidRDefault="0084543E" w:rsidP="0084543E">
      <w:pPr>
        <w:pStyle w:val="AmJustText"/>
      </w:pPr>
      <w:r w:rsidRPr="00837CC4">
        <w:t>Kai kurie reikalavimai taikomi rinkos PRT infrastruktūros operatoriui.</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208</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Jessica Polfjärd</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27 konstatuojamoji dalis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t>(27)</w:t>
            </w:r>
            <w:r w:rsidRPr="00837CC4">
              <w:tab/>
              <w:t xml:space="preserve">palyginti su tradicinėmis rinkos infrastruktūromis, PRT rinkos infrastruktūroms taip pat turėtų būti taikomi papildomi reikalavimai. Šių reikalavimų reikia siekiant išvengti rizikos, </w:t>
            </w:r>
            <w:r w:rsidRPr="00837CC4">
              <w:rPr>
                <w:b/>
                <w:bCs/>
                <w:i/>
                <w:iCs/>
              </w:rPr>
              <w:t>kurią gali kelti</w:t>
            </w:r>
            <w:r w:rsidRPr="00837CC4">
              <w:t xml:space="preserve"> PRT </w:t>
            </w:r>
            <w:r w:rsidRPr="00837CC4">
              <w:rPr>
                <w:b/>
                <w:bCs/>
                <w:i/>
                <w:iCs/>
              </w:rPr>
              <w:t>naudojimas</w:t>
            </w:r>
            <w:r w:rsidRPr="00837CC4">
              <w:t xml:space="preserve"> arba </w:t>
            </w:r>
            <w:r w:rsidRPr="00837CC4">
              <w:rPr>
                <w:b/>
                <w:bCs/>
                <w:i/>
                <w:iCs/>
              </w:rPr>
              <w:t>naujas</w:t>
            </w:r>
            <w:r w:rsidRPr="00837CC4">
              <w:t xml:space="preserve"> PRT rinkos infrastruktūros veiklos vykdymo </w:t>
            </w:r>
            <w:r w:rsidRPr="00837CC4">
              <w:rPr>
                <w:b/>
                <w:bCs/>
                <w:i/>
                <w:iCs/>
              </w:rPr>
              <w:t>būdas</w:t>
            </w:r>
            <w:r w:rsidRPr="00837CC4">
              <w:t>. Todėl PRT rinkos infrastruktūra turėtų parengti aiškų verslo planą, kuriame būtų išsamiai nurodyta, kaip bus naudojama PRT ir kokių teisinių priemonių bus imtasi;</w:t>
            </w:r>
          </w:p>
        </w:tc>
        <w:tc>
          <w:tcPr>
            <w:tcW w:w="4876" w:type="dxa"/>
          </w:tcPr>
          <w:p w:rsidR="0084543E" w:rsidRPr="00837CC4" w:rsidRDefault="0084543E" w:rsidP="00E51AD6">
            <w:pPr>
              <w:pStyle w:val="Normal6a"/>
            </w:pPr>
            <w:r w:rsidRPr="00837CC4">
              <w:t>(27)</w:t>
            </w:r>
            <w:r w:rsidRPr="00837CC4">
              <w:tab/>
              <w:t xml:space="preserve">palyginti su tradicinėmis rinkos infrastruktūromis, PRT rinkos infrastruktūroms taip pat turėtų būti taikomi papildomi reikalavimai. Šių reikalavimų reikia siekiant išvengti rizikos, </w:t>
            </w:r>
            <w:r w:rsidRPr="00837CC4">
              <w:rPr>
                <w:b/>
                <w:bCs/>
                <w:i/>
                <w:iCs/>
              </w:rPr>
              <w:t>susijusios su</w:t>
            </w:r>
            <w:r w:rsidRPr="00837CC4">
              <w:t xml:space="preserve"> PRT </w:t>
            </w:r>
            <w:r w:rsidRPr="00837CC4">
              <w:rPr>
                <w:b/>
                <w:bCs/>
                <w:i/>
                <w:iCs/>
              </w:rPr>
              <w:t>naudojimu</w:t>
            </w:r>
            <w:r w:rsidRPr="00837CC4">
              <w:t xml:space="preserve"> arba </w:t>
            </w:r>
            <w:r w:rsidRPr="00837CC4">
              <w:rPr>
                <w:b/>
                <w:bCs/>
                <w:i/>
                <w:iCs/>
              </w:rPr>
              <w:t>nauju</w:t>
            </w:r>
            <w:r w:rsidRPr="00837CC4">
              <w:t xml:space="preserve"> PRT rinkos infrastruktūros veiklos vykdymo </w:t>
            </w:r>
            <w:r w:rsidRPr="00837CC4">
              <w:rPr>
                <w:b/>
                <w:bCs/>
                <w:i/>
                <w:iCs/>
              </w:rPr>
              <w:t>būdu</w:t>
            </w:r>
            <w:r w:rsidRPr="00837CC4">
              <w:t>. Todėl PRT rinkos infrastruktūra turėtų parengti aiškų verslo planą, kuriame būtų išsamiai nurodyta, kaip bus naudojama PRT ir kokių teisinių priemonių bus imtasi;</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209</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Stéphanie Yon-Courtin, Ondřej Kovařík, Gilles Boyer, Olivier Chastel</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28 konstatuojamoji dalis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t>(28)</w:t>
            </w:r>
            <w:r w:rsidRPr="00837CC4">
              <w:tab/>
              <w:t xml:space="preserve">tais atvejais, kai PRT vertybinių popierių atsiskaitymo sistemą valdantis </w:t>
            </w:r>
            <w:r w:rsidRPr="00837CC4">
              <w:rPr>
                <w:b/>
                <w:bCs/>
                <w:i/>
                <w:iCs/>
              </w:rPr>
              <w:t>CVPD</w:t>
            </w:r>
            <w:r w:rsidRPr="00837CC4">
              <w:t xml:space="preserve"> arba PRT DPS turi leidimą patys vykdyti atsiskaitymą už PRT perleidžiamųjų vertybinių popierių sandorius, jie turėtų nustatyti savo valdomos nuosavybinės PRT veikimo taisykles, įskaitant prieigos prie PRT ir leidimo ja naudotis taisykles, dalyvaujančių mazgų taisykles bei galimų interesų konfliktų sprendimo taisykles, ir rizikos valdymo priemones;</w:t>
            </w:r>
          </w:p>
        </w:tc>
        <w:tc>
          <w:tcPr>
            <w:tcW w:w="4876" w:type="dxa"/>
          </w:tcPr>
          <w:p w:rsidR="0084543E" w:rsidRPr="00837CC4" w:rsidRDefault="0084543E" w:rsidP="00E51AD6">
            <w:pPr>
              <w:pStyle w:val="Normal6a"/>
            </w:pPr>
            <w:r w:rsidRPr="00837CC4">
              <w:t>(28)</w:t>
            </w:r>
            <w:r w:rsidRPr="00837CC4">
              <w:tab/>
            </w:r>
            <w:r w:rsidRPr="00837CC4">
              <w:rPr>
                <w:b/>
                <w:bCs/>
                <w:i/>
                <w:iCs/>
              </w:rPr>
              <w:t xml:space="preserve">kai naudojama nuosavybinė DLT, </w:t>
            </w:r>
            <w:r w:rsidRPr="00837CC4">
              <w:t xml:space="preserve">tais atvejais, kai PRT vertybinių popierių atsiskaitymo sistemą valdantis </w:t>
            </w:r>
            <w:r w:rsidRPr="00837CC4">
              <w:rPr>
                <w:b/>
                <w:bCs/>
                <w:i/>
                <w:iCs/>
              </w:rPr>
              <w:t>subjektas</w:t>
            </w:r>
            <w:r w:rsidRPr="00837CC4">
              <w:t xml:space="preserve"> arba PRT DPS turi leidimą patys vykdyti atsiskaitymą už PRT perleidžiamųjų vertybinių popierių sandorius, jie turėtų nustatyti savo valdomos nuosavybinės PRT veikimo taisykles, įskaitant prieigos prie PRT ir leidimo ja naudotis taisykles, dalyvaujančių mazgų taisykles bei galimų interesų konfliktų sprendimo taisykles, ir rizikos valdymo priemones</w:t>
            </w:r>
            <w:r w:rsidRPr="00837CC4">
              <w:rPr>
                <w:b/>
                <w:bCs/>
                <w:i/>
                <w:iCs/>
              </w:rPr>
              <w:t>.</w:t>
            </w:r>
            <w:r w:rsidRPr="00837CC4">
              <w:br/>
            </w:r>
            <w:r w:rsidRPr="00837CC4">
              <w:br/>
            </w:r>
            <w:r w:rsidRPr="00837CC4">
              <w:rPr>
                <w:b/>
                <w:bCs/>
                <w:i/>
                <w:iCs/>
              </w:rPr>
              <w:t xml:space="preserve">Kai naudojama viešoji DLT, </w:t>
            </w:r>
            <w:r w:rsidRPr="00837CC4">
              <w:rPr>
                <w:b/>
                <w:i/>
              </w:rPr>
              <w:t xml:space="preserve">tais atvejais, kai PRT vertybinių popierių atsiskaitymo sistemą valdantis </w:t>
            </w:r>
            <w:r w:rsidRPr="00837CC4">
              <w:rPr>
                <w:b/>
                <w:bCs/>
                <w:i/>
                <w:iCs/>
              </w:rPr>
              <w:t>subjektas</w:t>
            </w:r>
            <w:r w:rsidRPr="00837CC4">
              <w:rPr>
                <w:b/>
                <w:i/>
              </w:rPr>
              <w:t xml:space="preserve"> arba PRT DPS turi leidimą patys vykdyti atsiskaitymą už PRT perleidžiamųjų vertybinių popierių sandorius, jie turėtų atitinkamai kompetentingai institucijai deramai aprašyti savo naudojamos PRT veikimo taisykles bei tai, kaip jie sprendžia galimus interesų konfliktus, ir rizikos valdymo priemones;</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pPr>
        <w:pStyle w:val="AmJustTitle"/>
      </w:pPr>
      <w:r w:rsidRPr="00837CC4">
        <w:rPr>
          <w:rStyle w:val="HideTWBExt"/>
          <w:i w:val="0"/>
          <w:noProof w:val="0"/>
        </w:rPr>
        <w:t>&lt;TitreJust&gt;</w:t>
      </w:r>
      <w:r w:rsidRPr="00837CC4">
        <w:t>Pagrindimas</w:t>
      </w:r>
      <w:r w:rsidRPr="00837CC4">
        <w:rPr>
          <w:rStyle w:val="HideTWBExt"/>
          <w:i w:val="0"/>
          <w:noProof w:val="0"/>
        </w:rPr>
        <w:t>&lt;/TitreJust&gt;</w:t>
      </w:r>
    </w:p>
    <w:p w:rsidR="0084543E" w:rsidRPr="00837CC4" w:rsidRDefault="0084543E" w:rsidP="0084543E">
      <w:pPr>
        <w:pStyle w:val="AmJustText"/>
      </w:pPr>
      <w:r w:rsidRPr="00837CC4">
        <w:t>Bandomosios tvarkos atvirumas naujiems dalyviams ir technologinis neutralumas, susijęs su nuosavybinėmis ir viešosiomis PRT.</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210</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Eva Kaili</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28 konstatuojamoji dalis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t>(28)</w:t>
            </w:r>
            <w:r w:rsidRPr="00837CC4">
              <w:tab/>
              <w:t xml:space="preserve">tais atvejais, kai PRT </w:t>
            </w:r>
            <w:r w:rsidRPr="00837CC4">
              <w:rPr>
                <w:b/>
                <w:bCs/>
                <w:i/>
                <w:iCs/>
              </w:rPr>
              <w:t>vertybinių popierių atsiskaitymo sistemą</w:t>
            </w:r>
            <w:r w:rsidRPr="00837CC4">
              <w:t xml:space="preserve"> valdantis CVPD arba PRT DPS turi leidimą patys vykdyti atsiskaitymą už PRT perleidžiamųjų vertybinių popierių sandorius, jie turėtų nustatyti savo </w:t>
            </w:r>
            <w:r w:rsidRPr="00837CC4">
              <w:rPr>
                <w:b/>
                <w:bCs/>
                <w:i/>
                <w:iCs/>
              </w:rPr>
              <w:t>valdomos nuosavybinės</w:t>
            </w:r>
            <w:r w:rsidRPr="00837CC4">
              <w:t xml:space="preserve"> </w:t>
            </w:r>
            <w:r w:rsidRPr="00837CC4">
              <w:rPr>
                <w:b/>
                <w:bCs/>
                <w:i/>
                <w:iCs/>
              </w:rPr>
              <w:t>PRT</w:t>
            </w:r>
            <w:r w:rsidRPr="00837CC4">
              <w:t xml:space="preserve"> veikimo taisykles, įskaitant prieigos prie </w:t>
            </w:r>
            <w:r w:rsidRPr="00837CC4">
              <w:rPr>
                <w:b/>
                <w:bCs/>
                <w:i/>
                <w:iCs/>
              </w:rPr>
              <w:t>PRT</w:t>
            </w:r>
            <w:r w:rsidRPr="00837CC4">
              <w:t xml:space="preserve"> ir leidimo ja naudotis taisykles, dalyvaujančių mazgų taisykles bei galimų interesų konfliktų sprendimo taisykles, ir rizikos valdymo priemones;</w:t>
            </w:r>
          </w:p>
        </w:tc>
        <w:tc>
          <w:tcPr>
            <w:tcW w:w="4876" w:type="dxa"/>
          </w:tcPr>
          <w:p w:rsidR="0084543E" w:rsidRPr="00837CC4" w:rsidRDefault="0084543E" w:rsidP="00E51AD6">
            <w:pPr>
              <w:pStyle w:val="Normal6a"/>
            </w:pPr>
            <w:r w:rsidRPr="00837CC4">
              <w:t>(28)</w:t>
            </w:r>
            <w:r w:rsidRPr="00837CC4">
              <w:tab/>
              <w:t xml:space="preserve">tais atvejais, kai PRT </w:t>
            </w:r>
            <w:r w:rsidRPr="00837CC4">
              <w:rPr>
                <w:b/>
                <w:bCs/>
                <w:i/>
                <w:iCs/>
              </w:rPr>
              <w:t>VPAS</w:t>
            </w:r>
            <w:r w:rsidRPr="00837CC4">
              <w:t xml:space="preserve"> valdantis CVPD arba PRT DPS turi leidimą patys vykdyti atsiskaitymą už PRT perleidžiamųjų vertybinių popierių sandorius, jie turėtų nustatyti </w:t>
            </w:r>
            <w:r w:rsidRPr="00837CC4">
              <w:rPr>
                <w:b/>
                <w:bCs/>
                <w:i/>
                <w:iCs/>
              </w:rPr>
              <w:t xml:space="preserve">ir dokumentuose įtvirtinti </w:t>
            </w:r>
            <w:r w:rsidRPr="00837CC4">
              <w:t xml:space="preserve">savo </w:t>
            </w:r>
            <w:r w:rsidRPr="00837CC4">
              <w:rPr>
                <w:b/>
                <w:bCs/>
                <w:i/>
                <w:iCs/>
              </w:rPr>
              <w:t>valdomo nuosavybinio paskirstytojo registro</w:t>
            </w:r>
            <w:r w:rsidRPr="00837CC4">
              <w:t xml:space="preserve"> veikimo taisykles, įskaitant prieigos prie </w:t>
            </w:r>
            <w:r w:rsidRPr="00837CC4">
              <w:rPr>
                <w:b/>
                <w:bCs/>
                <w:i/>
                <w:iCs/>
              </w:rPr>
              <w:t>paskirstytojo registro</w:t>
            </w:r>
            <w:r w:rsidRPr="00837CC4">
              <w:t xml:space="preserve"> ir leidimo ja naudotis taisykles, dalyvaujančių mazgų taisykles bei galimų interesų konfliktų sprendimo taisykles, ir rizikos valdymo priemones;</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pPr>
        <w:pStyle w:val="AmJustTitle"/>
      </w:pPr>
      <w:r w:rsidRPr="00837CC4">
        <w:rPr>
          <w:rStyle w:val="HideTWBExt"/>
          <w:i w:val="0"/>
          <w:noProof w:val="0"/>
        </w:rPr>
        <w:t>&lt;TitreJust&gt;</w:t>
      </w:r>
      <w:r w:rsidRPr="00837CC4">
        <w:t>Pagrindimas</w:t>
      </w:r>
      <w:r w:rsidRPr="00837CC4">
        <w:rPr>
          <w:rStyle w:val="HideTWBExt"/>
          <w:i w:val="0"/>
          <w:noProof w:val="0"/>
        </w:rPr>
        <w:t>&lt;/TitreJust&gt;</w:t>
      </w:r>
    </w:p>
    <w:p w:rsidR="0084543E" w:rsidRPr="00837CC4" w:rsidRDefault="0084543E" w:rsidP="0084543E">
      <w:pPr>
        <w:pStyle w:val="AmJustText"/>
      </w:pPr>
      <w:r w:rsidRPr="00837CC4">
        <w:t>Reikėtų laikytis technologiniu požiūriu neutralaus požiūrio, kad būtų suteikta galimybių išbandyti įvairius PRT modelius. Tinkamas bet kokios rinkos infrastruktūros veikimas yra svarbus tam, kad būtų užtikrintas jos saugumas ir veiksmingumas. Akivaizdu, kad reikia užtikrinti įpareigojimus, susijusius su duomenų tvarkymu, ir kad būtų galima priimti tokią kibernetinio atsparumo didinimo sistemą, kad ja būtų užtikrintas visapusiškas visuotinis įsipareigojimas. Atsakomybė už naudojamos PRT veikimą turėtų tekti PRT rinkos infrastruktūrai, neatsižvelgiant į PRT tipą.</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211</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Jessica Polfjärd</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28 konstatuojamoji dalis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t>(28)</w:t>
            </w:r>
            <w:r w:rsidRPr="00837CC4">
              <w:tab/>
              <w:t xml:space="preserve">tais atvejais, kai PRT vertybinių popierių atsiskaitymo sistemą valdantis CVPD arba PRT DPS turi leidimą patys vykdyti atsiskaitymą už PRT perleidžiamųjų vertybinių popierių sandorius, jie turėtų nustatyti savo </w:t>
            </w:r>
            <w:r w:rsidRPr="00837CC4">
              <w:rPr>
                <w:b/>
                <w:bCs/>
                <w:i/>
                <w:iCs/>
              </w:rPr>
              <w:t>valdomos</w:t>
            </w:r>
            <w:r w:rsidRPr="00837CC4">
              <w:t xml:space="preserve"> </w:t>
            </w:r>
            <w:r w:rsidRPr="00837CC4">
              <w:rPr>
                <w:b/>
                <w:bCs/>
                <w:i/>
                <w:iCs/>
              </w:rPr>
              <w:t>nuosavybinės</w:t>
            </w:r>
            <w:r w:rsidRPr="00837CC4">
              <w:t xml:space="preserve"> PRT veikimo taisykles, įskaitant prieigos prie PRT ir leidimo ja naudotis taisykles, dalyvaujančių mazgų taisykles bei galimų interesų konfliktų sprendimo taisykles, ir rizikos valdymo priemones;</w:t>
            </w:r>
          </w:p>
        </w:tc>
        <w:tc>
          <w:tcPr>
            <w:tcW w:w="4876" w:type="dxa"/>
          </w:tcPr>
          <w:p w:rsidR="0084543E" w:rsidRPr="00837CC4" w:rsidRDefault="0084543E" w:rsidP="00E51AD6">
            <w:pPr>
              <w:pStyle w:val="Normal6a"/>
            </w:pPr>
            <w:r w:rsidRPr="00837CC4">
              <w:t>(28)</w:t>
            </w:r>
            <w:r w:rsidRPr="00837CC4">
              <w:tab/>
              <w:t>tais atvejais, kai PRT vertybinių popierių atsiskaitymo sistemą valdantis CVPD arba PRT DPS turi leidimą patys vykdyti atsiskaitymą už PRT perleidžiamųjų vertybinių popierių sandorius, jie turėtų nustatyti</w:t>
            </w:r>
            <w:r w:rsidRPr="00837CC4">
              <w:rPr>
                <w:b/>
                <w:bCs/>
                <w:i/>
                <w:iCs/>
              </w:rPr>
              <w:t xml:space="preserve"> arba dokumentuose įtvirtinti</w:t>
            </w:r>
            <w:r w:rsidRPr="00837CC4">
              <w:t xml:space="preserve"> savo </w:t>
            </w:r>
            <w:r w:rsidRPr="00837CC4">
              <w:rPr>
                <w:b/>
                <w:bCs/>
                <w:i/>
                <w:iCs/>
              </w:rPr>
              <w:t>naudojamos</w:t>
            </w:r>
            <w:r w:rsidRPr="00837CC4">
              <w:t xml:space="preserve"> PRT veikimo taisykles, įskaitant prieigos prie PRT ir leidimo ja naudotis taisykles, dalyvaujančių mazgų taisykles bei galimų interesų konfliktų sprendimo taisykles, ir rizikos valdymo priemones;</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212</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Eva Kaili</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29 konstatuojamoji dalis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t>(29)</w:t>
            </w:r>
            <w:r w:rsidRPr="00837CC4">
              <w:tab/>
              <w:t xml:space="preserve">PRT rinkos infrastruktūrą reikėtų įpareigoti informuoti narius, dalyvius, emitentus ir klientus apie būdą, kuriuo ši infrastruktūra ketina vykdyti savo veiklą, ir tai, kaip naudojant PRT atsiras nukrypimų, palyginti su tuo, kaip paslaugas paprastai teikia tradicinė DPS arba </w:t>
            </w:r>
            <w:r w:rsidRPr="00837CC4">
              <w:rPr>
                <w:b/>
                <w:bCs/>
                <w:i/>
                <w:iCs/>
              </w:rPr>
              <w:t>vertybinių popierių atsiskaitymo sistemą</w:t>
            </w:r>
            <w:r w:rsidRPr="00837CC4">
              <w:t xml:space="preserve"> valdantis CVPD;</w:t>
            </w:r>
          </w:p>
        </w:tc>
        <w:tc>
          <w:tcPr>
            <w:tcW w:w="4876" w:type="dxa"/>
          </w:tcPr>
          <w:p w:rsidR="0084543E" w:rsidRPr="00837CC4" w:rsidRDefault="0084543E" w:rsidP="00E51AD6">
            <w:pPr>
              <w:pStyle w:val="Normal6a"/>
            </w:pPr>
            <w:r w:rsidRPr="00837CC4">
              <w:t>(29)</w:t>
            </w:r>
            <w:r w:rsidRPr="00837CC4">
              <w:tab/>
              <w:t xml:space="preserve">PRT rinkos infrastruktūrą reikėtų įpareigoti informuoti narius, dalyvius, emitentus ir klientus apie būdą, kuriuo ši infrastruktūra ketina vykdyti savo veiklą, ir tai, kaip naudojant PRT atsiras nukrypimų, palyginti su tuo, kaip paslaugas paprastai teikia tradicinė DPS arba </w:t>
            </w:r>
            <w:r w:rsidRPr="00837CC4">
              <w:rPr>
                <w:b/>
                <w:bCs/>
                <w:i/>
                <w:iCs/>
              </w:rPr>
              <w:t>VPAS</w:t>
            </w:r>
            <w:r w:rsidRPr="00837CC4">
              <w:t xml:space="preserve"> valdantis CVPD;</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213</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Eero Heinäluoma, Paul Tang, Pedro Marques</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30 konstatuojamoji dalis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t>(30)</w:t>
            </w:r>
            <w:r w:rsidRPr="00837CC4">
              <w:tab/>
              <w:t>PRT rinkos infrastruktūra taip pat turėtų naudoti specialias, patikimas IT ir kibernetinio saugumo priemones, susijusias su PRT naudojimu. Šios priemonės turėtų būti proporcingos atsižvelgiant į PRT rinkos infrastruktūros verslo plano pobūdį, mastą ir sudėtingumą. Be to, šiomis priemonėmis turėtų būti nuolat užtikrinamas teikiamų paslaugų patikimumas, tęstinumas ir saugumas, įskaitant galimai naudosimų išmaniųjų sutarčių patikimumą. PRT rinkos infrastruktūros taip pat turėtų užtikrinti PRT saugomų duomenų vientisumą, saugumą, konfidencialumą, pasiūlą ir prieinamumą</w:t>
            </w:r>
            <w:r w:rsidRPr="00837CC4">
              <w:rPr>
                <w:b/>
                <w:bCs/>
                <w:i/>
                <w:iCs/>
              </w:rPr>
              <w:t>.</w:t>
            </w:r>
            <w:r w:rsidRPr="00837CC4">
              <w:t xml:space="preserve"> </w:t>
            </w:r>
            <w:r w:rsidRPr="00837CC4">
              <w:rPr>
                <w:b/>
                <w:i/>
              </w:rPr>
              <w:t>PRT rinkos infrastruktūros kompetentingai institucijai turėtų būti leidžiama prašyti atlikti auditą, kad būtų užtikrinta, jog bendrosios IT ir kibernetinio saugumo priemonės atitinka paskirtį. Tokio audito išlaidas turėtų padengti PRT rinkos infrastruktūra;</w:t>
            </w:r>
          </w:p>
        </w:tc>
        <w:tc>
          <w:tcPr>
            <w:tcW w:w="4876" w:type="dxa"/>
          </w:tcPr>
          <w:p w:rsidR="0084543E" w:rsidRPr="00837CC4" w:rsidRDefault="0084543E" w:rsidP="00E51AD6">
            <w:pPr>
              <w:pStyle w:val="Normal6a"/>
            </w:pPr>
            <w:r w:rsidRPr="00837CC4">
              <w:t>(30)</w:t>
            </w:r>
            <w:r w:rsidRPr="00837CC4">
              <w:tab/>
              <w:t xml:space="preserve">PRT rinkos infrastruktūra taip pat turėtų naudoti specialias, patikimas IT ir kibernetinio saugumo priemones, susijusias su PRT naudojimu. </w:t>
            </w:r>
            <w:r w:rsidRPr="00837CC4">
              <w:rPr>
                <w:b/>
                <w:bCs/>
                <w:i/>
                <w:iCs/>
              </w:rPr>
              <w:t xml:space="preserve">Prieš taikant bet kokią išimtį, kompetentinga institucija turėtų atlikti šių priemonių auditą, kad būtų patikrinta, ar jie atitinka tikslą ir yra </w:t>
            </w:r>
            <w:r w:rsidRPr="00837CC4">
              <w:t>proporcingos atsižvelgiant į PRT rinkos infrastruktūros verslo plano pobūdį, mastą ir sudėtingumą.</w:t>
            </w:r>
            <w:r w:rsidRPr="00837CC4">
              <w:rPr>
                <w:b/>
                <w:i/>
              </w:rPr>
              <w:t xml:space="preserve"> </w:t>
            </w:r>
            <w:r w:rsidRPr="00837CC4">
              <w:rPr>
                <w:b/>
                <w:bCs/>
                <w:i/>
                <w:iCs/>
              </w:rPr>
              <w:t>Tokio audito išlaidas turėtų padengti PRT rinkos infrastruktūra.</w:t>
            </w:r>
            <w:r w:rsidRPr="00837CC4">
              <w:t xml:space="preserve"> Be to, šiomis priemonėmis turėtų būti nuolat užtikrinamas teikiamų paslaugų patikimumas, tęstinumas ir saugumas, įskaitant galimai naudosimų išmaniųjų sutarčių patikimumą. PRT rinkos infrastruktūros taip pat turėtų užtikrinti PRT saugomų duomenų vientisumą, saugumą, konfidencialumą, pasiūlą ir prieinamumą;</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214</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Antonio Maria Rinaldi, Francesca Donato, Valentino Grant, Marco Zanni, Gunnar Beck</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30 konstatuojamoji dalis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t>(30)</w:t>
            </w:r>
            <w:r w:rsidRPr="00837CC4">
              <w:tab/>
              <w:t>PRT rinkos infrastruktūra taip pat turėtų naudoti specialias, patikimas IT ir kibernetinio saugumo priemones, susijusias su PRT naudojimu. Šios priemonės turėtų būti proporcingos atsižvelgiant į PRT rinkos infrastruktūros verslo plano pobūdį, mastą ir sudėtingumą. Be to, šiomis priemonėmis turėtų būti nuolat užtikrinamas teikiamų paslaugų patikimumas, tęstinumas ir saugumas, įskaitant galimai naudosimų išmaniųjų sutarčių patikimumą. PRT rinkos infrastruktūros taip pat turėtų užtikrinti PRT saugomų duomenų vientisumą, saugumą, konfidencialumą, pasiūlą ir prieinamumą. PRT rinkos infrastruktūros kompetentingai institucijai turėtų būti leidžiama prašyti atlikti auditą, kad būtų užtikrinta, jog bendrosios IT ir kibernetinio saugumo priemonės atitinka paskirtį. Tokio audito išlaidas turėtų padengti PRT rinkos infrastruktūra;</w:t>
            </w:r>
          </w:p>
        </w:tc>
        <w:tc>
          <w:tcPr>
            <w:tcW w:w="4876" w:type="dxa"/>
          </w:tcPr>
          <w:p w:rsidR="0084543E" w:rsidRPr="00837CC4" w:rsidRDefault="0084543E" w:rsidP="00E51AD6">
            <w:pPr>
              <w:pStyle w:val="Normal6a"/>
            </w:pPr>
            <w:r w:rsidRPr="00837CC4">
              <w:t>(30)</w:t>
            </w:r>
            <w:r w:rsidRPr="00837CC4">
              <w:tab/>
              <w:t xml:space="preserve">PRT rinkos infrastruktūra taip pat turėtų naudoti specialias, patikimas IT ir kibernetinio saugumo priemones, susijusias su PRT naudojimu. Šios priemonės turėtų būti proporcingos atsižvelgiant į PRT rinkos infrastruktūros verslo plano pobūdį, mastą ir sudėtingumą. Be to, šiomis priemonėmis turėtų būti nuolat užtikrinamas teikiamų paslaugų patikimumas, tęstinumas ir saugumas, įskaitant galimai naudosimų išmaniųjų sutarčių patikimumą. PRT rinkos infrastruktūros taip pat turėtų užtikrinti PRT saugomų duomenų vientisumą, saugumą, konfidencialumą, pasiūlą ir prieinamumą. </w:t>
            </w:r>
            <w:r w:rsidRPr="00837CC4">
              <w:rPr>
                <w:b/>
                <w:i/>
              </w:rPr>
              <w:t>Šios priemonės turėtų atitikti Reglamento (ES) 2016/679 (Bendrasis duomenų apsaugos reglamentas) 32 straipsnyje nustatytus įpareigojimus, susijusius su techninio saugumo ir organizacinių priemonių, kuriomis gali būti užtikrintas riziką atitinkantis saugumo lygis, įgyvendinimu. Kiek tai susiję su išmaniosiomis sutartimis, turėtų būti taikomos Bendrojo duomenų apsaugos reglamento 22 straipsnio 1 dalies nuostatos, pagal kurias duomenų subjektas turi teisę, kad jam nebūtų taikomas tik automatizuotu duomenų tvarkymu, įskaitant profiliavimą, grindžiamas sprendimas, dėl kurio jam kyla teisinių pasekmių arba kuris jam panašiu būdu daro didelį poveikį.</w:t>
            </w:r>
            <w:r w:rsidRPr="00837CC4">
              <w:t xml:space="preserve"> PRT rinkos infrastruktūros kompetentingai institucijai turėtų būti leidžiama prašyti atlikti auditą, kad būtų užtikrinta, jog bendrosios IT ir kibernetinio saugumo priemonės atitinka paskirtį. Tokio audito išlaidas turėtų padengti PRT rinkos infrastruktūra;</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{IT}</w:t>
      </w:r>
      <w:r w:rsidRPr="00837CC4">
        <w:t>it</w:t>
      </w:r>
      <w:r w:rsidRPr="00837CC4">
        <w:rPr>
          <w:rStyle w:val="HideTWBExt"/>
          <w:noProof w:val="0"/>
        </w:rPr>
        <w:t>&lt;/Original&gt;</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215</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Eva Kaili</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30 konstatuojamoji dalis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t>(30)</w:t>
            </w:r>
            <w:r w:rsidRPr="00837CC4">
              <w:tab/>
              <w:t>PRT rinkos infrastruktūra taip pat turėtų naudoti specialias, patikimas IT ir kibernetinio saugumo priemones, susijusias su PRT naudojimu. Šios priemonės turėtų būti proporcingos atsižvelgiant į PRT rinkos infrastruktūros verslo plano pobūdį, mastą ir sudėtingumą. Be to, šiomis priemonėmis turėtų būti nuolat užtikrinamas teikiamų paslaugų patikimumas, tęstinumas ir saugumas, įskaitant galimai naudosimų išmaniųjų sutarčių patikimumą. PRT rinkos infrastruktūros taip pat turėtų užtikrinti PRT saugomų duomenų vientisumą, saugumą, konfidencialumą, pasiūlą ir prieinamumą. PRT rinkos infrastruktūros kompetentingai institucijai turėtų būti leidžiama prašyti atlikti auditą, kad būtų užtikrinta, jog bendrosios IT ir kibernetinio saugumo priemonės atitinka paskirtį. Tokio audito išlaidas turėtų padengti PRT rinkos infrastruktūra;</w:t>
            </w:r>
          </w:p>
        </w:tc>
        <w:tc>
          <w:tcPr>
            <w:tcW w:w="4876" w:type="dxa"/>
          </w:tcPr>
          <w:p w:rsidR="0084543E" w:rsidRPr="00837CC4" w:rsidRDefault="0084543E" w:rsidP="00E51AD6">
            <w:pPr>
              <w:pStyle w:val="Normal6a"/>
            </w:pPr>
            <w:r w:rsidRPr="00837CC4">
              <w:t>(30)</w:t>
            </w:r>
            <w:r w:rsidRPr="00837CC4">
              <w:tab/>
              <w:t>PRT rinkos infrastruktūra taip pat turėtų naudoti specialias, patikimas IT ir kibernetinio saugumo priemones, susijusias su PRT naudojimu. Šios priemonės turėtų būti proporcingos atsižvelgiant į PRT rinkos infrastruktūros verslo plano pobūdį, mastą ir sudėtingumą. Be to, šiomis priemonėmis turėtų būti nuolat užtikrinamas teikiamų paslaugų patikimumas, tęstinumas ir saugumas, įskaitant galimai naudosimų išmaniųjų sutarčių patikimumą</w:t>
            </w:r>
            <w:r w:rsidRPr="00837CC4">
              <w:rPr>
                <w:b/>
                <w:bCs/>
                <w:i/>
                <w:iCs/>
              </w:rPr>
              <w:t>, kurį kuria pati PRT rinkos infrastruktūra arba trečioji šalis, vykdydama sutartines užsakomųjų paslaugų procedūras</w:t>
            </w:r>
            <w:r w:rsidRPr="00837CC4">
              <w:t xml:space="preserve">. PRT rinkos infrastruktūros taip pat turėtų užtikrinti PRT saugomų duomenų vientisumą, saugumą, konfidencialumą, pasiūlą ir prieinamumą. PRT rinkos infrastruktūros kompetentingai institucijai turėtų būti leidžiama </w:t>
            </w:r>
            <w:r w:rsidRPr="00837CC4">
              <w:rPr>
                <w:b/>
                <w:bCs/>
                <w:i/>
                <w:iCs/>
              </w:rPr>
              <w:t xml:space="preserve">įpareigoti laikytis tam tikrų PRT operacijoms tinkamų standartų arba </w:t>
            </w:r>
            <w:r w:rsidRPr="00837CC4">
              <w:t xml:space="preserve">prašyti atlikti auditą, kad būtų užtikrinta, jog bendrosios IT ir kibernetinio saugumo priemonės atitinka paskirtį. </w:t>
            </w:r>
            <w:r w:rsidRPr="00837CC4">
              <w:rPr>
                <w:b/>
                <w:bCs/>
                <w:i/>
                <w:iCs/>
              </w:rPr>
              <w:t xml:space="preserve">Tokių standartų laikymosi ar </w:t>
            </w:r>
            <w:r w:rsidRPr="00837CC4">
              <w:t>tokio audito išlaidas turėtų padengti PRT rinkos infrastruktūra;</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pPr>
        <w:pStyle w:val="AmJustTitle"/>
      </w:pPr>
      <w:r w:rsidRPr="00837CC4">
        <w:rPr>
          <w:rStyle w:val="HideTWBExt"/>
          <w:i w:val="0"/>
          <w:noProof w:val="0"/>
        </w:rPr>
        <w:t>&lt;TitreJust&gt;</w:t>
      </w:r>
      <w:r w:rsidRPr="00837CC4">
        <w:t>Pagrindimas</w:t>
      </w:r>
      <w:r w:rsidRPr="00837CC4">
        <w:rPr>
          <w:rStyle w:val="HideTWBExt"/>
          <w:i w:val="0"/>
          <w:noProof w:val="0"/>
        </w:rPr>
        <w:t>&lt;/TitreJust&gt;</w:t>
      </w:r>
    </w:p>
    <w:p w:rsidR="0084543E" w:rsidRPr="00837CC4" w:rsidRDefault="0084543E" w:rsidP="0084543E">
      <w:pPr>
        <w:pStyle w:val="AmJustText"/>
      </w:pPr>
      <w:r w:rsidRPr="00837CC4">
        <w:t>Reikia užtikrinti, kad atsakomybė, susijusi su PRT rinkos infrastruktūros naudojamomis išmaniosiomis sutartimis, liktų jai, neatsižvelgiant į tai, ar išmaniąją sutartį rengia pati PRT rinkos infrastruktūra, ar ją rengia trečioji šalis, vykdanti sutartines užsakomųjų paslaugų procedūras. Be to, siūloma numatyti tam tikrų PRT operacijoms pritaikytų standartų, kaip antai SOC2 arba ISO27001, laikymąsi.</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216</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Antonio Maria Rinaldi, Francesca Donato, Valentino Grant, Marco Zanni, Gunnar Beck</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30 a konstatuojamoji dalis (nauja)</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p>
        </w:tc>
        <w:tc>
          <w:tcPr>
            <w:tcW w:w="4876" w:type="dxa"/>
          </w:tcPr>
          <w:p w:rsidR="0084543E" w:rsidRPr="00837CC4" w:rsidRDefault="0084543E" w:rsidP="00E51AD6">
            <w:pPr>
              <w:pStyle w:val="Normal6a"/>
            </w:pPr>
            <w:r w:rsidRPr="00837CC4">
              <w:rPr>
                <w:b/>
                <w:i/>
              </w:rPr>
              <w:t>30a.</w:t>
            </w:r>
            <w:r w:rsidRPr="00837CC4">
              <w:tab/>
            </w:r>
            <w:r w:rsidRPr="00837CC4">
              <w:rPr>
                <w:b/>
                <w:i/>
              </w:rPr>
              <w:t>asmens duomenų saugumo pažeidimo atveju PRT rinkos infrastruktūros operatorius taip pat turėtų informuoti atitinkamą duomenų apsaugos priežiūros instituciją pagal Bendrąjį duomenų apsaugos reglamentą. 9 straipsnio 1 dalies b punkte nurodytas pranešimas neturėtų būti suprantamas kaip minėto reglamento 33 straipsnyje nurodyto pranešimo alternatyva ar pakaitalas;</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{IT}</w:t>
      </w:r>
      <w:r w:rsidRPr="00837CC4">
        <w:t>it</w:t>
      </w:r>
      <w:r w:rsidRPr="00837CC4">
        <w:rPr>
          <w:rStyle w:val="HideTWBExt"/>
          <w:noProof w:val="0"/>
        </w:rPr>
        <w:t>&lt;/Original&gt;</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217</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Eva Kaili</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31 konstatuojamoji dalis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t>(31)</w:t>
            </w:r>
            <w:r w:rsidRPr="00837CC4">
              <w:tab/>
              <w:t xml:space="preserve">tais atvejais, kai PRT rinkos infrastruktūros verslo modelis apima klientų lėšų, pavyzdžiui, piniginių lėšų ar pinigų ekvivalentų, arba PRT perleidžiamųjų vertybinių popierių arba prieigos prie jų priemonių, įskaitant kriptografinių raktų pavidalo, saugojimą, PRT rinkos infrastruktūra turėtų naudoti tinkamas savo klientų turto saugojimo priemones. </w:t>
            </w:r>
            <w:r w:rsidRPr="00837CC4">
              <w:rPr>
                <w:b/>
                <w:bCs/>
                <w:i/>
                <w:iCs/>
              </w:rPr>
              <w:t>Klientų turto</w:t>
            </w:r>
            <w:r w:rsidRPr="00837CC4">
              <w:t xml:space="preserve"> infrastruktūros negali naudoti savo sąskaita, nebent yra gavusios išankstinį aiškų savo klientų sutikimą. PRT rinkos infrastruktūra klientų lėšas ar PRT perleidžiamuosius vertybinius popierius arba prieigos prie jų priemones turėtų atskirti nuo savo turto ar kitų klientų turto. PRT rinkos infrastruktūrų bendrosiomis IT ir kibernetinio saugumo priemonėmis turėtų būti užtikrinama klientų turto apsauga nuo sukčiavimo, kibernetinių grėsmių ar kitų trikčių;</w:t>
            </w:r>
          </w:p>
        </w:tc>
        <w:tc>
          <w:tcPr>
            <w:tcW w:w="4876" w:type="dxa"/>
          </w:tcPr>
          <w:p w:rsidR="0084543E" w:rsidRPr="00837CC4" w:rsidRDefault="0084543E" w:rsidP="00E51AD6">
            <w:pPr>
              <w:pStyle w:val="Normal6a"/>
            </w:pPr>
            <w:r w:rsidRPr="00837CC4">
              <w:t>(31)</w:t>
            </w:r>
            <w:r w:rsidRPr="00837CC4">
              <w:tab/>
              <w:t xml:space="preserve">tais atvejais, kai PRT rinkos infrastruktūros verslo modelis apima klientų lėšų, pavyzdžiui, piniginių lėšų ar pinigų ekvivalentų, arba PRT perleidžiamųjų vertybinių popierių arba prieigos prie jų priemonių, įskaitant kriptografinių raktų pavidalo, saugojimą, PRT rinkos infrastruktūra turėtų naudoti tinkamas savo klientų turto saugojimo priemones. </w:t>
            </w:r>
            <w:r w:rsidRPr="00837CC4">
              <w:rPr>
                <w:b/>
                <w:i/>
              </w:rPr>
              <w:t xml:space="preserve">Taikant tokią tvarką dėl sukčiavimo, kibernetinių grėsmių arba aplaidumo mažėja klientų lėšų, kaip antai piniginių lėšų ar pinigų ekvivalentų, arba PRT perleidžiamųjų vertybinių popierių arba su jais susijusių teisių praradimo rizika arba jų gavimo priemonės. </w:t>
            </w:r>
            <w:r w:rsidRPr="00837CC4">
              <w:rPr>
                <w:b/>
                <w:bCs/>
                <w:i/>
                <w:iCs/>
              </w:rPr>
              <w:t>PRT rinkos</w:t>
            </w:r>
            <w:r w:rsidRPr="00837CC4">
              <w:t xml:space="preserve"> infrastruktūros negali naudoti savo sąskaita, nebent yra gavusios išankstinį aiškų savo klientų sutikimą. PRT rinkos infrastruktūra klientų lėšas ar PRT perleidžiamuosius vertybinius popierius arba prieigos prie jų priemones turėtų atskirti nuo savo turto ar kitų klientų turto. PRT rinkos infrastruktūrų bendrosiomis IT ir kibernetinio saugumo priemonėmis turėtų būti užtikrinama klientų turto apsauga nuo sukčiavimo, kibernetinių grėsmių ar kitų trikčių;</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pPr>
        <w:pStyle w:val="AmJustTitle"/>
      </w:pPr>
      <w:r w:rsidRPr="00837CC4">
        <w:rPr>
          <w:rStyle w:val="HideTWBExt"/>
          <w:i w:val="0"/>
          <w:noProof w:val="0"/>
        </w:rPr>
        <w:t>&lt;TitreJust&gt;</w:t>
      </w:r>
      <w:r w:rsidRPr="00837CC4">
        <w:t>Pagrindimas</w:t>
      </w:r>
      <w:r w:rsidRPr="00837CC4">
        <w:rPr>
          <w:rStyle w:val="HideTWBExt"/>
          <w:i w:val="0"/>
          <w:noProof w:val="0"/>
        </w:rPr>
        <w:t>&lt;/TitreJust&gt;</w:t>
      </w:r>
    </w:p>
    <w:p w:rsidR="0084543E" w:rsidRPr="00837CC4" w:rsidRDefault="0084543E" w:rsidP="0084543E">
      <w:pPr>
        <w:pStyle w:val="AmJustText"/>
      </w:pPr>
      <w:r w:rsidRPr="00837CC4">
        <w:t>Reikia užtikrinti, kad taikant minėtą tvarką dėl sukčiavimo, kibernetinių grėsmių arba aplaidumo mažėja klientų lėšų, kaip antai piniginių lėšų ar pinigų ekvivalentų, arba PRT perleidžiamųjų vertybinių popierių arba su jais susijusių teisių, praradimo rizika arba jų gavimo priemonės.</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218</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Eero Heinäluoma, Paul Tang, Jonás Fernández, Pedro Marques</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31 konstatuojamoji dalis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t>(31)</w:t>
            </w:r>
            <w:r w:rsidRPr="00837CC4">
              <w:tab/>
              <w:t>tais atvejais, kai PRT rinkos infrastruktūros verslo modelis apima klientų lėšų, pavyzdžiui, piniginių lėšų ar pinigų ekvivalentų, arba PRT perleidžiamųjų vertybinių popierių arba prieigos prie jų priemonių, įskaitant kriptografinių raktų pavidalo, saugojimą, PRT rinkos infrastruktūra turėtų naudoti tinkamas savo klientų turto saugojimo priemones. Klientų turto infrastruktūros negali naudoti savo sąskaita, nebent yra gavusios išankstinį aiškų savo klientų sutikimą. PRT rinkos infrastruktūra klientų lėšas ar PRT perleidžiamuosius vertybinius popierius arba prieigos prie jų priemones turėtų atskirti nuo savo turto ar kitų klientų turto. PRT rinkos infrastruktūrų bendrosiomis IT ir kibernetinio saugumo priemonėmis turėtų būti užtikrinama klientų turto apsauga nuo sukčiavimo, kibernetinių grėsmių ar kitų trikčių;</w:t>
            </w:r>
          </w:p>
        </w:tc>
        <w:tc>
          <w:tcPr>
            <w:tcW w:w="4876" w:type="dxa"/>
          </w:tcPr>
          <w:p w:rsidR="0084543E" w:rsidRPr="00837CC4" w:rsidRDefault="0084543E" w:rsidP="00E51AD6">
            <w:pPr>
              <w:pStyle w:val="Normal6a"/>
            </w:pPr>
            <w:r w:rsidRPr="00837CC4">
              <w:t>(31)</w:t>
            </w:r>
            <w:r w:rsidRPr="00837CC4">
              <w:tab/>
              <w:t>tais atvejais, kai PRT rinkos infrastruktūros verslo modelis apima klientų lėšų, pavyzdžiui, piniginių lėšų ar pinigų ekvivalentų, arba PRT perleidžiamųjų vertybinių popierių arba prieigos prie jų priemonių, įskaitant kriptografinių raktų pavidalo, saugojimą, PRT rinkos infrastruktūra turėtų naudoti tinkamas savo klientų turto saugojimo priemones</w:t>
            </w:r>
            <w:r w:rsidRPr="00837CC4">
              <w:rPr>
                <w:b/>
                <w:bCs/>
                <w:i/>
                <w:iCs/>
              </w:rPr>
              <w:t>, kurias, prieš suteikiant išimtį, turėtų patvirtinti kompetentinga institucija</w:t>
            </w:r>
            <w:r w:rsidRPr="00837CC4">
              <w:t>. Klientų turto infrastruktūros negali naudoti savo sąskaita, nebent yra gavusios išankstinį aiškų savo klientų sutikimą. PRT rinkos infrastruktūra klientų lėšas ar PRT perleidžiamuosius vertybinius popierius arba prieigos prie jų priemones turėtų atskirti nuo savo turto ar kitų klientų turto. PRT rinkos infrastruktūrų bendrosiomis IT ir kibernetinio saugumo priemonėmis turėtų būti užtikrinama klientų turto apsauga nuo sukčiavimo, kibernetinių grėsmių ar kitų trikčių;</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219</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Eva Kaili</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32 konstatuojamoji dalis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t>(32)</w:t>
            </w:r>
            <w:r w:rsidRPr="00837CC4">
              <w:tab/>
              <w:t>specialaus leidimo suteikimo metu PRT rinkos infrastruktūros taip pat turėtų turėti nustatytą patikimą pasitraukimo strategiją, naudotiną tuo atveju, jeigu PRT rinkos infrastruktūroms skirta tvarka būtų nutraukta arba specialus leidimas ar kai kurios leistos taikyti išimtys panaikinti;</w:t>
            </w:r>
          </w:p>
        </w:tc>
        <w:tc>
          <w:tcPr>
            <w:tcW w:w="4876" w:type="dxa"/>
          </w:tcPr>
          <w:p w:rsidR="0084543E" w:rsidRPr="00837CC4" w:rsidRDefault="0084543E" w:rsidP="00E51AD6">
            <w:pPr>
              <w:pStyle w:val="Normal6a"/>
            </w:pPr>
            <w:r w:rsidRPr="00837CC4">
              <w:t>(32)</w:t>
            </w:r>
            <w:r w:rsidRPr="00837CC4">
              <w:tab/>
              <w:t>specialaus leidimo suteikimo metu PRT rinkos infrastruktūros taip pat turėtų turėti nustatytą patikimą pasitraukimo strategiją</w:t>
            </w:r>
            <w:r w:rsidRPr="00837CC4">
              <w:rPr>
                <w:b/>
                <w:bCs/>
                <w:i/>
                <w:iCs/>
              </w:rPr>
              <w:t>, įskaitant savo PRT operacijų perėjimą arba grįžimą prie tradicinių infrastruktūrų</w:t>
            </w:r>
            <w:r w:rsidRPr="00837CC4">
              <w:t>, naudotiną tuo atveju, jeigu PRT rinkos infrastruktūroms skirta tvarka būtų nutraukta arba specialus leidimas ar kai kurios leistos taikyti išimtys panaikinti</w:t>
            </w:r>
            <w:r w:rsidRPr="00837CC4">
              <w:rPr>
                <w:b/>
                <w:bCs/>
                <w:i/>
                <w:iCs/>
              </w:rPr>
              <w:t xml:space="preserve"> arba jeigu buvo pasiektos šiame reglamente numatytos ribos</w:t>
            </w:r>
            <w:r w:rsidRPr="00837CC4">
              <w:t>;</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pPr>
        <w:pStyle w:val="AmJustTitle"/>
      </w:pPr>
      <w:r w:rsidRPr="00837CC4">
        <w:rPr>
          <w:rStyle w:val="HideTWBExt"/>
          <w:i w:val="0"/>
          <w:noProof w:val="0"/>
        </w:rPr>
        <w:t>&lt;TitreJust&gt;</w:t>
      </w:r>
      <w:r w:rsidRPr="00837CC4">
        <w:t>Pagrindimas</w:t>
      </w:r>
      <w:r w:rsidRPr="00837CC4">
        <w:rPr>
          <w:rStyle w:val="HideTWBExt"/>
          <w:i w:val="0"/>
          <w:noProof w:val="0"/>
        </w:rPr>
        <w:t>&lt;/TitreJust&gt;</w:t>
      </w:r>
    </w:p>
    <w:p w:rsidR="0084543E" w:rsidRPr="00837CC4" w:rsidRDefault="0084543E" w:rsidP="0084543E">
      <w:pPr>
        <w:pStyle w:val="AmJustText"/>
      </w:pPr>
      <w:r w:rsidRPr="00837CC4">
        <w:t>Bet kokiu atveju reikia įgyvendinti PRT rinkos infrastruktūras, kad būtų grįžta prie tradicinių rinkos infrastruktūrų, po to, kai bus priimta aiški pasitraukimo ir grįžimo ir (arba) perėjimo strategija.</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220</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Stéphanie Yon-Courtin, Ondřej Kovařík, Gilles Boyer, Olivier Chastel</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33 konstatuojamoji dalis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t>(33)</w:t>
            </w:r>
            <w:r w:rsidRPr="00837CC4">
              <w:tab/>
              <w:t>PRT rinkos infrastruktūrai suteikiamam specialiam leidimui turėtų būti taikomos tos pačios procedūros kaip tradicinei DPS arba CVPD (kai toks CVPD siekia valdyti naują vertybinių popierių atsiskaitymo sistemą) suteikiamam veiklos leidimui. Tačiau kreipdamasi dėl leidimo prašymą teikianti PRT infrastruktūra turėtų nurodyti išimtis, kurias prašytų leisti taikyti</w:t>
            </w:r>
            <w:r w:rsidRPr="00837CC4">
              <w:rPr>
                <w:b/>
                <w:bCs/>
                <w:i/>
                <w:iCs/>
              </w:rPr>
              <w:t>.</w:t>
            </w:r>
            <w:r w:rsidRPr="00837CC4">
              <w:t xml:space="preserve"> </w:t>
            </w:r>
            <w:r w:rsidRPr="00837CC4">
              <w:rPr>
                <w:b/>
                <w:i/>
              </w:rPr>
              <w:t>Prieš suteikdama leidimą PRT rinkos infrastruktūrai kompetentinga institucija turėtų pasikonsultuoti su ESMA. ESMA turėtų pateikti neprivalomą nuomonę ir rekomendacijas dėl prašymo arba prašomų išimčių. ESMA taip pat turėtų pasikonsultuoti su kitų valstybių narių kompetentingomis institucijomis. Pateikdama savo neprivalomą nuomonę ESMA turėtų siekti užtikrinti finansinį stabilumą, rinkos vientisumą ir investuotojų apsaugą. Siekiant užtikrinti vienodas sąlygas ir sąžiningą konkurenciją visoje bendrojoje rinkoje, ESMA neprivalomoje nuomonėje taip pat turėtų būti siekiama užtikrinti skirtingų visos Sąjungos kompetentingų institucijų suteiktų išimčių nuoseklumą ir proporcingumą;</w:t>
            </w:r>
          </w:p>
        </w:tc>
        <w:tc>
          <w:tcPr>
            <w:tcW w:w="4876" w:type="dxa"/>
          </w:tcPr>
          <w:p w:rsidR="0084543E" w:rsidRPr="00837CC4" w:rsidRDefault="0084543E" w:rsidP="00E51AD6">
            <w:pPr>
              <w:pStyle w:val="Normal6a"/>
            </w:pPr>
            <w:r w:rsidRPr="00837CC4">
              <w:t>(33)</w:t>
            </w:r>
            <w:r w:rsidRPr="00837CC4">
              <w:tab/>
              <w:t>PRT rinkos infrastruktūrai suteikiamam specialiam leidimui turėtų būti taikomos tos pačios procedūros kaip tradicinei DPS</w:t>
            </w:r>
            <w:r w:rsidRPr="00837CC4">
              <w:rPr>
                <w:b/>
                <w:bCs/>
                <w:i/>
                <w:iCs/>
              </w:rPr>
              <w:t>, kai PRT DPS valdantis subjektas yra investicinė įmonė arba rinkos operatorius,</w:t>
            </w:r>
            <w:r w:rsidRPr="00837CC4">
              <w:t xml:space="preserve"> arba CVPD (kai toks CVPD siekia valdyti naują vertybinių popierių atsiskaitymo sistemą) suteikiamam veiklos leidimui. Tačiau </w:t>
            </w:r>
            <w:r w:rsidRPr="00837CC4">
              <w:rPr>
                <w:b/>
                <w:bCs/>
                <w:i/>
                <w:iCs/>
              </w:rPr>
              <w:t>kompetentingos institucijos turėtų įgyvendinti paspartintas procedūras subjektams, kuriems prašymo dėl specialaus pagal šį reglamentą išduodamo leidimo pateikimo metu nebuvo suteiktas leidimas veikti kaip DPS arba CVDP.</w:t>
            </w:r>
            <w:r w:rsidRPr="00837CC4">
              <w:t xml:space="preserve"> Kreipdamasi dėl leidimo prašymą teikianti PRT infrastruktūra turėtų nurodyti išimtis, kurias prašytų leisti taikyti;</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pPr>
        <w:pStyle w:val="AmJustTitle"/>
      </w:pPr>
      <w:r w:rsidRPr="00837CC4">
        <w:rPr>
          <w:rStyle w:val="HideTWBExt"/>
          <w:i w:val="0"/>
          <w:noProof w:val="0"/>
        </w:rPr>
        <w:t>&lt;TitreJust&gt;</w:t>
      </w:r>
      <w:r w:rsidRPr="00837CC4">
        <w:t>Pagrindimas</w:t>
      </w:r>
      <w:r w:rsidRPr="00837CC4">
        <w:rPr>
          <w:rStyle w:val="HideTWBExt"/>
          <w:i w:val="0"/>
          <w:noProof w:val="0"/>
        </w:rPr>
        <w:t>&lt;/TitreJust&gt;</w:t>
      </w:r>
    </w:p>
    <w:p w:rsidR="0084543E" w:rsidRPr="00837CC4" w:rsidRDefault="0084543E" w:rsidP="0084543E">
      <w:pPr>
        <w:pStyle w:val="AmJustText"/>
      </w:pPr>
      <w:r w:rsidRPr="00837CC4">
        <w:t>Naujiems dalyviams, kuriems prašymo pateikimo metu nebuvo suteiktas leidimas veikti kaip DPS, taikoma paspartinta procedūra.</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221</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Sven Giegold</w:t>
      </w:r>
      <w:r w:rsidRPr="00837CC4">
        <w:rPr>
          <w:rStyle w:val="HideTWBExt"/>
          <w:b w:val="0"/>
          <w:noProof w:val="0"/>
        </w:rPr>
        <w:t>&lt;/Members&gt;</w:t>
      </w:r>
    </w:p>
    <w:p w:rsidR="0084543E" w:rsidRPr="00837CC4" w:rsidRDefault="0084543E" w:rsidP="0084543E">
      <w:r w:rsidRPr="00837CC4">
        <w:rPr>
          <w:rStyle w:val="HideTWBExt"/>
          <w:noProof w:val="0"/>
        </w:rPr>
        <w:t>&lt;AuNomDe&gt;</w:t>
      </w:r>
      <w:r w:rsidRPr="00837CC4">
        <w:rPr>
          <w:rStyle w:val="HideTWBInt"/>
          <w:noProof w:val="0"/>
        </w:rPr>
        <w:t>{Greens/EFA}</w:t>
      </w:r>
      <w:r w:rsidRPr="00837CC4">
        <w:t>Verts/ALE frakcijos vardu</w:t>
      </w:r>
      <w:r w:rsidRPr="00837CC4">
        <w:rPr>
          <w:rStyle w:val="HideTWBExt"/>
          <w:noProof w:val="0"/>
        </w:rPr>
        <w:t>&lt;/AuNomDe&gt;</w:t>
      </w:r>
    </w:p>
    <w:p w:rsidR="0084543E" w:rsidRPr="00837CC4" w:rsidRDefault="0084543E" w:rsidP="0084543E">
      <w:r w:rsidRPr="00837CC4">
        <w:rPr>
          <w:rStyle w:val="HideTWBExt"/>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33 konstatuojamoji dalis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t>(33)</w:t>
            </w:r>
            <w:r w:rsidRPr="00837CC4">
              <w:tab/>
              <w:t xml:space="preserve">PRT rinkos infrastruktūrai suteikiamam specialiam leidimui turėtų būti taikomos tos pačios procedūros kaip tradicinei DPS arba CVPD (kai toks CVPD siekia valdyti naują vertybinių popierių atsiskaitymo sistemą) suteikiamam veiklos leidimui. Tačiau kreipdamasi dėl leidimo prašymą teikianti PRT infrastruktūra turėtų nurodyti išimtis, kurias prašytų leisti taikyti. </w:t>
            </w:r>
            <w:r w:rsidRPr="00837CC4">
              <w:rPr>
                <w:b/>
                <w:bCs/>
                <w:i/>
                <w:iCs/>
              </w:rPr>
              <w:t>Prieš suteikdama</w:t>
            </w:r>
            <w:r w:rsidRPr="00837CC4">
              <w:t xml:space="preserve"> leidimą PRT rinkos infrastruktūrai </w:t>
            </w:r>
            <w:r w:rsidRPr="00837CC4">
              <w:rPr>
                <w:b/>
                <w:bCs/>
                <w:i/>
                <w:iCs/>
              </w:rPr>
              <w:t>kompetentinga institucija</w:t>
            </w:r>
            <w:r w:rsidRPr="00837CC4">
              <w:t xml:space="preserve"> turėtų </w:t>
            </w:r>
            <w:r w:rsidRPr="00837CC4">
              <w:rPr>
                <w:b/>
                <w:bCs/>
                <w:i/>
                <w:iCs/>
              </w:rPr>
              <w:t>pasikonsultuoti su ESMA</w:t>
            </w:r>
            <w:r w:rsidRPr="00837CC4">
              <w:t>.</w:t>
            </w:r>
            <w:r w:rsidRPr="00837CC4">
              <w:rPr>
                <w:b/>
                <w:i/>
              </w:rPr>
              <w:t xml:space="preserve"> </w:t>
            </w:r>
            <w:r w:rsidRPr="00837CC4">
              <w:t xml:space="preserve">ESMA </w:t>
            </w:r>
            <w:r w:rsidRPr="00837CC4">
              <w:rPr>
                <w:b/>
                <w:bCs/>
                <w:i/>
                <w:iCs/>
              </w:rPr>
              <w:t>turėtų pateikti neprivalomą nuomonę ir rekomendacijas dėl prašymo</w:t>
            </w:r>
            <w:r w:rsidRPr="00837CC4">
              <w:t xml:space="preserve"> arba </w:t>
            </w:r>
            <w:r w:rsidRPr="00837CC4">
              <w:rPr>
                <w:b/>
                <w:bCs/>
                <w:i/>
                <w:iCs/>
              </w:rPr>
              <w:t>prašomų išimčių</w:t>
            </w:r>
            <w:r w:rsidRPr="00837CC4">
              <w:t>.</w:t>
            </w:r>
            <w:r w:rsidRPr="00837CC4">
              <w:rPr>
                <w:b/>
                <w:i/>
              </w:rPr>
              <w:t xml:space="preserve"> ESMA taip pat turėtų pasikonsultuoti su kitų valstybių narių kompetentingomis institucijomis. </w:t>
            </w:r>
            <w:r w:rsidRPr="00837CC4">
              <w:rPr>
                <w:b/>
                <w:bCs/>
                <w:i/>
                <w:iCs/>
              </w:rPr>
              <w:t>Pateikdama savo neprivalomą nuomonę</w:t>
            </w:r>
            <w:r w:rsidRPr="00837CC4">
              <w:t xml:space="preserve"> </w:t>
            </w:r>
            <w:r w:rsidRPr="00837CC4">
              <w:rPr>
                <w:b/>
                <w:bCs/>
                <w:i/>
                <w:iCs/>
              </w:rPr>
              <w:t>ESMA</w:t>
            </w:r>
            <w:r w:rsidRPr="00837CC4">
              <w:t xml:space="preserve"> turėtų siekti užtikrinti finansinį stabilumą, rinkos vientisumą ir investuotojų apsaugą.</w:t>
            </w:r>
            <w:r w:rsidRPr="00837CC4">
              <w:rPr>
                <w:b/>
                <w:i/>
              </w:rPr>
              <w:t xml:space="preserve"> </w:t>
            </w:r>
            <w:r w:rsidRPr="00837CC4">
              <w:rPr>
                <w:b/>
                <w:bCs/>
                <w:i/>
                <w:iCs/>
              </w:rPr>
              <w:t>Siekiant užtikrinti</w:t>
            </w:r>
            <w:r w:rsidRPr="00837CC4">
              <w:t xml:space="preserve"> vienodas sąlygas ir sąžiningą konkurenciją visoje bendrojoje rinkoje</w:t>
            </w:r>
            <w:r w:rsidRPr="00837CC4">
              <w:rPr>
                <w:b/>
                <w:bCs/>
                <w:i/>
                <w:iCs/>
              </w:rPr>
              <w:t>, ESMA neprivalomoje nuomonėje taip pat turėtų būti siekiama užtikrinti skirtingų visos Sąjungos kompetentingų institucijų suteiktų išimčių nuoseklumą ir proporcingumą</w:t>
            </w:r>
            <w:r w:rsidRPr="00837CC4">
              <w:t>;</w:t>
            </w:r>
          </w:p>
        </w:tc>
        <w:tc>
          <w:tcPr>
            <w:tcW w:w="4876" w:type="dxa"/>
          </w:tcPr>
          <w:p w:rsidR="0084543E" w:rsidRPr="00837CC4" w:rsidRDefault="0084543E" w:rsidP="00E51AD6">
            <w:pPr>
              <w:pStyle w:val="Normal6a"/>
            </w:pPr>
            <w:r w:rsidRPr="00837CC4">
              <w:t>(33)</w:t>
            </w:r>
            <w:r w:rsidRPr="00837CC4">
              <w:tab/>
              <w:t xml:space="preserve">PRT rinkos infrastruktūrai suteikiamam specialiam leidimui turėtų būti taikomos tos pačios procedūros kaip tradicinei DPS arba CVPD (kai toks CVPD siekia valdyti naują vertybinių popierių atsiskaitymo sistemą) suteikiamam veiklos leidimui. Tačiau kreipdamasi dėl leidimo prašymą teikianti PRT infrastruktūra turėtų nurodyti išimtis, kurias prašytų leisti taikyti. </w:t>
            </w:r>
            <w:r w:rsidRPr="00837CC4">
              <w:rPr>
                <w:b/>
                <w:bCs/>
                <w:i/>
                <w:iCs/>
              </w:rPr>
              <w:t>Laikantis Sąjungos tikslo siekti tikros kapitalo rinkų sąjungos ir užtikrinti nuoseklų ir vienodą bandomosios tvarkos taikymą, kartu užkertant kelią priežiūros susiskaidymui, ESMA turėtų turėti tiesioginius priežiūros įgaliojimus suteikti</w:t>
            </w:r>
            <w:r w:rsidRPr="00837CC4">
              <w:t xml:space="preserve"> leidimą PRT rinkos infrastruktūrai </w:t>
            </w:r>
            <w:r w:rsidRPr="00837CC4">
              <w:rPr>
                <w:b/>
                <w:bCs/>
                <w:i/>
                <w:iCs/>
              </w:rPr>
              <w:t>ir bet kokias išimtis pagal šį reglamentą.</w:t>
            </w:r>
            <w:r w:rsidRPr="00837CC4">
              <w:rPr>
                <w:b/>
                <w:i/>
              </w:rPr>
              <w:t xml:space="preserve"> </w:t>
            </w:r>
            <w:r w:rsidRPr="00837CC4">
              <w:rPr>
                <w:b/>
                <w:bCs/>
                <w:i/>
                <w:iCs/>
              </w:rPr>
              <w:t>Siekiant užtikrinti veiksmingą bendradarbiavimą ir keitimąsi susijusia informacija, prireikus ESMA</w:t>
            </w:r>
            <w:r w:rsidRPr="00837CC4">
              <w:t xml:space="preserve"> turėtų </w:t>
            </w:r>
            <w:r w:rsidRPr="00837CC4">
              <w:rPr>
                <w:b/>
                <w:bCs/>
                <w:i/>
                <w:iCs/>
              </w:rPr>
              <w:t>konsultuotis su nacionalinėmis kompetentingomis institucijomis ir kitomis susijusiomis valdžios institucijomis dėl PRT rinkos infrastruktūrų, kurioms išduotas leidimas jų valstybėse narėse</w:t>
            </w:r>
            <w:r w:rsidRPr="00837CC4">
              <w:t>.</w:t>
            </w:r>
            <w:r w:rsidRPr="00837CC4">
              <w:rPr>
                <w:b/>
                <w:i/>
              </w:rPr>
              <w:t xml:space="preserve"> </w:t>
            </w:r>
            <w:r w:rsidRPr="00837CC4">
              <w:t>ESMA</w:t>
            </w:r>
            <w:r w:rsidRPr="00837CC4">
              <w:rPr>
                <w:b/>
                <w:bCs/>
                <w:i/>
                <w:iCs/>
              </w:rPr>
              <w:t>, vertindama prašymą</w:t>
            </w:r>
            <w:r w:rsidRPr="00837CC4">
              <w:t xml:space="preserve"> arba</w:t>
            </w:r>
            <w:r w:rsidRPr="00837CC4">
              <w:rPr>
                <w:b/>
                <w:bCs/>
                <w:i/>
                <w:iCs/>
              </w:rPr>
              <w:t xml:space="preserve"> prašomas išimtis,</w:t>
            </w:r>
            <w:r w:rsidRPr="00837CC4">
              <w:t xml:space="preserve"> turėtų siekti užtikrinti finansinį stabilumą, rinkos vientisumą ir investuotojų apsaugą</w:t>
            </w:r>
            <w:r w:rsidRPr="00837CC4">
              <w:rPr>
                <w:b/>
                <w:bCs/>
                <w:i/>
                <w:iCs/>
              </w:rPr>
              <w:t xml:space="preserve">, taip pat </w:t>
            </w:r>
            <w:r w:rsidRPr="00837CC4">
              <w:t>vienodas sąlygas ir sąžiningą konkurenciją visoje bendrojoje rinkoje;</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222</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Eva Kaili</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33 konstatuojamoji dalis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t>(33)</w:t>
            </w:r>
            <w:r w:rsidRPr="00837CC4">
              <w:tab/>
              <w:t xml:space="preserve">PRT rinkos infrastruktūrai suteikiamam specialiam leidimui turėtų būti taikomos tos pačios procedūros kaip tradicinei DPS arba CVPD (kai toks CVPD siekia valdyti naują </w:t>
            </w:r>
            <w:r w:rsidRPr="00837CC4">
              <w:rPr>
                <w:b/>
                <w:bCs/>
                <w:i/>
                <w:iCs/>
              </w:rPr>
              <w:t>vertybinių popierių atsiskaitymo sistemą</w:t>
            </w:r>
            <w:r w:rsidRPr="00837CC4">
              <w:t xml:space="preserve">) suteikiamam veiklos leidimui. Tačiau kreipdamasi dėl leidimo prašymą teikianti PRT infrastruktūra turėtų nurodyti išimtis, </w:t>
            </w:r>
            <w:r w:rsidRPr="00837CC4">
              <w:rPr>
                <w:b/>
                <w:bCs/>
                <w:i/>
                <w:iCs/>
              </w:rPr>
              <w:t>kurias prašytų leisti taikyti</w:t>
            </w:r>
            <w:r w:rsidRPr="00837CC4">
              <w:t xml:space="preserve">. Prieš suteikdama leidimą PRT rinkos infrastruktūrai kompetentinga institucija turėtų pasikonsultuoti su ESMA. ESMA turėtų pateikti </w:t>
            </w:r>
            <w:r w:rsidRPr="00837CC4">
              <w:rPr>
                <w:b/>
                <w:bCs/>
                <w:i/>
                <w:iCs/>
              </w:rPr>
              <w:t>neprivalomą nuomonę ir rekomendacijas</w:t>
            </w:r>
            <w:r w:rsidRPr="00837CC4">
              <w:t xml:space="preserve"> dėl prašymo arba prašomų išimčių. ESMA taip pat turėtų pasikonsultuoti su kitų valstybių narių kompetentingomis institucijomis. Pateikdama savo </w:t>
            </w:r>
            <w:r w:rsidRPr="00837CC4">
              <w:rPr>
                <w:b/>
                <w:bCs/>
                <w:i/>
                <w:iCs/>
              </w:rPr>
              <w:t>neprivalomą nuomonę</w:t>
            </w:r>
            <w:r w:rsidRPr="00837CC4">
              <w:t xml:space="preserve"> ESMA turėtų siekti užtikrinti finansinį stabilumą, rinkos vientisumą </w:t>
            </w:r>
            <w:r w:rsidRPr="00837CC4">
              <w:rPr>
                <w:b/>
                <w:bCs/>
                <w:i/>
                <w:iCs/>
              </w:rPr>
              <w:t>ir</w:t>
            </w:r>
            <w:r w:rsidRPr="00837CC4">
              <w:t xml:space="preserve"> investuotojų apsaugą. Siekiant užtikrinti vienodas sąlygas ir sąžiningą konkurenciją visoje bendrojoje rinkoje, ESMA </w:t>
            </w:r>
            <w:r w:rsidRPr="00837CC4">
              <w:rPr>
                <w:b/>
                <w:bCs/>
                <w:i/>
                <w:iCs/>
              </w:rPr>
              <w:t>neprivalomoje nuomonėje</w:t>
            </w:r>
            <w:r w:rsidRPr="00837CC4">
              <w:t xml:space="preserve"> taip pat turėtų būti siekiama užtikrinti skirtingų visos Sąjungos kompetentingų institucijų suteiktų išimčių nuoseklumą ir proporcingumą;</w:t>
            </w:r>
          </w:p>
        </w:tc>
        <w:tc>
          <w:tcPr>
            <w:tcW w:w="4876" w:type="dxa"/>
          </w:tcPr>
          <w:p w:rsidR="0084543E" w:rsidRPr="00837CC4" w:rsidRDefault="0084543E" w:rsidP="00E51AD6">
            <w:pPr>
              <w:pStyle w:val="Normal6a"/>
            </w:pPr>
            <w:r w:rsidRPr="00837CC4">
              <w:t>(33)</w:t>
            </w:r>
            <w:r w:rsidRPr="00837CC4">
              <w:tab/>
              <w:t xml:space="preserve">PRT rinkos infrastruktūrai suteikiamam specialiam leidimui turėtų būti taikomos tos pačios procedūros kaip tradicinei DPS arba CVPD (kai toks CVPD siekia valdyti naują </w:t>
            </w:r>
            <w:r w:rsidRPr="00837CC4">
              <w:rPr>
                <w:b/>
                <w:bCs/>
                <w:i/>
                <w:iCs/>
              </w:rPr>
              <w:t>VPAS</w:t>
            </w:r>
            <w:r w:rsidRPr="00837CC4">
              <w:t xml:space="preserve">) suteikiamam veiklos leidimui. Tačiau kreipdamasi dėl leidimo prašymą teikianti PRT rinkos infrastruktūra turėtų nurodyti išimtis, </w:t>
            </w:r>
            <w:r w:rsidRPr="00837CC4">
              <w:rPr>
                <w:b/>
                <w:bCs/>
                <w:i/>
                <w:iCs/>
              </w:rPr>
              <w:t>kurių ji ketina prašyti</w:t>
            </w:r>
            <w:r w:rsidRPr="00837CC4">
              <w:t xml:space="preserve">. Prieš suteikdama leidimą PRT rinkos infrastruktūrai kompetentinga institucija turėtų pasikonsultuoti su ESMA. ESMA turėtų pateikti </w:t>
            </w:r>
            <w:r w:rsidRPr="00837CC4">
              <w:rPr>
                <w:b/>
                <w:bCs/>
                <w:i/>
                <w:iCs/>
              </w:rPr>
              <w:t>rekomendaciją</w:t>
            </w:r>
            <w:r w:rsidRPr="00837CC4">
              <w:t xml:space="preserve"> dėl prašymo arba prašomų išimčių. ESMA taip pat turėtų pasikonsultuoti su kitų valstybių narių kompetentingomis institucijomis. Pateikdama savo </w:t>
            </w:r>
            <w:r w:rsidRPr="00837CC4">
              <w:rPr>
                <w:b/>
                <w:bCs/>
                <w:i/>
                <w:iCs/>
              </w:rPr>
              <w:t>rekomendaciją</w:t>
            </w:r>
            <w:r w:rsidRPr="00837CC4">
              <w:t xml:space="preserve"> ESMA turėtų siekti užtikrinti finansinį stabilumą, rinkos vientisumą</w:t>
            </w:r>
            <w:r w:rsidRPr="00837CC4">
              <w:rPr>
                <w:b/>
                <w:bCs/>
                <w:i/>
                <w:iCs/>
              </w:rPr>
              <w:t>,</w:t>
            </w:r>
            <w:r w:rsidRPr="00837CC4">
              <w:t xml:space="preserve"> investuotojų apsaugą. bendrojoje rinkoje, ESMA </w:t>
            </w:r>
            <w:r w:rsidRPr="00837CC4">
              <w:rPr>
                <w:b/>
                <w:bCs/>
                <w:i/>
                <w:iCs/>
              </w:rPr>
              <w:t>rekomendacijoje</w:t>
            </w:r>
            <w:r w:rsidRPr="00837CC4">
              <w:t xml:space="preserve"> taip pat turėtų būti siekiama užtikrinti skirtingų visos Sąjungos kompetentingų institucijų</w:t>
            </w:r>
            <w:r w:rsidRPr="00837CC4">
              <w:rPr>
                <w:b/>
                <w:bCs/>
                <w:i/>
                <w:iCs/>
              </w:rPr>
              <w:t xml:space="preserve"> priežiūros konvergenciją,</w:t>
            </w:r>
            <w:r w:rsidRPr="00837CC4">
              <w:t xml:space="preserve"> suteiktų išimčių nuoseklumą ir proporcingumą;</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pPr>
        <w:pStyle w:val="AmJustTitle"/>
      </w:pPr>
      <w:r w:rsidRPr="00837CC4">
        <w:rPr>
          <w:rStyle w:val="HideTWBExt"/>
          <w:i w:val="0"/>
          <w:noProof w:val="0"/>
        </w:rPr>
        <w:t>&lt;TitreJust&gt;</w:t>
      </w:r>
      <w:r w:rsidRPr="00837CC4">
        <w:t>Pagrindimas</w:t>
      </w:r>
      <w:r w:rsidRPr="00837CC4">
        <w:rPr>
          <w:rStyle w:val="HideTWBExt"/>
          <w:i w:val="0"/>
          <w:noProof w:val="0"/>
        </w:rPr>
        <w:t>&lt;/TitreJust&gt;</w:t>
      </w:r>
    </w:p>
    <w:p w:rsidR="0084543E" w:rsidRPr="00837CC4" w:rsidRDefault="0084543E" w:rsidP="0084543E">
      <w:pPr>
        <w:pStyle w:val="AmJustText"/>
      </w:pPr>
      <w:r w:rsidRPr="00837CC4">
        <w:t>Reikia stiprinti ESMA vaidmenį, kad būtų išvengta reguliavimo spragų ir užtikrinta priežiūros konvergencija bei vienodas taikymas ir (arba) įgyvendinimas visoje ES. Šiuo atžvilgiu labai svarbu, kad ESMA pateiktų ne neprivalomą nuomonę, o rekomendaciją („paklusti arba paaiškinti“). Tai yra svarbiau atsižvelgiant į tai, kad ne visų valstybių narių ir (arba) nacionalinių kompetentingų institucijų techninis raštingumas ir žinios yra vienodo lygio, kaip jau išaiškinta 14 konstatuojamojoje dalyje.</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223</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Christophe Hansen, Lídia Pereira</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33 konstatuojamoji dalis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t>(33)</w:t>
            </w:r>
            <w:r w:rsidRPr="00837CC4">
              <w:tab/>
              <w:t>PRT rinkos infrastruktūrai suteikiamam specialiam leidimui turėtų būti taikomos tos pačios procedūros kaip tradicinei DPS arba CVPD (kai toks CVPD siekia valdyti naują vertybinių popierių atsiskaitymo sistemą) suteikiamam veiklos leidimui. Tačiau kreipdamasi dėl leidimo prašymą teikianti PRT infrastruktūra turėtų nurodyti išimtis, kurias prašytų leisti taikyti. Prieš suteikdama leidimą PRT rinkos infrastruktūrai kompetentinga institucija turėtų pasikonsultuoti su ESMA. ESMA turėtų pateikti neprivalomą nuomonę ir rekomendacijas dėl prašymo arba prašomų išimčių. ESMA taip pat turėtų pasikonsultuoti su kitų valstybių narių kompetentingomis institucijomis. Pateikdama savo neprivalomą nuomonę ESMA turėtų siekti užtikrinti finansinį stabilumą, rinkos vientisumą ir investuotojų apsaugą. Siekiant užtikrinti vienodas sąlygas ir sąžiningą konkurenciją visoje bendrojoje rinkoje, ESMA neprivalomoje nuomonėje taip pat turėtų būti siekiama užtikrinti skirtingų visos Sąjungos kompetentingų institucijų suteiktų išimčių nuoseklumą ir proporcingumą;</w:t>
            </w:r>
          </w:p>
        </w:tc>
        <w:tc>
          <w:tcPr>
            <w:tcW w:w="4876" w:type="dxa"/>
          </w:tcPr>
          <w:p w:rsidR="0084543E" w:rsidRPr="00837CC4" w:rsidRDefault="0084543E" w:rsidP="00E51AD6">
            <w:pPr>
              <w:pStyle w:val="Normal6a"/>
            </w:pPr>
            <w:r w:rsidRPr="00837CC4">
              <w:t>(33)</w:t>
            </w:r>
            <w:r w:rsidRPr="00837CC4">
              <w:tab/>
              <w:t xml:space="preserve">PRT rinkos infrastruktūrai suteikiamam specialiam leidimui turėtų būti taikomos tos pačios procedūros kaip tradicinei DPS arba CVPD (kai toks CVPD siekia valdyti naują vertybinių popierių atsiskaitymo sistemą) suteikiamam veiklos leidimui. Tačiau kreipdamasi dėl leidimo prašymą teikianti PRT infrastruktūra turėtų nurodyti išimtis, kurias prašytų leisti taikyti. Prieš suteikdama leidimą PRT rinkos infrastruktūrai kompetentinga institucija turėtų pasikonsultuoti su ESMA. ESMA turėtų pateikti neprivalomą nuomonę ir </w:t>
            </w:r>
            <w:r w:rsidRPr="00837CC4">
              <w:rPr>
                <w:b/>
                <w:bCs/>
                <w:i/>
                <w:iCs/>
              </w:rPr>
              <w:t xml:space="preserve">neprivalomas </w:t>
            </w:r>
            <w:r w:rsidRPr="00837CC4">
              <w:t>rekomendacijas dėl prašymo arba prašomų išimčių. ESMA taip pat turėtų pasikonsultuoti su kitų valstybių narių kompetentingomis institucijomis. Pateikdama savo neprivalomą nuomonę ESMA turėtų siekti užtikrinti finansinį stabilumą, rinkos vientisumą ir investuotojų apsaugą. Siekiant užtikrinti vienodas sąlygas ir sąžiningą konkurenciją visoje bendrojoje rinkoje, ESMA neprivalomoje nuomonėje taip pat turėtų būti siekiama užtikrinti skirtingų visos Sąjungos kompetentingų institucijų suteiktų išimčių nuoseklumą ir proporcingumą;</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224</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Stéphanie Yon-Courtin, Gilles Boyer, Olivier Chastel</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33 a konstatuojamoji dalis (nauja)</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p>
        </w:tc>
        <w:tc>
          <w:tcPr>
            <w:tcW w:w="4876" w:type="dxa"/>
          </w:tcPr>
          <w:p w:rsidR="0084543E" w:rsidRPr="00837CC4" w:rsidRDefault="0084543E" w:rsidP="00E51AD6">
            <w:pPr>
              <w:pStyle w:val="Normal6a"/>
            </w:pPr>
            <w:r w:rsidRPr="00837CC4">
              <w:rPr>
                <w:b/>
                <w:i/>
              </w:rPr>
              <w:t>(33a)</w:t>
            </w:r>
            <w:r w:rsidRPr="00837CC4">
              <w:tab/>
            </w:r>
            <w:r w:rsidRPr="00837CC4">
              <w:rPr>
                <w:b/>
                <w:i/>
              </w:rPr>
              <w:t>Prieš suteikdama leidimą PRT rinkos infrastruktūrai kompetentinga institucija turėtų pasikonsultuoti su ESMA. ESMA turėtų pateikti neprivalomą nuomonę ir rekomendacijas dėl prašymo arba prašomų išimčių. ESMA taip pat turėtų pasikonsultuoti su kitų valstybių narių kompetentingomis institucijomis. Pateikdama savo neprivalomą nuomonę ESMA turėtų siekti užtikrinti finansinį stabilumą, rinkos vientisumą ir investuotojų apsaugą. Siekiant užtikrinti vienodas sąlygas ir sąžiningą konkurenciją visoje vidaus rinkoje, ESMA neprivalomoje nuomonėje taip pat turėtų būti siekiama užtikrinti skirtingų visos Sąjungos kompetentingų institucijų suteiktų išimčių nuoseklumą ir proporcingumą. ESMA gali priimti gaires, kuriose būtų papildomai nurodytos išimčių suteikimo ir kompensavimo priemonių reikalavimo sąlygos, pagrįstos susijusia kompetentingų institucijų patirtimi ir jos neprivalomomis nuomonėmis;</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pPr>
        <w:pStyle w:val="AmJustTitle"/>
      </w:pPr>
      <w:r w:rsidRPr="00837CC4">
        <w:rPr>
          <w:rStyle w:val="HideTWBExt"/>
          <w:i w:val="0"/>
          <w:noProof w:val="0"/>
        </w:rPr>
        <w:t>&lt;TitreJust&gt;</w:t>
      </w:r>
      <w:r w:rsidRPr="00837CC4">
        <w:t>Pagrindimas</w:t>
      </w:r>
      <w:r w:rsidRPr="00837CC4">
        <w:rPr>
          <w:rStyle w:val="HideTWBExt"/>
          <w:i w:val="0"/>
          <w:noProof w:val="0"/>
        </w:rPr>
        <w:t>&lt;/TitreJust&gt;</w:t>
      </w:r>
    </w:p>
    <w:p w:rsidR="0084543E" w:rsidRPr="00837CC4" w:rsidRDefault="0084543E" w:rsidP="0084543E">
      <w:pPr>
        <w:pStyle w:val="AmJustText"/>
      </w:pPr>
      <w:r w:rsidRPr="00837CC4">
        <w:t>Nauja konstatuojamoji dalis, kuria siekiama didesnio aiškumo. Be neprivalomų nuomonių, ESMA gali pageidauti priimti papildomas gaires, jeigu visoje Sąjungoje nebus bendrai, vienodai ir nuosekliai taikoma bandomoji tvarka.</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225</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Jessica Polfjärd, Christophe Hansen</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33 a konstatuojamoji dalis (nauja)</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p>
        </w:tc>
        <w:tc>
          <w:tcPr>
            <w:tcW w:w="4876" w:type="dxa"/>
          </w:tcPr>
          <w:p w:rsidR="0084543E" w:rsidRPr="00837CC4" w:rsidRDefault="0084543E" w:rsidP="00E51AD6">
            <w:pPr>
              <w:pStyle w:val="Normal6a"/>
            </w:pPr>
            <w:r w:rsidRPr="00837CC4">
              <w:rPr>
                <w:b/>
                <w:i/>
              </w:rPr>
              <w:t>(33a)</w:t>
            </w:r>
            <w:r w:rsidRPr="00837CC4">
              <w:tab/>
            </w:r>
            <w:r w:rsidRPr="00837CC4">
              <w:rPr>
                <w:b/>
                <w:i/>
              </w:rPr>
              <w:t>galimybė naudotis bandomąja tvarka neturėtų būti ribotai taikoma senbuviams, o, priešingai, turėtų būti atvira naujiems dalyviams. Taigi, kai subjektui nesuteiktas leidimas pagal FPRD II arba pagal Centrinių vertybinių popierių depozitoriumų reglamentą, jis teikia prašymą dėl leidimo suteikimo pagal tuos teisės aktus ir kartu teikia prašymą dėl specialaus leidimo pagal šį reglamentą, kompetentinga valdžios institucija, vertindama prašymą dėl leidimo išdavimo pagal FPRD II arba pagal Centrinių vertybinių popierių depozitoriumų reglamentą, patikrina tik atitiktį reikalavimams, susijusiems su tuo, dėl ko neprašyta taikyti išimties ir ji nesuteikta pagal bandomąją tvarką. Tokiais atvejais leidimas pagal FPRD II arba pagal Centrinių vertybinių popierių depozitoriumų reglamentą turėtų būti išduotas tik PRT rinkos infrastruktūros valdymo pagal šį reglamentą tikslu.</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226</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Eero Heinäluoma, Paul Tang, Jonás Fernández, Pedro Marques</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34 konstatuojamoji dalis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t>(34)</w:t>
            </w:r>
            <w:r w:rsidRPr="00837CC4">
              <w:tab/>
              <w:t xml:space="preserve">būsimos PRT rinkos infrastruktūros prašymą svarstysianti kompetentinga institucija turėtų </w:t>
            </w:r>
            <w:r w:rsidRPr="00837CC4">
              <w:rPr>
                <w:b/>
                <w:bCs/>
                <w:i/>
                <w:iCs/>
              </w:rPr>
              <w:t>turėti galimybę</w:t>
            </w:r>
            <w:r w:rsidRPr="00837CC4">
              <w:t xml:space="preserve"> atsisakyti suteikti leidimą, jeigu esama priežasčių manyti, kad PRT rinkos infrastruktūra keltų grėsmę finansiniam stabilumui, investuotojų apsaugai ar rinkos vientisumui, arba jei teikiant paraišką būtų bandoma apeiti galiojančius reikalavimus;</w:t>
            </w:r>
          </w:p>
        </w:tc>
        <w:tc>
          <w:tcPr>
            <w:tcW w:w="4876" w:type="dxa"/>
          </w:tcPr>
          <w:p w:rsidR="0084543E" w:rsidRPr="00837CC4" w:rsidRDefault="0084543E" w:rsidP="00E51AD6">
            <w:pPr>
              <w:pStyle w:val="Normal6a"/>
            </w:pPr>
            <w:r w:rsidRPr="00837CC4">
              <w:t>(34)</w:t>
            </w:r>
            <w:r w:rsidRPr="00837CC4">
              <w:tab/>
              <w:t>būsimos PRT rinkos infrastruktūros prašymą svarstysianti kompetentinga institucija turėtų atsisakyti suteikti leidimą, jeigu esama priežasčių manyti, kad PRT rinkos infrastruktūra keltų grėsmę finansiniam stabilumui, investuotojų apsaugai ar rinkos vientisumui, arba jei teikiant paraišką būtų bandoma apeiti galiojančius reikalavimus;</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227</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Eva Kaili</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34 konstatuojamoji dalis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t>(34)</w:t>
            </w:r>
            <w:r w:rsidRPr="00837CC4">
              <w:tab/>
              <w:t xml:space="preserve">būsimos PRT rinkos infrastruktūros prašymą svarstysianti kompetentinga institucija </w:t>
            </w:r>
            <w:r w:rsidRPr="00837CC4">
              <w:rPr>
                <w:b/>
                <w:bCs/>
                <w:i/>
                <w:iCs/>
              </w:rPr>
              <w:t>turėtų</w:t>
            </w:r>
            <w:r w:rsidRPr="00837CC4">
              <w:t xml:space="preserve"> turėti galimybę atsisakyti suteikti leidimą, jeigu esama priežasčių manyti, kad PRT rinkos infrastruktūra keltų grėsmę finansiniam stabilumui, investuotojų apsaugai ar rinkos vientisumui, arba jei teikiant paraišką būtų bandoma apeiti galiojančius reikalavimus;</w:t>
            </w:r>
          </w:p>
        </w:tc>
        <w:tc>
          <w:tcPr>
            <w:tcW w:w="4876" w:type="dxa"/>
          </w:tcPr>
          <w:p w:rsidR="0084543E" w:rsidRPr="00837CC4" w:rsidRDefault="0084543E" w:rsidP="00E51AD6">
            <w:pPr>
              <w:pStyle w:val="Normal6a"/>
            </w:pPr>
            <w:r w:rsidRPr="00837CC4">
              <w:t>(34)</w:t>
            </w:r>
            <w:r w:rsidRPr="00837CC4">
              <w:tab/>
              <w:t xml:space="preserve">būsimos PRT rinkos infrastruktūros prašymą svarstysianti kompetentinga institucija </w:t>
            </w:r>
            <w:r w:rsidRPr="00837CC4">
              <w:rPr>
                <w:b/>
                <w:bCs/>
                <w:i/>
                <w:iCs/>
              </w:rPr>
              <w:t>turės</w:t>
            </w:r>
            <w:r w:rsidRPr="00837CC4">
              <w:t xml:space="preserve"> turėti galimybę atsisakyti suteikti leidimą, jeigu esama priežasčių manyti, kad PRT rinkos infrastruktūra keltų grėsmę finansiniam stabilumui, investuotojų apsaugai ar rinkos vientisumui, arba jei teikiant paraišką būtų bandoma apeiti galiojančius reikalavimus;</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228</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Eva Kaili</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35 konstatuojamoji dalis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t>(35)</w:t>
            </w:r>
            <w:r w:rsidRPr="00837CC4">
              <w:tab/>
              <w:t>konkrečiai PRT rinkos infrastruktūrai kompetentingos institucijos suteiktame specialiame leidime turėtų būti nurodytos išimtys, kurias tai PRT rinkos infrastruktūrai leista taikyti. Toks leidimas turėtų galioti visoje Sąjungoje. ESMA savo interneto svetainėje turėtų skelbti PRT rinkos infrastruktūrų sąrašą ir kiekvienai jų leidžiamų taikyti išimčių sąrašą;</w:t>
            </w:r>
          </w:p>
        </w:tc>
        <w:tc>
          <w:tcPr>
            <w:tcW w:w="4876" w:type="dxa"/>
          </w:tcPr>
          <w:p w:rsidR="0084543E" w:rsidRPr="00837CC4" w:rsidRDefault="0084543E" w:rsidP="00E51AD6">
            <w:pPr>
              <w:pStyle w:val="Normal6a"/>
            </w:pPr>
            <w:r w:rsidRPr="00837CC4">
              <w:t>(35)</w:t>
            </w:r>
            <w:r w:rsidRPr="00837CC4">
              <w:tab/>
              <w:t>konkrečiai PRT rinkos infrastruktūrai kompetentingos institucijos suteiktame specialiame leidime turėtų būti nurodytos išimtys, kurias tai PRT rinkos infrastruktūrai leista taikyti. Toks leidimas turėtų galioti visoje Sąjungoje</w:t>
            </w:r>
            <w:r w:rsidRPr="00837CC4">
              <w:rPr>
                <w:b/>
                <w:bCs/>
                <w:i/>
                <w:iCs/>
              </w:rPr>
              <w:t xml:space="preserve"> ir tik tiek laiko, kiek būtų taikoma PRT bandomoji tvarka</w:t>
            </w:r>
            <w:r w:rsidRPr="00837CC4">
              <w:t>. ESMA savo interneto svetainėje turėtų skelbti PRT rinkos infrastruktūrų sąrašą ir kiekvienai jų leidžiamų taikyti išimčių sąrašą;</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pPr>
        <w:pStyle w:val="AmJustTitle"/>
      </w:pPr>
      <w:r w:rsidRPr="00837CC4">
        <w:rPr>
          <w:rStyle w:val="HideTWBExt"/>
          <w:i w:val="0"/>
          <w:noProof w:val="0"/>
        </w:rPr>
        <w:t>&lt;TitreJust&gt;</w:t>
      </w:r>
      <w:r w:rsidRPr="00837CC4">
        <w:t>Pagrindimas</w:t>
      </w:r>
      <w:r w:rsidRPr="00837CC4">
        <w:rPr>
          <w:rStyle w:val="HideTWBExt"/>
          <w:i w:val="0"/>
          <w:noProof w:val="0"/>
        </w:rPr>
        <w:t>&lt;/TitreJust&gt;</w:t>
      </w:r>
    </w:p>
    <w:p w:rsidR="0084543E" w:rsidRPr="00837CC4" w:rsidRDefault="0084543E" w:rsidP="0084543E">
      <w:pPr>
        <w:pStyle w:val="AmJustText"/>
      </w:pPr>
      <w:r w:rsidRPr="00837CC4">
        <w:t>Reikėtų aiškiai nurodyti, kad leidimas galioja tiek laiko, kiek bus taikoma bandomoji tvarka, nepažeidžiant 36 konstatuojamojoje dalyje aprašytos išankstinio vertinimo ataskaitos.</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229</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Eva Kaili</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36 konstatuojamoji dalis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t>(36)</w:t>
            </w:r>
            <w:r w:rsidRPr="00837CC4">
              <w:tab/>
              <w:t xml:space="preserve">nacionalinės kompetentingos institucijos turėtų suteikti specialų leidimą ir leisti taikyti išimtis laikinai, ne ilgesnį nei šešerių metų laikotarpį nuo specialaus leidimo suteikimo datos. Praėjus penkeriems metams nuo reglamento taikymo </w:t>
            </w:r>
            <w:r w:rsidRPr="00837CC4">
              <w:rPr>
                <w:b/>
                <w:bCs/>
                <w:i/>
                <w:iCs/>
              </w:rPr>
              <w:t>pradžios</w:t>
            </w:r>
            <w:r w:rsidRPr="00837CC4">
              <w:t xml:space="preserve"> ESMA ir Komisija turėtų </w:t>
            </w:r>
            <w:r w:rsidRPr="00837CC4">
              <w:rPr>
                <w:b/>
                <w:bCs/>
                <w:i/>
                <w:iCs/>
              </w:rPr>
              <w:t>šią rinkos infrastruktūroms, grindžiamoms paskirstytojo registro technologija, skirtą bandomąją tvarką įvertinti</w:t>
            </w:r>
            <w:r w:rsidRPr="00837CC4">
              <w:t>. Per minėtą šešerių metų laikotarpį PRT rinkos infrastruktūros turės pakankamai laiko pritaikyti savo verslo modelius prie bet kokių šios tvarkos pakeitimų ir veikti pagal bandomąją tvarką komerciškai perspektyviai. Tai sudarytų sąlygas ESMA ir Komisijai surinkti naudingų duomenų, apimančių bandomosios tvarkos taikymo maždaug trejus kalendorinius metus po to, kai bus suteikta kritinė masė specialių leidimų ir susijusių išimčių, ir teikti susijusias ataskaitas. Be to, PRT rinkos infrastruktūroms tai duotų laiko imtis reikalingų veiksmų siekiant arba nutraukti savo veiklą, arba pereiti prie naujos reglamentavimo sistemos, kuri bus parengta pagal ESMA ir Komisijos ataskaitas;</w:t>
            </w:r>
          </w:p>
        </w:tc>
        <w:tc>
          <w:tcPr>
            <w:tcW w:w="4876" w:type="dxa"/>
          </w:tcPr>
          <w:p w:rsidR="0084543E" w:rsidRPr="00837CC4" w:rsidRDefault="0084543E" w:rsidP="00E51AD6">
            <w:pPr>
              <w:pStyle w:val="Normal6a"/>
            </w:pPr>
            <w:r w:rsidRPr="00837CC4">
              <w:t>(36)</w:t>
            </w:r>
            <w:r w:rsidRPr="00837CC4">
              <w:tab/>
              <w:t>nacionalinės kompetentingos institucijos</w:t>
            </w:r>
            <w:r w:rsidRPr="00837CC4">
              <w:rPr>
                <w:b/>
                <w:bCs/>
                <w:i/>
                <w:iCs/>
              </w:rPr>
              <w:t>, remdamosi ESMA rekomendacija,</w:t>
            </w:r>
            <w:r w:rsidRPr="00837CC4">
              <w:t xml:space="preserve"> turėtų suteikti specialų leidimą ir leisti taikyti išimtis laikinai, ne ilgesnį nei šešerių metų laikotarpį nuo specialaus leidimo suteikimo datos</w:t>
            </w:r>
            <w:r w:rsidRPr="00837CC4">
              <w:rPr>
                <w:b/>
                <w:bCs/>
                <w:i/>
                <w:iCs/>
              </w:rPr>
              <w:t xml:space="preserve"> ir jis turėtų galioti tol, kol bus taikoma PRT bandomoji tvarka, remiantis ESMA ir Komisijos numatytais vertinimais</w:t>
            </w:r>
            <w:r w:rsidRPr="00837CC4">
              <w:t xml:space="preserve">. Praėjus </w:t>
            </w:r>
            <w:r w:rsidRPr="00837CC4">
              <w:rPr>
                <w:b/>
                <w:bCs/>
                <w:i/>
                <w:iCs/>
              </w:rPr>
              <w:t>trejiems metams</w:t>
            </w:r>
            <w:r w:rsidRPr="00837CC4">
              <w:t xml:space="preserve"> ir penkeriems metams nuo </w:t>
            </w:r>
            <w:r w:rsidRPr="00837CC4">
              <w:rPr>
                <w:b/>
                <w:bCs/>
                <w:i/>
                <w:iCs/>
              </w:rPr>
              <w:t xml:space="preserve">šio </w:t>
            </w:r>
            <w:r w:rsidRPr="00837CC4">
              <w:t xml:space="preserve">reglamento taikymo </w:t>
            </w:r>
            <w:r w:rsidRPr="00837CC4">
              <w:rPr>
                <w:b/>
                <w:bCs/>
                <w:i/>
                <w:iCs/>
              </w:rPr>
              <w:t>dienos</w:t>
            </w:r>
            <w:r w:rsidRPr="00837CC4">
              <w:t xml:space="preserve"> ESMA ir Komisija turėtų </w:t>
            </w:r>
            <w:r w:rsidRPr="00837CC4">
              <w:rPr>
                <w:b/>
                <w:bCs/>
                <w:i/>
                <w:iCs/>
              </w:rPr>
              <w:t>atitinkamai parengti šios PRT skirtos bandomosios tvarkos išankstinį ir galutinį vertinimą</w:t>
            </w:r>
            <w:r w:rsidRPr="00837CC4">
              <w:t>.</w:t>
            </w:r>
            <w:r w:rsidRPr="00837CC4">
              <w:rPr>
                <w:b/>
                <w:i/>
              </w:rPr>
              <w:t xml:space="preserve"> </w:t>
            </w:r>
            <w:r w:rsidRPr="00837CC4">
              <w:rPr>
                <w:b/>
                <w:bCs/>
                <w:i/>
                <w:iCs/>
              </w:rPr>
              <w:t>Trejų metų laikotarpio išankstinis vertinimas turėtų būti skaičiuojamas nuo šio reglamento įsigaliojimo dienos, taip įtraukiant 12 mėnesių trukmės laikotarpį, kurio reikia šiame reglamente numatytam reguliavimo techninių standartų projektui parengti.</w:t>
            </w:r>
            <w:r w:rsidRPr="00837CC4">
              <w:t xml:space="preserve"> Per minėtą šešerių metų laikotarpį PRT rinkos infrastruktūros turės pakankamai laiko pritaikyti savo verslo modelius prie bet kokių šios tvarkos pakeitimų ir veikti pagal bandomąją tvarką komerciškai perspektyviai. Tai sudarytų sąlygas ESMA ir Komisijai surinkti naudingų duomenų, apimančių bandomosios tvarkos taikymo maždaug trejus kalendorinius metus po to, kai bus suteikta kritinė masė specialių leidimų ir susijusių išimčių, ir teikti susijusias ataskaitas. Be to, PRT rinkos infrastruktūroms tai duotų laiko imtis reikalingų veiksmų siekiant arba nutraukti savo veiklą, arba pereiti prie naujos reglamentavimo sistemos, </w:t>
            </w:r>
            <w:r w:rsidRPr="00837CC4">
              <w:rPr>
                <w:b/>
                <w:bCs/>
                <w:i/>
                <w:iCs/>
              </w:rPr>
              <w:t xml:space="preserve">, kuria, be kita ko, turėtų būti numatyta nuolatinių leidimų, pritaikytų naujai reguliavimo sistemai, pritaikymo procedūra, </w:t>
            </w:r>
            <w:r w:rsidRPr="00837CC4">
              <w:t>kuri bus parengta pagal ESMA ir Komisijos ataskaitas;</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pPr>
        <w:pStyle w:val="AmJustTitle"/>
      </w:pPr>
      <w:r w:rsidRPr="00837CC4">
        <w:rPr>
          <w:rStyle w:val="HideTWBExt"/>
          <w:i w:val="0"/>
          <w:noProof w:val="0"/>
        </w:rPr>
        <w:t>&lt;TitreJust&gt;</w:t>
      </w:r>
      <w:r w:rsidRPr="00837CC4">
        <w:t>Pagrindimas</w:t>
      </w:r>
      <w:r w:rsidRPr="00837CC4">
        <w:rPr>
          <w:rStyle w:val="HideTWBExt"/>
          <w:i w:val="0"/>
          <w:noProof w:val="0"/>
        </w:rPr>
        <w:t>&lt;/TitreJust&gt;</w:t>
      </w:r>
    </w:p>
    <w:p w:rsidR="0084543E" w:rsidRPr="00837CC4" w:rsidRDefault="0084543E" w:rsidP="0084543E">
      <w:pPr>
        <w:pStyle w:val="AmJustText"/>
      </w:pPr>
      <w:r w:rsidRPr="00837CC4">
        <w:t>Atsižvelgiant į sparčią technologijų raidą ir siekiant neatsilikti nuo naujovių ir kurti perspektyvią teisinę sistemą, manome, kad būtų naudinga, kad ESMA atliktų išankstinį vertinimą, kuriame būtų teikiama informacija ir patarimai Komisijai, kad po trejų metų Europos Parlamentui ir Tarybai būtų pateiktas pirminis galimo PRT bandomosios tvarkos pritaikymo ir nutraukimo vertinimas.</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230</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Eva Kaili</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37 konstatuojamoji dalis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t>(37)nedarant poveikio atitinkamoms Direktyvos 2014/65/ES (</w:t>
            </w:r>
            <w:r w:rsidRPr="00837CC4">
              <w:rPr>
                <w:b/>
                <w:bCs/>
                <w:i/>
                <w:iCs/>
              </w:rPr>
              <w:t>Finansinių priemonių rinkų direktyvos,</w:t>
            </w:r>
            <w:r w:rsidRPr="00837CC4">
              <w:t xml:space="preserve"> FPRD II) ar Reglamento (ES) Nr. 909/2014 (</w:t>
            </w:r>
            <w:r w:rsidRPr="00837CC4">
              <w:rPr>
                <w:b/>
                <w:bCs/>
                <w:i/>
                <w:iCs/>
              </w:rPr>
              <w:t>Centrinių vertybinių popierių depozitoriumų reglamento</w:t>
            </w:r>
            <w:r w:rsidRPr="00837CC4">
              <w:t xml:space="preserve">) nuostatoms, kompetentingos institucijos turėtų turėti įgaliojimus panaikinti PRT rinkos infrastruktūrai suteiktą specialų leidimą arba leidimą taikyti išimtis, kai nustatoma, kad PRT rinkos infrastruktūros pagrindinė technologija arba teikiamos paslaugos ar vykdoma veikla turi trūkumą, jeigu šis trūkumas nusveria konkrečios paslaugos teikiamą naudą, arba kai PRT rinkos infrastruktūra pažeidžia kurias nors sąlygas, kompetentingos institucijos nustatytas leistoms taikyti išimtims specialaus leidimo suteikimo metu, arba kai PRT rinkos infrastruktūra registruoja finansines priemones, neatitinkančias PRT perleidžiamųjų vertybinių popierių sąlygų pagal šį reglamentą. Vykdydama savo veiklą PRT rinkos infrastruktūra turėtų turėti galimybę prašyti leisti taikyti papildomas išimtis, be tų, kurių prašyta leidimo suteikimo metu. Tokiu atveju dėl tų </w:t>
            </w:r>
            <w:r w:rsidRPr="00837CC4">
              <w:rPr>
                <w:b/>
                <w:bCs/>
                <w:i/>
                <w:iCs/>
              </w:rPr>
              <w:t>PRT rinkos infrastruktūros prašomų</w:t>
            </w:r>
            <w:r w:rsidRPr="00837CC4">
              <w:t xml:space="preserve"> papildomų išimčių </w:t>
            </w:r>
            <w:r w:rsidRPr="00837CC4">
              <w:rPr>
                <w:b/>
                <w:bCs/>
                <w:i/>
                <w:iCs/>
              </w:rPr>
              <w:t>kompetentingos institucijos</w:t>
            </w:r>
            <w:r w:rsidRPr="00837CC4">
              <w:t xml:space="preserve"> </w:t>
            </w:r>
            <w:r w:rsidRPr="00837CC4">
              <w:rPr>
                <w:b/>
                <w:bCs/>
                <w:i/>
                <w:iCs/>
              </w:rPr>
              <w:t>turėtų suteikti specialų leidimą</w:t>
            </w:r>
            <w:r w:rsidRPr="00837CC4">
              <w:t xml:space="preserve"> lygiai taip, kaip prašant pirminio PRT rinkos infrastruktūros leidimo;</w:t>
            </w:r>
          </w:p>
        </w:tc>
        <w:tc>
          <w:tcPr>
            <w:tcW w:w="4876" w:type="dxa"/>
          </w:tcPr>
          <w:p w:rsidR="0084543E" w:rsidRPr="00837CC4" w:rsidRDefault="0084543E" w:rsidP="00E51AD6">
            <w:pPr>
              <w:pStyle w:val="Normal6a"/>
            </w:pPr>
            <w:r w:rsidRPr="00837CC4">
              <w:t>(37)</w:t>
            </w:r>
            <w:r w:rsidRPr="00837CC4">
              <w:tab/>
              <w:t>nedarant poveikio atitinkamoms Direktyvos 2014/65/ES (FPRD II) ar Reglamento (ES) Nr. 909/2014 (</w:t>
            </w:r>
            <w:r w:rsidRPr="00837CC4">
              <w:rPr>
                <w:b/>
                <w:bCs/>
                <w:i/>
                <w:iCs/>
              </w:rPr>
              <w:t>CVPDR</w:t>
            </w:r>
            <w:r w:rsidRPr="00837CC4">
              <w:t xml:space="preserve">) nuostatoms, kompetentingos institucijos turėtų turėti įgaliojimus panaikinti PRT rinkos infrastruktūrai suteiktą specialų leidimą arba leidimą taikyti išimtis, kai nustatoma, kad PRT rinkos infrastruktūros pagrindinė technologija arba teikiamos paslaugos ar vykdoma veikla turi trūkumą, jeigu šis trūkumas nusveria konkrečios paslaugos teikiamą naudą, arba kai PRT rinkos infrastruktūra pažeidžia kurias nors sąlygas, kompetentingos institucijos nustatytas leistoms taikyti išimtims specialaus leidimo suteikimo metu, arba kai PRT rinkos infrastruktūra registruoja finansines priemones, </w:t>
            </w:r>
            <w:r w:rsidRPr="00837CC4">
              <w:rPr>
                <w:b/>
                <w:bCs/>
                <w:i/>
                <w:iCs/>
              </w:rPr>
              <w:t xml:space="preserve">viršijančias ribas ar </w:t>
            </w:r>
            <w:r w:rsidRPr="00837CC4">
              <w:t xml:space="preserve">neatitinkančias PRT perleidžiamųjų vertybinių popierių sąlygų pagal šį reglamentą. Vykdydama savo veiklą PRT rinkos infrastruktūra turėtų turėti galimybę prašyti leisti taikyti papildomas išimtis, be tų, kurių prašyta </w:t>
            </w:r>
            <w:r w:rsidRPr="00837CC4">
              <w:rPr>
                <w:b/>
                <w:bCs/>
                <w:i/>
                <w:iCs/>
              </w:rPr>
              <w:t xml:space="preserve">pirminio </w:t>
            </w:r>
            <w:r w:rsidRPr="00837CC4">
              <w:t xml:space="preserve">leidimo suteikimo metu. Tokiu atveju </w:t>
            </w:r>
            <w:r w:rsidRPr="00837CC4">
              <w:rPr>
                <w:b/>
                <w:bCs/>
                <w:i/>
                <w:iCs/>
              </w:rPr>
              <w:t xml:space="preserve">prašymą </w:t>
            </w:r>
            <w:r w:rsidRPr="00837CC4">
              <w:t xml:space="preserve">dėl tų papildomų išimčių </w:t>
            </w:r>
            <w:r w:rsidRPr="00837CC4">
              <w:rPr>
                <w:b/>
                <w:bCs/>
                <w:i/>
                <w:iCs/>
              </w:rPr>
              <w:t>reikėtų pateikti</w:t>
            </w:r>
            <w:r w:rsidRPr="00837CC4">
              <w:t xml:space="preserve"> </w:t>
            </w:r>
            <w:r w:rsidRPr="00837CC4">
              <w:rPr>
                <w:b/>
                <w:bCs/>
                <w:i/>
                <w:iCs/>
              </w:rPr>
              <w:t>kompetentingoms institucijoms</w:t>
            </w:r>
            <w:r w:rsidRPr="00837CC4">
              <w:t xml:space="preserve"> lygiai taip, kaip prašant pirminio PRT rinkos infrastruktūros leidimo;</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231</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Eero Heinäluoma, Jonás Fernández, Pedro Marques</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38 konstatuojamoji dalis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t>(38)</w:t>
            </w:r>
            <w:r w:rsidRPr="00837CC4">
              <w:tab/>
              <w:t xml:space="preserve">kadangi PRT rinkos infrastruktūroms galėtų būti leista laikinai netaikyti galiojančių Sąjungos teisės aktų, savo specialaus leidimo laikotarpiu jos turėtų glaudžiai bendradarbiauti su kompetentingomis institucijomis ir Europos vertybinių popierių ir rinkų institucija (ESMA). PRT rinkos infrastruktūros turėtų informuoti kompetentingas institucijas ir ESMA apie visus reikšmingus jų verslo plano ir ypač svarbių darbuotojų pakeitimus, visus kibernetinės grėsmės ar išpuolių, sukčiavimo ar kito rimto piktnaudžiavimo įrodymus, visus informacijos, pateiktos teikiant pirminį prašymą suteikti leidimą, pasikeitimus, techninius sunkumus, ypač susijusius su PRT naudojimu, ir visą naują riziką investuotojų apsaugai, rinkos vientisumui ir finansiniam stabilumui, nenumatytą specialaus leidimo suteikimo metu. Gavusi informaciją apie tokius reikšmingus pasikeitimus, kompetentinga institucija turėtų paprašyti PRT rinkos infrastruktūros pateikti prašymą dėl naujo leidimo ar išimties arba imtis taisomųjų priemonių, kurias laiko tinkamomis. Be to, PRT rinkos infrastruktūros turėtų kompetentingoms institucijoms ir ESMA pateikti visus prašomus atitinkamus duomenis. Siekiant užtikrinti investuotojų apsaugą, rinkos vientisumą ir finansinį stabilumą, PRT rinkos infrastruktūrai specialų leidimą suteikusi kompetentinga institucija, </w:t>
            </w:r>
            <w:r w:rsidRPr="00837CC4">
              <w:rPr>
                <w:b/>
                <w:bCs/>
                <w:i/>
                <w:iCs/>
              </w:rPr>
              <w:t>pasikonsultavusi su</w:t>
            </w:r>
            <w:r w:rsidRPr="00837CC4">
              <w:t xml:space="preserve"> ESMA, turėtų galėti rekomenduoti taisomąsias priemones;</w:t>
            </w:r>
          </w:p>
        </w:tc>
        <w:tc>
          <w:tcPr>
            <w:tcW w:w="4876" w:type="dxa"/>
          </w:tcPr>
          <w:p w:rsidR="0084543E" w:rsidRPr="00837CC4" w:rsidRDefault="0084543E" w:rsidP="00E51AD6">
            <w:pPr>
              <w:pStyle w:val="Normal6a"/>
            </w:pPr>
            <w:r w:rsidRPr="00837CC4">
              <w:t>(38)</w:t>
            </w:r>
            <w:r w:rsidRPr="00837CC4">
              <w:tab/>
              <w:t xml:space="preserve">kadangi PRT rinkos infrastruktūroms galėtų būti leista laikinai netaikyti galiojančių Sąjungos teisės aktų, savo specialaus leidimo laikotarpiu jos turėtų glaudžiai bendradarbiauti su kompetentingomis institucijomis ir Europos vertybinių popierių ir rinkų institucija (ESMA). PRT rinkos infrastruktūros turėtų informuoti kompetentingas institucijas ir ESMA apie visus reikšmingus jų verslo plano ir ypač svarbių darbuotojų pakeitimus, visus kibernetinės grėsmės ar išpuolių, sukčiavimo ar kito rimto piktnaudžiavimo įrodymus, visus informacijos, pateiktos teikiant pirminį prašymą suteikti leidimą, pasikeitimus, techninius sunkumus, ypač susijusius su PRT naudojimu, ir visą naują riziką investuotojų apsaugai, rinkos vientisumui ir finansiniam stabilumui, nenumatytą specialaus leidimo suteikimo metu. Gavusi informaciją apie tokius reikšmingus pasikeitimus, kompetentinga institucija turėtų paprašyti PRT rinkos infrastruktūros pateikti prašymą dėl naujo leidimo ar išimties arba imtis taisomųjų priemonių, kurias laiko tinkamomis. Be to, PRT rinkos infrastruktūros turėtų kompetentingoms institucijoms ir ESMA pateikti visus prašomus atitinkamus duomenis. Siekiant užtikrinti investuotojų apsaugą, rinkos vientisumą ir finansinį stabilumą, </w:t>
            </w:r>
            <w:r w:rsidRPr="00837CC4">
              <w:rPr>
                <w:b/>
                <w:bCs/>
                <w:i/>
                <w:iCs/>
              </w:rPr>
              <w:t>gavusi informaciją apie tokius reikšmingus pasikeitimus, kompetentinga institucija turėtų paprašyti ESMA rekomendacijos bei ja remdamasi paprašyti PRT rinkos infrastruktūros pateikti prašymą dėl naujo leidimo arba išimties arba imtis taisomųjų priemonių, kurias ESMA laiko tinkamomis.</w:t>
            </w:r>
            <w:r w:rsidRPr="00837CC4">
              <w:rPr>
                <w:b/>
                <w:i/>
              </w:rPr>
              <w:t xml:space="preserve"> Be to, PRT rinkos infrastruktūros turėtų kompetentingoms institucijoms ir ESMA pateikti visus prašomus atitinkamus duomenis.</w:t>
            </w:r>
            <w:r w:rsidRPr="00837CC4">
              <w:t xml:space="preserve"> PRT rinkos infrastruktūrai specialų leidimą suteikusi kompetentinga institucija, </w:t>
            </w:r>
            <w:r w:rsidRPr="00837CC4">
              <w:rPr>
                <w:b/>
                <w:bCs/>
                <w:i/>
                <w:iCs/>
              </w:rPr>
              <w:t>gavusi</w:t>
            </w:r>
            <w:r w:rsidRPr="00837CC4">
              <w:t xml:space="preserve"> ESMA </w:t>
            </w:r>
            <w:r w:rsidRPr="00837CC4">
              <w:rPr>
                <w:b/>
                <w:bCs/>
                <w:i/>
                <w:iCs/>
              </w:rPr>
              <w:t>rekomendaciją</w:t>
            </w:r>
            <w:r w:rsidRPr="00837CC4">
              <w:t>, turėtų galėti rekomenduoti taisomąsias priemones;</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232</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Eva Kaili</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38 konstatuojamoji dalis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t>(38)</w:t>
            </w:r>
            <w:r w:rsidRPr="00837CC4">
              <w:tab/>
              <w:t xml:space="preserve">kadangi PRT rinkos infrastruktūroms galėtų būti leista laikinai netaikyti galiojančių Sąjungos teisės aktų, savo specialaus leidimo laikotarpiu jos turėtų glaudžiai bendradarbiauti su kompetentingomis institucijomis ir Europos vertybinių popierių ir rinkų institucija (ESMA). PRT rinkos infrastruktūros turėtų informuoti kompetentingas institucijas ir ESMA apie visus reikšmingus jų verslo plano ir ypač svarbių darbuotojų pakeitimus, visus kibernetinės grėsmės ar išpuolių, sukčiavimo ar kito rimto piktnaudžiavimo įrodymus, visus informacijos, pateiktos teikiant pirminį prašymą suteikti leidimą, pasikeitimus, techninius sunkumus, ypač susijusius su PRT naudojimu, ir visą naują riziką investuotojų apsaugai, rinkos vientisumui ir finansiniam stabilumui, nenumatytą </w:t>
            </w:r>
            <w:r w:rsidRPr="00837CC4">
              <w:rPr>
                <w:b/>
                <w:bCs/>
                <w:i/>
                <w:iCs/>
              </w:rPr>
              <w:t>specialaus leidimo</w:t>
            </w:r>
            <w:r w:rsidRPr="00837CC4">
              <w:t xml:space="preserve"> suteikimo metu. Gavusi informaciją apie tokius reikšmingus pasikeitimus, kompetentinga institucija turėtų paprašyti PRT rinkos infrastruktūros pateikti prašymą dėl naujo leidimo ar išimties arba imtis taisomųjų priemonių, </w:t>
            </w:r>
            <w:r w:rsidRPr="00837CC4">
              <w:rPr>
                <w:b/>
                <w:bCs/>
                <w:i/>
                <w:iCs/>
              </w:rPr>
              <w:t>kurias laiko tinkamomis</w:t>
            </w:r>
            <w:r w:rsidRPr="00837CC4">
              <w:t xml:space="preserve">. Be to, PRT rinkos infrastruktūros turėtų kompetentingoms institucijoms ir ESMA pateikti visus prašomus atitinkamus duomenis. </w:t>
            </w:r>
            <w:r w:rsidRPr="00837CC4">
              <w:rPr>
                <w:b/>
                <w:bCs/>
                <w:i/>
                <w:iCs/>
              </w:rPr>
              <w:t>Siekiant užtikrinti investuotojų apsaugą, rinkos vientisumą ir finansinį stabilumą,</w:t>
            </w:r>
            <w:r w:rsidRPr="00837CC4">
              <w:t xml:space="preserve"> PRT rinkos infrastruktūrai specialų leidimą suteikusi kompetentinga institucija, pasikonsultavusi su ESMA, turėtų galėti </w:t>
            </w:r>
            <w:r w:rsidRPr="00837CC4">
              <w:rPr>
                <w:b/>
                <w:bCs/>
                <w:i/>
                <w:iCs/>
              </w:rPr>
              <w:t>rekomenduoti taisomąsias priemones</w:t>
            </w:r>
            <w:r w:rsidRPr="00837CC4">
              <w:t>;</w:t>
            </w:r>
          </w:p>
        </w:tc>
        <w:tc>
          <w:tcPr>
            <w:tcW w:w="4876" w:type="dxa"/>
          </w:tcPr>
          <w:p w:rsidR="0084543E" w:rsidRPr="00837CC4" w:rsidRDefault="0084543E" w:rsidP="00E51AD6">
            <w:pPr>
              <w:pStyle w:val="Normal6a"/>
            </w:pPr>
            <w:r w:rsidRPr="00837CC4">
              <w:t>(38)</w:t>
            </w:r>
            <w:r w:rsidRPr="00837CC4">
              <w:tab/>
              <w:t xml:space="preserve">kadangi PRT rinkos infrastruktūroms galėtų būti leista laikinai netaikyti galiojančių Sąjungos teisės aktų, savo specialaus leidimo galiojimo laikotarpiu jos turėtų glaudžiai bendradarbiauti su kompetentingomis institucijomis ir Europos vertybinių popierių ir rinkų institucija (ESMA). PRT rinkos infrastruktūros turėtų informuoti kompetentingas institucijas ir ESMA apie visus reikšmingus jų verslo plano ir ypač svarbių darbuotojų pakeitimus, visus kibernetinės grėsmės ar išpuolių, sukčiavimo ar kito rimto piktnaudžiavimo įrodymus, visus informacijos, pateiktos teikiant pirminį prašymą suteikti leidimą, pasikeitimus, techninius sunkumus, ypač susijusius su PRT naudojimu, ir visą naują riziką investuotojų apsaugai, rinkos vientisumui ir finansiniam stabilumui, nenumatytą </w:t>
            </w:r>
            <w:r w:rsidRPr="00837CC4">
              <w:rPr>
                <w:b/>
                <w:bCs/>
                <w:i/>
                <w:iCs/>
              </w:rPr>
              <w:t>specialių leidimų</w:t>
            </w:r>
            <w:r w:rsidRPr="00837CC4">
              <w:t xml:space="preserve"> suteikimo metu. </w:t>
            </w:r>
            <w:r w:rsidRPr="00837CC4">
              <w:rPr>
                <w:b/>
                <w:bCs/>
                <w:i/>
                <w:iCs/>
              </w:rPr>
              <w:t>Siekiant užtikrinti investuotojų apsaugą, rinkos vientisumą ir finansinį stabilumą,</w:t>
            </w:r>
            <w:r w:rsidRPr="00837CC4">
              <w:t xml:space="preserve"> gavusi informaciją apie tokius reikšmingus pasikeitimus, kompetentinga institucija turėtų </w:t>
            </w:r>
            <w:r w:rsidRPr="00837CC4">
              <w:rPr>
                <w:b/>
                <w:bCs/>
                <w:i/>
                <w:iCs/>
              </w:rPr>
              <w:t>informuoti valstybių narių, kuriose PRT rinkos infrastruktūra veikia, kompetentingas institucijas ir paprašyti ESMA pateikti rekomendaciją bei ja remdamasi</w:t>
            </w:r>
            <w:r w:rsidRPr="00837CC4">
              <w:t xml:space="preserve"> paprašyti PRT rinkos infrastruktūros pateikti prašymą dėl naujo leidimo ar išimties arba imtis taisomųjų priemonių, </w:t>
            </w:r>
            <w:r w:rsidRPr="00837CC4">
              <w:rPr>
                <w:b/>
                <w:bCs/>
                <w:i/>
                <w:iCs/>
              </w:rPr>
              <w:t>vadovaujantis ESMA rekomendacijomis</w:t>
            </w:r>
            <w:r w:rsidRPr="00837CC4">
              <w:t xml:space="preserve">. Be to, PRT rinkos infrastruktūros turėtų kompetentingoms institucijoms ir ESMA pateikti visus prašomus atitinkamus duomenis. PRT rinkos infrastruktūrai specialų leidimą suteikusi kompetentinga institucija, pasikonsultavusi su ESMA, turėtų galėti </w:t>
            </w:r>
            <w:r w:rsidRPr="00837CC4">
              <w:rPr>
                <w:b/>
                <w:bCs/>
                <w:i/>
                <w:iCs/>
              </w:rPr>
              <w:t>paprašyti PRT rinkos infrastruktūrą imtis laikinų taisomųjų priemonių, kol ESMA pateiks rekomendaciją</w:t>
            </w:r>
            <w:r w:rsidRPr="00837CC4">
              <w:t>;</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pPr>
        <w:pStyle w:val="AmJustTitle"/>
      </w:pPr>
      <w:r w:rsidRPr="00837CC4">
        <w:rPr>
          <w:rStyle w:val="HideTWBExt"/>
          <w:i w:val="0"/>
          <w:noProof w:val="0"/>
        </w:rPr>
        <w:t>&lt;TitreJust&gt;</w:t>
      </w:r>
      <w:r w:rsidRPr="00837CC4">
        <w:t>Pagrindimas</w:t>
      </w:r>
      <w:r w:rsidRPr="00837CC4">
        <w:rPr>
          <w:rStyle w:val="HideTWBExt"/>
          <w:i w:val="0"/>
          <w:noProof w:val="0"/>
        </w:rPr>
        <w:t>&lt;/TitreJust&gt;</w:t>
      </w:r>
    </w:p>
    <w:p w:rsidR="0084543E" w:rsidRPr="00837CC4" w:rsidRDefault="0084543E" w:rsidP="0084543E">
      <w:pPr>
        <w:pStyle w:val="AmJustText"/>
      </w:pPr>
      <w:r w:rsidRPr="00837CC4">
        <w:t>Redakciniai komentarai ir išaiškinimas. Be to, aprašytų esminių pokyčių atveju priimančiųjų valstybių narių kompetentingos institucijos turėtų būti informuotos ir reikėtų konsultuotis su ESMA dėl rekomendacijos. Jeigu reikės, kompetentingos institucijos tais atvejais, kai kyla klausimų dėl investuotojų apsaugos, rinkos vientisumo ir finansinio stabilumo, turėtų galėti reikalauti, o ne tik „rekomenduoti“, kad PRT infrastruktūra imtųsi kokių nors laikinų priemonių, kol ESMA pateiks rekomendaciją.</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233</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Eva Kaili</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38 a konstatuojamoji dalis (nauja)</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p>
        </w:tc>
        <w:tc>
          <w:tcPr>
            <w:tcW w:w="4876" w:type="dxa"/>
          </w:tcPr>
          <w:p w:rsidR="0084543E" w:rsidRPr="00837CC4" w:rsidRDefault="0084543E" w:rsidP="00E51AD6">
            <w:pPr>
              <w:pStyle w:val="Normal6a"/>
            </w:pPr>
            <w:r w:rsidRPr="00837CC4">
              <w:rPr>
                <w:b/>
                <w:i/>
              </w:rPr>
              <w:t>(38a)</w:t>
            </w:r>
            <w:r w:rsidRPr="00837CC4">
              <w:tab/>
            </w:r>
            <w:r w:rsidRPr="00837CC4">
              <w:rPr>
                <w:b/>
                <w:i/>
              </w:rPr>
              <w:t>ESMA turėtų sukurti ad hoc konsultacinį komitetą, kuris veiktų kaip suinteresuotųjų subjektų grupė, kurioje tam tikrą laiką, atitinkantį bandomosios tvarkos taikymo trukmę, būtų sutelkti tiek viešųjų, tiek privačiųjų subjektų atstovai. Toks ad hoc komitetas turėtų būti įpareigotas vykdyti parengiamąjį ir konsultacinį darbą, kurio reikia norint prisidėti prie ESMA rengiamų rekomendacijų, numatytų pagal šį reglamentą, perduodant rašytinį pareiškimą ESMA, kuriame būtų nustatytos atsisakymo taikyti išimtį arba leidimo, kuris, komiteto manymu, yra nepakankamai pagrįstas arba neatitinka šio reglamento reikalavimų, priežastys. Be to, toks ad hoc konsultacinis komitetas turėtų išnagrinėti tiesiogiai ESMA pateiktus skundus tais atvejais, kai prašymo pateikėjas mano, kad atitinkama nacionalinė kompetentinga institucija nepagrįstai atmetė jo prašymą taikyti išimtį arba išduoti leidimą dalyvauti taikant bandomąją tvarką. Vis dėlto, siekiant išvengti prašymų pateikėjų skundų dėl piktnaudžiavimo teikimo ESMA, reikėtų priimti specialias procedūras, kuriomis būtų analizuojami tik išsamūs ir dokumentais pagrįsti konsultaciniam komitetui perduoti skundai. Pagal šią procedūrą, konsultacinio komiteto prašymu, gavus atitinkamos nacionalinės kompetentingos institucijos atsakymą, turėtų būti numatytas trumpesnis vėlavimas perduodant duomenis ir dokumentai, kuriuos reikia perduoti konsultaciniam komitetui ir į kuriuos visų pirma būtų įtraukta pareiškėjo veiklos ir prašomos (-ų) išimties (-ių) santrauka. Atitinkami pateikti dokumentai, taip pat nacionalinės kompetentingos institucijos sprendimas, kuriuo nesuteikta (-os) prašyta (-os) išimtis (-ys) arba leidimai, turėtų būti išversti į anglų kalbą;</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pPr>
        <w:pStyle w:val="AmJustTitle"/>
      </w:pPr>
      <w:r w:rsidRPr="00837CC4">
        <w:rPr>
          <w:rStyle w:val="HideTWBExt"/>
          <w:i w:val="0"/>
          <w:noProof w:val="0"/>
        </w:rPr>
        <w:t>&lt;TitreJust&gt;</w:t>
      </w:r>
      <w:r w:rsidRPr="00837CC4">
        <w:t>Pagrindimas</w:t>
      </w:r>
      <w:r w:rsidRPr="00837CC4">
        <w:rPr>
          <w:rStyle w:val="HideTWBExt"/>
          <w:i w:val="0"/>
          <w:noProof w:val="0"/>
        </w:rPr>
        <w:t>&lt;/TitreJust&gt;</w:t>
      </w:r>
    </w:p>
    <w:p w:rsidR="0084543E" w:rsidRPr="00837CC4" w:rsidRDefault="0084543E" w:rsidP="0084543E">
      <w:pPr>
        <w:pStyle w:val="AmJustText"/>
      </w:pPr>
      <w:r w:rsidRPr="00837CC4">
        <w:t>Siekiant užtikrinti įvairių nacionalinių kompetentingų institucijų visoje Sąjungoje vykdomos, kurių technologijų išmanymo lygis gali skirtis, priežiūros pagal šį reglamentą numatytų išimčių konvergenciją, nuoseklumą ir proporcingumą ir taip skatinti vienodas sąlygas ir atgrasyti nuo reguliavimo spragų, siūloma labiau stiprinti ESMA vaidmenį. Laikantis Komisijos kapitalo rinkų sąjungos naujo veiksmų plano 16 straipsnio.</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234</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Eva Kaili</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39 konstatuojamoji dalis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t>(39)</w:t>
            </w:r>
            <w:r w:rsidRPr="00837CC4">
              <w:tab/>
              <w:t xml:space="preserve">be to, PRT rinkos infrastruktūros turėtų reguliariai teikti ataskaitas savo kompetentingoms institucijoms ir ESMA. ESMA turėtų surengti diskusijas apie </w:t>
            </w:r>
            <w:r w:rsidRPr="00837CC4">
              <w:rPr>
                <w:b/>
                <w:bCs/>
                <w:i/>
                <w:iCs/>
              </w:rPr>
              <w:t>šias</w:t>
            </w:r>
            <w:r w:rsidRPr="00837CC4">
              <w:t xml:space="preserve"> ataskaitas, kad visos Sąjungos kompetentingos institucijos galėtų įgyti patirties, susijusios su PRT naudojimo poveikiu, ir visus Sąjungos finansinių paslaugų teisės aktų pakeitimus, kurių gali prireikti, kad būtų galima PRT naudoti platesniu mastu;</w:t>
            </w:r>
          </w:p>
        </w:tc>
        <w:tc>
          <w:tcPr>
            <w:tcW w:w="4876" w:type="dxa"/>
          </w:tcPr>
          <w:p w:rsidR="0084543E" w:rsidRPr="00837CC4" w:rsidRDefault="0084543E" w:rsidP="00E51AD6">
            <w:pPr>
              <w:pStyle w:val="Normal6a"/>
            </w:pPr>
            <w:r w:rsidRPr="00837CC4">
              <w:t>(39)</w:t>
            </w:r>
            <w:r w:rsidRPr="00837CC4">
              <w:tab/>
              <w:t xml:space="preserve">be to, PRT rinkos infrastruktūros turėtų reguliariai teikti ataskaitas savo kompetentingoms institucijoms ir ESMA. </w:t>
            </w:r>
            <w:r w:rsidRPr="00837CC4">
              <w:rPr>
                <w:b/>
                <w:i/>
              </w:rPr>
              <w:t>Nacionalinės kompetentingos institucijos, kurios sukūrė inovacijų centrus arba reglamentavimo aplinką, turėtų organizuoti savo kompetentingų skyrių diskusijas, kad įgytų žinių ir platintų gautą informaciją. Taip pat nacionalinės kompetentingos institucijos, dalyvaudamos Europos inovacijų tarpininkų forume (EFIF), turėtų galėti aptarti atvejus, kad galėtų keistis žiniomis ir nustatyti geriausią patirtį.</w:t>
            </w:r>
            <w:r w:rsidRPr="00837CC4">
              <w:t xml:space="preserve"> ESMA turėtų surengti diskusijas apie </w:t>
            </w:r>
            <w:r w:rsidRPr="00837CC4">
              <w:rPr>
                <w:b/>
                <w:bCs/>
                <w:i/>
                <w:iCs/>
              </w:rPr>
              <w:t>tas</w:t>
            </w:r>
            <w:r w:rsidRPr="00837CC4">
              <w:t xml:space="preserve"> ataskaitas, kad visos Sąjungos kompetentingos institucijos galėtų įgyti patirties, susijusios su PRT naudojimo poveikiu</w:t>
            </w:r>
            <w:r w:rsidRPr="00837CC4">
              <w:rPr>
                <w:b/>
                <w:bCs/>
                <w:i/>
                <w:iCs/>
              </w:rPr>
              <w:t xml:space="preserve"> finansų rinkose</w:t>
            </w:r>
            <w:r w:rsidRPr="00837CC4">
              <w:t>, ir visus Sąjungos finansinių paslaugų teisės aktų pakeitimus, kurių gali prireikti, kad būtų galima PRT naudoti platesniu mastu;</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pPr>
        <w:pStyle w:val="AmJustTitle"/>
      </w:pPr>
      <w:r w:rsidRPr="00837CC4">
        <w:rPr>
          <w:rStyle w:val="HideTWBExt"/>
          <w:i w:val="0"/>
          <w:noProof w:val="0"/>
        </w:rPr>
        <w:t>&lt;TitreJust&gt;</w:t>
      </w:r>
      <w:r w:rsidRPr="00837CC4">
        <w:t>Pagrindimas</w:t>
      </w:r>
      <w:r w:rsidRPr="00837CC4">
        <w:rPr>
          <w:rStyle w:val="HideTWBExt"/>
          <w:i w:val="0"/>
          <w:noProof w:val="0"/>
        </w:rPr>
        <w:t>&lt;/TitreJust&gt;</w:t>
      </w:r>
    </w:p>
    <w:p w:rsidR="0084543E" w:rsidRPr="00837CC4" w:rsidRDefault="0084543E" w:rsidP="0084543E">
      <w:pPr>
        <w:pStyle w:val="AmJustText"/>
      </w:pPr>
      <w:r w:rsidRPr="00837CC4">
        <w:t>Siūloma pasitelkti nacionalinių kompetentingų institucijų sukurtus inovacijų tarpininkus (inovacijų centrus ir reglamentavimo aplinką), taip pat EFIF, kurį Komisija sukūrė bendradarbiaudama su trimis EPI, siekiant bendro supratimo, nacionalinėms kompetentingoms institucijoms ir EPI tarpusavyje dalytis žiniomis ir perduoti technologijas, siekiant nedelsiant pritaikyti ES finansinių paslaugų reglamentą.</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235</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Eva Kaili</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40 konstatuojamoji dalis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t>(40)</w:t>
            </w:r>
            <w:r w:rsidRPr="00837CC4">
              <w:tab/>
            </w:r>
            <w:r w:rsidRPr="00837CC4">
              <w:rPr>
                <w:b/>
                <w:bCs/>
                <w:i/>
                <w:iCs/>
              </w:rPr>
              <w:t>praėjus penkeriems metams</w:t>
            </w:r>
            <w:r w:rsidRPr="00837CC4">
              <w:t xml:space="preserve"> nuo šio reglamento taikymo pradžios ESMA turėtų Komisijai pateikti ataskaitą </w:t>
            </w:r>
            <w:r w:rsidRPr="00837CC4">
              <w:rPr>
                <w:b/>
                <w:bCs/>
                <w:i/>
                <w:iCs/>
              </w:rPr>
              <w:t>dėl šios</w:t>
            </w:r>
            <w:r w:rsidRPr="00837CC4">
              <w:t xml:space="preserve"> PRT rinkos infrastruktūroms </w:t>
            </w:r>
            <w:r w:rsidRPr="00837CC4">
              <w:rPr>
                <w:b/>
                <w:bCs/>
                <w:i/>
                <w:iCs/>
              </w:rPr>
              <w:t>skirtos bandomosios tvarkos, įskaitant galimą</w:t>
            </w:r>
            <w:r w:rsidRPr="00837CC4">
              <w:t xml:space="preserve"> PRT naudojimo </w:t>
            </w:r>
            <w:r w:rsidRPr="00837CC4">
              <w:rPr>
                <w:b/>
                <w:bCs/>
                <w:i/>
                <w:iCs/>
              </w:rPr>
              <w:t>naudą</w:t>
            </w:r>
            <w:r w:rsidRPr="00837CC4">
              <w:t xml:space="preserve">, </w:t>
            </w:r>
            <w:r w:rsidRPr="00837CC4">
              <w:rPr>
                <w:b/>
                <w:bCs/>
                <w:i/>
                <w:iCs/>
              </w:rPr>
              <w:t>keliamą riziką</w:t>
            </w:r>
            <w:r w:rsidRPr="00837CC4">
              <w:t xml:space="preserve"> ir </w:t>
            </w:r>
            <w:r w:rsidRPr="00837CC4">
              <w:rPr>
                <w:b/>
                <w:bCs/>
                <w:i/>
                <w:iCs/>
              </w:rPr>
              <w:t>techninius sunkumus</w:t>
            </w:r>
            <w:r w:rsidRPr="00837CC4">
              <w:t xml:space="preserve">. Remdamasi ESMA ataskaita, Komisija turėtų pateikti ataskaitą </w:t>
            </w:r>
            <w:r w:rsidRPr="00837CC4">
              <w:rPr>
                <w:b/>
                <w:bCs/>
                <w:i/>
                <w:iCs/>
              </w:rPr>
              <w:t>Tarybai ir</w:t>
            </w:r>
            <w:r w:rsidRPr="00837CC4">
              <w:t xml:space="preserve"> Europos Parlamentui.</w:t>
            </w:r>
            <w:r w:rsidRPr="00837CC4">
              <w:rPr>
                <w:b/>
                <w:i/>
              </w:rPr>
              <w:t xml:space="preserve"> </w:t>
            </w:r>
            <w:r w:rsidRPr="00837CC4">
              <w:rPr>
                <w:b/>
                <w:bCs/>
                <w:i/>
                <w:iCs/>
              </w:rPr>
              <w:t>Šioje</w:t>
            </w:r>
            <w:r w:rsidRPr="00837CC4">
              <w:t xml:space="preserve"> ataskaitoje reikėtų įvertinti sąnaudas ir naudą, susijusias su </w:t>
            </w:r>
            <w:r w:rsidRPr="00837CC4">
              <w:rPr>
                <w:b/>
                <w:bCs/>
                <w:i/>
                <w:iCs/>
              </w:rPr>
              <w:t>šios</w:t>
            </w:r>
            <w:r w:rsidRPr="00837CC4">
              <w:t xml:space="preserve"> tvarkos taikymo PRT rinkos infrastruktūroms pratęsimu tolesniam laikotarpiui, jos taikymu naujų rūšių finansinėms priemonėms, jos paskelbimu nuolatine tvarka su pakeitimais ar be jų, Sąjungos finansinių paslaugų teisės aktų pakeitimais ar šios tvarkos taikymo nutraukimu;</w:t>
            </w:r>
          </w:p>
        </w:tc>
        <w:tc>
          <w:tcPr>
            <w:tcW w:w="4876" w:type="dxa"/>
          </w:tcPr>
          <w:p w:rsidR="0084543E" w:rsidRPr="00837CC4" w:rsidRDefault="0084543E" w:rsidP="00E51AD6">
            <w:pPr>
              <w:pStyle w:val="Normal6a"/>
            </w:pPr>
            <w:r w:rsidRPr="00837CC4">
              <w:t>(40)</w:t>
            </w:r>
            <w:r w:rsidRPr="00837CC4">
              <w:tab/>
              <w:t xml:space="preserve">ne vėliau kaip </w:t>
            </w:r>
            <w:r w:rsidRPr="00837CC4">
              <w:rPr>
                <w:b/>
                <w:i/>
              </w:rPr>
              <w:t>... [36</w:t>
            </w:r>
            <w:r w:rsidRPr="00837CC4">
              <w:rPr>
                <w:b/>
                <w:bCs/>
                <w:i/>
                <w:iCs/>
              </w:rPr>
              <w:t xml:space="preserve"> mėnesiai</w:t>
            </w:r>
            <w:r w:rsidRPr="00837CC4">
              <w:t xml:space="preserve"> nuo šio reglamento taikymo pradžios </w:t>
            </w:r>
            <w:r w:rsidRPr="00837CC4">
              <w:rPr>
                <w:b/>
                <w:bCs/>
                <w:i/>
                <w:iCs/>
              </w:rPr>
              <w:t>datos]</w:t>
            </w:r>
            <w:r w:rsidRPr="00837CC4">
              <w:t xml:space="preserve"> ESMA turėtų Komisijai pateikti </w:t>
            </w:r>
            <w:r w:rsidRPr="00837CC4">
              <w:rPr>
                <w:b/>
                <w:bCs/>
                <w:i/>
                <w:iCs/>
              </w:rPr>
              <w:t>išankstinę vertinimo ataskaitą</w:t>
            </w:r>
            <w:r w:rsidRPr="00837CC4">
              <w:t xml:space="preserve">, kad </w:t>
            </w:r>
            <w:r w:rsidRPr="00837CC4">
              <w:rPr>
                <w:b/>
                <w:bCs/>
                <w:i/>
                <w:iCs/>
              </w:rPr>
              <w:t>ši galėtų nuspręsti, ar verta</w:t>
            </w:r>
            <w:r w:rsidRPr="00837CC4">
              <w:t xml:space="preserve"> PRT rinkos infrastruktūroms </w:t>
            </w:r>
            <w:r w:rsidRPr="00837CC4">
              <w:rPr>
                <w:b/>
                <w:bCs/>
                <w:i/>
                <w:iCs/>
              </w:rPr>
              <w:t>skirtą bandomąją tvarką taikyti toliau, iki ... [penkeri metai nuo šio reglamento taikymo pradžios datos]</w:t>
            </w:r>
            <w:r w:rsidRPr="00837CC4">
              <w:t>.</w:t>
            </w:r>
            <w:r w:rsidRPr="00837CC4">
              <w:rPr>
                <w:b/>
                <w:i/>
              </w:rPr>
              <w:t xml:space="preserve"> </w:t>
            </w:r>
            <w:r w:rsidRPr="00837CC4">
              <w:rPr>
                <w:b/>
                <w:bCs/>
                <w:i/>
                <w:iCs/>
              </w:rPr>
              <w:t>Šioje išankstinėje vertinimo ataskaitoje turėtų būti nurodyta galima</w:t>
            </w:r>
            <w:r w:rsidRPr="00837CC4">
              <w:t xml:space="preserve"> PRT naudojimo </w:t>
            </w:r>
            <w:r w:rsidRPr="00837CC4">
              <w:rPr>
                <w:b/>
                <w:bCs/>
                <w:i/>
                <w:iCs/>
              </w:rPr>
              <w:t>nauda</w:t>
            </w:r>
            <w:r w:rsidRPr="00837CC4">
              <w:t xml:space="preserve">, </w:t>
            </w:r>
            <w:r w:rsidRPr="00837CC4">
              <w:rPr>
                <w:b/>
                <w:bCs/>
                <w:i/>
                <w:iCs/>
              </w:rPr>
              <w:t>keliama rizika</w:t>
            </w:r>
            <w:r w:rsidRPr="00837CC4">
              <w:t xml:space="preserve"> ir </w:t>
            </w:r>
            <w:r w:rsidRPr="00837CC4">
              <w:rPr>
                <w:b/>
                <w:bCs/>
                <w:i/>
                <w:iCs/>
              </w:rPr>
              <w:t>visi techniniai sunkumai, su kuriais susidurta</w:t>
            </w:r>
            <w:r w:rsidRPr="00837CC4">
              <w:t xml:space="preserve">. </w:t>
            </w:r>
            <w:r w:rsidRPr="00837CC4">
              <w:rPr>
                <w:b/>
                <w:i/>
              </w:rPr>
              <w:t xml:space="preserve">Reikėtų parengti išankstinę vertinimo ataskaitą, pagrįstą metinėmis tarpinėmis ataskaitomis, iš kurių pirmoji turėtų būti parengta praėjus 12 mėnesių nuo šiame reglamente numatytų reguliavimo techninių standartų paskelbimo. </w:t>
            </w:r>
            <w:r w:rsidRPr="00837CC4">
              <w:rPr>
                <w:b/>
                <w:bCs/>
                <w:i/>
                <w:iCs/>
              </w:rPr>
              <w:t>Išankstinė vertinimo ataskaita turėtų suteikti galimybę atlikti vertinimą ir pateikti paaiškinimus, kuriais būtų didinamas teisinis tikrumas ir reguliavimo aiškumas, pagrįstas surinkta informacija apie, be kita ko, rinkos dydį, įgytą patirtį ir PRT technologijos raidą.</w:t>
            </w:r>
            <w:r w:rsidRPr="00837CC4">
              <w:rPr>
                <w:b/>
                <w:i/>
              </w:rPr>
              <w:t xml:space="preserve"> </w:t>
            </w:r>
            <w:r w:rsidRPr="00837CC4">
              <w:t>Jei Komisija pratęsia bandomosios tvarkos taikymą, ESMA turėtų Komisijai pateikti savo galutinę PRT bandomosios tvarkos vertinimo ataskaitą ne vėliau kaip ...[penkeri metai nuo šio reglamento taikymo pradžios datos].</w:t>
            </w:r>
            <w:r w:rsidRPr="00837CC4">
              <w:rPr>
                <w:b/>
                <w:i/>
              </w:rPr>
              <w:t xml:space="preserve"> Galutinė ataskaita turėtų būti parengta pagal tą patį modelį, kaip išankstinė vertinimo ataskaita.</w:t>
            </w:r>
            <w:r w:rsidRPr="00837CC4">
              <w:t xml:space="preserve"> Remdamasi ESMA </w:t>
            </w:r>
            <w:r w:rsidRPr="00837CC4">
              <w:rPr>
                <w:b/>
                <w:bCs/>
                <w:i/>
                <w:iCs/>
              </w:rPr>
              <w:t>išankstine vertinimo</w:t>
            </w:r>
            <w:r w:rsidRPr="00837CC4">
              <w:t xml:space="preserve"> ataskaita Komisija turėtų pateikti ataskaitą Europos Parlamentui</w:t>
            </w:r>
            <w:r w:rsidRPr="00837CC4">
              <w:rPr>
                <w:b/>
                <w:bCs/>
                <w:i/>
                <w:iCs/>
              </w:rPr>
              <w:t xml:space="preserve"> ir Tarybai, ir po to, jei aktualu, ESMA galutine ataskaita paremtą ataskaitą</w:t>
            </w:r>
            <w:r w:rsidRPr="00837CC4">
              <w:t>.</w:t>
            </w:r>
            <w:r w:rsidRPr="00837CC4">
              <w:rPr>
                <w:b/>
                <w:i/>
              </w:rPr>
              <w:t xml:space="preserve"> </w:t>
            </w:r>
            <w:r w:rsidRPr="00837CC4">
              <w:t xml:space="preserve">Komisijos ataskaitoje </w:t>
            </w:r>
            <w:r w:rsidRPr="00837CC4">
              <w:rPr>
                <w:b/>
                <w:bCs/>
                <w:i/>
                <w:iCs/>
              </w:rPr>
              <w:t>bet kuriuo atveju</w:t>
            </w:r>
            <w:r w:rsidRPr="00837CC4">
              <w:t xml:space="preserve"> reikėtų įvertinti sąnaudas ir naudą, susijusias su </w:t>
            </w:r>
            <w:r w:rsidRPr="00837CC4">
              <w:rPr>
                <w:b/>
                <w:bCs/>
                <w:i/>
                <w:iCs/>
              </w:rPr>
              <w:t>bandomosios</w:t>
            </w:r>
            <w:r w:rsidRPr="00837CC4">
              <w:t xml:space="preserve"> tvarkos taikymo PRT rinkos infrastruktūroms pratęsimu tolesniam laikotarpiui, jos taikymu naujų rūšių finansinėms priemonėms, jos paskelbimu nuolatine tvarka su pakeitimais ar be jų, Sąjungos finansinių paslaugų teisės aktų pakeitimais ar šios tvarkos taikymo nutraukimu</w:t>
            </w:r>
            <w:r w:rsidRPr="00837CC4">
              <w:rPr>
                <w:b/>
                <w:bCs/>
                <w:i/>
                <w:iCs/>
              </w:rPr>
              <w:t>.</w:t>
            </w:r>
            <w:r w:rsidRPr="00837CC4">
              <w:t xml:space="preserve"> </w:t>
            </w:r>
            <w:r w:rsidRPr="00837CC4">
              <w:rPr>
                <w:b/>
                <w:i/>
              </w:rPr>
              <w:t>Be to, išankstinėje vertinimo ataskaitoje arba galutinėje ataskaitoje turėtų būti išaiškinta, kaip turėtų būti valdomas perėjimas nuo bandomosios tvarkos prie visiškai suderintos PRT vertybinių popierių reguliavimo tvarkos, kaip reikėtų mažinti riziką, kaip reikėtų taikyti brandžias priemones po to, kai baigsis pereinamasis laikotarpis, ir kaip reikėtų atskirti DPS, kurios vykdo įvairias funkcijas, kurios šiuo metu yra atskirtos, po to, kai bus nutraukta bandomoji tvarka;</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pPr>
        <w:pStyle w:val="AmJustTitle"/>
      </w:pPr>
      <w:r w:rsidRPr="00837CC4">
        <w:rPr>
          <w:rStyle w:val="HideTWBExt"/>
          <w:i w:val="0"/>
          <w:noProof w:val="0"/>
        </w:rPr>
        <w:t>&lt;TitreJust&gt;</w:t>
      </w:r>
      <w:r w:rsidRPr="00837CC4">
        <w:t>Pagrindimas</w:t>
      </w:r>
      <w:r w:rsidRPr="00837CC4">
        <w:rPr>
          <w:rStyle w:val="HideTWBExt"/>
          <w:i w:val="0"/>
          <w:noProof w:val="0"/>
        </w:rPr>
        <w:t>&lt;/TitreJust&gt;</w:t>
      </w:r>
    </w:p>
    <w:p w:rsidR="0084543E" w:rsidRPr="00837CC4" w:rsidRDefault="0084543E" w:rsidP="0084543E">
      <w:pPr>
        <w:pStyle w:val="AmJustText"/>
      </w:pPr>
      <w:r w:rsidRPr="00837CC4">
        <w:t>Atsižvelgiant į sparčią technologijų ir finansinių inovacijų raidą, siūloma, kad ESMA turėtų pateikti Komisijai išsamią išankstinio vertinimo ataskaitą dėl galimo bandomosios tvarkos pritaikymo ar nutraukimo po trejų metų laikotarpio. Komisija, po to, kai ESMA pateiks išankstinę vertinimo ataskaitą, turėtų Europos Parlamentui ir Tarybai pateikti savo ataskaitą. Jei bandomosios tvarkos taikymas nebus nutrauktas, po penkerių metų turėtų būti pateikta antra ESMA ir Komisijos ataskaita.</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236</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Chris MacManus</w:t>
      </w:r>
      <w:r w:rsidRPr="00837CC4">
        <w:rPr>
          <w:rStyle w:val="HideTWBExt"/>
          <w:b w:val="0"/>
          <w:noProof w:val="0"/>
        </w:rPr>
        <w:t>&lt;/Members&gt;</w:t>
      </w:r>
    </w:p>
    <w:p w:rsidR="0084543E" w:rsidRPr="00837CC4" w:rsidRDefault="0084543E" w:rsidP="0084543E">
      <w:r w:rsidRPr="00837CC4">
        <w:rPr>
          <w:rStyle w:val="HideTWBExt"/>
          <w:noProof w:val="0"/>
        </w:rPr>
        <w:t>&lt;AuNomDe&gt;</w:t>
      </w:r>
      <w:r w:rsidRPr="00837CC4">
        <w:rPr>
          <w:rStyle w:val="HideTWBInt"/>
          <w:noProof w:val="0"/>
        </w:rPr>
        <w:t>{The Left}</w:t>
      </w:r>
      <w:r w:rsidRPr="00837CC4">
        <w:t>Kairiųjų frakcijos vardu</w:t>
      </w:r>
      <w:r w:rsidRPr="00837CC4">
        <w:rPr>
          <w:rStyle w:val="HideTWBExt"/>
          <w:noProof w:val="0"/>
        </w:rPr>
        <w:t>&lt;/AuNomDe&gt;</w:t>
      </w:r>
    </w:p>
    <w:p w:rsidR="0084543E" w:rsidRPr="00837CC4" w:rsidRDefault="0084543E" w:rsidP="0084543E">
      <w:r w:rsidRPr="00837CC4">
        <w:rPr>
          <w:rStyle w:val="HideTWBExt"/>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40 konstatuojamoji dalis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t>(40)</w:t>
            </w:r>
            <w:r w:rsidRPr="00837CC4">
              <w:tab/>
              <w:t xml:space="preserve">praėjus </w:t>
            </w:r>
            <w:r w:rsidRPr="00837CC4">
              <w:rPr>
                <w:b/>
                <w:bCs/>
                <w:i/>
                <w:iCs/>
              </w:rPr>
              <w:t>penkeriems</w:t>
            </w:r>
            <w:r w:rsidRPr="00837CC4">
              <w:t xml:space="preserve"> metams nuo šio reglamento taikymo pradžios ESMA turėtų Komisijai pateikti ataskaitą dėl šios PRT rinkos infrastruktūroms skirtos bandomosios tvarkos, įskaitant galimą PRT naudojimo naudą, keliamą riziką ir techninius sunkumus. Remdamasi ESMA ataskaita, Komisija turėtų pateikti ataskaitą Tarybai ir Europos Parlamentui. Šioje ataskaitoje reikėtų </w:t>
            </w:r>
            <w:r w:rsidRPr="00837CC4">
              <w:rPr>
                <w:b/>
                <w:bCs/>
                <w:i/>
                <w:iCs/>
              </w:rPr>
              <w:t>įvertinti sąnaudas ir naudą, susijusias su šios tvarkos taikymo PRT rinkos infrastruktūroms pratęsimu tolesniam laikotarpiui, jos taikymu naujų rūšių finansinėms priemonėms, jos paskelbimu nuolatine tvarka su pakeitimais ar be jų, Sąjungos finansinių paslaugų</w:t>
            </w:r>
            <w:r w:rsidRPr="00837CC4">
              <w:t xml:space="preserve"> teisės </w:t>
            </w:r>
            <w:r w:rsidRPr="00837CC4">
              <w:rPr>
                <w:b/>
                <w:bCs/>
                <w:i/>
                <w:iCs/>
              </w:rPr>
              <w:t>aktų pakeitimais ar šios tvarkos taikymo nutraukimu</w:t>
            </w:r>
            <w:r w:rsidRPr="00837CC4">
              <w:t>;</w:t>
            </w:r>
          </w:p>
        </w:tc>
        <w:tc>
          <w:tcPr>
            <w:tcW w:w="4876" w:type="dxa"/>
          </w:tcPr>
          <w:p w:rsidR="0084543E" w:rsidRPr="00837CC4" w:rsidRDefault="0084543E" w:rsidP="00E51AD6">
            <w:pPr>
              <w:pStyle w:val="Normal6a"/>
            </w:pPr>
            <w:r w:rsidRPr="00837CC4">
              <w:t>(40)</w:t>
            </w:r>
            <w:r w:rsidRPr="00837CC4">
              <w:tab/>
              <w:t xml:space="preserve">praėjus </w:t>
            </w:r>
            <w:r w:rsidRPr="00837CC4">
              <w:rPr>
                <w:b/>
                <w:bCs/>
                <w:i/>
                <w:iCs/>
              </w:rPr>
              <w:t>dvejiems</w:t>
            </w:r>
            <w:r w:rsidRPr="00837CC4">
              <w:t xml:space="preserve"> metams nuo šio reglamento taikymo pradžios ESMA turėtų Komisijai pateikti ataskaitą dėl šios PRT rinkos infrastruktūroms skirtos bandomosios tvarkos, įskaitant galimą PRT naudojimo naudą, keliamą riziką ir techninius sunkumus. Remdamasi ESMA ataskaita, Komisija turėtų pateikti ataskaitą Tarybai ir Europos Parlamentui. Šioje ataskaitoje reikėtų </w:t>
            </w:r>
            <w:r w:rsidRPr="00837CC4">
              <w:rPr>
                <w:b/>
                <w:bCs/>
                <w:i/>
                <w:iCs/>
              </w:rPr>
              <w:t>parodyti, kaip į dabartinius</w:t>
            </w:r>
            <w:r w:rsidRPr="00837CC4">
              <w:t xml:space="preserve"> teisės </w:t>
            </w:r>
            <w:r w:rsidRPr="00837CC4">
              <w:rPr>
                <w:b/>
                <w:bCs/>
                <w:i/>
                <w:iCs/>
              </w:rPr>
              <w:t>aktus ketinama įtraukti įgytą patirtį</w:t>
            </w:r>
            <w:r w:rsidRPr="00837CC4">
              <w:t>;</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237</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Christophe Hansen, Lídia Pereira</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40 konstatuojamoji dalis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t>(40)</w:t>
            </w:r>
            <w:r w:rsidRPr="00837CC4">
              <w:tab/>
              <w:t>praėjus penkeriems metams nuo šio reglamento taikymo pradžios ESMA turėtų Komisijai pateikti ataskaitą dėl šios PRT rinkos infrastruktūroms skirtos bandomosios tvarkos, įskaitant galimą PRT naudojimo naudą, keliamą riziką ir techninius sunkumus. Remdamasi ESMA ataskaita, Komisija turėtų pateikti ataskaitą Tarybai ir Europos Parlamentui. Šioje ataskaitoje reikėtų įvertinti sąnaudas ir naudą, susijusias su šios tvarkos taikymo PRT rinkos infrastruktūroms pratęsimu tolesniam laikotarpiui, jos taikymu naujų rūšių finansinėms priemonėms, jos paskelbimu nuolatine tvarka su pakeitimais ar be jų, Sąjungos finansinių paslaugų teisės aktų pakeitimais ar šios tvarkos taikymo nutraukimu;</w:t>
            </w:r>
          </w:p>
        </w:tc>
        <w:tc>
          <w:tcPr>
            <w:tcW w:w="4876" w:type="dxa"/>
          </w:tcPr>
          <w:p w:rsidR="0084543E" w:rsidRPr="00837CC4" w:rsidRDefault="0084543E" w:rsidP="00E51AD6">
            <w:pPr>
              <w:pStyle w:val="Normal6a"/>
            </w:pPr>
            <w:r w:rsidRPr="00837CC4">
              <w:t>(40)</w:t>
            </w:r>
            <w:r w:rsidRPr="00837CC4">
              <w:tab/>
              <w:t xml:space="preserve">praėjus penkeriems metams nuo šio reglamento taikymo pradžios ESMA </w:t>
            </w:r>
            <w:r w:rsidRPr="00837CC4">
              <w:rPr>
                <w:b/>
                <w:bCs/>
                <w:i/>
                <w:iCs/>
              </w:rPr>
              <w:t>po konsultacijų su nacionalinėmis kompetentingomis institucijomis</w:t>
            </w:r>
            <w:r w:rsidRPr="00837CC4">
              <w:t xml:space="preserve"> turėtų Komisijai pateikti ataskaitą dėl šios PRT rinkos infrastruktūroms skirtos bandomosios tvarkos, įskaitant galimą PRT naudojimo naudą, keliamą riziką ir techninius sunkumus. Remdamasi ESMA ataskaita, Komisija turėtų pateikti ataskaitą Tarybai ir Europos Parlamentui. Šioje ataskaitoje reikėtų įvertinti sąnaudas ir naudą, susijusias su šios tvarkos taikymo PRT rinkos infrastruktūroms pratęsimu tolesniam laikotarpiui, jos taikymu naujų rūšių finansinėms priemonėms, jos paskelbimu nuolatine tvarka su pakeitimais ar be jų, Sąjungos finansinių paslaugų teisės aktų pakeitimais ar šios tvarkos taikymo nutraukimu;</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238</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Jessica Polfjärd</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40 a konstatuojamoji dalis (nauja)</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p>
        </w:tc>
        <w:tc>
          <w:tcPr>
            <w:tcW w:w="4876" w:type="dxa"/>
          </w:tcPr>
          <w:p w:rsidR="0084543E" w:rsidRPr="00837CC4" w:rsidRDefault="0084543E" w:rsidP="00E51AD6">
            <w:pPr>
              <w:pStyle w:val="Normal6a"/>
            </w:pPr>
            <w:r w:rsidRPr="00837CC4">
              <w:rPr>
                <w:b/>
                <w:i/>
              </w:rPr>
              <w:t>(40a)</w:t>
            </w:r>
            <w:r w:rsidRPr="00837CC4">
              <w:tab/>
            </w:r>
            <w:r w:rsidRPr="00837CC4">
              <w:rPr>
                <w:b/>
                <w:i/>
              </w:rPr>
              <w:t>ESMA turėtų paskelbti metines ataskaitas, kad rinkos dalyviai geriau suprastų rinkų veikimą ir plėtrą ir būtų išaiškintas bandomosios tvarkos taikymas. Į ataskaitas taip pat reikėtų įtraukti naujausią informaciją apie bandomosios tvarkos pažangą, susijusią su tendencijomis ir kylančia rizika, ir jas reikėtų pateikti Europos Parlamentui, Tarybai ir Komisijai;</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239</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Markus Ferber</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40 a konstatuojamoji dalis (nauja)</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p>
        </w:tc>
        <w:tc>
          <w:tcPr>
            <w:tcW w:w="4876" w:type="dxa"/>
          </w:tcPr>
          <w:p w:rsidR="0084543E" w:rsidRPr="00837CC4" w:rsidRDefault="0084543E" w:rsidP="00E51AD6">
            <w:pPr>
              <w:pStyle w:val="Normal6a"/>
            </w:pPr>
            <w:r w:rsidRPr="00837CC4">
              <w:rPr>
                <w:b/>
                <w:i/>
              </w:rPr>
              <w:t>(40a)</w:t>
            </w:r>
            <w:r w:rsidRPr="00837CC4">
              <w:tab/>
            </w:r>
            <w:r w:rsidRPr="00837CC4">
              <w:rPr>
                <w:b/>
                <w:i/>
              </w:rPr>
              <w:t>būtų nepageidautina taikyti dvi lygiagrečias tvarkas PRT pagrįstoms ir ne PRT pagrįstoms rinkos infrastruktūroms. Jeigu šiame reglamente numatyta bandomoji tvarka bus sėkminga, ji galėtų tapti nuolatine, jeigu bus iš dalies pakeisti atitinkami Sąjungos finansinių paslaugų teisės aktai taip, kad būtų nustatyta bendra ir nuosekli sistema;</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240</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Markus Ferber</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40 b konstatuojamoji dalis (nauja)</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p>
        </w:tc>
        <w:tc>
          <w:tcPr>
            <w:tcW w:w="4876" w:type="dxa"/>
          </w:tcPr>
          <w:p w:rsidR="0084543E" w:rsidRPr="00837CC4" w:rsidRDefault="0084543E" w:rsidP="00E51AD6">
            <w:pPr>
              <w:pStyle w:val="Normal6a"/>
            </w:pPr>
            <w:r w:rsidRPr="00837CC4">
              <w:rPr>
                <w:b/>
                <w:i/>
              </w:rPr>
              <w:t>(40b)</w:t>
            </w:r>
            <w:r w:rsidRPr="00837CC4">
              <w:tab/>
            </w:r>
            <w:r w:rsidRPr="00837CC4">
              <w:rPr>
                <w:b/>
                <w:i/>
              </w:rPr>
              <w:t>siekiant stebėti bandomosios tvarkos pažangą, ESMA turėtų pateikti Komisijai, Europos Parlamentui ir Tarybai metinę ataskaitą apie svarbiausias tendencijas, riziką ir trūkumus, susijusius su bandomąja tvarka;</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241</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Johan Van Overtveldt</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44 a konstatuojamoji dalis (nauja)</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p>
        </w:tc>
        <w:tc>
          <w:tcPr>
            <w:tcW w:w="4876" w:type="dxa"/>
          </w:tcPr>
          <w:p w:rsidR="0084543E" w:rsidRPr="00837CC4" w:rsidRDefault="0084543E" w:rsidP="00E51AD6">
            <w:pPr>
              <w:pStyle w:val="Normal6a"/>
            </w:pPr>
            <w:r w:rsidRPr="00837CC4">
              <w:rPr>
                <w:b/>
                <w:i/>
              </w:rPr>
              <w:t>(44a)</w:t>
            </w:r>
            <w:r w:rsidRPr="00837CC4">
              <w:tab/>
            </w:r>
            <w:r w:rsidRPr="00837CC4">
              <w:rPr>
                <w:b/>
                <w:i/>
              </w:rPr>
              <w:t>PRT rinkos infrastruktūrų valdymas galėtų apimti asmens duomenų tvarkymą. Bet koks asmens duomenų tvarkymas pagal šį reglamentą turėtų būti vykdomas laikantis taikomų Sąjungos teisės aktų dėl asmens duomenų apsaugos. Šiuo reglamentu nepažeidžiamos pagal Reglamentą (ES) 2016/679</w:t>
            </w:r>
            <w:r w:rsidRPr="00837CC4">
              <w:rPr>
                <w:rStyle w:val="SupBoldItalic"/>
              </w:rPr>
              <w:t>1a</w:t>
            </w:r>
            <w:r w:rsidRPr="00837CC4">
              <w:rPr>
                <w:b/>
                <w:i/>
              </w:rPr>
              <w:t xml:space="preserve"> ir Reglamentą (ES) 2018/1725</w:t>
            </w:r>
            <w:r w:rsidRPr="00837CC4">
              <w:rPr>
                <w:rStyle w:val="SupBoldItalic"/>
              </w:rPr>
              <w:t>1b</w:t>
            </w:r>
            <w:r w:rsidRPr="00837CC4">
              <w:rPr>
                <w:b/>
                <w:i/>
              </w:rPr>
              <w:t xml:space="preserve"> numatytos teisės ir įpareigojimai;</w:t>
            </w:r>
          </w:p>
        </w:tc>
      </w:tr>
      <w:tr w:rsidR="0084543E" w:rsidRPr="00837CC4" w:rsidTr="00E51AD6">
        <w:trPr>
          <w:jc w:val="center"/>
        </w:trPr>
        <w:tc>
          <w:tcPr>
            <w:tcW w:w="4876" w:type="dxa"/>
          </w:tcPr>
          <w:p w:rsidR="0084543E" w:rsidRPr="00837CC4" w:rsidRDefault="0084543E" w:rsidP="00E51AD6">
            <w:pPr>
              <w:pStyle w:val="Normal6a"/>
            </w:pPr>
          </w:p>
        </w:tc>
        <w:tc>
          <w:tcPr>
            <w:tcW w:w="4876" w:type="dxa"/>
          </w:tcPr>
          <w:p w:rsidR="0084543E" w:rsidRPr="00837CC4" w:rsidRDefault="0084543E" w:rsidP="00E51AD6">
            <w:pPr>
              <w:pStyle w:val="Normal6a"/>
            </w:pPr>
            <w:r w:rsidRPr="00837CC4">
              <w:t>_________________</w:t>
            </w:r>
          </w:p>
        </w:tc>
      </w:tr>
      <w:tr w:rsidR="0084543E" w:rsidRPr="00837CC4" w:rsidTr="00E51AD6">
        <w:trPr>
          <w:jc w:val="center"/>
        </w:trPr>
        <w:tc>
          <w:tcPr>
            <w:tcW w:w="4876" w:type="dxa"/>
          </w:tcPr>
          <w:p w:rsidR="0084543E" w:rsidRPr="00837CC4" w:rsidRDefault="0084543E" w:rsidP="00E51AD6">
            <w:pPr>
              <w:pStyle w:val="Normal6a"/>
            </w:pPr>
          </w:p>
        </w:tc>
        <w:tc>
          <w:tcPr>
            <w:tcW w:w="4876" w:type="dxa"/>
          </w:tcPr>
          <w:p w:rsidR="0084543E" w:rsidRPr="00837CC4" w:rsidRDefault="0084543E" w:rsidP="00E51AD6">
            <w:pPr>
              <w:pStyle w:val="Normal6a"/>
            </w:pPr>
            <w:r w:rsidRPr="00837CC4">
              <w:rPr>
                <w:rStyle w:val="SupBoldItalic"/>
              </w:rPr>
              <w:t>1a</w:t>
            </w:r>
            <w:r w:rsidRPr="00837CC4">
              <w:t xml:space="preserve"> </w:t>
            </w:r>
            <w:r w:rsidRPr="00837CC4">
              <w:rPr>
                <w:b/>
                <w:i/>
              </w:rPr>
              <w:t>2016 m. balandžio 27 d. Europos Parlamento ir Tarybos reglamentas (ES) 2016/679 dėl fizinių asmenų apsaugos tvarkant asmens duomenis ir dėl laisvo tokių duomenų judėjimo ir kuriuo panaikinama Direktyva 95/46/EB (Bendrasis duomenų apsaugos reglamentas) (OL L 119, 2016 5 4, p. 1).</w:t>
            </w:r>
          </w:p>
        </w:tc>
      </w:tr>
      <w:tr w:rsidR="0084543E" w:rsidRPr="00837CC4" w:rsidTr="00E51AD6">
        <w:trPr>
          <w:jc w:val="center"/>
        </w:trPr>
        <w:tc>
          <w:tcPr>
            <w:tcW w:w="4876" w:type="dxa"/>
          </w:tcPr>
          <w:p w:rsidR="0084543E" w:rsidRPr="00837CC4" w:rsidRDefault="0084543E" w:rsidP="00E51AD6">
            <w:pPr>
              <w:pStyle w:val="Normal6a"/>
            </w:pPr>
          </w:p>
        </w:tc>
        <w:tc>
          <w:tcPr>
            <w:tcW w:w="4876" w:type="dxa"/>
          </w:tcPr>
          <w:p w:rsidR="0084543E" w:rsidRPr="00837CC4" w:rsidRDefault="0084543E" w:rsidP="00E51AD6">
            <w:pPr>
              <w:pStyle w:val="Normal6a"/>
            </w:pPr>
            <w:r w:rsidRPr="00837CC4">
              <w:rPr>
                <w:rStyle w:val="SupBoldItalic"/>
              </w:rPr>
              <w:t>1b</w:t>
            </w:r>
            <w:r w:rsidRPr="00837CC4">
              <w:t xml:space="preserve"> </w:t>
            </w:r>
            <w:r w:rsidRPr="00837CC4">
              <w:rPr>
                <w:b/>
                <w:i/>
              </w:rPr>
              <w:t>2018 m. spalio 23 d. Europos Parlamento ir Tarybos reglamentas (ES) 2018/1725 dėl fizinių asmenų apsaugos Sąjungos institucijoms, organams, tarnyboms ir agentūroms tvarkant asmens duomenis ir dėl laisvo tokių duomenų judėjimo, kuriuo panaikinamas Reglamentas (EB) Nr. 45/2001 ir Sprendimas Nr. 1247/2002/EB (OL L 295, 2018 11 21, p. 39).</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pPr>
        <w:pStyle w:val="AmJustTitle"/>
      </w:pPr>
      <w:r w:rsidRPr="00837CC4">
        <w:rPr>
          <w:rStyle w:val="HideTWBExt"/>
          <w:i w:val="0"/>
          <w:noProof w:val="0"/>
        </w:rPr>
        <w:t>&lt;TitreJust&gt;</w:t>
      </w:r>
      <w:r w:rsidRPr="00837CC4">
        <w:t>Pagrindimas</w:t>
      </w:r>
      <w:r w:rsidRPr="00837CC4">
        <w:rPr>
          <w:rStyle w:val="HideTWBExt"/>
          <w:i w:val="0"/>
          <w:noProof w:val="0"/>
        </w:rPr>
        <w:t>&lt;/TitreJust&gt;</w:t>
      </w:r>
    </w:p>
    <w:p w:rsidR="0084543E" w:rsidRPr="00837CC4" w:rsidRDefault="0084543E" w:rsidP="0084543E">
      <w:pPr>
        <w:pStyle w:val="AmJustText"/>
      </w:pPr>
      <w:r w:rsidRPr="00837CC4">
        <w:t>Šiuo pakeitimu siekiama atsižvelgti į pagrindinę Europos duomenų apsaugos priežiūros pareigūno (EDAPP) nuomonės 6/2021 mintį, būtent į poreikį laikytis Bendrojo duomenų apsaugos reglamento (BDAR).</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242</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Eva Kaili</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1 straipsnio 1 dalis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t>(1)</w:t>
            </w:r>
            <w:r w:rsidRPr="00837CC4">
              <w:tab/>
              <w:t xml:space="preserve">Šiuo reglamentu nustatomi reikalavimai </w:t>
            </w:r>
            <w:r w:rsidRPr="00837CC4">
              <w:rPr>
                <w:b/>
                <w:bCs/>
                <w:i/>
                <w:iCs/>
              </w:rPr>
              <w:t>daugiašalėms prekybos sistemoms ir vertybinių popierių atsiskaitymo sistemoms, naudojančioms paskirstytojo registro technologiją, t. y.</w:t>
            </w:r>
            <w:r w:rsidRPr="00837CC4">
              <w:t xml:space="preserve"> PRT rinkos infrastruktūroms, gavusioms </w:t>
            </w:r>
            <w:r w:rsidRPr="00837CC4">
              <w:rPr>
                <w:b/>
                <w:bCs/>
                <w:i/>
                <w:iCs/>
              </w:rPr>
              <w:t>specialius leidimus</w:t>
            </w:r>
            <w:r w:rsidRPr="00837CC4">
              <w:t xml:space="preserve"> vykdyti veiklą pagal 7 ir 8 straipsnius.</w:t>
            </w:r>
          </w:p>
        </w:tc>
        <w:tc>
          <w:tcPr>
            <w:tcW w:w="4876" w:type="dxa"/>
          </w:tcPr>
          <w:p w:rsidR="0084543E" w:rsidRPr="00837CC4" w:rsidRDefault="0084543E" w:rsidP="00E51AD6">
            <w:pPr>
              <w:pStyle w:val="Normal6a"/>
            </w:pPr>
            <w:r w:rsidRPr="00837CC4">
              <w:t>(1)</w:t>
            </w:r>
            <w:r w:rsidRPr="00837CC4">
              <w:tab/>
              <w:t xml:space="preserve">Šiuo reglamentu nustatomi reikalavimai PRT rinkos infrastruktūroms, gavusioms </w:t>
            </w:r>
            <w:r w:rsidRPr="00837CC4">
              <w:rPr>
                <w:b/>
                <w:bCs/>
                <w:i/>
                <w:iCs/>
              </w:rPr>
              <w:t>specialų leidimą</w:t>
            </w:r>
            <w:r w:rsidRPr="00837CC4">
              <w:t xml:space="preserve"> vykdyti veiklą pagal 7 ir 8 straipsnius.</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pPr>
        <w:pStyle w:val="AmJustTitle"/>
      </w:pPr>
      <w:r w:rsidRPr="00837CC4">
        <w:rPr>
          <w:rStyle w:val="HideTWBExt"/>
          <w:i w:val="0"/>
          <w:noProof w:val="0"/>
        </w:rPr>
        <w:t>&lt;TitreJust&gt;</w:t>
      </w:r>
      <w:r w:rsidRPr="00837CC4">
        <w:t>Pagrindimas</w:t>
      </w:r>
      <w:r w:rsidRPr="00837CC4">
        <w:rPr>
          <w:rStyle w:val="HideTWBExt"/>
          <w:i w:val="0"/>
          <w:noProof w:val="0"/>
        </w:rPr>
        <w:t>&lt;/TitreJust&gt;</w:t>
      </w:r>
    </w:p>
    <w:p w:rsidR="0084543E" w:rsidRPr="00837CC4" w:rsidRDefault="0084543E" w:rsidP="0084543E">
      <w:pPr>
        <w:pStyle w:val="AmJustText"/>
      </w:pPr>
      <w:r w:rsidRPr="00837CC4">
        <w:t>2 straipsnyje pateikta PRT rinkos infrastruktūrų apibrėžtis.</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243</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Jessica Polfjärd, Christophe Hansen</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1 straipsnio 1 dalis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t>(1)</w:t>
            </w:r>
            <w:r w:rsidRPr="00837CC4">
              <w:tab/>
              <w:t xml:space="preserve">Šiuo reglamentu nustatomi reikalavimai </w:t>
            </w:r>
            <w:r w:rsidRPr="00837CC4">
              <w:rPr>
                <w:b/>
                <w:bCs/>
                <w:i/>
                <w:iCs/>
              </w:rPr>
              <w:t>daugiašalėms prekybos sistemoms ir vertybinių popierių atsiskaitymo sistemoms, naudojančioms paskirstytojo registro technologiją, t. y.</w:t>
            </w:r>
            <w:r w:rsidRPr="00837CC4">
              <w:t xml:space="preserve"> PRT rinkos infrastruktūroms, gavusioms specialius leidimus vykdyti veiklą pagal 7 ir 8 straipsnius.</w:t>
            </w:r>
          </w:p>
        </w:tc>
        <w:tc>
          <w:tcPr>
            <w:tcW w:w="4876" w:type="dxa"/>
          </w:tcPr>
          <w:p w:rsidR="0084543E" w:rsidRPr="00837CC4" w:rsidRDefault="0084543E" w:rsidP="00E51AD6">
            <w:pPr>
              <w:pStyle w:val="Normal6a"/>
            </w:pPr>
            <w:r w:rsidRPr="00837CC4">
              <w:t>(1)</w:t>
            </w:r>
            <w:r w:rsidRPr="00837CC4">
              <w:tab/>
              <w:t>Šiuo reglamentu nustatomi reikalavimai PRT rinkos infrastruktūroms, gavusioms specialius leidimus vykdyti veiklą pagal 7 ir 8 straipsnius.</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244</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Stéphanie Yon-Courtin, Ondřej Kovařík, Gilles Boyer, Olivier Chastel</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1 straipsnio 1 dalis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t>(1)</w:t>
            </w:r>
            <w:r w:rsidRPr="00837CC4">
              <w:tab/>
              <w:t xml:space="preserve">Šiuo reglamentu nustatomi reikalavimai </w:t>
            </w:r>
            <w:r w:rsidRPr="00837CC4">
              <w:rPr>
                <w:b/>
                <w:bCs/>
                <w:i/>
                <w:iCs/>
              </w:rPr>
              <w:t>daugiašalėms prekybos</w:t>
            </w:r>
            <w:r w:rsidRPr="00837CC4">
              <w:t xml:space="preserve"> sistemoms </w:t>
            </w:r>
            <w:r w:rsidRPr="00837CC4">
              <w:rPr>
                <w:b/>
                <w:bCs/>
                <w:i/>
                <w:iCs/>
              </w:rPr>
              <w:t>ir vertybinių popierių atsiskaitymo sistemoms</w:t>
            </w:r>
            <w:r w:rsidRPr="00837CC4">
              <w:t>, naudojančioms paskirstytojo registro technologiją, t. y. PRT rinkos infrastruktūroms, gavusioms specialius leidimus vykdyti veiklą pagal 7 ir 8 straipsnius.</w:t>
            </w:r>
          </w:p>
        </w:tc>
        <w:tc>
          <w:tcPr>
            <w:tcW w:w="4876" w:type="dxa"/>
          </w:tcPr>
          <w:p w:rsidR="0084543E" w:rsidRPr="00837CC4" w:rsidRDefault="0084543E" w:rsidP="00E51AD6">
            <w:pPr>
              <w:pStyle w:val="Normal6a"/>
            </w:pPr>
            <w:r w:rsidRPr="00837CC4">
              <w:t>(1)</w:t>
            </w:r>
            <w:r w:rsidRPr="00837CC4">
              <w:tab/>
              <w:t xml:space="preserve">Šiuo reglamentu nustatomi reikalavimai </w:t>
            </w:r>
            <w:r w:rsidRPr="00837CC4">
              <w:rPr>
                <w:b/>
                <w:bCs/>
                <w:i/>
                <w:iCs/>
              </w:rPr>
              <w:t>subjektų</w:t>
            </w:r>
            <w:r w:rsidRPr="00837CC4">
              <w:t xml:space="preserve"> sistemoms </w:t>
            </w:r>
            <w:r w:rsidRPr="00837CC4">
              <w:rPr>
                <w:b/>
                <w:bCs/>
                <w:i/>
                <w:iCs/>
              </w:rPr>
              <w:t>ir vertybinių popierių atsiskaitymo sistemoms</w:t>
            </w:r>
            <w:r w:rsidRPr="00837CC4">
              <w:t>, naudojančioms paskirstytojo registro technologiją, t. y. PRT rinkos infrastruktūroms, gavusioms specialius leidimus vykdyti veiklą pagal 7 ir 8 straipsnius.</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pPr>
        <w:pStyle w:val="AmJustTitle"/>
      </w:pPr>
      <w:r w:rsidRPr="00837CC4">
        <w:rPr>
          <w:rStyle w:val="HideTWBExt"/>
          <w:i w:val="0"/>
          <w:noProof w:val="0"/>
        </w:rPr>
        <w:t>&lt;TitreJust&gt;</w:t>
      </w:r>
      <w:r w:rsidRPr="00837CC4">
        <w:t>Pagrindimas</w:t>
      </w:r>
      <w:r w:rsidRPr="00837CC4">
        <w:rPr>
          <w:rStyle w:val="HideTWBExt"/>
          <w:i w:val="0"/>
          <w:noProof w:val="0"/>
        </w:rPr>
        <w:t>&lt;/TitreJust&gt;</w:t>
      </w:r>
    </w:p>
    <w:p w:rsidR="0084543E" w:rsidRPr="00837CC4" w:rsidRDefault="0084543E" w:rsidP="0084543E">
      <w:pPr>
        <w:pStyle w:val="AmJustText"/>
      </w:pPr>
      <w:r w:rsidRPr="00837CC4">
        <w:t>Bandomosios tvarkos atvirumas naujų dalyvių atžvilgiu.</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245</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Eva Kaili</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1 straipsnio 2 dalies f punktas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t>f)</w:t>
            </w:r>
            <w:r w:rsidRPr="00837CC4">
              <w:tab/>
              <w:t>PRT rinkos infrastruktūrų operatorių, kompetentingų institucijų ir ESMA bendradarbiavimui.</w:t>
            </w:r>
          </w:p>
        </w:tc>
        <w:tc>
          <w:tcPr>
            <w:tcW w:w="4876" w:type="dxa"/>
          </w:tcPr>
          <w:p w:rsidR="0084543E" w:rsidRPr="00837CC4" w:rsidRDefault="0084543E" w:rsidP="00E51AD6">
            <w:pPr>
              <w:pStyle w:val="Normal6a"/>
            </w:pPr>
            <w:r w:rsidRPr="00837CC4">
              <w:t>f)</w:t>
            </w:r>
            <w:r w:rsidRPr="00837CC4">
              <w:tab/>
              <w:t xml:space="preserve">PRT rinkos infrastruktūrų operatorių, </w:t>
            </w:r>
            <w:r w:rsidRPr="00837CC4">
              <w:rPr>
                <w:b/>
                <w:bCs/>
                <w:i/>
                <w:iCs/>
              </w:rPr>
              <w:t>nacionalinių</w:t>
            </w:r>
            <w:r w:rsidRPr="00837CC4">
              <w:t xml:space="preserve"> kompetentingų institucijų ir ESMA bendradarbiavimui.</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246</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Jessica Polfjärd, Christophe Hansen</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1 straipsnio 2 dalies f punktas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t>f)</w:t>
            </w:r>
            <w:r w:rsidRPr="00837CC4">
              <w:tab/>
              <w:t>PRT rinkos infrastruktūrų operatorių, kompetentingų institucijų ir ESMA bendradarbiavimui.</w:t>
            </w:r>
          </w:p>
        </w:tc>
        <w:tc>
          <w:tcPr>
            <w:tcW w:w="4876" w:type="dxa"/>
          </w:tcPr>
          <w:p w:rsidR="0084543E" w:rsidRPr="00837CC4" w:rsidRDefault="0084543E" w:rsidP="00E51AD6">
            <w:pPr>
              <w:pStyle w:val="Normal6a"/>
            </w:pPr>
            <w:r w:rsidRPr="00837CC4">
              <w:t>f)</w:t>
            </w:r>
            <w:r w:rsidRPr="00837CC4">
              <w:tab/>
              <w:t xml:space="preserve">PRT rinkos infrastruktūrų operatorių, </w:t>
            </w:r>
            <w:r w:rsidRPr="00837CC4">
              <w:rPr>
                <w:b/>
                <w:bCs/>
                <w:i/>
                <w:iCs/>
              </w:rPr>
              <w:t>nacionalinių</w:t>
            </w:r>
            <w:r w:rsidRPr="00837CC4">
              <w:t xml:space="preserve"> kompetentingų institucijų ir ESMA bendradarbiavimui.</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247</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Markus Ferber</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2 straipsnio 1 dalies 1 punktas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t>1)</w:t>
            </w:r>
            <w:r w:rsidRPr="00837CC4">
              <w:tab/>
              <w:t>paskirstytojo registro technologija (PRT) – technologijų, padedančių užtikrinti paskirstytąjį užšifruotų duomenų registravimą, visuma;</w:t>
            </w:r>
          </w:p>
        </w:tc>
        <w:tc>
          <w:tcPr>
            <w:tcW w:w="4876" w:type="dxa"/>
          </w:tcPr>
          <w:p w:rsidR="0084543E" w:rsidRPr="00837CC4" w:rsidRDefault="0084543E" w:rsidP="00E51AD6">
            <w:pPr>
              <w:pStyle w:val="Normal6a"/>
            </w:pPr>
            <w:r w:rsidRPr="00837CC4">
              <w:t>1)</w:t>
            </w:r>
            <w:r w:rsidRPr="00837CC4">
              <w:tab/>
              <w:t xml:space="preserve">paskirstytojo registro technologija (PRT) – </w:t>
            </w:r>
            <w:r w:rsidRPr="00837CC4">
              <w:rPr>
                <w:b/>
                <w:bCs/>
                <w:i/>
                <w:iCs/>
              </w:rPr>
              <w:t>protokolais ir palaikančiąja infrastruktūra pagrįstų</w:t>
            </w:r>
            <w:r w:rsidRPr="00837CC4">
              <w:t xml:space="preserve"> technologijų, </w:t>
            </w:r>
            <w:r w:rsidRPr="00837CC4">
              <w:rPr>
                <w:b/>
                <w:bCs/>
                <w:i/>
                <w:iCs/>
              </w:rPr>
              <w:t>kurios skirtingose vietose esantiems kompiuteriams leidžia siūlyti sandorius, juos patvirtinti ir naudojantis tinklu sinchronizuotai atnaujinti duomenų rinkinius, rūšis</w:t>
            </w:r>
            <w:r w:rsidRPr="00837CC4">
              <w:t>;</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pPr>
        <w:pStyle w:val="AmJustTitle"/>
      </w:pPr>
      <w:r w:rsidRPr="00837CC4">
        <w:rPr>
          <w:rStyle w:val="HideTWBExt"/>
          <w:i w:val="0"/>
          <w:noProof w:val="0"/>
        </w:rPr>
        <w:t>&lt;TitreJust&gt;</w:t>
      </w:r>
      <w:r w:rsidRPr="00837CC4">
        <w:t>Pagrindimas</w:t>
      </w:r>
      <w:r w:rsidRPr="00837CC4">
        <w:rPr>
          <w:rStyle w:val="HideTWBExt"/>
          <w:i w:val="0"/>
          <w:noProof w:val="0"/>
        </w:rPr>
        <w:t>&lt;/TitreJust&gt;</w:t>
      </w:r>
    </w:p>
    <w:p w:rsidR="0084543E" w:rsidRPr="00837CC4" w:rsidRDefault="0084543E" w:rsidP="0084543E">
      <w:pPr>
        <w:pStyle w:val="AmJustText"/>
      </w:pPr>
      <w:r w:rsidRPr="00837CC4">
        <w:t>Siekiant užtikrinti perspektyvumą, reikėtų siekti nustatyti apibrėžtį, kuri būtų technologiniu požiūriu neutrali ir pripažįstama tarptautiniu lygmeniu, Todėl siūloma naudoti Tarptautinių atsiskaitymų banko PRT apibrėžtį (žr. TAB ketvirčio peržiūrą, 2017 m. rugsėjo mėn.).</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248</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Eva Kaili</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2 straipsnio 1 dalies 1 punktas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t>1)</w:t>
            </w:r>
            <w:r w:rsidRPr="00837CC4">
              <w:tab/>
              <w:t xml:space="preserve">paskirstytojo registro technologija (PRT) – technologijų, </w:t>
            </w:r>
            <w:r w:rsidRPr="00837CC4">
              <w:rPr>
                <w:b/>
                <w:bCs/>
                <w:i/>
                <w:iCs/>
              </w:rPr>
              <w:t>padedančių</w:t>
            </w:r>
            <w:r w:rsidRPr="00837CC4">
              <w:t xml:space="preserve"> užtikrinti paskirstytąjį užšifruotų duomenų registravimą, visuma;</w:t>
            </w:r>
          </w:p>
        </w:tc>
        <w:tc>
          <w:tcPr>
            <w:tcW w:w="4876" w:type="dxa"/>
          </w:tcPr>
          <w:p w:rsidR="0084543E" w:rsidRPr="00837CC4" w:rsidRDefault="0084543E" w:rsidP="00E51AD6">
            <w:pPr>
              <w:pStyle w:val="Normal6a"/>
            </w:pPr>
            <w:r w:rsidRPr="00837CC4">
              <w:t>1)</w:t>
            </w:r>
            <w:r w:rsidRPr="00837CC4">
              <w:tab/>
              <w:t xml:space="preserve">paskirstytojo registro technologija (PRT) – technologijų, </w:t>
            </w:r>
            <w:r w:rsidRPr="00837CC4">
              <w:rPr>
                <w:b/>
                <w:bCs/>
                <w:i/>
                <w:iCs/>
              </w:rPr>
              <w:t>suteikiančių galimybę</w:t>
            </w:r>
            <w:r w:rsidRPr="00837CC4">
              <w:t xml:space="preserve"> užtikrinti paskirstytąjį duomenų registravimą</w:t>
            </w:r>
            <w:r w:rsidRPr="00837CC4">
              <w:rPr>
                <w:b/>
                <w:bCs/>
                <w:i/>
                <w:iCs/>
              </w:rPr>
              <w:t xml:space="preserve"> pasitelkiant saugius mechanizmus, pavyzdžiui, kriptografiją</w:t>
            </w:r>
            <w:r w:rsidRPr="00837CC4">
              <w:t>, visuma;</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pPr>
        <w:pStyle w:val="AmJustTitle"/>
      </w:pPr>
      <w:r w:rsidRPr="00837CC4">
        <w:rPr>
          <w:rStyle w:val="HideTWBExt"/>
          <w:i w:val="0"/>
          <w:noProof w:val="0"/>
        </w:rPr>
        <w:t>&lt;TitreJust&gt;</w:t>
      </w:r>
      <w:r w:rsidRPr="00837CC4">
        <w:t>Pagrindimas</w:t>
      </w:r>
      <w:r w:rsidRPr="00837CC4">
        <w:rPr>
          <w:rStyle w:val="HideTWBExt"/>
          <w:i w:val="0"/>
          <w:noProof w:val="0"/>
        </w:rPr>
        <w:t>&lt;/TitreJust&gt;</w:t>
      </w:r>
    </w:p>
    <w:p w:rsidR="0084543E" w:rsidRPr="00837CC4" w:rsidRDefault="0084543E" w:rsidP="0084543E">
      <w:pPr>
        <w:pStyle w:val="AmJustText"/>
      </w:pPr>
      <w:r w:rsidRPr="00837CC4">
        <w:t xml:space="preserve">Siūloma naudoti platesnį kriptografijos terminą, kuris apima šifravimą, maišą ir kitas technikas ir kartu yra perspektyvus. Pvz., šifravimas yra dvikryptė funkcija; užšifruotą turinį galima iššifruoti su tinkamu raktu. Vis dėlto maiša yra vienakryptė funkcija, kuria paprastas tekstas sumaišomas ir sukuriama maišos pranešimo reikšmė. </w:t>
      </w:r>
      <w:bookmarkStart w:id="0" w:name="_GoBack"/>
      <w:bookmarkEnd w:id="0"/>
      <w:r w:rsidRPr="00837CC4">
        <w:t>Maišos slaptažodžių rinkmeną pavogęs asmuo turi atspėti slaptažodį. Be kita ko, abu šie būdai yra naudojami PRT. Be to, turėtume apdairiai suderinti šiame reglamente naudojamas apibrėžtis su MICA siūlomomis apibrėžtimis.</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249</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Sven Giegold</w:t>
      </w:r>
      <w:r w:rsidRPr="00837CC4">
        <w:rPr>
          <w:rStyle w:val="HideTWBExt"/>
          <w:b w:val="0"/>
          <w:noProof w:val="0"/>
        </w:rPr>
        <w:t>&lt;/Members&gt;</w:t>
      </w:r>
    </w:p>
    <w:p w:rsidR="0084543E" w:rsidRPr="00837CC4" w:rsidRDefault="0084543E" w:rsidP="0084543E">
      <w:r w:rsidRPr="00837CC4">
        <w:rPr>
          <w:rStyle w:val="HideTWBExt"/>
          <w:noProof w:val="0"/>
        </w:rPr>
        <w:t>&lt;AuNomDe&gt;</w:t>
      </w:r>
      <w:r w:rsidRPr="00837CC4">
        <w:rPr>
          <w:rStyle w:val="HideTWBInt"/>
          <w:noProof w:val="0"/>
        </w:rPr>
        <w:t>{Greens/EFA}</w:t>
      </w:r>
      <w:r w:rsidRPr="00837CC4">
        <w:t>Verts/ALE frakcijos vardu</w:t>
      </w:r>
      <w:r w:rsidRPr="00837CC4">
        <w:rPr>
          <w:rStyle w:val="HideTWBExt"/>
          <w:noProof w:val="0"/>
        </w:rPr>
        <w:t>&lt;/AuNomDe&gt;</w:t>
      </w:r>
    </w:p>
    <w:p w:rsidR="0084543E" w:rsidRPr="00837CC4" w:rsidRDefault="0084543E" w:rsidP="0084543E">
      <w:r w:rsidRPr="00837CC4">
        <w:rPr>
          <w:rStyle w:val="HideTWBExt"/>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2 straipsnio 1 dalies 1 punktas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t>1)</w:t>
            </w:r>
            <w:r w:rsidRPr="00837CC4">
              <w:tab/>
              <w:t xml:space="preserve">paskirstytojo registro technologija (PRT) – </w:t>
            </w:r>
            <w:r w:rsidRPr="00837CC4">
              <w:rPr>
                <w:b/>
                <w:bCs/>
                <w:i/>
                <w:iCs/>
              </w:rPr>
              <w:t>technologijų, padedančių užtikrinti paskirstytąjį užšifruotų duomenų registravimą, visuma</w:t>
            </w:r>
            <w:r w:rsidRPr="00837CC4">
              <w:t>;</w:t>
            </w:r>
          </w:p>
        </w:tc>
        <w:tc>
          <w:tcPr>
            <w:tcW w:w="4876" w:type="dxa"/>
          </w:tcPr>
          <w:p w:rsidR="0084543E" w:rsidRPr="00837CC4" w:rsidRDefault="0084543E" w:rsidP="00E51AD6">
            <w:pPr>
              <w:pStyle w:val="Normal6a"/>
            </w:pPr>
            <w:r w:rsidRPr="00837CC4">
              <w:t>1)</w:t>
            </w:r>
            <w:r w:rsidRPr="00837CC4">
              <w:tab/>
              <w:t>paskirstytojo registro technologija (PRT) –</w:t>
            </w:r>
            <w:r w:rsidRPr="00837CC4">
              <w:rPr>
                <w:b/>
                <w:bCs/>
                <w:i/>
                <w:iCs/>
              </w:rPr>
              <w:t xml:space="preserve"> Reglamente xxx (MICA) apibrėžta paskirstytoji registro technologija</w:t>
            </w:r>
            <w:r w:rsidRPr="00837CC4">
              <w:t>;</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250</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Christophe Hansen, Lídia Pereira</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2 straipsnio 1 dalies 1 a punktas (naujas)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p>
        </w:tc>
        <w:tc>
          <w:tcPr>
            <w:tcW w:w="4876" w:type="dxa"/>
          </w:tcPr>
          <w:p w:rsidR="0084543E" w:rsidRPr="00837CC4" w:rsidRDefault="0084543E" w:rsidP="00E51AD6">
            <w:pPr>
              <w:pStyle w:val="Normal6a"/>
            </w:pPr>
            <w:r w:rsidRPr="00837CC4">
              <w:rPr>
                <w:b/>
                <w:i/>
              </w:rPr>
              <w:t>1a)</w:t>
            </w:r>
            <w:r w:rsidRPr="00837CC4">
              <w:tab/>
            </w:r>
            <w:r w:rsidRPr="00837CC4">
              <w:rPr>
                <w:b/>
                <w:i/>
              </w:rPr>
              <w:t>PRT savininkas ir už ją atsakingas subjektas turėtų teikti informaciją, susijusią su pagrindiniu PRT infrastruktūros techniniu požiūriu, ir atsakyti bet kokių problemų ar trukdžių atveju. Tekste reikėtų viena nuo kitos atskirti leidimą turinčias ir jo neturinčias PRT infrastruktūras, nes su abiejų tipų PRT infrastruktūromis siejama atsakomybė gali skirtis;</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251</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Stéphanie Yon-Courtin, Ondřej Kovařík, Gilles Boyer, Olivier Chastel</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3 straipsnio 1 pastraipos 3 punkto įžanginė dalis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t>3)</w:t>
            </w:r>
            <w:r w:rsidRPr="00837CC4">
              <w:tab/>
              <w:t xml:space="preserve">PRT daugiašalė prekybos sistema (PRT DPS) – </w:t>
            </w:r>
            <w:r w:rsidRPr="00837CC4">
              <w:rPr>
                <w:b/>
                <w:bCs/>
                <w:i/>
                <w:iCs/>
              </w:rPr>
              <w:t>investicinės įmonės arba rinkos operatoriaus valdoma</w:t>
            </w:r>
            <w:r w:rsidRPr="00837CC4">
              <w:t xml:space="preserve"> daugiašalė prekybos sistema, kurioje leidžiama prekiauti tik PRT perleidžiamaisiais vertybiniais popieriais ir kuriai gali būti leidžiama laikantis skaidrių, neleidžiančių veikti savo nuožiūra, vienodų taisyklių ir procedūrų atlikti šiuos veiksmus:</w:t>
            </w:r>
          </w:p>
        </w:tc>
        <w:tc>
          <w:tcPr>
            <w:tcW w:w="4876" w:type="dxa"/>
          </w:tcPr>
          <w:p w:rsidR="0084543E" w:rsidRPr="00837CC4" w:rsidRDefault="0084543E" w:rsidP="00E51AD6">
            <w:pPr>
              <w:pStyle w:val="Normal6a"/>
            </w:pPr>
            <w:r w:rsidRPr="00837CC4">
              <w:t>3)</w:t>
            </w:r>
            <w:r w:rsidRPr="00837CC4">
              <w:tab/>
              <w:t>PRT daugiašalė prekybos sistema (PRT DPS) – daugiašalė prekybos sistema, kurioje leidžiama prekiauti tik PRT perleidžiamaisiais vertybiniais popieriais ir kuriai gali būti leidžiama laikantis skaidrių, neleidžiančių veikti savo nuožiūra, vienodų taisyklių ir procedūrų atlikti šiuos veiksmus:</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pPr>
        <w:pStyle w:val="AmJustTitle"/>
      </w:pPr>
      <w:r w:rsidRPr="00837CC4">
        <w:rPr>
          <w:rStyle w:val="HideTWBExt"/>
          <w:i w:val="0"/>
          <w:noProof w:val="0"/>
        </w:rPr>
        <w:t>&lt;TitreJust&gt;</w:t>
      </w:r>
      <w:r w:rsidRPr="00837CC4">
        <w:t>Pagrindimas</w:t>
      </w:r>
      <w:r w:rsidRPr="00837CC4">
        <w:rPr>
          <w:rStyle w:val="HideTWBExt"/>
          <w:i w:val="0"/>
          <w:noProof w:val="0"/>
        </w:rPr>
        <w:t>&lt;/TitreJust&gt;</w:t>
      </w:r>
    </w:p>
    <w:p w:rsidR="0084543E" w:rsidRPr="00837CC4" w:rsidRDefault="0084543E" w:rsidP="0084543E">
      <w:pPr>
        <w:pStyle w:val="AmJustText"/>
      </w:pPr>
      <w:r w:rsidRPr="00837CC4">
        <w:t>Bandomosios tvarkos atvirumas naujų dalyvių atžvilgiu.</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252</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Eva Kaili</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3 straipsnio 1 pastraipos 3 punkto įžanginė dalis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t>3)</w:t>
            </w:r>
            <w:r w:rsidRPr="00837CC4">
              <w:tab/>
              <w:t>PRT daugiašalė prekybos sistema (PRT DPS) – investicinės įmonės arba rinkos operatoriaus valdoma daugiašalė prekybos sistema, kurioje leidžiama prekiauti tik PRT perleidžiamaisiais vertybiniais popieriais ir kuriai gali būti leidžiama laikantis skaidrių, neleidžiančių veikti savo nuožiūra, vienodų taisyklių ir procedūrų atlikti šiuos veiksmus:</w:t>
            </w:r>
          </w:p>
        </w:tc>
        <w:tc>
          <w:tcPr>
            <w:tcW w:w="4876" w:type="dxa"/>
          </w:tcPr>
          <w:p w:rsidR="0084543E" w:rsidRPr="00837CC4" w:rsidRDefault="0084543E" w:rsidP="00E51AD6">
            <w:pPr>
              <w:pStyle w:val="Normal6a"/>
            </w:pPr>
            <w:r w:rsidRPr="00837CC4">
              <w:t>3)</w:t>
            </w:r>
            <w:r w:rsidRPr="00837CC4">
              <w:tab/>
              <w:t>PRT daugiašalė prekybos sistema (PRT DPS) – investicinės įmonės arba rinkos operatoriaus valdoma daugiašalė prekybos sistema, kurioje leidžiama prekiauti tik PRT perleidžiamaisiais vertybiniais popieriais</w:t>
            </w:r>
            <w:r w:rsidRPr="00837CC4">
              <w:rPr>
                <w:b/>
                <w:bCs/>
                <w:i/>
                <w:iCs/>
              </w:rPr>
              <w:t>, nurodytais 3 straipsnyje,</w:t>
            </w:r>
            <w:r w:rsidRPr="00837CC4">
              <w:t xml:space="preserve"> ir kuriai gali būti </w:t>
            </w:r>
            <w:r w:rsidRPr="00837CC4">
              <w:rPr>
                <w:b/>
                <w:bCs/>
                <w:i/>
                <w:iCs/>
              </w:rPr>
              <w:t xml:space="preserve">suteikta licencija arba </w:t>
            </w:r>
            <w:r w:rsidRPr="00837CC4">
              <w:t>leidžiama laikantis skaidrių, neleidžiančių veikti savo nuožiūra, vienodų taisyklių ir procedūrų atlikti šiuos veiksmus:</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pPr>
        <w:pStyle w:val="AmJustTitle"/>
      </w:pPr>
      <w:r w:rsidRPr="00837CC4">
        <w:rPr>
          <w:rStyle w:val="HideTWBExt"/>
          <w:i w:val="0"/>
          <w:noProof w:val="0"/>
        </w:rPr>
        <w:t>&lt;TitreJust&gt;</w:t>
      </w:r>
      <w:r w:rsidRPr="00837CC4">
        <w:t>Pagrindimas</w:t>
      </w:r>
      <w:r w:rsidRPr="00837CC4">
        <w:rPr>
          <w:rStyle w:val="HideTWBExt"/>
          <w:i w:val="0"/>
          <w:noProof w:val="0"/>
        </w:rPr>
        <w:t>&lt;/TitreJust&gt;</w:t>
      </w:r>
    </w:p>
    <w:p w:rsidR="0084543E" w:rsidRPr="00837CC4" w:rsidRDefault="0084543E" w:rsidP="0084543E">
      <w:pPr>
        <w:pStyle w:val="AmJustText"/>
      </w:pPr>
      <w:r w:rsidRPr="00837CC4">
        <w:t>Nuoroda į 3 straipsnį. Išaiškinimas, siekiant įtraukti naujus rinkos dalyvius, kurie norėtų pateikti prašymą dėl licencijos tapti DPS operatoriais kartu su leidimu valdyti PRT DPS, remiantis tuo, kas numatyta PRT DPS srityje.</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253</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Stéphanie Yon-Courtin, Ondřej Kovařík, Gilles Boyer, Olivier Chastel</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2 straipsnio 1 dalies 4 punktas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t>4)</w:t>
            </w:r>
            <w:r w:rsidRPr="00837CC4">
              <w:tab/>
              <w:t xml:space="preserve">PRT vertybinių popierių atsiskaitymo sistema – </w:t>
            </w:r>
            <w:r w:rsidRPr="00837CC4">
              <w:rPr>
                <w:b/>
                <w:bCs/>
                <w:i/>
                <w:iCs/>
              </w:rPr>
              <w:t>centrinio vertybinių popierių depozitoriumo valdoma</w:t>
            </w:r>
            <w:r w:rsidRPr="00837CC4">
              <w:t xml:space="preserve"> vertybinių popierių atsiskaitymo sistema, per kurią už atlygį vykdomi atsiskaitymai už PRT perleidžiamųjų vertybinių popierių sandorius;</w:t>
            </w:r>
          </w:p>
        </w:tc>
        <w:tc>
          <w:tcPr>
            <w:tcW w:w="4876" w:type="dxa"/>
          </w:tcPr>
          <w:p w:rsidR="0084543E" w:rsidRPr="00837CC4" w:rsidRDefault="0084543E" w:rsidP="00E51AD6">
            <w:pPr>
              <w:pStyle w:val="Normal6a"/>
            </w:pPr>
            <w:r w:rsidRPr="00837CC4">
              <w:t>4)</w:t>
            </w:r>
            <w:r w:rsidRPr="00837CC4">
              <w:tab/>
              <w:t>PRT vertybinių popierių atsiskaitymo sistema – vertybinių popierių atsiskaitymo sistema, per kurią už atlygį vykdomi atsiskaitymai už PRT perleidžiamųjų vertybinių popierių sandorius;</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pPr>
        <w:pStyle w:val="AmJustTitle"/>
      </w:pPr>
      <w:r w:rsidRPr="00837CC4">
        <w:rPr>
          <w:rStyle w:val="HideTWBExt"/>
          <w:i w:val="0"/>
          <w:noProof w:val="0"/>
        </w:rPr>
        <w:t>&lt;TitreJust&gt;</w:t>
      </w:r>
      <w:r w:rsidRPr="00837CC4">
        <w:t>Pagrindimas</w:t>
      </w:r>
      <w:r w:rsidRPr="00837CC4">
        <w:rPr>
          <w:rStyle w:val="HideTWBExt"/>
          <w:i w:val="0"/>
          <w:noProof w:val="0"/>
        </w:rPr>
        <w:t>&lt;/TitreJust&gt;</w:t>
      </w:r>
    </w:p>
    <w:p w:rsidR="0084543E" w:rsidRPr="00837CC4" w:rsidRDefault="0084543E" w:rsidP="0084543E">
      <w:pPr>
        <w:pStyle w:val="AmJustText"/>
      </w:pPr>
      <w:r w:rsidRPr="00837CC4">
        <w:t>Bandomosios tvarkos atvirumas naujų dalyvių atžvilgiu.</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254</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Eva Kaili</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2 straipsnio 1 dalies 4 punktas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t>4)</w:t>
            </w:r>
            <w:r w:rsidRPr="00837CC4">
              <w:tab/>
              <w:t>PRT vertybinių popierių atsiskaitymo sistema – centrinio vertybinių popierių depozitoriumo valdoma vertybinių popierių atsiskaitymo sistema</w:t>
            </w:r>
            <w:r w:rsidRPr="00837CC4">
              <w:rPr>
                <w:b/>
                <w:bCs/>
                <w:i/>
                <w:iCs/>
              </w:rPr>
              <w:t>, per kurią</w:t>
            </w:r>
            <w:r w:rsidRPr="00837CC4">
              <w:t xml:space="preserve"> už atlygį </w:t>
            </w:r>
            <w:r w:rsidRPr="00837CC4">
              <w:rPr>
                <w:b/>
                <w:bCs/>
                <w:i/>
                <w:iCs/>
              </w:rPr>
              <w:t>vykdomi atsiskaitymai</w:t>
            </w:r>
            <w:r w:rsidRPr="00837CC4">
              <w:t xml:space="preserve"> už PRT perleidžiamųjų vertybinių popierių sandorius;</w:t>
            </w:r>
          </w:p>
        </w:tc>
        <w:tc>
          <w:tcPr>
            <w:tcW w:w="4876" w:type="dxa"/>
          </w:tcPr>
          <w:p w:rsidR="0084543E" w:rsidRPr="00837CC4" w:rsidRDefault="0084543E" w:rsidP="00E51AD6">
            <w:pPr>
              <w:pStyle w:val="Normal6a"/>
            </w:pPr>
            <w:r w:rsidRPr="00837CC4">
              <w:t>4)</w:t>
            </w:r>
            <w:r w:rsidRPr="00837CC4">
              <w:tab/>
              <w:t>PRT vertybinių popierių atsiskaitymo sistema – centrinio vertybinių popierių depozitoriumo valdoma vertybinių popierių atsiskaitymo sistema,</w:t>
            </w:r>
            <w:r w:rsidRPr="00837CC4">
              <w:rPr>
                <w:b/>
                <w:bCs/>
                <w:i/>
                <w:iCs/>
              </w:rPr>
              <w:t>, kurioje priimami tik PRT perleidžiamieji vertybiniai popieriai ir kuriems suteikiama licencija arba leidimas, vadovaujantis skaidriomis, nediskriminacinėmis, vienodomis taisyklėmis ir procedūromis, siekiant:</w:t>
            </w:r>
          </w:p>
        </w:tc>
      </w:tr>
      <w:tr w:rsidR="0084543E" w:rsidRPr="00837CC4" w:rsidTr="00E51AD6">
        <w:trPr>
          <w:jc w:val="center"/>
        </w:trPr>
        <w:tc>
          <w:tcPr>
            <w:tcW w:w="4876" w:type="dxa"/>
          </w:tcPr>
          <w:p w:rsidR="0084543E" w:rsidRPr="00837CC4" w:rsidRDefault="0084543E" w:rsidP="00E51AD6">
            <w:pPr>
              <w:pStyle w:val="Normal6a"/>
            </w:pPr>
          </w:p>
        </w:tc>
        <w:tc>
          <w:tcPr>
            <w:tcW w:w="4876" w:type="dxa"/>
          </w:tcPr>
          <w:p w:rsidR="0084543E" w:rsidRPr="00837CC4" w:rsidRDefault="0084543E" w:rsidP="00E51AD6">
            <w:pPr>
              <w:pStyle w:val="Normal6a"/>
            </w:pPr>
            <w:r w:rsidRPr="00837CC4">
              <w:rPr>
                <w:b/>
                <w:i/>
              </w:rPr>
              <w:t>a) užtikrinti pirminį PRT perleidžiamųjų vertybinių popierių registravimą;</w:t>
            </w:r>
          </w:p>
        </w:tc>
      </w:tr>
      <w:tr w:rsidR="0084543E" w:rsidRPr="00837CC4" w:rsidTr="00E51AD6">
        <w:trPr>
          <w:jc w:val="center"/>
        </w:trPr>
        <w:tc>
          <w:tcPr>
            <w:tcW w:w="4876" w:type="dxa"/>
          </w:tcPr>
          <w:p w:rsidR="0084543E" w:rsidRPr="00837CC4" w:rsidRDefault="0084543E" w:rsidP="00E51AD6">
            <w:pPr>
              <w:pStyle w:val="Normal6a"/>
            </w:pPr>
          </w:p>
        </w:tc>
        <w:tc>
          <w:tcPr>
            <w:tcW w:w="4876" w:type="dxa"/>
          </w:tcPr>
          <w:p w:rsidR="0084543E" w:rsidRPr="00837CC4" w:rsidRDefault="0084543E" w:rsidP="00E51AD6">
            <w:pPr>
              <w:pStyle w:val="Normal6a"/>
            </w:pPr>
            <w:r w:rsidRPr="00837CC4">
              <w:rPr>
                <w:b/>
                <w:i/>
              </w:rPr>
              <w:t xml:space="preserve">b) </w:t>
            </w:r>
            <w:r w:rsidRPr="00837CC4">
              <w:t xml:space="preserve">už atlygį </w:t>
            </w:r>
            <w:r w:rsidRPr="00837CC4">
              <w:rPr>
                <w:b/>
                <w:bCs/>
                <w:i/>
                <w:iCs/>
              </w:rPr>
              <w:t>vykdyti atsiskaitymų</w:t>
            </w:r>
            <w:r w:rsidRPr="00837CC4">
              <w:t xml:space="preserve"> už PRT perleidžiamųjų vertybinių popierių sandorius </w:t>
            </w:r>
            <w:r w:rsidRPr="00837CC4">
              <w:rPr>
                <w:b/>
                <w:i/>
              </w:rPr>
              <w:t>ir</w:t>
            </w:r>
          </w:p>
        </w:tc>
      </w:tr>
      <w:tr w:rsidR="0084543E" w:rsidRPr="00837CC4" w:rsidTr="00E51AD6">
        <w:trPr>
          <w:jc w:val="center"/>
        </w:trPr>
        <w:tc>
          <w:tcPr>
            <w:tcW w:w="4876" w:type="dxa"/>
          </w:tcPr>
          <w:p w:rsidR="0084543E" w:rsidRPr="00837CC4" w:rsidRDefault="0084543E" w:rsidP="00E51AD6">
            <w:pPr>
              <w:pStyle w:val="Normal6a"/>
            </w:pPr>
          </w:p>
        </w:tc>
        <w:tc>
          <w:tcPr>
            <w:tcW w:w="4876" w:type="dxa"/>
          </w:tcPr>
          <w:p w:rsidR="0084543E" w:rsidRPr="00837CC4" w:rsidRDefault="0084543E" w:rsidP="00E51AD6">
            <w:pPr>
              <w:pStyle w:val="Normal6a"/>
            </w:pPr>
            <w:r w:rsidRPr="00837CC4">
              <w:rPr>
                <w:b/>
                <w:i/>
              </w:rPr>
              <w:t>c) teikti su PRT perleidžiamaisiais vertybiniais popieriais arba atitinkamais atvejais su naudojant PRT DPS pateiktais susijusiais mokėjimais ir užtikrinimo priemonėmis susijusias saugojimo paslaugas;</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pPr>
        <w:pStyle w:val="AmJustTitle"/>
      </w:pPr>
      <w:r w:rsidRPr="00837CC4">
        <w:rPr>
          <w:rStyle w:val="HideTWBExt"/>
          <w:i w:val="0"/>
          <w:noProof w:val="0"/>
        </w:rPr>
        <w:t>&lt;TitreJust&gt;</w:t>
      </w:r>
      <w:r w:rsidRPr="00837CC4">
        <w:t>Pagrindimas</w:t>
      </w:r>
      <w:r w:rsidRPr="00837CC4">
        <w:rPr>
          <w:rStyle w:val="HideTWBExt"/>
          <w:i w:val="0"/>
          <w:noProof w:val="0"/>
        </w:rPr>
        <w:t>&lt;/TitreJust&gt;</w:t>
      </w:r>
    </w:p>
    <w:p w:rsidR="0084543E" w:rsidRPr="00837CC4" w:rsidRDefault="0084543E" w:rsidP="0084543E">
      <w:pPr>
        <w:pStyle w:val="AmJustText"/>
      </w:pPr>
      <w:r w:rsidRPr="00837CC4">
        <w:t>Nuoroda į 3 straipsnį. Išaiškinimas, siekiant įtraukti naujus rinkos dalyvius, kurie pageidautų pateikti prašymą dėl licencijos tapti CVPD operatoriais kartu su leidimu valdyti PRT VPAS, remiantis tuo, kas numatyta šiame reglamente. Be to, kadangi PRT DPS šiomis bandomosios tvarkos aplinkybėmis leidžiama teikti CVPD paslaugas, siūloma atitinkamai leisti PRT VPAS teikti DPS paslaugas šiame reglamente aprašytomis sąlygomis.</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255</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Eero Heinäluoma, Jonás Fernández, Pedro Marques</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2 straipsnio 1 dalies 5 punktas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t>5)</w:t>
            </w:r>
            <w:r w:rsidRPr="00837CC4">
              <w:tab/>
              <w:t>PRT perleidžiamieji vertybiniai popieriai – Direktyvos 2014/65/ES 4 straipsnio 1 dalies 44 punkto a ir b papunkčiuose apibrėžti perleidžiamieji vertybiniai popieriai, kurie yra išleisti, registruoti, perleisti ir saugomi naudojant PRT;</w:t>
            </w:r>
          </w:p>
        </w:tc>
        <w:tc>
          <w:tcPr>
            <w:tcW w:w="4876" w:type="dxa"/>
          </w:tcPr>
          <w:p w:rsidR="0084543E" w:rsidRPr="00837CC4" w:rsidRDefault="0084543E" w:rsidP="00E51AD6">
            <w:pPr>
              <w:pStyle w:val="Normal6a"/>
            </w:pPr>
            <w:r w:rsidRPr="00837CC4">
              <w:t>5)</w:t>
            </w:r>
            <w:r w:rsidRPr="00837CC4">
              <w:tab/>
              <w:t>PRT perleidžiamieji vertybiniai popieriai – Direktyvos 2014/65/ES 4 straipsnio 1 dalies 44 punkto a ir b papunkčiuose apibrėžti perleidžiamieji vertybiniai popieriai, kurie yra išleisti, registruoti, perleisti ir saugomi naudojant PRT</w:t>
            </w:r>
            <w:r w:rsidRPr="00837CC4">
              <w:rPr>
                <w:b/>
                <w:bCs/>
                <w:i/>
                <w:iCs/>
              </w:rPr>
              <w:t>, kuri nėra sukurta arba pagrįsta darbo susitarimo mechanizmo įrodymais</w:t>
            </w:r>
            <w:r w:rsidRPr="00837CC4">
              <w:t>;</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256</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Christophe Hansen, Lídia Pereira</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2 straipsnio 1 dalies 5 punktas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t>5)</w:t>
            </w:r>
            <w:r w:rsidRPr="00837CC4">
              <w:tab/>
              <w:t>PRT perleidžiamieji vertybiniai popieriai – Direktyvos 2014/65/ES 4 straipsnio 1 dalies 44 punkto a ir b papunkčiuose apibrėžti perleidžiamieji vertybiniai popieriai, kurie yra išleisti, registruoti, perleisti ir saugomi naudojant PRT;</w:t>
            </w:r>
          </w:p>
        </w:tc>
        <w:tc>
          <w:tcPr>
            <w:tcW w:w="4876" w:type="dxa"/>
          </w:tcPr>
          <w:p w:rsidR="0084543E" w:rsidRPr="00837CC4" w:rsidRDefault="0084543E" w:rsidP="00E51AD6">
            <w:pPr>
              <w:pStyle w:val="Normal6a"/>
            </w:pPr>
            <w:r w:rsidRPr="00837CC4">
              <w:t>5)</w:t>
            </w:r>
            <w:r w:rsidRPr="00837CC4">
              <w:tab/>
              <w:t>PRT perleidžiamieji vertybiniai popieriai – Direktyvos 2014/65/ES 4 straipsnio 1 dalies 44 punkto a ir b papunkčiuose apibrėžti perleidžiamieji vertybiniai popieriai</w:t>
            </w:r>
            <w:r w:rsidRPr="00837CC4">
              <w:rPr>
                <w:b/>
                <w:bCs/>
                <w:i/>
                <w:iCs/>
              </w:rPr>
              <w:t>, įskaitant depozitoriumo pakvitavimus</w:t>
            </w:r>
            <w:r w:rsidRPr="00837CC4">
              <w:t>, kurie yra išleisti, registruoti, perleisti ir saugomi naudojant PRT;</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257</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Jessica Polfjärd</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2 straipsnio 1 dalies 5 a punktas (naujas)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p>
        </w:tc>
        <w:tc>
          <w:tcPr>
            <w:tcW w:w="4876" w:type="dxa"/>
          </w:tcPr>
          <w:p w:rsidR="0084543E" w:rsidRPr="00837CC4" w:rsidRDefault="0084543E" w:rsidP="00E51AD6">
            <w:pPr>
              <w:pStyle w:val="Normal6a"/>
            </w:pPr>
            <w:r w:rsidRPr="00837CC4">
              <w:rPr>
                <w:b/>
                <w:i/>
              </w:rPr>
              <w:t>5a)</w:t>
            </w:r>
            <w:r w:rsidRPr="00837CC4">
              <w:tab/>
            </w:r>
            <w:r w:rsidRPr="00837CC4">
              <w:rPr>
                <w:b/>
                <w:i/>
              </w:rPr>
              <w:t>PRT biržinių fondų vienetai (PRT BFV) – Direktyvos 2014/65/ES 4 straipsnio 1 dalies 46 punkte apibrėžti biržinio fondo vienetai arba akcijos, kurie yra išleisti, registruoti, perleisti ir saugomi naudojant PRT;</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258</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Eva Kaili</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2 straipsnio 1 dalies 5 a punktas (naujas)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p>
        </w:tc>
        <w:tc>
          <w:tcPr>
            <w:tcW w:w="4876" w:type="dxa"/>
          </w:tcPr>
          <w:p w:rsidR="0084543E" w:rsidRPr="00837CC4" w:rsidRDefault="0084543E" w:rsidP="00E51AD6">
            <w:pPr>
              <w:pStyle w:val="Normal6a"/>
            </w:pPr>
            <w:r w:rsidRPr="00837CC4">
              <w:rPr>
                <w:b/>
                <w:i/>
              </w:rPr>
              <w:t>5a)</w:t>
            </w:r>
            <w:r w:rsidRPr="00837CC4">
              <w:tab/>
            </w:r>
            <w:r w:rsidRPr="00837CC4">
              <w:rPr>
                <w:b/>
                <w:i/>
              </w:rPr>
              <w:t>PRT biržinių fondų vienetai (PRT BFV) – Direktyvos 2014/65/ES 4 straipsnio 1 dalies 46 punkte apibrėžti biržinio fondo vienetai arba akcijos, kurie yra išleisti, registruoti, perleisti ir saugomi naudojant PRT;</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pPr>
        <w:pStyle w:val="AmJustTitle"/>
      </w:pPr>
      <w:r w:rsidRPr="00837CC4">
        <w:rPr>
          <w:rStyle w:val="HideTWBExt"/>
          <w:i w:val="0"/>
          <w:noProof w:val="0"/>
        </w:rPr>
        <w:t>&lt;TitreJust&gt;</w:t>
      </w:r>
      <w:r w:rsidRPr="00837CC4">
        <w:t>Pagrindimas</w:t>
      </w:r>
      <w:r w:rsidRPr="00837CC4">
        <w:rPr>
          <w:rStyle w:val="HideTWBExt"/>
          <w:i w:val="0"/>
          <w:noProof w:val="0"/>
        </w:rPr>
        <w:t>&lt;/TitreJust&gt;</w:t>
      </w:r>
    </w:p>
    <w:p w:rsidR="0084543E" w:rsidRPr="00837CC4" w:rsidRDefault="0084543E" w:rsidP="0084543E">
      <w:pPr>
        <w:pStyle w:val="AmJustText"/>
      </w:pPr>
      <w:r w:rsidRPr="00837CC4">
        <w:t>Manome, kad naudinga išplėsti PRT perleidžiamųjų vertybinių popierių taikymo sritį į ją įtraukiant BFV, kad būtų sudaryta palankesnė bandomosios tvarkos aplinka, kurioje daugiau rinkos dalyvių būtų suteikta galimybė įgyti patirties, susijusios su PRT modeliais. Taip pat siūloma, kad šiuos PRT BFV būtų geriausia investuoti į PRT akcijas ir obligacijas.</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259</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Christophe Hansen, Lídia Pereira</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2 straipsnio 1 dalies 6 a punktas (naujas)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p>
        </w:tc>
        <w:tc>
          <w:tcPr>
            <w:tcW w:w="4876" w:type="dxa"/>
          </w:tcPr>
          <w:p w:rsidR="0084543E" w:rsidRPr="00837CC4" w:rsidRDefault="0084543E" w:rsidP="00E51AD6">
            <w:pPr>
              <w:pStyle w:val="Normal6a"/>
            </w:pPr>
            <w:r w:rsidRPr="00837CC4">
              <w:rPr>
                <w:b/>
                <w:i/>
              </w:rPr>
              <w:t>6a)</w:t>
            </w:r>
            <w:r w:rsidRPr="00837CC4">
              <w:tab/>
            </w:r>
            <w:r w:rsidRPr="00837CC4">
              <w:rPr>
                <w:b/>
                <w:i/>
              </w:rPr>
              <w:t>kolektyvinio investavimo subjektų PRT vienetai – Direktyvos 2014/65/ES III priedo c skirsnio 3 punkte apibrėžti kolektyvinio investavimo subjektų vienetai, kurie yra išleidžiami, registruojami, perleidžiami ir saugomi naudojant PRT;</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260</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Eva Kaili</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2 straipsnio 1 dalies 12 a punktas (naujas)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p>
        </w:tc>
        <w:tc>
          <w:tcPr>
            <w:tcW w:w="4876" w:type="dxa"/>
          </w:tcPr>
          <w:p w:rsidR="0084543E" w:rsidRPr="00837CC4" w:rsidRDefault="0084543E" w:rsidP="00E51AD6">
            <w:pPr>
              <w:pStyle w:val="Normal6a"/>
            </w:pPr>
            <w:r w:rsidRPr="00837CC4">
              <w:rPr>
                <w:b/>
                <w:i/>
              </w:rPr>
              <w:t>12a)</w:t>
            </w:r>
            <w:r w:rsidRPr="00837CC4">
              <w:tab/>
            </w:r>
            <w:r w:rsidRPr="00837CC4">
              <w:rPr>
                <w:b/>
                <w:i/>
              </w:rPr>
              <w:t>atsiskaitymo monetos – kriptožetonais pakeisti komercinio banko pinigai;</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pPr>
        <w:pStyle w:val="AmJustTitle"/>
      </w:pPr>
      <w:r w:rsidRPr="00837CC4">
        <w:rPr>
          <w:rStyle w:val="HideTWBExt"/>
          <w:i w:val="0"/>
          <w:noProof w:val="0"/>
        </w:rPr>
        <w:t>&lt;TitreJust&gt;</w:t>
      </w:r>
      <w:r w:rsidRPr="00837CC4">
        <w:t>Pagrindimas</w:t>
      </w:r>
      <w:r w:rsidRPr="00837CC4">
        <w:rPr>
          <w:rStyle w:val="HideTWBExt"/>
          <w:i w:val="0"/>
          <w:noProof w:val="0"/>
        </w:rPr>
        <w:t>&lt;/TitreJust&gt;</w:t>
      </w:r>
    </w:p>
    <w:p w:rsidR="0084543E" w:rsidRPr="00837CC4" w:rsidRDefault="0084543E" w:rsidP="0084543E">
      <w:pPr>
        <w:pStyle w:val="AmJustText"/>
      </w:pPr>
      <w:r w:rsidRPr="00837CC4">
        <w:t>Ši apibrėžtis gali būti suderinta su ta apibrėžtimi, kuri gali būti įtraukta į siūlomą MICA reglamentą.</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261</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Eva Kaili</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13 straipsnio 1 pastraipos 13 punkto įžanginė dalis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t>13)</w:t>
            </w:r>
            <w:r w:rsidRPr="00837CC4">
              <w:tab/>
              <w:t>valstybės obligacija – obligacija, išleista valstybės skolos vertybinių popierių emitento, kuris yra vienas iš šių:</w:t>
            </w:r>
          </w:p>
        </w:tc>
        <w:tc>
          <w:tcPr>
            <w:tcW w:w="4876" w:type="dxa"/>
          </w:tcPr>
          <w:p w:rsidR="0084543E" w:rsidRPr="00837CC4" w:rsidRDefault="0084543E" w:rsidP="00E51AD6">
            <w:pPr>
              <w:pStyle w:val="Normal6a"/>
            </w:pPr>
            <w:r w:rsidRPr="00837CC4">
              <w:t>13)</w:t>
            </w:r>
            <w:r w:rsidRPr="00837CC4">
              <w:tab/>
              <w:t xml:space="preserve">valstybės obligacija – </w:t>
            </w:r>
            <w:r w:rsidRPr="00837CC4">
              <w:rPr>
                <w:b/>
                <w:bCs/>
                <w:i/>
                <w:iCs/>
              </w:rPr>
              <w:t xml:space="preserve">Europos Parlamento ir Tarybos Direktyvos 2014/65/ES (FPRD II) 4 straipsnio 1 dalies 60 punkto i ir ii papunkčiuose apibrėžta </w:t>
            </w:r>
            <w:r w:rsidRPr="00837CC4">
              <w:t>obligacija, išleista valstybės skolos vertybinių popierių emitento, kuris yra vienas iš šių:</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pPr>
        <w:pStyle w:val="AmJustTitle"/>
      </w:pPr>
      <w:r w:rsidRPr="00837CC4">
        <w:rPr>
          <w:rStyle w:val="HideTWBExt"/>
          <w:i w:val="0"/>
          <w:noProof w:val="0"/>
        </w:rPr>
        <w:t>&lt;TitreJust&gt;</w:t>
      </w:r>
      <w:r w:rsidRPr="00837CC4">
        <w:t>Pagrindimas</w:t>
      </w:r>
      <w:r w:rsidRPr="00837CC4">
        <w:rPr>
          <w:rStyle w:val="HideTWBExt"/>
          <w:i w:val="0"/>
          <w:noProof w:val="0"/>
        </w:rPr>
        <w:t>&lt;/TitreJust&gt;</w:t>
      </w:r>
    </w:p>
    <w:p w:rsidR="0084543E" w:rsidRPr="00837CC4" w:rsidRDefault="0084543E" w:rsidP="0084543E">
      <w:pPr>
        <w:pStyle w:val="AmJustText"/>
      </w:pPr>
      <w:r w:rsidRPr="00837CC4">
        <w:t>Siekiant teisinio tikrumo ir aiškumo, 13 punkte pateikta apibrėžtis turėtų būti suderinta su Europos Parlamento ir Tarybos Direktyvos 2014/65/ES (FPRD II) 4 straipsnyje pateikta apibrėžtimi. Siūlomame reglamente pateikta valstybės obligacijų ir kitų viešųjų obligacijų, kurių atitinkamas emitentas yra valstybės subjektas ir viešasis subjektas, apibrėžtis, o pagal FPRD II 4 straipsnį šiame pasiūlyme aprašyti viešieji subjektai yra apibrėžti kaip valstybės subjektai.</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262</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Stéphanie Yon-Courtin, Ondřej Kovařík, Gilles Boyer, Olivier Chastel</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13 straipsnio 1 pastraipos 13 punkto įžanginė dalis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t>13)</w:t>
            </w:r>
            <w:r w:rsidRPr="00837CC4">
              <w:tab/>
              <w:t>valstybės obligacija – obligacija, išleista valstybės skolos vertybinių popierių emitento</w:t>
            </w:r>
            <w:r w:rsidRPr="00837CC4">
              <w:rPr>
                <w:b/>
                <w:bCs/>
                <w:i/>
                <w:iCs/>
              </w:rPr>
              <w:t>, kuris yra vienas iš šių:</w:t>
            </w:r>
          </w:p>
        </w:tc>
        <w:tc>
          <w:tcPr>
            <w:tcW w:w="4876" w:type="dxa"/>
          </w:tcPr>
          <w:p w:rsidR="0084543E" w:rsidRPr="00837CC4" w:rsidRDefault="0084543E" w:rsidP="00E51AD6">
            <w:pPr>
              <w:pStyle w:val="Normal6a"/>
            </w:pPr>
            <w:r w:rsidRPr="00837CC4">
              <w:t>13)</w:t>
            </w:r>
            <w:r w:rsidRPr="00837CC4">
              <w:tab/>
              <w:t xml:space="preserve">valstybės obligacija – </w:t>
            </w:r>
            <w:r w:rsidRPr="00837CC4">
              <w:rPr>
                <w:b/>
                <w:bCs/>
                <w:i/>
                <w:iCs/>
              </w:rPr>
              <w:t>Direktyvos 2014/65/ES 4 straipsnio 1 dalyje apibrėžta</w:t>
            </w:r>
            <w:r w:rsidRPr="00837CC4">
              <w:t xml:space="preserve"> obligacija, išleista valstybės skolos vertybinių popierių emitento</w:t>
            </w:r>
            <w:r w:rsidRPr="00837CC4">
              <w:rPr>
                <w:b/>
                <w:bCs/>
                <w:i/>
                <w:iCs/>
              </w:rPr>
              <w:t>;</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pPr>
        <w:pStyle w:val="AmJustTitle"/>
      </w:pPr>
      <w:r w:rsidRPr="00837CC4">
        <w:rPr>
          <w:rStyle w:val="HideTWBExt"/>
          <w:i w:val="0"/>
          <w:noProof w:val="0"/>
        </w:rPr>
        <w:t>&lt;TitreJust&gt;</w:t>
      </w:r>
      <w:r w:rsidRPr="00837CC4">
        <w:t>Pagrindimas</w:t>
      </w:r>
      <w:r w:rsidRPr="00837CC4">
        <w:rPr>
          <w:rStyle w:val="HideTWBExt"/>
          <w:i w:val="0"/>
          <w:noProof w:val="0"/>
        </w:rPr>
        <w:t>&lt;/TitreJust&gt;</w:t>
      </w:r>
    </w:p>
    <w:p w:rsidR="0084543E" w:rsidRPr="00837CC4" w:rsidRDefault="0084543E" w:rsidP="0084543E">
      <w:pPr>
        <w:pStyle w:val="AmJustText"/>
      </w:pPr>
      <w:r w:rsidRPr="00837CC4">
        <w:t>Suderinta su FPRD pateikta valstybės skolos vertybinių popierių emitento apibrėžtimi.</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263</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Stéphanie Yon-Courtin, Ondřej Kovařík, Gilles Boyer, Olivier Chastel</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2 straipsnio 1 pastraipos 13 punkto a papunktis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rPr>
                <w:b/>
                <w:i/>
              </w:rPr>
              <w:t>a)</w:t>
            </w:r>
            <w:r w:rsidRPr="00837CC4">
              <w:tab/>
            </w:r>
            <w:r w:rsidRPr="00837CC4">
              <w:rPr>
                <w:b/>
                <w:i/>
              </w:rPr>
              <w:t>Sąjunga;</w:t>
            </w:r>
          </w:p>
        </w:tc>
        <w:tc>
          <w:tcPr>
            <w:tcW w:w="4876" w:type="dxa"/>
          </w:tcPr>
          <w:p w:rsidR="0084543E" w:rsidRPr="00837CC4" w:rsidRDefault="0084543E" w:rsidP="00E51AD6">
            <w:pPr>
              <w:pStyle w:val="Normal6a"/>
            </w:pPr>
            <w:r w:rsidRPr="00837CC4">
              <w:rPr>
                <w:b/>
                <w:i/>
              </w:rPr>
              <w:t>Išbraukta.</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pPr>
        <w:pStyle w:val="AmJustTitle"/>
      </w:pPr>
      <w:r w:rsidRPr="00837CC4">
        <w:rPr>
          <w:rStyle w:val="HideTWBExt"/>
          <w:i w:val="0"/>
          <w:noProof w:val="0"/>
        </w:rPr>
        <w:t>&lt;TitreJust&gt;</w:t>
      </w:r>
      <w:r w:rsidRPr="00837CC4">
        <w:t>Pagrindimas</w:t>
      </w:r>
      <w:r w:rsidRPr="00837CC4">
        <w:rPr>
          <w:rStyle w:val="HideTWBExt"/>
          <w:i w:val="0"/>
          <w:noProof w:val="0"/>
        </w:rPr>
        <w:t>&lt;/TitreJust&gt;</w:t>
      </w:r>
    </w:p>
    <w:p w:rsidR="0084543E" w:rsidRPr="00837CC4" w:rsidRDefault="0084543E" w:rsidP="0084543E">
      <w:pPr>
        <w:pStyle w:val="AmJustText"/>
      </w:pPr>
      <w:r w:rsidRPr="00837CC4">
        <w:t>Suderinta su FPRD pateikta valstybės skolos vertybinių popierių emitento apibrėžtimi.</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264</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Stéphanie Yon-Courtin, Ondřej Kovařík, Gilles Boyer, Olivier Chastel</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2 straipsnio 1 dalies 13 punkto b papunktis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rPr>
                <w:b/>
                <w:i/>
              </w:rPr>
              <w:t>b)</w:t>
            </w:r>
            <w:r w:rsidRPr="00837CC4">
              <w:tab/>
            </w:r>
            <w:r w:rsidRPr="00837CC4">
              <w:rPr>
                <w:b/>
                <w:i/>
              </w:rPr>
              <w:t>valstybė narė, įskaitant valstybės narės ar kito valstybės subjekto vyriausybės padalinį, agentūrą ar specialiosios paskirties įmonę;</w:t>
            </w:r>
          </w:p>
        </w:tc>
        <w:tc>
          <w:tcPr>
            <w:tcW w:w="4876" w:type="dxa"/>
          </w:tcPr>
          <w:p w:rsidR="0084543E" w:rsidRPr="00837CC4" w:rsidRDefault="0084543E" w:rsidP="00E51AD6">
            <w:pPr>
              <w:pStyle w:val="Normal6a"/>
            </w:pPr>
            <w:r w:rsidRPr="00837CC4">
              <w:rPr>
                <w:b/>
                <w:i/>
              </w:rPr>
              <w:t>Išbraukta.</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pPr>
        <w:pStyle w:val="AmJustTitle"/>
      </w:pPr>
      <w:r w:rsidRPr="00837CC4">
        <w:rPr>
          <w:rStyle w:val="HideTWBExt"/>
          <w:i w:val="0"/>
          <w:noProof w:val="0"/>
        </w:rPr>
        <w:t>&lt;TitreJust&gt;</w:t>
      </w:r>
      <w:r w:rsidRPr="00837CC4">
        <w:t>Pagrindimas</w:t>
      </w:r>
      <w:r w:rsidRPr="00837CC4">
        <w:rPr>
          <w:rStyle w:val="HideTWBExt"/>
          <w:i w:val="0"/>
          <w:noProof w:val="0"/>
        </w:rPr>
        <w:t>&lt;/TitreJust&gt;</w:t>
      </w:r>
    </w:p>
    <w:p w:rsidR="0084543E" w:rsidRPr="00837CC4" w:rsidRDefault="0084543E" w:rsidP="0084543E">
      <w:pPr>
        <w:pStyle w:val="AmJustText"/>
      </w:pPr>
      <w:r w:rsidRPr="00837CC4">
        <w:t>Suderinta su FPRD pateikta valstybės skolos vertybinių popierių emitento apibrėžtimi.</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265</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Stéphanie Yon-Courtin, Ondřej Kovařík, Gilles Boyer, Olivier Chastel</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2 straipsnio 1 dalies 13 punkto c papunktis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rPr>
                <w:b/>
                <w:i/>
              </w:rPr>
              <w:t>c)</w:t>
            </w:r>
            <w:r w:rsidRPr="00837CC4">
              <w:tab/>
            </w:r>
            <w:r w:rsidRPr="00837CC4">
              <w:rPr>
                <w:b/>
                <w:i/>
              </w:rPr>
              <w:t>a ir b punktuose nenurodytas valstybės subjektas;</w:t>
            </w:r>
          </w:p>
        </w:tc>
        <w:tc>
          <w:tcPr>
            <w:tcW w:w="4876" w:type="dxa"/>
          </w:tcPr>
          <w:p w:rsidR="0084543E" w:rsidRPr="00837CC4" w:rsidRDefault="0084543E" w:rsidP="00E51AD6">
            <w:pPr>
              <w:pStyle w:val="Normal6a"/>
            </w:pPr>
            <w:r w:rsidRPr="00837CC4">
              <w:rPr>
                <w:b/>
                <w:i/>
              </w:rPr>
              <w:t>Išbraukta.</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pPr>
        <w:pStyle w:val="AmJustTitle"/>
      </w:pPr>
      <w:r w:rsidRPr="00837CC4">
        <w:rPr>
          <w:rStyle w:val="HideTWBExt"/>
          <w:i w:val="0"/>
          <w:noProof w:val="0"/>
        </w:rPr>
        <w:t>&lt;TitreJust&gt;</w:t>
      </w:r>
      <w:r w:rsidRPr="00837CC4">
        <w:t>Pagrindimas</w:t>
      </w:r>
      <w:r w:rsidRPr="00837CC4">
        <w:rPr>
          <w:rStyle w:val="HideTWBExt"/>
          <w:i w:val="0"/>
          <w:noProof w:val="0"/>
        </w:rPr>
        <w:t>&lt;/TitreJust&gt;</w:t>
      </w:r>
    </w:p>
    <w:p w:rsidR="0084543E" w:rsidRPr="00837CC4" w:rsidRDefault="0084543E" w:rsidP="0084543E">
      <w:pPr>
        <w:pStyle w:val="AmJustText"/>
      </w:pPr>
      <w:r w:rsidRPr="00837CC4">
        <w:t>Suderinta su FPRD pateikta valstybės skolos vertybinių popierių emitento apibrėžtimi.</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266</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Eva Kaili</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2 straipsnio 1 dalies 13 punkto c papunktis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rPr>
                <w:b/>
                <w:i/>
              </w:rPr>
              <w:t>c)</w:t>
            </w:r>
            <w:r w:rsidRPr="00837CC4">
              <w:tab/>
            </w:r>
            <w:r w:rsidRPr="00837CC4">
              <w:rPr>
                <w:b/>
                <w:i/>
              </w:rPr>
              <w:t>a ir b punktuose nenurodytas valstybės subjektas;</w:t>
            </w:r>
          </w:p>
        </w:tc>
        <w:tc>
          <w:tcPr>
            <w:tcW w:w="4876" w:type="dxa"/>
          </w:tcPr>
          <w:p w:rsidR="0084543E" w:rsidRPr="00837CC4" w:rsidRDefault="0084543E" w:rsidP="00E51AD6">
            <w:pPr>
              <w:pStyle w:val="Normal6a"/>
            </w:pPr>
            <w:r w:rsidRPr="00837CC4">
              <w:rPr>
                <w:b/>
                <w:i/>
              </w:rPr>
              <w:t>Išbraukta.</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267</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Eva Kaili</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14 straipsnio 1 pastraipos 13 punkto įžanginė dalis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t>14)</w:t>
            </w:r>
            <w:r w:rsidRPr="00837CC4">
              <w:tab/>
              <w:t xml:space="preserve">kita viešoji obligacija – obligacija, išleista vieno iš šių </w:t>
            </w:r>
            <w:r w:rsidRPr="00837CC4">
              <w:rPr>
                <w:b/>
                <w:bCs/>
                <w:i/>
                <w:iCs/>
              </w:rPr>
              <w:t>viešųjų</w:t>
            </w:r>
            <w:r w:rsidRPr="00837CC4">
              <w:t xml:space="preserve"> emitentų:</w:t>
            </w:r>
          </w:p>
        </w:tc>
        <w:tc>
          <w:tcPr>
            <w:tcW w:w="4876" w:type="dxa"/>
          </w:tcPr>
          <w:p w:rsidR="0084543E" w:rsidRPr="00837CC4" w:rsidRDefault="0084543E" w:rsidP="00E51AD6">
            <w:pPr>
              <w:pStyle w:val="Normal6a"/>
            </w:pPr>
            <w:r w:rsidRPr="00837CC4">
              <w:t>14)</w:t>
            </w:r>
            <w:r w:rsidRPr="00837CC4">
              <w:tab/>
              <w:t xml:space="preserve">kita viešoji obligacija – </w:t>
            </w:r>
            <w:r w:rsidRPr="00837CC4">
              <w:rPr>
                <w:b/>
                <w:bCs/>
                <w:i/>
                <w:iCs/>
              </w:rPr>
              <w:t xml:space="preserve">Europos Parlamento ir Tarybos Direktyvos 2014/65/ES (FPRD II) 4 straipsnio 1 dalies 60 punkto iii, iv, v ir vi papunkčiuose apibrėžta </w:t>
            </w:r>
            <w:r w:rsidRPr="00837CC4">
              <w:t xml:space="preserve">obligacija, išleista vieno iš </w:t>
            </w:r>
            <w:r w:rsidRPr="00837CC4">
              <w:rPr>
                <w:b/>
                <w:bCs/>
                <w:i/>
                <w:iCs/>
              </w:rPr>
              <w:t>valstybės skolos vertybinių popierių</w:t>
            </w:r>
            <w:r w:rsidRPr="00837CC4">
              <w:t xml:space="preserve"> emitentų:</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pPr>
        <w:pStyle w:val="AmJustTitle"/>
      </w:pPr>
      <w:r w:rsidRPr="00837CC4">
        <w:rPr>
          <w:rStyle w:val="HideTWBExt"/>
          <w:i w:val="0"/>
          <w:noProof w:val="0"/>
        </w:rPr>
        <w:t>&lt;TitreJust&gt;</w:t>
      </w:r>
      <w:r w:rsidRPr="00837CC4">
        <w:t>Pagrindimas</w:t>
      </w:r>
      <w:r w:rsidRPr="00837CC4">
        <w:rPr>
          <w:rStyle w:val="HideTWBExt"/>
          <w:i w:val="0"/>
          <w:noProof w:val="0"/>
        </w:rPr>
        <w:t>&lt;/TitreJust&gt;</w:t>
      </w:r>
    </w:p>
    <w:p w:rsidR="0084543E" w:rsidRPr="00837CC4" w:rsidRDefault="0084543E" w:rsidP="0084543E">
      <w:pPr>
        <w:pStyle w:val="AmJustText"/>
      </w:pPr>
      <w:r w:rsidRPr="00837CC4">
        <w:t>Siekiant teisinio tikrumo ir aiškumo, 14 punkte pateikta apibrėžtis turėtų būti suderinta su Europos Parlamento ir Tarybos Direktyvos 2014/65/ES (FPRD II) 4 straipsnyje pateikta apibrėžtimi. Siūlomame reglamente pateikta valstybės obligacijų ir kitų viešųjų obligacijų, kurių atitinkamas emitentas yra valstybės subjektas ir viešasis subjektas, apibrėžtis, o pagal FPRD II 4 straipsnį šiame pasiūlyme aprašyti viešieji subjektai yra apibrėžti kaip valstybės subjektai.</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268</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Eva Kaili</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2 straipsnio 1 dalies 14 punkto e papunktis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rPr>
                <w:b/>
                <w:i/>
              </w:rPr>
              <w:t>e)</w:t>
            </w:r>
            <w:r w:rsidRPr="00837CC4">
              <w:tab/>
            </w:r>
            <w:r w:rsidRPr="00837CC4">
              <w:rPr>
                <w:b/>
                <w:i/>
              </w:rPr>
              <w:t>viešasis subjektas, kuris nėra 13 punkte nurodytos valstybės obligacijos emitentas;</w:t>
            </w:r>
          </w:p>
        </w:tc>
        <w:tc>
          <w:tcPr>
            <w:tcW w:w="4876" w:type="dxa"/>
          </w:tcPr>
          <w:p w:rsidR="0084543E" w:rsidRPr="00837CC4" w:rsidRDefault="0084543E" w:rsidP="00E51AD6">
            <w:pPr>
              <w:pStyle w:val="Normal6a"/>
            </w:pPr>
            <w:r w:rsidRPr="00837CC4">
              <w:rPr>
                <w:b/>
                <w:i/>
              </w:rPr>
              <w:t>Išbraukta.</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269</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Sven Giegold</w:t>
      </w:r>
      <w:r w:rsidRPr="00837CC4">
        <w:rPr>
          <w:rStyle w:val="HideTWBExt"/>
          <w:b w:val="0"/>
          <w:noProof w:val="0"/>
        </w:rPr>
        <w:t>&lt;/Members&gt;</w:t>
      </w:r>
    </w:p>
    <w:p w:rsidR="0084543E" w:rsidRPr="00837CC4" w:rsidRDefault="0084543E" w:rsidP="0084543E">
      <w:r w:rsidRPr="00837CC4">
        <w:rPr>
          <w:rStyle w:val="HideTWBExt"/>
          <w:noProof w:val="0"/>
        </w:rPr>
        <w:t>&lt;AuNomDe&gt;</w:t>
      </w:r>
      <w:r w:rsidRPr="00837CC4">
        <w:rPr>
          <w:rStyle w:val="HideTWBInt"/>
          <w:noProof w:val="0"/>
        </w:rPr>
        <w:t>{Greens/EFA}</w:t>
      </w:r>
      <w:r w:rsidRPr="00837CC4">
        <w:t>Verts/ALE frakcijos vardu</w:t>
      </w:r>
      <w:r w:rsidRPr="00837CC4">
        <w:rPr>
          <w:rStyle w:val="HideTWBExt"/>
          <w:noProof w:val="0"/>
        </w:rPr>
        <w:t>&lt;/AuNomDe&gt;</w:t>
      </w:r>
    </w:p>
    <w:p w:rsidR="0084543E" w:rsidRPr="00837CC4" w:rsidRDefault="0084543E" w:rsidP="0084543E">
      <w:r w:rsidRPr="00837CC4">
        <w:rPr>
          <w:rStyle w:val="HideTWBExt"/>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2 straipsnio 1 dalies 21 punkto c papunktis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t>c)</w:t>
            </w:r>
            <w:r w:rsidRPr="00837CC4">
              <w:tab/>
            </w:r>
            <w:r w:rsidRPr="00837CC4">
              <w:rPr>
                <w:b/>
                <w:bCs/>
                <w:i/>
                <w:iCs/>
              </w:rPr>
              <w:t>kitaip valstybių narių paskirtų</w:t>
            </w:r>
            <w:r w:rsidRPr="00837CC4">
              <w:t xml:space="preserve"> šio reglamento taikymo priežiūros tikslais;</w:t>
            </w:r>
          </w:p>
        </w:tc>
        <w:tc>
          <w:tcPr>
            <w:tcW w:w="4876" w:type="dxa"/>
          </w:tcPr>
          <w:p w:rsidR="0084543E" w:rsidRPr="00837CC4" w:rsidRDefault="0084543E" w:rsidP="00E51AD6">
            <w:pPr>
              <w:pStyle w:val="Normal6a"/>
            </w:pPr>
            <w:r w:rsidRPr="00837CC4">
              <w:t>c)</w:t>
            </w:r>
            <w:r w:rsidRPr="00837CC4">
              <w:tab/>
            </w:r>
            <w:r w:rsidRPr="00837CC4">
              <w:rPr>
                <w:b/>
                <w:bCs/>
                <w:i/>
                <w:iCs/>
              </w:rPr>
              <w:t>ESMA</w:t>
            </w:r>
            <w:r w:rsidRPr="00837CC4">
              <w:t xml:space="preserve"> šio reglamento taikymo priežiūros tikslais;</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pPr>
        <w:pStyle w:val="AmJustTitle"/>
      </w:pPr>
      <w:r w:rsidRPr="00837CC4">
        <w:rPr>
          <w:rStyle w:val="HideTWBExt"/>
          <w:i w:val="0"/>
          <w:noProof w:val="0"/>
        </w:rPr>
        <w:t>&lt;TitreJust&gt;</w:t>
      </w:r>
      <w:r w:rsidRPr="00837CC4">
        <w:t>Pagrindimas</w:t>
      </w:r>
      <w:r w:rsidRPr="00837CC4">
        <w:rPr>
          <w:rStyle w:val="HideTWBExt"/>
          <w:i w:val="0"/>
          <w:noProof w:val="0"/>
        </w:rPr>
        <w:t>&lt;/TitreJust&gt;</w:t>
      </w:r>
    </w:p>
    <w:p w:rsidR="0084543E" w:rsidRPr="00837CC4" w:rsidRDefault="0084543E" w:rsidP="0084543E">
      <w:pPr>
        <w:pStyle w:val="AmJustText"/>
      </w:pPr>
      <w:r w:rsidRPr="00837CC4">
        <w:t>Šiuo reglamentu ESMA bus suteiktas tiesioginis priežiūros įgaliojimas. Šį pakeitimą reikia horizontaliai taikyti visame tekste.</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270</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Stéphanie Yon-Courtin, Ondřej Kovařík, Gilles Boyer, Olivier Chastel</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2 straipsnio 1 dalies 22 punkto b a papunktis (naujas)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p>
        </w:tc>
        <w:tc>
          <w:tcPr>
            <w:tcW w:w="4876" w:type="dxa"/>
          </w:tcPr>
          <w:p w:rsidR="0084543E" w:rsidRPr="00837CC4" w:rsidRDefault="0084543E" w:rsidP="00E51AD6">
            <w:pPr>
              <w:pStyle w:val="Normal6a"/>
            </w:pPr>
            <w:r w:rsidRPr="00837CC4">
              <w:rPr>
                <w:b/>
                <w:i/>
              </w:rPr>
              <w:t>ba)</w:t>
            </w:r>
            <w:r w:rsidRPr="00837CC4">
              <w:tab/>
            </w:r>
            <w:r w:rsidRPr="00837CC4">
              <w:rPr>
                <w:b/>
                <w:i/>
              </w:rPr>
              <w:t>PRT DPS valdantis subjektas, kuris nėra nei investicinė įmonė, nei rinkos operatorius – valstybė narė, kurioje yra įregistruotas subjektas, arba, jeigu pagal tos valstybės narės teisę toks subjektas neturi registruotos buveinės, tai – valstybė narė, kurioje yra įsikūrusi to subjekto pagrindinė buveinė;</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pPr>
        <w:pStyle w:val="AmJustTitle"/>
      </w:pPr>
      <w:r w:rsidRPr="00837CC4">
        <w:rPr>
          <w:rStyle w:val="HideTWBExt"/>
          <w:i w:val="0"/>
          <w:noProof w:val="0"/>
        </w:rPr>
        <w:t>&lt;TitreJust&gt;</w:t>
      </w:r>
      <w:r w:rsidRPr="00837CC4">
        <w:t>Pagrindimas</w:t>
      </w:r>
      <w:r w:rsidRPr="00837CC4">
        <w:rPr>
          <w:rStyle w:val="HideTWBExt"/>
          <w:i w:val="0"/>
          <w:noProof w:val="0"/>
        </w:rPr>
        <w:t>&lt;/TitreJust&gt;</w:t>
      </w:r>
    </w:p>
    <w:p w:rsidR="0084543E" w:rsidRPr="00837CC4" w:rsidRDefault="0084543E" w:rsidP="0084543E">
      <w:pPr>
        <w:pStyle w:val="AmJustText"/>
      </w:pPr>
      <w:r w:rsidRPr="00837CC4">
        <w:t>Bandomosios tvarkos atvirumas naujų dalyvių atžvilgiu.</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271</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Stéphanie Yon-Courtin, Ondřej Kovařík, Gilles Boyer, Olivier Chastel</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2 straipsnio 1 dalies 22 punkto c a papunktis (naujas)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p>
        </w:tc>
        <w:tc>
          <w:tcPr>
            <w:tcW w:w="4876" w:type="dxa"/>
          </w:tcPr>
          <w:p w:rsidR="0084543E" w:rsidRPr="00837CC4" w:rsidRDefault="0084543E" w:rsidP="00E51AD6">
            <w:pPr>
              <w:pStyle w:val="Normal6a"/>
            </w:pPr>
            <w:r w:rsidRPr="00837CC4">
              <w:rPr>
                <w:b/>
                <w:i/>
              </w:rPr>
              <w:t>ca)</w:t>
            </w:r>
            <w:r w:rsidRPr="00837CC4">
              <w:tab/>
            </w:r>
            <w:r w:rsidRPr="00837CC4">
              <w:rPr>
                <w:b/>
                <w:i/>
              </w:rPr>
              <w:t>PRT vertybinių popierių atsiskaitymo sistemą valdantis subjektas, kuris nėra DPS – valstybė narė, kurioje yra įregistruotas operatorius, arba, jeigu pagal tos valstybės narės teisę toks subjektas neturi registruotos buveinės, tai – valstybė narė, kurioje yra įsikūrusi to subjekto pagrindinė buveinė;</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pPr>
        <w:pStyle w:val="AmJustTitle"/>
      </w:pPr>
      <w:r w:rsidRPr="00837CC4">
        <w:rPr>
          <w:rStyle w:val="HideTWBExt"/>
          <w:i w:val="0"/>
          <w:noProof w:val="0"/>
        </w:rPr>
        <w:t>&lt;TitreJust&gt;</w:t>
      </w:r>
      <w:r w:rsidRPr="00837CC4">
        <w:t>Pagrindimas</w:t>
      </w:r>
      <w:r w:rsidRPr="00837CC4">
        <w:rPr>
          <w:rStyle w:val="HideTWBExt"/>
          <w:i w:val="0"/>
          <w:noProof w:val="0"/>
        </w:rPr>
        <w:t>&lt;/TitreJust&gt;</w:t>
      </w:r>
    </w:p>
    <w:p w:rsidR="0084543E" w:rsidRPr="00837CC4" w:rsidRDefault="0084543E" w:rsidP="0084543E">
      <w:pPr>
        <w:pStyle w:val="AmJustText"/>
      </w:pPr>
      <w:r w:rsidRPr="00837CC4">
        <w:t>Bandomosios tvarkos atvirumas naujų dalyvių atžvilgiu.</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272</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Jessica Polfjärd, Christophe Hansen</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3 straipsnio 1 dalies a punktas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t>a)</w:t>
            </w:r>
            <w:r w:rsidRPr="00837CC4">
              <w:tab/>
              <w:t xml:space="preserve">akcijos, kurių emitento rinkos kapitalizacija arba preliminari rinkos kapitalizacija yra mažesnė nei </w:t>
            </w:r>
            <w:r w:rsidRPr="00837CC4">
              <w:rPr>
                <w:b/>
                <w:bCs/>
                <w:i/>
                <w:iCs/>
              </w:rPr>
              <w:t>200</w:t>
            </w:r>
            <w:r w:rsidRPr="00837CC4">
              <w:t> mln. EUR, arba</w:t>
            </w:r>
          </w:p>
        </w:tc>
        <w:tc>
          <w:tcPr>
            <w:tcW w:w="4876" w:type="dxa"/>
          </w:tcPr>
          <w:p w:rsidR="0084543E" w:rsidRPr="00837CC4" w:rsidRDefault="0084543E" w:rsidP="00E51AD6">
            <w:pPr>
              <w:pStyle w:val="Normal6a"/>
            </w:pPr>
            <w:r w:rsidRPr="00837CC4">
              <w:t>a)</w:t>
            </w:r>
            <w:r w:rsidRPr="00837CC4">
              <w:tab/>
              <w:t xml:space="preserve">akcijos, kurių emitento rinkos kapitalizacija arba preliminari rinkos kapitalizacija yra mažesnė nei </w:t>
            </w:r>
            <w:r w:rsidRPr="00837CC4">
              <w:rPr>
                <w:b/>
                <w:bCs/>
                <w:i/>
                <w:iCs/>
              </w:rPr>
              <w:t>500</w:t>
            </w:r>
            <w:r w:rsidRPr="00837CC4">
              <w:t> mln. EUR, arba</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273</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Eero Heinäluoma, Paul Tang, Pedro Marques</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3 straipsnio 1 dalies a punktas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t>a)</w:t>
            </w:r>
            <w:r w:rsidRPr="00837CC4">
              <w:tab/>
              <w:t xml:space="preserve">akcijos, kurių emitento rinkos kapitalizacija arba preliminari rinkos kapitalizacija yra mažesnė nei </w:t>
            </w:r>
            <w:r w:rsidRPr="00837CC4">
              <w:rPr>
                <w:b/>
                <w:bCs/>
                <w:i/>
                <w:iCs/>
              </w:rPr>
              <w:t>200</w:t>
            </w:r>
            <w:r w:rsidRPr="00837CC4">
              <w:t> mln. EUR, arba</w:t>
            </w:r>
          </w:p>
        </w:tc>
        <w:tc>
          <w:tcPr>
            <w:tcW w:w="4876" w:type="dxa"/>
          </w:tcPr>
          <w:p w:rsidR="0084543E" w:rsidRPr="00837CC4" w:rsidRDefault="0084543E" w:rsidP="00E51AD6">
            <w:pPr>
              <w:pStyle w:val="Normal6a"/>
            </w:pPr>
            <w:r w:rsidRPr="00837CC4">
              <w:t>a)</w:t>
            </w:r>
            <w:r w:rsidRPr="00837CC4">
              <w:tab/>
              <w:t xml:space="preserve">akcijos, kurių emitento rinkos kapitalizacija arba preliminari rinkos kapitalizacija yra mažesnė nei </w:t>
            </w:r>
            <w:r w:rsidRPr="00837CC4">
              <w:rPr>
                <w:b/>
                <w:bCs/>
                <w:i/>
                <w:iCs/>
              </w:rPr>
              <w:t>100</w:t>
            </w:r>
            <w:r w:rsidRPr="00837CC4">
              <w:t> mln. EUR, arba</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274</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Jessica Polfjärd, Christophe Hansen</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3 straipsnio 1 dalies b punktas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t>b)</w:t>
            </w:r>
            <w:r w:rsidRPr="00837CC4">
              <w:tab/>
              <w:t>konvertuojamosios obligacijos, padengtosios obligacijos, įmonių obligacijos, kitos viešosios obligacijos ir kitos obligacijos, kurių emisijos dydis yra mažesnis nei 500 mln. EUR.</w:t>
            </w:r>
          </w:p>
        </w:tc>
        <w:tc>
          <w:tcPr>
            <w:tcW w:w="4876" w:type="dxa"/>
          </w:tcPr>
          <w:p w:rsidR="0084543E" w:rsidRPr="00837CC4" w:rsidRDefault="0084543E" w:rsidP="00E51AD6">
            <w:pPr>
              <w:pStyle w:val="Normal6a"/>
            </w:pPr>
            <w:r w:rsidRPr="00837CC4">
              <w:t>b)</w:t>
            </w:r>
            <w:r w:rsidRPr="00837CC4">
              <w:tab/>
              <w:t xml:space="preserve">konvertuojamosios obligacijos, padengtosios obligacijos, įmonių obligacijos, </w:t>
            </w:r>
            <w:r w:rsidRPr="00837CC4">
              <w:rPr>
                <w:b/>
                <w:bCs/>
                <w:i/>
                <w:iCs/>
              </w:rPr>
              <w:t>vyriausybės obligacijos,</w:t>
            </w:r>
            <w:r w:rsidRPr="00837CC4">
              <w:t xml:space="preserve"> kitos viešosios obligacijos ir kitos obligacijos, kurių emisijos dydis yra mažesnis nei 500 mln. EUR.</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275</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Stéphanie Yon-Courtin, Gilles Boyer, Olivier Chastel</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3 straipsnio 1 dalies b punktas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t>b)</w:t>
            </w:r>
            <w:r w:rsidRPr="00837CC4">
              <w:tab/>
              <w:t>konvertuojamosios obligacijos, padengtosios obligacijos, įmonių obligacijos, kitos viešosios obligacijos ir kitos obligacijos, kurių emisijos dydis yra mažesnis nei 500 mln. EUR.</w:t>
            </w:r>
          </w:p>
        </w:tc>
        <w:tc>
          <w:tcPr>
            <w:tcW w:w="4876" w:type="dxa"/>
          </w:tcPr>
          <w:p w:rsidR="0084543E" w:rsidRPr="00837CC4" w:rsidRDefault="0084543E" w:rsidP="00E51AD6">
            <w:pPr>
              <w:pStyle w:val="Normal6a"/>
            </w:pPr>
            <w:r w:rsidRPr="00837CC4">
              <w:t>b)</w:t>
            </w:r>
            <w:r w:rsidRPr="00837CC4">
              <w:tab/>
              <w:t xml:space="preserve">konvertuojamosios obligacijos, padengtosios obligacijos, įmonių obligacijos, </w:t>
            </w:r>
            <w:r w:rsidRPr="00837CC4">
              <w:rPr>
                <w:b/>
                <w:bCs/>
                <w:i/>
                <w:iCs/>
              </w:rPr>
              <w:t>vyriausybės obligacijos,</w:t>
            </w:r>
            <w:r w:rsidRPr="00837CC4">
              <w:t xml:space="preserve"> kitos viešosios obligacijos ir kitos obligacijos, kurių emisijos dydis yra mažesnis nei 500 mln. EUR.</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pPr>
        <w:pStyle w:val="AmJustTitle"/>
      </w:pPr>
      <w:r w:rsidRPr="00837CC4">
        <w:rPr>
          <w:rStyle w:val="HideTWBExt"/>
          <w:i w:val="0"/>
          <w:noProof w:val="0"/>
        </w:rPr>
        <w:t>&lt;TitreJust&gt;</w:t>
      </w:r>
      <w:r w:rsidRPr="00837CC4">
        <w:t>Pagrindimas</w:t>
      </w:r>
      <w:r w:rsidRPr="00837CC4">
        <w:rPr>
          <w:rStyle w:val="HideTWBExt"/>
          <w:i w:val="0"/>
          <w:noProof w:val="0"/>
        </w:rPr>
        <w:t>&lt;/TitreJust&gt;</w:t>
      </w:r>
    </w:p>
    <w:p w:rsidR="0084543E" w:rsidRPr="00837CC4" w:rsidRDefault="0084543E" w:rsidP="0084543E">
      <w:pPr>
        <w:pStyle w:val="AmJustText"/>
      </w:pPr>
      <w:r w:rsidRPr="00837CC4">
        <w:t>Vyriausybės obligacijos įtrauktos į bandomosios tvarkos taikymo sritį.</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276</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Eva Kaili</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3 straipsnio 1 dalies b punktas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t>b)</w:t>
            </w:r>
            <w:r w:rsidRPr="00837CC4">
              <w:tab/>
              <w:t>konvertuojamosios obligacijos, padengtosios obligacijos, įmonių obligacijos, kitos viešosios obligacijos ir kitos obligacijos, kurių emisijos dydis yra mažesnis nei 500 mln. EUR.</w:t>
            </w:r>
          </w:p>
        </w:tc>
        <w:tc>
          <w:tcPr>
            <w:tcW w:w="4876" w:type="dxa"/>
          </w:tcPr>
          <w:p w:rsidR="0084543E" w:rsidRPr="00837CC4" w:rsidRDefault="0084543E" w:rsidP="00E51AD6">
            <w:pPr>
              <w:pStyle w:val="Normal6a"/>
            </w:pPr>
            <w:r w:rsidRPr="00837CC4">
              <w:t>b)</w:t>
            </w:r>
            <w:r w:rsidRPr="00837CC4">
              <w:tab/>
              <w:t xml:space="preserve">konvertuojamosios obligacijos, </w:t>
            </w:r>
            <w:r w:rsidRPr="00837CC4">
              <w:rPr>
                <w:b/>
                <w:bCs/>
                <w:i/>
                <w:iCs/>
              </w:rPr>
              <w:t xml:space="preserve">vyriausybės obligacijos, </w:t>
            </w:r>
            <w:r w:rsidRPr="00837CC4">
              <w:t>padengtosios obligacijos, įmonių obligacijos, kitos viešosios obligacijos ir kitos obligacijos, kurių emisijos dydis yra mažesnis nei 500 mln. EUR.</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277</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Eero Heinäluoma, Paul Tang, Pedro Marques</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3 straipsnio 1 dalies b punktas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t>b)</w:t>
            </w:r>
            <w:r w:rsidRPr="00837CC4">
              <w:tab/>
              <w:t xml:space="preserve">konvertuojamosios obligacijos, padengtosios obligacijos, įmonių obligacijos, kitos viešosios obligacijos ir kitos obligacijos, kurių emisijos dydis yra mažesnis nei </w:t>
            </w:r>
            <w:r w:rsidRPr="00837CC4">
              <w:rPr>
                <w:b/>
                <w:bCs/>
                <w:i/>
                <w:iCs/>
              </w:rPr>
              <w:t>500</w:t>
            </w:r>
            <w:r w:rsidRPr="00837CC4">
              <w:t> mln. EUR.</w:t>
            </w:r>
          </w:p>
        </w:tc>
        <w:tc>
          <w:tcPr>
            <w:tcW w:w="4876" w:type="dxa"/>
          </w:tcPr>
          <w:p w:rsidR="0084543E" w:rsidRPr="00837CC4" w:rsidRDefault="0084543E" w:rsidP="00E51AD6">
            <w:pPr>
              <w:pStyle w:val="Normal6a"/>
            </w:pPr>
            <w:r w:rsidRPr="00837CC4">
              <w:t>(b)</w:t>
            </w:r>
            <w:r w:rsidRPr="00837CC4">
              <w:tab/>
              <w:t xml:space="preserve">konvertuojamosios obligacijos, padengtosios obligacijos, įmonių obligacijos, kitos viešosios obligacijos ir kitos obligacijos, kurių emisijos dydis yra mažesnis nei </w:t>
            </w:r>
            <w:r w:rsidRPr="00837CC4">
              <w:rPr>
                <w:b/>
                <w:bCs/>
                <w:i/>
                <w:iCs/>
              </w:rPr>
              <w:t>250</w:t>
            </w:r>
            <w:r w:rsidRPr="00837CC4">
              <w:t> mln. EUR.</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278</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Christophe Hansen, Lídia Pereira</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3 straipsnio 1 dalies b a punktas (naujas)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p>
        </w:tc>
        <w:tc>
          <w:tcPr>
            <w:tcW w:w="4876" w:type="dxa"/>
          </w:tcPr>
          <w:p w:rsidR="0084543E" w:rsidRPr="00837CC4" w:rsidRDefault="0084543E" w:rsidP="00E51AD6">
            <w:pPr>
              <w:pStyle w:val="Normal6a"/>
            </w:pPr>
            <w:r w:rsidRPr="00837CC4">
              <w:rPr>
                <w:b/>
                <w:i/>
              </w:rPr>
              <w:t>ba)</w:t>
            </w:r>
            <w:r w:rsidRPr="00837CC4">
              <w:tab/>
            </w:r>
            <w:r w:rsidRPr="00837CC4">
              <w:rPr>
                <w:b/>
                <w:i/>
              </w:rPr>
              <w:t>PRT biržinių fondų, KIPVPS, kurie investuoja į a ir b punktuose nurodytų rūšių priemones, vienetai;</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279</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Jessica Polfjärd</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3 straipsnio 1 dalies b a punktas (naujas)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p>
        </w:tc>
        <w:tc>
          <w:tcPr>
            <w:tcW w:w="4876" w:type="dxa"/>
          </w:tcPr>
          <w:p w:rsidR="0084543E" w:rsidRPr="00837CC4" w:rsidRDefault="0084543E" w:rsidP="00E51AD6">
            <w:pPr>
              <w:pStyle w:val="Normal6a"/>
            </w:pPr>
            <w:r w:rsidRPr="00837CC4">
              <w:rPr>
                <w:b/>
                <w:i/>
              </w:rPr>
              <w:t>ba)</w:t>
            </w:r>
            <w:r w:rsidRPr="00837CC4">
              <w:tab/>
            </w:r>
            <w:r w:rsidRPr="00837CC4">
              <w:rPr>
                <w:b/>
                <w:i/>
              </w:rPr>
              <w:t>PRT biržinių fondų, kurie investuoja į a ir b punktuose nurodytų rūšių priemones, vienetai;</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280</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Eva Kaili</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3 straipsnio 1 dalies b a punktas (naujas)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p>
        </w:tc>
        <w:tc>
          <w:tcPr>
            <w:tcW w:w="4876" w:type="dxa"/>
          </w:tcPr>
          <w:p w:rsidR="0084543E" w:rsidRPr="00837CC4" w:rsidRDefault="0084543E" w:rsidP="00E51AD6">
            <w:pPr>
              <w:pStyle w:val="Normal6a"/>
            </w:pPr>
            <w:r w:rsidRPr="00837CC4">
              <w:rPr>
                <w:b/>
                <w:i/>
              </w:rPr>
              <w:t>ba)</w:t>
            </w:r>
            <w:r w:rsidRPr="00837CC4">
              <w:tab/>
            </w:r>
            <w:r w:rsidRPr="00837CC4">
              <w:rPr>
                <w:b/>
                <w:i/>
              </w:rPr>
              <w:t>PRT biržinių fondų, kurių emisijos dydis mažesnis nei 500 mln. EUR, vienetai;</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281</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Sven Giegold</w:t>
      </w:r>
      <w:r w:rsidRPr="00837CC4">
        <w:rPr>
          <w:rStyle w:val="HideTWBExt"/>
          <w:b w:val="0"/>
          <w:noProof w:val="0"/>
        </w:rPr>
        <w:t>&lt;/Members&gt;</w:t>
      </w:r>
    </w:p>
    <w:p w:rsidR="0084543E" w:rsidRPr="00837CC4" w:rsidRDefault="0084543E" w:rsidP="0084543E">
      <w:r w:rsidRPr="00837CC4">
        <w:rPr>
          <w:rStyle w:val="HideTWBExt"/>
          <w:noProof w:val="0"/>
        </w:rPr>
        <w:t>&lt;AuNomDe&gt;</w:t>
      </w:r>
      <w:r w:rsidRPr="00837CC4">
        <w:rPr>
          <w:rStyle w:val="HideTWBInt"/>
          <w:noProof w:val="0"/>
        </w:rPr>
        <w:t>{Greens/EFA}</w:t>
      </w:r>
      <w:r w:rsidRPr="00837CC4">
        <w:t>Verts/ALE frakcijos vardu</w:t>
      </w:r>
      <w:r w:rsidRPr="00837CC4">
        <w:rPr>
          <w:rStyle w:val="HideTWBExt"/>
          <w:noProof w:val="0"/>
        </w:rPr>
        <w:t>&lt;/AuNomDe&gt;</w:t>
      </w:r>
    </w:p>
    <w:p w:rsidR="0084543E" w:rsidRPr="00837CC4" w:rsidRDefault="0084543E" w:rsidP="0084543E">
      <w:r w:rsidRPr="00837CC4">
        <w:rPr>
          <w:rStyle w:val="HideTWBExt"/>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3 straipsnio 1 dalies b a punktas (naujas)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p>
        </w:tc>
        <w:tc>
          <w:tcPr>
            <w:tcW w:w="4876" w:type="dxa"/>
          </w:tcPr>
          <w:p w:rsidR="0084543E" w:rsidRPr="00837CC4" w:rsidRDefault="0084543E" w:rsidP="00E51AD6">
            <w:pPr>
              <w:pStyle w:val="Normal6a"/>
            </w:pPr>
            <w:r w:rsidRPr="00837CC4">
              <w:rPr>
                <w:b/>
                <w:i/>
              </w:rPr>
              <w:t>ba)</w:t>
            </w:r>
            <w:r w:rsidRPr="00837CC4">
              <w:tab/>
            </w:r>
            <w:r w:rsidRPr="00837CC4">
              <w:rPr>
                <w:b/>
                <w:i/>
              </w:rPr>
              <w:t>kolektyvinio investavimo subjektų, kurių emisijos dydis mažesnis nei 500 mln. EUR, vienetai;</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282</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Eva Kaili</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3 straipsnio 2 dalis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rPr>
                <w:b/>
                <w:i/>
              </w:rPr>
              <w:t>2.</w:t>
            </w:r>
            <w:r w:rsidRPr="00837CC4">
              <w:tab/>
            </w:r>
            <w:r w:rsidRPr="00837CC4">
              <w:rPr>
                <w:b/>
                <w:i/>
              </w:rPr>
              <w:t>PRT DPS valdanti investicinė įmonė ar rinkos operatorius pagal šį reglamentą neleidžia prekiauti valstybės obligacijomis. PRT vertybinių popierių atsiskaitymo sistemą valdantis CVPD arba investicinė įmonė ar rinkos operatorius, kuriems pagal 4 straipsnio 2 ir 3 dalis leidžiama registruoti PRT perleidžiamuosius vertybinius popierius PRT DPS, pagal šį reglamentą neregistruoja valstybės obligacijų.</w:t>
            </w:r>
          </w:p>
        </w:tc>
        <w:tc>
          <w:tcPr>
            <w:tcW w:w="4876" w:type="dxa"/>
          </w:tcPr>
          <w:p w:rsidR="0084543E" w:rsidRPr="00837CC4" w:rsidRDefault="0084543E" w:rsidP="00E51AD6">
            <w:pPr>
              <w:pStyle w:val="Normal6a"/>
            </w:pPr>
            <w:r w:rsidRPr="00837CC4">
              <w:rPr>
                <w:b/>
                <w:i/>
              </w:rPr>
              <w:t>Išbraukta.</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pPr>
        <w:pStyle w:val="AmJustTitle"/>
      </w:pPr>
      <w:r w:rsidRPr="00837CC4">
        <w:rPr>
          <w:rStyle w:val="HideTWBExt"/>
          <w:i w:val="0"/>
          <w:noProof w:val="0"/>
        </w:rPr>
        <w:t>&lt;TitreJust&gt;</w:t>
      </w:r>
      <w:r w:rsidRPr="00837CC4">
        <w:t>Pagrindimas</w:t>
      </w:r>
      <w:r w:rsidRPr="00837CC4">
        <w:rPr>
          <w:rStyle w:val="HideTWBExt"/>
          <w:i w:val="0"/>
          <w:noProof w:val="0"/>
        </w:rPr>
        <w:t>&lt;/TitreJust&gt;</w:t>
      </w:r>
    </w:p>
    <w:p w:rsidR="0084543E" w:rsidRPr="00837CC4" w:rsidRDefault="0084543E" w:rsidP="0084543E">
      <w:pPr>
        <w:pStyle w:val="AmJustText"/>
      </w:pPr>
      <w:r w:rsidRPr="00837CC4">
        <w:t>Siūloma vyriausybės obligacijas įtraukti kaip tinkamą priemonę, kuria būtų padedama valstybėms narėms, pageidaujančioms įgyti patirties PRT rinkos infrastruktūrų srityje.</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283</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Jessica Polfjärd, Christophe Hansen</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3 straipsnio 2 dalis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rPr>
                <w:b/>
                <w:i/>
              </w:rPr>
              <w:t>2.</w:t>
            </w:r>
            <w:r w:rsidRPr="00837CC4">
              <w:tab/>
            </w:r>
            <w:r w:rsidRPr="00837CC4">
              <w:rPr>
                <w:b/>
                <w:i/>
              </w:rPr>
              <w:t>PRT DPS valdanti investicinė įmonė ar rinkos operatorius pagal šį reglamentą neleidžia prekiauti valstybės obligacijomis. PRT vertybinių popierių atsiskaitymo sistemą valdantis CVPD arba investicinė įmonė ar rinkos operatorius, kuriems pagal 4 straipsnio 2 ir 3 dalis leidžiama registruoti PRT perleidžiamuosius vertybinius popierius PRT DPS, pagal šį reglamentą neregistruoja valstybės obligacijų.</w:t>
            </w:r>
          </w:p>
        </w:tc>
        <w:tc>
          <w:tcPr>
            <w:tcW w:w="4876" w:type="dxa"/>
          </w:tcPr>
          <w:p w:rsidR="0084543E" w:rsidRPr="00837CC4" w:rsidRDefault="0084543E" w:rsidP="00E51AD6">
            <w:pPr>
              <w:pStyle w:val="Normal6a"/>
            </w:pPr>
            <w:r w:rsidRPr="00837CC4">
              <w:rPr>
                <w:b/>
                <w:i/>
              </w:rPr>
              <w:t>Išbraukta.</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284</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Markus Ferber</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3 straipsnio 2 dalis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rPr>
                <w:b/>
                <w:i/>
              </w:rPr>
              <w:t>2.</w:t>
            </w:r>
            <w:r w:rsidRPr="00837CC4">
              <w:tab/>
            </w:r>
            <w:r w:rsidRPr="00837CC4">
              <w:rPr>
                <w:b/>
                <w:i/>
              </w:rPr>
              <w:t>PRT DPS valdanti investicinė įmonė ar rinkos operatorius pagal šį reglamentą neleidžia prekiauti valstybės obligacijomis. PRT vertybinių popierių atsiskaitymo sistemą valdantis CVPD arba investicinė įmonė ar rinkos operatorius, kuriems pagal 4 straipsnio 2 ir 3 dalis leidžiama registruoti PRT perleidžiamuosius vertybinius popierius PRT DPS, pagal šį reglamentą neregistruoja valstybės obligacijų.</w:t>
            </w:r>
          </w:p>
        </w:tc>
        <w:tc>
          <w:tcPr>
            <w:tcW w:w="4876" w:type="dxa"/>
          </w:tcPr>
          <w:p w:rsidR="0084543E" w:rsidRPr="00837CC4" w:rsidRDefault="0084543E" w:rsidP="00E51AD6">
            <w:pPr>
              <w:pStyle w:val="Normal6a"/>
            </w:pPr>
            <w:r w:rsidRPr="00837CC4">
              <w:rPr>
                <w:b/>
                <w:i/>
              </w:rPr>
              <w:t>Išbraukta.</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285</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Stéphanie Yon-Courtin, Gilles Boyer, Olivier Chastel</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3 straipsnio 2 dalis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rPr>
                <w:b/>
                <w:i/>
              </w:rPr>
              <w:t>2.</w:t>
            </w:r>
            <w:r w:rsidRPr="00837CC4">
              <w:tab/>
            </w:r>
            <w:r w:rsidRPr="00837CC4">
              <w:rPr>
                <w:b/>
                <w:i/>
              </w:rPr>
              <w:t>PRT DPS valdanti investicinė įmonė ar rinkos operatorius pagal šį reglamentą neleidžia prekiauti valstybės obligacijomis. PRT vertybinių popierių atsiskaitymo sistemą valdantis CVPD arba investicinė įmonė ar rinkos operatorius, kuriems pagal 4 straipsnio 2 ir 3 dalis leidžiama registruoti PRT perleidžiamuosius vertybinius popierius PRT DPS, pagal šį reglamentą neregistruoja valstybės obligacijų.</w:t>
            </w:r>
          </w:p>
        </w:tc>
        <w:tc>
          <w:tcPr>
            <w:tcW w:w="4876" w:type="dxa"/>
          </w:tcPr>
          <w:p w:rsidR="0084543E" w:rsidRPr="00837CC4" w:rsidRDefault="0084543E" w:rsidP="00E51AD6">
            <w:pPr>
              <w:pStyle w:val="Normal6a"/>
            </w:pPr>
            <w:r w:rsidRPr="00837CC4">
              <w:rPr>
                <w:b/>
                <w:i/>
              </w:rPr>
              <w:t>Išbraukta.</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pPr>
        <w:pStyle w:val="AmJustTitle"/>
      </w:pPr>
      <w:r w:rsidRPr="00837CC4">
        <w:rPr>
          <w:rStyle w:val="HideTWBExt"/>
          <w:i w:val="0"/>
          <w:noProof w:val="0"/>
        </w:rPr>
        <w:t>&lt;TitreJust&gt;</w:t>
      </w:r>
      <w:r w:rsidRPr="00837CC4">
        <w:t>Pagrindimas</w:t>
      </w:r>
      <w:r w:rsidRPr="00837CC4">
        <w:rPr>
          <w:rStyle w:val="HideTWBExt"/>
          <w:i w:val="0"/>
          <w:noProof w:val="0"/>
        </w:rPr>
        <w:t>&lt;/TitreJust&gt;</w:t>
      </w:r>
    </w:p>
    <w:p w:rsidR="0084543E" w:rsidRPr="00837CC4" w:rsidRDefault="0084543E" w:rsidP="0084543E">
      <w:pPr>
        <w:pStyle w:val="AmJustText"/>
      </w:pPr>
      <w:r w:rsidRPr="00837CC4">
        <w:t>Vyriausybės obligacijos įtrauktos į bandomosios tvarkos taikymo sritį.</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286</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Gunnar Beck, Maximilian Krah</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3 straipsnio 2 dalis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t>2.</w:t>
            </w:r>
            <w:r w:rsidRPr="00837CC4">
              <w:tab/>
              <w:t>PRT DPS valdanti investicinė įmonė ar rinkos operatorius pagal šį reglamentą neleidžia prekiauti valstybės obligacijomis. PRT vertybinių popierių atsiskaitymo sistemą valdantis CVPD arba investicinė įmonė ar rinkos operatorius, kuriems pagal 4 straipsnio 2 ir 3 dalis leidžiama registruoti PRT perleidžiamuosius vertybinius popierius PRT DPS, pagal šį reglamentą neregistruoja valstybės obligacijų.</w:t>
            </w:r>
          </w:p>
        </w:tc>
        <w:tc>
          <w:tcPr>
            <w:tcW w:w="4876" w:type="dxa"/>
          </w:tcPr>
          <w:p w:rsidR="0084543E" w:rsidRPr="00837CC4" w:rsidRDefault="0084543E" w:rsidP="00E51AD6">
            <w:pPr>
              <w:pStyle w:val="Normal6a"/>
            </w:pPr>
            <w:r w:rsidRPr="00837CC4">
              <w:t>2.</w:t>
            </w:r>
            <w:r w:rsidRPr="00837CC4">
              <w:tab/>
              <w:t>PRT DPS valdanti investicinė įmonė</w:t>
            </w:r>
            <w:r w:rsidRPr="00837CC4">
              <w:rPr>
                <w:b/>
                <w:bCs/>
                <w:i/>
                <w:iCs/>
              </w:rPr>
              <w:t>, kriptoturto emitentas</w:t>
            </w:r>
            <w:r w:rsidRPr="00837CC4">
              <w:t xml:space="preserve"> ar rinkos operatorius pagal šį reglamentą neleidžia prekiauti valstybės obligacijomis. PRT vertybinių popierių atsiskaitymo sistemą valdantis CVPD arba investicinė įmonė ar rinkos operatorius, kuriems pagal 4 straipsnio 2 ir 3 dalis leidžiama registruoti PRT perleidžiamuosius vertybinius popierius PRT DPS, pagal šį reglamentą neregistruoja valstybės obligacijų.</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287</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Sven Giegold</w:t>
      </w:r>
      <w:r w:rsidRPr="00837CC4">
        <w:rPr>
          <w:rStyle w:val="HideTWBExt"/>
          <w:b w:val="0"/>
          <w:noProof w:val="0"/>
        </w:rPr>
        <w:t>&lt;/Members&gt;</w:t>
      </w:r>
    </w:p>
    <w:p w:rsidR="0084543E" w:rsidRPr="00837CC4" w:rsidRDefault="0084543E" w:rsidP="0084543E">
      <w:r w:rsidRPr="00837CC4">
        <w:rPr>
          <w:rStyle w:val="HideTWBExt"/>
          <w:noProof w:val="0"/>
        </w:rPr>
        <w:t>&lt;AuNomDe&gt;</w:t>
      </w:r>
      <w:r w:rsidRPr="00837CC4">
        <w:rPr>
          <w:rStyle w:val="HideTWBInt"/>
          <w:noProof w:val="0"/>
        </w:rPr>
        <w:t>{Greens/EFA}</w:t>
      </w:r>
      <w:r w:rsidRPr="00837CC4">
        <w:t>Verts/ALE frakcijos vardu</w:t>
      </w:r>
      <w:r w:rsidRPr="00837CC4">
        <w:rPr>
          <w:rStyle w:val="HideTWBExt"/>
          <w:noProof w:val="0"/>
        </w:rPr>
        <w:t>&lt;/AuNomDe&gt;</w:t>
      </w:r>
    </w:p>
    <w:p w:rsidR="0084543E" w:rsidRPr="00837CC4" w:rsidRDefault="0084543E" w:rsidP="0084543E">
      <w:r w:rsidRPr="00837CC4">
        <w:rPr>
          <w:rStyle w:val="HideTWBExt"/>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3 straipsnio 3 dalis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t>3.</w:t>
            </w:r>
            <w:r w:rsidRPr="00837CC4">
              <w:tab/>
            </w:r>
            <w:r w:rsidRPr="00837CC4">
              <w:rPr>
                <w:b/>
                <w:bCs/>
                <w:i/>
                <w:iCs/>
              </w:rPr>
              <w:t>Visa PRT perleidžiamųjų vertybinių popierių, užregistruotų</w:t>
            </w:r>
            <w:r w:rsidRPr="00837CC4">
              <w:t xml:space="preserve"> PRT vertybinių popierių atsiskaitymo sistemą </w:t>
            </w:r>
            <w:r w:rsidRPr="00837CC4">
              <w:rPr>
                <w:b/>
                <w:bCs/>
                <w:i/>
                <w:iCs/>
              </w:rPr>
              <w:t>valdančiame</w:t>
            </w:r>
            <w:r w:rsidRPr="00837CC4">
              <w:t xml:space="preserve"> CVPD, rinkos vertė </w:t>
            </w:r>
            <w:r w:rsidRPr="00837CC4">
              <w:rPr>
                <w:b/>
                <w:bCs/>
                <w:i/>
                <w:iCs/>
              </w:rPr>
              <w:t>neviršija</w:t>
            </w:r>
            <w:r w:rsidRPr="00837CC4">
              <w:t xml:space="preserve"> 2,5 mlrd. EUR. Kai PRT perleidžiamuosius vertybinius popierius pagal 4 straipsnio 2 ir 3 dalis registruoja ne CVPD, o PRT DPS, visa PRT perleidžiamųjų vertybinių popierių, užregistruotų PRT DPS valdančios investicinės įmonės arba rinkos operatoriaus, rinkos vertė </w:t>
            </w:r>
            <w:r w:rsidRPr="00837CC4">
              <w:rPr>
                <w:b/>
                <w:bCs/>
                <w:i/>
                <w:iCs/>
              </w:rPr>
              <w:t>neviršija</w:t>
            </w:r>
            <w:r w:rsidRPr="00837CC4">
              <w:t xml:space="preserve"> 2,5 mlrd. EUR.</w:t>
            </w:r>
          </w:p>
        </w:tc>
        <w:tc>
          <w:tcPr>
            <w:tcW w:w="4876" w:type="dxa"/>
          </w:tcPr>
          <w:p w:rsidR="0084543E" w:rsidRPr="00837CC4" w:rsidRDefault="0084543E" w:rsidP="00E51AD6">
            <w:pPr>
              <w:pStyle w:val="Normal6a"/>
            </w:pPr>
            <w:r w:rsidRPr="00837CC4">
              <w:t>3.</w:t>
            </w:r>
            <w:r w:rsidRPr="00837CC4">
              <w:tab/>
              <w:t xml:space="preserve">PRT vertybinių popierių atsiskaitymo sistemą </w:t>
            </w:r>
            <w:r w:rsidRPr="00837CC4">
              <w:rPr>
                <w:b/>
                <w:bCs/>
                <w:i/>
                <w:iCs/>
              </w:rPr>
              <w:t>valdantis</w:t>
            </w:r>
            <w:r w:rsidRPr="00837CC4">
              <w:t xml:space="preserve"> CVPD</w:t>
            </w:r>
            <w:r w:rsidRPr="00837CC4">
              <w:rPr>
                <w:b/>
                <w:bCs/>
                <w:i/>
                <w:iCs/>
              </w:rPr>
              <w:t xml:space="preserve"> gali patvirtinti naujus vertybinius popierius, kol visa PRT perleidžiamųjų vertybinių popierių, užregistruotų PRT</w:t>
            </w:r>
            <w:r w:rsidRPr="00837CC4">
              <w:t xml:space="preserve"> rinkos vertė </w:t>
            </w:r>
            <w:r w:rsidRPr="00837CC4">
              <w:rPr>
                <w:b/>
                <w:bCs/>
                <w:i/>
                <w:iCs/>
              </w:rPr>
              <w:t>pasieks</w:t>
            </w:r>
            <w:r w:rsidRPr="00837CC4">
              <w:t xml:space="preserve"> 2,5 mlrd. EUR. Kai PRT perleidžiamuosius vertybinius popierius pagal 4 straipsnio 2 ir 3 dalis registruoja ne CVPD, o PRT DPS,</w:t>
            </w:r>
            <w:r w:rsidRPr="00837CC4">
              <w:rPr>
                <w:b/>
                <w:bCs/>
                <w:i/>
                <w:iCs/>
              </w:rPr>
              <w:t xml:space="preserve"> ji gali patvirtinti naujus vertybinius popierius, kol</w:t>
            </w:r>
            <w:r w:rsidRPr="00837CC4">
              <w:t xml:space="preserve"> visa PRT perleidžiamųjų vertybinių popierių, užregistruotų PRT DPS valdančios investicinės įmonės arba rinkos operatoriaus, rinkos vertė </w:t>
            </w:r>
            <w:r w:rsidRPr="00837CC4">
              <w:rPr>
                <w:b/>
                <w:bCs/>
                <w:i/>
                <w:iCs/>
              </w:rPr>
              <w:t>pasieks</w:t>
            </w:r>
            <w:r w:rsidRPr="00837CC4">
              <w:t xml:space="preserve"> 2,5 mlrd. EUR.</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288</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Gunnar Beck, Maximilian Krah</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3 straipsnio 3 dalis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t>3.</w:t>
            </w:r>
            <w:r w:rsidRPr="00837CC4">
              <w:tab/>
              <w:t>Visa PRT perleidžiamųjų vertybinių popierių, užregistruotų PRT vertybinių popierių atsiskaitymo sistemą valdančiame CVPD, rinkos vertė neviršija 2,5 mlrd. EUR. Kai PRT perleidžiamuosius vertybinius popierius pagal 4 straipsnio 2 ir 3 dalis registruoja ne CVPD, o PRT DPS, visa PRT perleidžiamųjų vertybinių popierių, užregistruotų PRT DPS valdančios investicinės įmonės arba rinkos operatoriaus, rinkos vertė neviršija 2,5 mlrd. EUR.</w:t>
            </w:r>
          </w:p>
        </w:tc>
        <w:tc>
          <w:tcPr>
            <w:tcW w:w="4876" w:type="dxa"/>
          </w:tcPr>
          <w:p w:rsidR="0084543E" w:rsidRPr="00837CC4" w:rsidRDefault="0084543E" w:rsidP="00E51AD6">
            <w:pPr>
              <w:pStyle w:val="Normal6a"/>
            </w:pPr>
            <w:r w:rsidRPr="00837CC4">
              <w:t>3.</w:t>
            </w:r>
            <w:r w:rsidRPr="00837CC4">
              <w:tab/>
              <w:t>Visa PRT perleidžiamųjų vertybinių popierių, užregistruotų PRT vertybinių popierių atsiskaitymo sistemą valdančiame CVPD, rinkos vertė neviršija 2,5 mlrd. EUR. Kai PRT perleidžiamuosius vertybinius popierius pagal 4 straipsnio 2 ir 3 dalis registruoja ne CVPD, o PRT DPS, visa PRT perleidžiamųjų vertybinių popierių, užregistruotų PRT DPS valdančios investicinės įmonės</w:t>
            </w:r>
            <w:r w:rsidRPr="00837CC4">
              <w:rPr>
                <w:b/>
                <w:bCs/>
                <w:i/>
                <w:iCs/>
              </w:rPr>
              <w:t xml:space="preserve"> kriptoturto emitentus</w:t>
            </w:r>
            <w:r w:rsidRPr="00837CC4">
              <w:t xml:space="preserve"> arba rinkos operatoriaus, rinkos vertė neviršija 2,5 mlrd. EUR.</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289</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Eva Kaili</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3 straipsnio 3 dalis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t>3.</w:t>
            </w:r>
            <w:r w:rsidRPr="00837CC4">
              <w:tab/>
              <w:t xml:space="preserve">Visa PRT perleidžiamųjų vertybinių popierių, užregistruotų PRT </w:t>
            </w:r>
            <w:r w:rsidRPr="00837CC4">
              <w:rPr>
                <w:b/>
                <w:bCs/>
                <w:i/>
                <w:iCs/>
              </w:rPr>
              <w:t>vertybinių popierių atsiskaitymo sistemą</w:t>
            </w:r>
            <w:r w:rsidRPr="00837CC4">
              <w:t xml:space="preserve"> valdančiame CVPD, rinkos vertė neviršija </w:t>
            </w:r>
            <w:r w:rsidRPr="00837CC4">
              <w:rPr>
                <w:b/>
                <w:bCs/>
                <w:i/>
                <w:iCs/>
              </w:rPr>
              <w:t>2,5</w:t>
            </w:r>
            <w:r w:rsidRPr="00837CC4">
              <w:t xml:space="preserve"> mlrd. EUR. Kai PRT perleidžiamuosius vertybinius popierius pagal 4 straipsnio 2 ir 3 dalis registruoja ne CVPD, o PRT DPS, visa PRT perleidžiamųjų vertybinių popierių, užregistruotų PRT DPS valdančios investicinės įmonės arba rinkos operatoriaus, rinkos vertė neviršija </w:t>
            </w:r>
            <w:r w:rsidRPr="00837CC4">
              <w:rPr>
                <w:b/>
                <w:bCs/>
                <w:i/>
                <w:iCs/>
              </w:rPr>
              <w:t>2,5</w:t>
            </w:r>
            <w:r w:rsidRPr="00837CC4">
              <w:t> mlrd. EUR.</w:t>
            </w:r>
          </w:p>
        </w:tc>
        <w:tc>
          <w:tcPr>
            <w:tcW w:w="4876" w:type="dxa"/>
          </w:tcPr>
          <w:p w:rsidR="0084543E" w:rsidRPr="00837CC4" w:rsidRDefault="0084543E" w:rsidP="00E51AD6">
            <w:pPr>
              <w:pStyle w:val="Normal6a"/>
            </w:pPr>
            <w:r w:rsidRPr="00837CC4">
              <w:t>3.</w:t>
            </w:r>
            <w:r w:rsidRPr="00837CC4">
              <w:tab/>
              <w:t xml:space="preserve">Visa PRT perleidžiamųjų vertybinių popierių, užregistruotų PRT </w:t>
            </w:r>
            <w:r w:rsidRPr="00837CC4">
              <w:rPr>
                <w:b/>
                <w:bCs/>
                <w:i/>
                <w:iCs/>
              </w:rPr>
              <w:t>VPAS</w:t>
            </w:r>
            <w:r w:rsidRPr="00837CC4">
              <w:t xml:space="preserve"> valdančiame CVPD, rinkos vertė neviršija </w:t>
            </w:r>
            <w:r w:rsidRPr="00837CC4">
              <w:rPr>
                <w:b/>
                <w:bCs/>
                <w:i/>
                <w:iCs/>
              </w:rPr>
              <w:t>7,5</w:t>
            </w:r>
            <w:r w:rsidRPr="00837CC4">
              <w:t xml:space="preserve"> mlrd. EUR. Kai PRT perleidžiamuosius vertybinius popierius pagal 4 straipsnio 2 ir 3 dalis registruoja ne CVPD, o PRT DPS, visa PRT perleidžiamųjų vertybinių popierių, užregistruotų PRT DPS valdančios investicinės įmonės arba rinkos operatoriaus, rinkos vertė neviršija </w:t>
            </w:r>
            <w:r w:rsidRPr="00837CC4">
              <w:rPr>
                <w:b/>
                <w:bCs/>
                <w:i/>
                <w:iCs/>
              </w:rPr>
              <w:t>7,5</w:t>
            </w:r>
            <w:r w:rsidRPr="00837CC4">
              <w:t> mlrd. EUR.</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pPr>
        <w:pStyle w:val="AmJustTitle"/>
      </w:pPr>
      <w:r w:rsidRPr="00837CC4">
        <w:rPr>
          <w:rStyle w:val="HideTWBExt"/>
          <w:i w:val="0"/>
          <w:noProof w:val="0"/>
        </w:rPr>
        <w:t>&lt;TitreJust&gt;</w:t>
      </w:r>
      <w:r w:rsidRPr="00837CC4">
        <w:t>Pagrindimas</w:t>
      </w:r>
      <w:r w:rsidRPr="00837CC4">
        <w:rPr>
          <w:rStyle w:val="HideTWBExt"/>
          <w:i w:val="0"/>
          <w:noProof w:val="0"/>
        </w:rPr>
        <w:t>&lt;/TitreJust&gt;</w:t>
      </w:r>
    </w:p>
    <w:p w:rsidR="0084543E" w:rsidRPr="00837CC4" w:rsidRDefault="0084543E" w:rsidP="0084543E">
      <w:pPr>
        <w:pStyle w:val="AmJustText"/>
      </w:pPr>
      <w:r w:rsidRPr="00837CC4">
        <w:t>Nors ir pritariame Komisijos siūlomoms riboms, manome, kad 2,5 mlrd. EUR dydžio visa rinkos vertė yra maža, atsižvelgiant į tai, kad ją būtų galima pasiekti, pvz., išleidus penkias 500 mln. EUR vertės obligacijas. Atsižvelgiant į tai ir siekiant leisti stambesniems rinkos dalyviams, kurie turi reikiamą kapitalą, išbandyti daugiau projektų, siūlome visą rinkos vertę padidinti iki 7,5 mlrd. EUR.</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290</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Stéphanie Yon-Courtin, Ondřej Kovařík, Gilles Boyer, Olivier Chastel</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3 straipsnio 3 dalis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t>3.</w:t>
            </w:r>
            <w:r w:rsidRPr="00837CC4">
              <w:tab/>
              <w:t xml:space="preserve">Visa PRT perleidžiamųjų vertybinių popierių, užregistruotų PRT vertybinių popierių atsiskaitymo sistemą valdančiame </w:t>
            </w:r>
            <w:r w:rsidRPr="00837CC4">
              <w:rPr>
                <w:b/>
                <w:bCs/>
                <w:i/>
                <w:iCs/>
              </w:rPr>
              <w:t>CVPD</w:t>
            </w:r>
            <w:r w:rsidRPr="00837CC4">
              <w:t xml:space="preserve">, rinkos vertė neviršija 2,5 mlrd. EUR. Kai PRT perleidžiamuosius vertybinius popierius pagal 4 straipsnio 2 ir 3 dalis registruoja ne CVPD, o PRT DPS, visa PRT perleidžiamųjų vertybinių popierių, užregistruotų PRT DPS </w:t>
            </w:r>
            <w:r w:rsidRPr="00837CC4">
              <w:rPr>
                <w:b/>
                <w:bCs/>
                <w:i/>
                <w:iCs/>
              </w:rPr>
              <w:t>valdančios investicinės įmonės arba rinkos operatoriaus</w:t>
            </w:r>
            <w:r w:rsidRPr="00837CC4">
              <w:t>, rinkos vertė neviršija 2,5 mlrd. EUR.</w:t>
            </w:r>
          </w:p>
        </w:tc>
        <w:tc>
          <w:tcPr>
            <w:tcW w:w="4876" w:type="dxa"/>
          </w:tcPr>
          <w:p w:rsidR="0084543E" w:rsidRPr="00837CC4" w:rsidRDefault="0084543E" w:rsidP="00E51AD6">
            <w:pPr>
              <w:pStyle w:val="Normal6a"/>
            </w:pPr>
            <w:r w:rsidRPr="00837CC4">
              <w:t>3.</w:t>
            </w:r>
            <w:r w:rsidRPr="00837CC4">
              <w:tab/>
              <w:t xml:space="preserve">Visa PRT perleidžiamųjų vertybinių popierių, užregistruotų PRT vertybinių popierių atsiskaitymo sistemą valdančiame </w:t>
            </w:r>
            <w:r w:rsidRPr="00837CC4">
              <w:rPr>
                <w:b/>
                <w:bCs/>
                <w:i/>
                <w:iCs/>
              </w:rPr>
              <w:t>subjekte</w:t>
            </w:r>
            <w:r w:rsidRPr="00837CC4">
              <w:t xml:space="preserve">, rinkos vertė neviršija 2,5 mlrd. EUR. Kai PRT perleidžiamuosius vertybinius popierius pagal 4 straipsnio 2 ir 3 dalis registruoja ne CVPD, o PRT DPS, visa PRT perleidžiamųjų vertybinių popierių, užregistruotų PRT DPS </w:t>
            </w:r>
            <w:r w:rsidRPr="00837CC4">
              <w:rPr>
                <w:b/>
                <w:bCs/>
                <w:i/>
                <w:iCs/>
              </w:rPr>
              <w:t>valdantis subjektas</w:t>
            </w:r>
            <w:r w:rsidRPr="00837CC4">
              <w:t>, rinkos vertė neviršija 2,5 mlrd. EUR.</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pPr>
        <w:pStyle w:val="AmJustTitle"/>
      </w:pPr>
      <w:r w:rsidRPr="00837CC4">
        <w:rPr>
          <w:rStyle w:val="HideTWBExt"/>
          <w:i w:val="0"/>
          <w:noProof w:val="0"/>
        </w:rPr>
        <w:t>&lt;TitreJust&gt;</w:t>
      </w:r>
      <w:r w:rsidRPr="00837CC4">
        <w:t>Pagrindimas</w:t>
      </w:r>
      <w:r w:rsidRPr="00837CC4">
        <w:rPr>
          <w:rStyle w:val="HideTWBExt"/>
          <w:i w:val="0"/>
          <w:noProof w:val="0"/>
        </w:rPr>
        <w:t>&lt;/TitreJust&gt;</w:t>
      </w:r>
    </w:p>
    <w:p w:rsidR="0084543E" w:rsidRPr="00837CC4" w:rsidRDefault="0084543E" w:rsidP="0084543E">
      <w:pPr>
        <w:pStyle w:val="AmJustText"/>
      </w:pPr>
      <w:r w:rsidRPr="00837CC4">
        <w:t>Bandomosios tvarkos atvirumas.</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291</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Eero Heinäluoma, Paul Tang, Pedro Marques</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3 straipsnio 3 dalis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t>3.</w:t>
            </w:r>
            <w:r w:rsidRPr="00837CC4">
              <w:tab/>
              <w:t xml:space="preserve">Visa PRT perleidžiamųjų vertybinių popierių, užregistruotų PRT vertybinių popierių atsiskaitymo sistemą valdančiame CVPD, rinkos vertė neviršija </w:t>
            </w:r>
            <w:r w:rsidRPr="00837CC4">
              <w:rPr>
                <w:b/>
                <w:bCs/>
                <w:i/>
                <w:iCs/>
              </w:rPr>
              <w:t>2,5</w:t>
            </w:r>
            <w:r w:rsidRPr="00837CC4">
              <w:t xml:space="preserve"> mlrd. EUR. Kai PRT perleidžiamuosius vertybinius popierius pagal 4 straipsnio 2 ir 3 dalis registruoja ne CVPD, o PRT DPS, visa PRT perleidžiamųjų vertybinių popierių, užregistruotų PRT DPS valdančios investicinės įmonės arba rinkos operatoriaus, rinkos vertė neviršija </w:t>
            </w:r>
            <w:r w:rsidRPr="00837CC4">
              <w:rPr>
                <w:b/>
                <w:bCs/>
                <w:i/>
                <w:iCs/>
              </w:rPr>
              <w:t>2,5</w:t>
            </w:r>
            <w:r w:rsidRPr="00837CC4">
              <w:t> mlrd. EUR.</w:t>
            </w:r>
          </w:p>
        </w:tc>
        <w:tc>
          <w:tcPr>
            <w:tcW w:w="4876" w:type="dxa"/>
          </w:tcPr>
          <w:p w:rsidR="0084543E" w:rsidRPr="00837CC4" w:rsidRDefault="0084543E" w:rsidP="00E51AD6">
            <w:pPr>
              <w:pStyle w:val="Normal6a"/>
            </w:pPr>
            <w:r w:rsidRPr="00837CC4">
              <w:t>3.</w:t>
            </w:r>
            <w:r w:rsidRPr="00837CC4">
              <w:tab/>
              <w:t xml:space="preserve">Visa PRT perleidžiamųjų vertybinių popierių, užregistruotų PRT vertybinių popierių atsiskaitymo sistemą valdančiame CVPD, rinkos vertė neviršija </w:t>
            </w:r>
            <w:r w:rsidRPr="00837CC4">
              <w:rPr>
                <w:b/>
                <w:bCs/>
                <w:i/>
                <w:iCs/>
              </w:rPr>
              <w:t>2</w:t>
            </w:r>
            <w:r w:rsidRPr="00837CC4">
              <w:t xml:space="preserve"> mlrd. EUR. Kai PRT perleidžiamuosius vertybinius popierius pagal 4 straipsnio 2 ir 3 dalis registruoja ne CVPD, o PRT DPS, visa PRT perleidžiamųjų vertybinių popierių, užregistruotų PRT DPS valdančios investicinės įmonės arba rinkos operatoriaus, rinkos vertė neviršija </w:t>
            </w:r>
            <w:r w:rsidRPr="00837CC4">
              <w:rPr>
                <w:b/>
                <w:bCs/>
                <w:i/>
                <w:iCs/>
              </w:rPr>
              <w:t>2</w:t>
            </w:r>
            <w:r w:rsidRPr="00837CC4">
              <w:t> mlrd. EUR.</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292</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Chris MacManus</w:t>
      </w:r>
      <w:r w:rsidRPr="00837CC4">
        <w:rPr>
          <w:rStyle w:val="HideTWBExt"/>
          <w:b w:val="0"/>
          <w:noProof w:val="0"/>
        </w:rPr>
        <w:t>&lt;/Members&gt;</w:t>
      </w:r>
    </w:p>
    <w:p w:rsidR="0084543E" w:rsidRPr="00837CC4" w:rsidRDefault="0084543E" w:rsidP="0084543E">
      <w:r w:rsidRPr="00837CC4">
        <w:rPr>
          <w:rStyle w:val="HideTWBExt"/>
          <w:noProof w:val="0"/>
        </w:rPr>
        <w:t>&lt;AuNomDe&gt;</w:t>
      </w:r>
      <w:r w:rsidRPr="00837CC4">
        <w:rPr>
          <w:rStyle w:val="HideTWBInt"/>
          <w:noProof w:val="0"/>
        </w:rPr>
        <w:t>{The Left}</w:t>
      </w:r>
      <w:r w:rsidRPr="00837CC4">
        <w:t>Kairiųjų frakcijos vardu</w:t>
      </w:r>
      <w:r w:rsidRPr="00837CC4">
        <w:rPr>
          <w:rStyle w:val="HideTWBExt"/>
          <w:noProof w:val="0"/>
        </w:rPr>
        <w:t>&lt;/AuNomDe&gt;</w:t>
      </w:r>
    </w:p>
    <w:p w:rsidR="0084543E" w:rsidRPr="00837CC4" w:rsidRDefault="0084543E" w:rsidP="0084543E">
      <w:r w:rsidRPr="00837CC4">
        <w:rPr>
          <w:rStyle w:val="HideTWBExt"/>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3 straipsnio 3 dalis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t>3.</w:t>
            </w:r>
            <w:r w:rsidRPr="00837CC4">
              <w:tab/>
              <w:t xml:space="preserve">Visa PRT perleidžiamųjų vertybinių popierių, užregistruotų PRT vertybinių popierių atsiskaitymo sistemą valdančiame CVPD, rinkos vertė neviršija </w:t>
            </w:r>
            <w:r w:rsidRPr="00837CC4">
              <w:rPr>
                <w:b/>
                <w:bCs/>
                <w:i/>
                <w:iCs/>
              </w:rPr>
              <w:t>2,5</w:t>
            </w:r>
            <w:r w:rsidRPr="00837CC4">
              <w:t xml:space="preserve"> mlrd. EUR. Kai PRT perleidžiamuosius vertybinius popierius pagal 4 straipsnio 2 ir 3 dalis registruoja ne CVPD, o PRT DPS, visa PRT perleidžiamųjų vertybinių popierių, užregistruotų PRT DPS valdančios investicinės įmonės arba rinkos operatoriaus, rinkos vertė neviršija </w:t>
            </w:r>
            <w:r w:rsidRPr="00837CC4">
              <w:rPr>
                <w:b/>
                <w:bCs/>
                <w:i/>
                <w:iCs/>
              </w:rPr>
              <w:t>2,5</w:t>
            </w:r>
            <w:r w:rsidRPr="00837CC4">
              <w:t> mlrd. EUR.</w:t>
            </w:r>
          </w:p>
        </w:tc>
        <w:tc>
          <w:tcPr>
            <w:tcW w:w="4876" w:type="dxa"/>
          </w:tcPr>
          <w:p w:rsidR="0084543E" w:rsidRPr="00837CC4" w:rsidRDefault="0084543E" w:rsidP="00E51AD6">
            <w:pPr>
              <w:pStyle w:val="Normal6a"/>
            </w:pPr>
            <w:r w:rsidRPr="00837CC4">
              <w:t>3.</w:t>
            </w:r>
            <w:r w:rsidRPr="00837CC4">
              <w:tab/>
              <w:t xml:space="preserve">Visa PRT perleidžiamųjų vertybinių popierių, užregistruotų PRT vertybinių popierių atsiskaitymo sistemą valdančiame CVPD, rinkos vertė neviršija </w:t>
            </w:r>
            <w:r w:rsidRPr="00837CC4">
              <w:rPr>
                <w:b/>
                <w:bCs/>
                <w:i/>
                <w:iCs/>
              </w:rPr>
              <w:t>1,5</w:t>
            </w:r>
            <w:r w:rsidRPr="00837CC4">
              <w:t xml:space="preserve"> mlrd. EUR. Kai PRT perleidžiamuosius vertybinius popierius pagal 4 straipsnio 2 ir 3 dalis registruoja ne CVPD, o PRT DPS, visa PRT perleidžiamųjų vertybinių popierių, užregistruotų PRT DPS valdančios investicinės įmonės arba rinkos operatoriaus, rinkos vertė neviršija </w:t>
            </w:r>
            <w:r w:rsidRPr="00837CC4">
              <w:rPr>
                <w:b/>
                <w:bCs/>
                <w:i/>
                <w:iCs/>
              </w:rPr>
              <w:t>1,5</w:t>
            </w:r>
            <w:r w:rsidRPr="00837CC4">
              <w:t> mlrd. EUR.</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293</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Stéphanie Yon-Courtin, Ondřej Kovařík, Gilles Boyer, Olivier Chastel</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3 straipsnio 3 a dalis (nauja)</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p>
        </w:tc>
        <w:tc>
          <w:tcPr>
            <w:tcW w:w="4876" w:type="dxa"/>
          </w:tcPr>
          <w:p w:rsidR="0084543E" w:rsidRPr="00837CC4" w:rsidRDefault="0084543E" w:rsidP="00E51AD6">
            <w:pPr>
              <w:pStyle w:val="Normal6a"/>
            </w:pPr>
            <w:r w:rsidRPr="00837CC4">
              <w:rPr>
                <w:b/>
                <w:i/>
              </w:rPr>
              <w:t>3a.</w:t>
            </w:r>
            <w:r w:rsidRPr="00837CC4">
              <w:tab/>
            </w:r>
            <w:r w:rsidRPr="00837CC4">
              <w:rPr>
                <w:b/>
                <w:i/>
              </w:rPr>
              <w:t>Nukrypstant nuo reikalavimų, emitentų, kurių rinkos kapitalizacija emisijos metu neviršijo 1 mlrd. EUR, išleistos įmonių obligacijos neturėtų būti įtrauktos apskaičiuojant 1 dalies b punkte ir 3 dalyje nustatytas ribas.</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pPr>
        <w:pStyle w:val="AmJustTitle"/>
      </w:pPr>
      <w:r w:rsidRPr="00837CC4">
        <w:rPr>
          <w:rStyle w:val="HideTWBExt"/>
          <w:i w:val="0"/>
          <w:noProof w:val="0"/>
        </w:rPr>
        <w:t>&lt;TitreJust&gt;</w:t>
      </w:r>
      <w:r w:rsidRPr="00837CC4">
        <w:t>Pagrindimas</w:t>
      </w:r>
      <w:r w:rsidRPr="00837CC4">
        <w:rPr>
          <w:rStyle w:val="HideTWBExt"/>
          <w:i w:val="0"/>
          <w:noProof w:val="0"/>
        </w:rPr>
        <w:t>&lt;/TitreJust&gt;</w:t>
      </w:r>
    </w:p>
    <w:p w:rsidR="0084543E" w:rsidRPr="00837CC4" w:rsidRDefault="0084543E" w:rsidP="0084543E">
      <w:pPr>
        <w:pStyle w:val="AmJustText"/>
      </w:pPr>
      <w:r w:rsidRPr="00837CC4">
        <w:t>Papildomas lankstumas siekiant skatinti MVĮ finansavimą taikant bandomąją tvarką, laikantis MVĮ mokslinių tyrimų ribos, kuri yra kapitalo rinkų gaivinimo priemonių rinkinio dalis.</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294</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Stéphanie Yon-Courtin, Ondřej Kovařík, Gilles Boyer, Olivier Chastel</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3 straipsnio 4 dalies a punktas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t>a)</w:t>
            </w:r>
            <w:r w:rsidRPr="00837CC4">
              <w:tab/>
              <w:t xml:space="preserve">kasdien nustatoma </w:t>
            </w:r>
            <w:r w:rsidRPr="00837CC4">
              <w:rPr>
                <w:b/>
                <w:bCs/>
                <w:i/>
                <w:iCs/>
              </w:rPr>
              <w:t>CVPD</w:t>
            </w:r>
            <w:r w:rsidRPr="00837CC4">
              <w:t xml:space="preserve"> arba </w:t>
            </w:r>
            <w:r w:rsidRPr="00837CC4">
              <w:rPr>
                <w:b/>
                <w:bCs/>
                <w:i/>
                <w:iCs/>
              </w:rPr>
              <w:t>atitinkamos investicinės įmonės ar rinkos operatoriaus</w:t>
            </w:r>
            <w:r w:rsidRPr="00837CC4">
              <w:t xml:space="preserve"> ir</w:t>
            </w:r>
          </w:p>
        </w:tc>
        <w:tc>
          <w:tcPr>
            <w:tcW w:w="4876" w:type="dxa"/>
          </w:tcPr>
          <w:p w:rsidR="0084543E" w:rsidRPr="00837CC4" w:rsidRDefault="0084543E" w:rsidP="00E51AD6">
            <w:pPr>
              <w:pStyle w:val="Normal6a"/>
            </w:pPr>
            <w:r w:rsidRPr="00837CC4">
              <w:t>(a)</w:t>
            </w:r>
            <w:r w:rsidRPr="00837CC4">
              <w:tab/>
              <w:t xml:space="preserve">kasdien nustatoma arba </w:t>
            </w:r>
            <w:r w:rsidRPr="00837CC4">
              <w:rPr>
                <w:b/>
                <w:bCs/>
                <w:i/>
                <w:iCs/>
              </w:rPr>
              <w:t>atitinkamo subjekto</w:t>
            </w:r>
            <w:r w:rsidRPr="00837CC4">
              <w:t xml:space="preserve"> ir</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pPr>
        <w:pStyle w:val="AmJustTitle"/>
      </w:pPr>
      <w:r w:rsidRPr="00837CC4">
        <w:rPr>
          <w:rStyle w:val="HideTWBExt"/>
          <w:i w:val="0"/>
          <w:noProof w:val="0"/>
        </w:rPr>
        <w:t>&lt;TitreJust&gt;</w:t>
      </w:r>
      <w:r w:rsidRPr="00837CC4">
        <w:t>Pagrindimas</w:t>
      </w:r>
      <w:r w:rsidRPr="00837CC4">
        <w:rPr>
          <w:rStyle w:val="HideTWBExt"/>
          <w:i w:val="0"/>
          <w:noProof w:val="0"/>
        </w:rPr>
        <w:t>&lt;/TitreJust&gt;</w:t>
      </w:r>
    </w:p>
    <w:p w:rsidR="0084543E" w:rsidRPr="00837CC4" w:rsidRDefault="0084543E" w:rsidP="0084543E">
      <w:pPr>
        <w:pStyle w:val="AmJustText"/>
      </w:pPr>
      <w:r w:rsidRPr="00837CC4">
        <w:t>Bandomosios tvarkos atvirumas naujų dalyvių atžvilgiu.</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295</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Gunnar Beck, Maximilian Krah</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3 straipsnio 4 dalies a punktas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t>a)</w:t>
            </w:r>
            <w:r w:rsidRPr="00837CC4">
              <w:tab/>
              <w:t>kasdien nustatoma CVPD arba atitinkamos investicinės įmonės ar rinkos operatoriaus ir</w:t>
            </w:r>
          </w:p>
        </w:tc>
        <w:tc>
          <w:tcPr>
            <w:tcW w:w="4876" w:type="dxa"/>
          </w:tcPr>
          <w:p w:rsidR="0084543E" w:rsidRPr="00837CC4" w:rsidRDefault="0084543E" w:rsidP="00E51AD6">
            <w:pPr>
              <w:pStyle w:val="Normal6a"/>
            </w:pPr>
            <w:r w:rsidRPr="00837CC4">
              <w:t>a)</w:t>
            </w:r>
            <w:r w:rsidRPr="00837CC4">
              <w:tab/>
              <w:t>kasdien nustatoma CVPD arba atitinkamos investicinės įmonės</w:t>
            </w:r>
            <w:r w:rsidRPr="00837CC4">
              <w:rPr>
                <w:b/>
                <w:bCs/>
                <w:i/>
                <w:iCs/>
              </w:rPr>
              <w:t>, kriptoturto emitento</w:t>
            </w:r>
            <w:r w:rsidRPr="00837CC4">
              <w:t xml:space="preserve"> ar rinkos operatoriaus ir</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296</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Sven Giegold</w:t>
      </w:r>
      <w:r w:rsidRPr="00837CC4">
        <w:rPr>
          <w:rStyle w:val="HideTWBExt"/>
          <w:b w:val="0"/>
          <w:noProof w:val="0"/>
        </w:rPr>
        <w:t>&lt;/Members&gt;</w:t>
      </w:r>
    </w:p>
    <w:p w:rsidR="0084543E" w:rsidRPr="00837CC4" w:rsidRDefault="0084543E" w:rsidP="0084543E">
      <w:r w:rsidRPr="00837CC4">
        <w:rPr>
          <w:rStyle w:val="HideTWBExt"/>
          <w:noProof w:val="0"/>
        </w:rPr>
        <w:t>&lt;AuNomDe&gt;</w:t>
      </w:r>
      <w:r w:rsidRPr="00837CC4">
        <w:rPr>
          <w:rStyle w:val="HideTWBInt"/>
          <w:noProof w:val="0"/>
        </w:rPr>
        <w:t>{Greens/EFA}</w:t>
      </w:r>
      <w:r w:rsidRPr="00837CC4">
        <w:t>Verts/ALE frakcijos vardu</w:t>
      </w:r>
      <w:r w:rsidRPr="00837CC4">
        <w:rPr>
          <w:rStyle w:val="HideTWBExt"/>
          <w:noProof w:val="0"/>
        </w:rPr>
        <w:t>&lt;/AuNomDe&gt;</w:t>
      </w:r>
    </w:p>
    <w:p w:rsidR="0084543E" w:rsidRPr="00837CC4" w:rsidRDefault="0084543E" w:rsidP="0084543E">
      <w:r w:rsidRPr="00837CC4">
        <w:rPr>
          <w:rStyle w:val="HideTWBExt"/>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3 straipsnio 5 dalies 1 pastraipa</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t xml:space="preserve">Kai visa PRT perleidžiamųjų vertybinių popierių, apie kuriuos pranešta pagal 1 dalį, rinkos vertė pasiekia </w:t>
            </w:r>
            <w:r w:rsidRPr="00837CC4">
              <w:rPr>
                <w:b/>
                <w:bCs/>
                <w:i/>
                <w:iCs/>
              </w:rPr>
              <w:t>2,25</w:t>
            </w:r>
            <w:r w:rsidRPr="00837CC4">
              <w:t> mlrd. EUR, atitinkamą PRT DPS valdanti investicinė įmonė arba rinkos operatorius arba atitinkamą PRT vertybinių popierių atsiskaitymo sistemą valdantis CVPD pradeda įgyvendinti 6 straipsnio 6 dalyje nurodytą pereinamojo laikotarpio strategiją. Mėnesio ataskaitoje jie informuoja kompetentingą instituciją, kad pradėjo įgyvendinti savo pereinamojo laikotarpio strategiją, ir nurodo tokio pereinamojo laikotarpio trukmę.</w:t>
            </w:r>
          </w:p>
        </w:tc>
        <w:tc>
          <w:tcPr>
            <w:tcW w:w="4876" w:type="dxa"/>
          </w:tcPr>
          <w:p w:rsidR="0084543E" w:rsidRPr="00837CC4" w:rsidRDefault="0084543E" w:rsidP="00E51AD6">
            <w:pPr>
              <w:pStyle w:val="Normal6a"/>
            </w:pPr>
            <w:r w:rsidRPr="00837CC4">
              <w:t xml:space="preserve">Kai visa PRT perleidžiamųjų vertybinių popierių, apie kuriuos pranešta pagal 1 dalį, rinkos vertė pasiekia </w:t>
            </w:r>
            <w:r w:rsidRPr="00837CC4">
              <w:rPr>
                <w:b/>
                <w:bCs/>
                <w:i/>
                <w:iCs/>
              </w:rPr>
              <w:t>3,5</w:t>
            </w:r>
            <w:r w:rsidRPr="00837CC4">
              <w:t> mlrd. EUR, atitinkamą PRT DPS valdanti investicinė įmonė arba rinkos operatorius arba atitinkamą PRT vertybinių popierių atsiskaitymo sistemą valdantis CVPD pradeda įgyvendinti 6 straipsnio 6 dalyje nurodytą pereinamojo laikotarpio strategiją. Mėnesio ataskaitoje jie informuoja kompetentingą instituciją, kad pradėjo įgyvendinti savo pereinamojo laikotarpio strategiją, ir nurodo tokio pereinamojo laikotarpio trukmę.</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297</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Chris MacManus</w:t>
      </w:r>
      <w:r w:rsidRPr="00837CC4">
        <w:rPr>
          <w:rStyle w:val="HideTWBExt"/>
          <w:b w:val="0"/>
          <w:noProof w:val="0"/>
        </w:rPr>
        <w:t>&lt;/Members&gt;</w:t>
      </w:r>
    </w:p>
    <w:p w:rsidR="0084543E" w:rsidRPr="00837CC4" w:rsidRDefault="0084543E" w:rsidP="0084543E">
      <w:r w:rsidRPr="00837CC4">
        <w:rPr>
          <w:rStyle w:val="HideTWBExt"/>
          <w:noProof w:val="0"/>
        </w:rPr>
        <w:t>&lt;AuNomDe&gt;</w:t>
      </w:r>
      <w:r w:rsidRPr="00837CC4">
        <w:rPr>
          <w:rStyle w:val="HideTWBInt"/>
          <w:noProof w:val="0"/>
        </w:rPr>
        <w:t>{The Left}</w:t>
      </w:r>
      <w:r w:rsidRPr="00837CC4">
        <w:t>Kairiųjų frakcijos vardu</w:t>
      </w:r>
      <w:r w:rsidRPr="00837CC4">
        <w:rPr>
          <w:rStyle w:val="HideTWBExt"/>
          <w:noProof w:val="0"/>
        </w:rPr>
        <w:t>&lt;/AuNomDe&gt;</w:t>
      </w:r>
    </w:p>
    <w:p w:rsidR="0084543E" w:rsidRPr="00837CC4" w:rsidRDefault="0084543E" w:rsidP="0084543E">
      <w:r w:rsidRPr="00837CC4">
        <w:rPr>
          <w:rStyle w:val="HideTWBExt"/>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3 straipsnio 5 dalies 1 pastraipa</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t xml:space="preserve">Kai visa PRT perleidžiamųjų vertybinių popierių, apie kuriuos pranešta pagal 1 dalį, rinkos vertė pasiekia </w:t>
            </w:r>
            <w:r w:rsidRPr="00837CC4">
              <w:rPr>
                <w:b/>
                <w:bCs/>
                <w:i/>
                <w:iCs/>
              </w:rPr>
              <w:t>2,25</w:t>
            </w:r>
            <w:r w:rsidRPr="00837CC4">
              <w:t> mlrd. EUR, atitinkamą PRT DPS valdanti investicinė įmonė arba rinkos operatorius arba atitinkamą PRT vertybinių popierių atsiskaitymo sistemą valdantis CVPD pradeda įgyvendinti 6 straipsnio 6 dalyje nurodytą pereinamojo laikotarpio strategiją. Mėnesio ataskaitoje jie informuoja kompetentingą instituciją, kad pradėjo įgyvendinti savo pereinamojo laikotarpio strategiją, ir nurodo tokio pereinamojo laikotarpio trukmę.</w:t>
            </w:r>
          </w:p>
        </w:tc>
        <w:tc>
          <w:tcPr>
            <w:tcW w:w="4876" w:type="dxa"/>
          </w:tcPr>
          <w:p w:rsidR="0084543E" w:rsidRPr="00837CC4" w:rsidRDefault="0084543E" w:rsidP="00E51AD6">
            <w:pPr>
              <w:pStyle w:val="Normal6a"/>
            </w:pPr>
            <w:r w:rsidRPr="00837CC4">
              <w:t xml:space="preserve">Kai visa PRT perleidžiamųjų vertybinių popierių, apie kuriuos pranešta pagal 1 dalį, rinkos vertė pasiekia </w:t>
            </w:r>
            <w:r w:rsidRPr="00837CC4">
              <w:rPr>
                <w:b/>
                <w:bCs/>
                <w:i/>
                <w:iCs/>
              </w:rPr>
              <w:t>1,25</w:t>
            </w:r>
            <w:r w:rsidRPr="00837CC4">
              <w:t> mlrd. EUR, atitinkamą PRT DPS valdanti investicinė įmonė arba rinkos operatorius arba atitinkamą PRT vertybinių popierių atsiskaitymo sistemą valdantis CVPD pradeda įgyvendinti 6 straipsnio 6 dalyje nurodytą pereinamojo laikotarpio strategiją. Mėnesio ataskaitoje jie informuoja kompetentingą instituciją, kad pradėjo įgyvendinti savo pereinamojo laikotarpio strategiją, ir nurodo tokio pereinamojo laikotarpio trukmę.</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298</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Sven Giegold</w:t>
      </w:r>
      <w:r w:rsidRPr="00837CC4">
        <w:rPr>
          <w:rStyle w:val="HideTWBExt"/>
          <w:b w:val="0"/>
          <w:noProof w:val="0"/>
        </w:rPr>
        <w:t>&lt;/Members&gt;</w:t>
      </w:r>
    </w:p>
    <w:p w:rsidR="0084543E" w:rsidRPr="00837CC4" w:rsidRDefault="0084543E" w:rsidP="0084543E">
      <w:r w:rsidRPr="00837CC4">
        <w:rPr>
          <w:rStyle w:val="HideTWBExt"/>
          <w:noProof w:val="0"/>
        </w:rPr>
        <w:t>&lt;AuNomDe&gt;</w:t>
      </w:r>
      <w:r w:rsidRPr="00837CC4">
        <w:rPr>
          <w:rStyle w:val="HideTWBInt"/>
          <w:noProof w:val="0"/>
        </w:rPr>
        <w:t>{Greens/EFA}</w:t>
      </w:r>
      <w:r w:rsidRPr="00837CC4">
        <w:t>Verts/ALE frakcijos vardu</w:t>
      </w:r>
      <w:r w:rsidRPr="00837CC4">
        <w:rPr>
          <w:rStyle w:val="HideTWBExt"/>
          <w:noProof w:val="0"/>
        </w:rPr>
        <w:t>&lt;/AuNomDe&gt;</w:t>
      </w:r>
    </w:p>
    <w:p w:rsidR="0084543E" w:rsidRPr="00837CC4" w:rsidRDefault="0084543E" w:rsidP="0084543E">
      <w:r w:rsidRPr="00837CC4">
        <w:rPr>
          <w:rStyle w:val="HideTWBExt"/>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3 straipsnio 5 dalies 2 pastraipa</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rPr>
                <w:b/>
                <w:i/>
              </w:rPr>
              <w:t>Atitinkama kompetentinga institucija gali leisti atitinkamai PRT rinkos infrastruktūrai veikti toliau tol, kol visa PRT perleidžiamųjų vertybinių popierių, apie kuriuos pranešta pagal 1 dalį, rinkos vertė pasieks 2,75 mlrd. EUR, jeigu atitinkamos PRT rinkos infrastruktūros operatorius tokios veiksmų laisvės paprašo ir, vertinant objektyviai, tai būtina siekiant tvarkingai įgyvendinti pereinamojo laikotarpio strategiją.</w:t>
            </w:r>
          </w:p>
        </w:tc>
        <w:tc>
          <w:tcPr>
            <w:tcW w:w="4876" w:type="dxa"/>
          </w:tcPr>
          <w:p w:rsidR="0084543E" w:rsidRPr="00837CC4" w:rsidRDefault="0084543E" w:rsidP="00E51AD6">
            <w:pPr>
              <w:pStyle w:val="Normal6a"/>
            </w:pPr>
            <w:r w:rsidRPr="00837CC4">
              <w:rPr>
                <w:b/>
                <w:i/>
              </w:rPr>
              <w:t>Išbraukta.</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299</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Chris MacManus</w:t>
      </w:r>
      <w:r w:rsidRPr="00837CC4">
        <w:rPr>
          <w:rStyle w:val="HideTWBExt"/>
          <w:b w:val="0"/>
          <w:noProof w:val="0"/>
        </w:rPr>
        <w:t>&lt;/Members&gt;</w:t>
      </w:r>
    </w:p>
    <w:p w:rsidR="0084543E" w:rsidRPr="00837CC4" w:rsidRDefault="0084543E" w:rsidP="0084543E">
      <w:r w:rsidRPr="00837CC4">
        <w:rPr>
          <w:rStyle w:val="HideTWBExt"/>
          <w:noProof w:val="0"/>
        </w:rPr>
        <w:t>&lt;AuNomDe&gt;</w:t>
      </w:r>
      <w:r w:rsidRPr="00837CC4">
        <w:rPr>
          <w:rStyle w:val="HideTWBInt"/>
          <w:noProof w:val="0"/>
        </w:rPr>
        <w:t>{The Left}</w:t>
      </w:r>
      <w:r w:rsidRPr="00837CC4">
        <w:t>Kairiųjų frakcijos vardu</w:t>
      </w:r>
      <w:r w:rsidRPr="00837CC4">
        <w:rPr>
          <w:rStyle w:val="HideTWBExt"/>
          <w:noProof w:val="0"/>
        </w:rPr>
        <w:t>&lt;/AuNomDe&gt;</w:t>
      </w:r>
    </w:p>
    <w:p w:rsidR="0084543E" w:rsidRPr="00837CC4" w:rsidRDefault="0084543E" w:rsidP="0084543E">
      <w:r w:rsidRPr="00837CC4">
        <w:rPr>
          <w:rStyle w:val="HideTWBExt"/>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3 straipsnio 5 dalies 2 pastraipa</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t xml:space="preserve">Atitinkama kompetentinga institucija gali leisti atitinkamai PRT rinkos infrastruktūrai veikti toliau tol, kol visa PRT perleidžiamųjų vertybinių popierių, apie kuriuos pranešta pagal 1 dalį, rinkos vertė pasieks </w:t>
            </w:r>
            <w:r w:rsidRPr="00837CC4">
              <w:rPr>
                <w:b/>
                <w:bCs/>
                <w:i/>
                <w:iCs/>
              </w:rPr>
              <w:t>2,75</w:t>
            </w:r>
            <w:r w:rsidRPr="00837CC4">
              <w:t> mlrd. EUR, jeigu atitinkamos PRT rinkos infrastruktūros operatorius tokios veiksmų laisvės paprašo ir, vertinant objektyviai, tai būtina siekiant tvarkingai įgyvendinti pereinamojo laikotarpio strategiją.</w:t>
            </w:r>
          </w:p>
        </w:tc>
        <w:tc>
          <w:tcPr>
            <w:tcW w:w="4876" w:type="dxa"/>
          </w:tcPr>
          <w:p w:rsidR="0084543E" w:rsidRPr="00837CC4" w:rsidRDefault="0084543E" w:rsidP="00E51AD6">
            <w:pPr>
              <w:pStyle w:val="Normal6a"/>
            </w:pPr>
            <w:r w:rsidRPr="00837CC4">
              <w:t xml:space="preserve">Atitinkama kompetentinga institucija gali leisti atitinkamai PRT rinkos infrastruktūrai veikti toliau tol, kol visa PRT perleidžiamųjų vertybinių popierių, apie kuriuos pranešta pagal 1 dalį, rinkos vertė pasieks </w:t>
            </w:r>
            <w:r w:rsidRPr="00837CC4">
              <w:rPr>
                <w:b/>
                <w:bCs/>
                <w:i/>
                <w:iCs/>
              </w:rPr>
              <w:t>1,75</w:t>
            </w:r>
            <w:r w:rsidRPr="00837CC4">
              <w:t> mlrd. EUR, jeigu atitinkamos PRT rinkos infrastruktūros operatorius tokios veiksmų laisvės paprašo ir, vertinant objektyviai, tai būtina siekiant tvarkingai įgyvendinti pereinamojo laikotarpio strategiją.</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300</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Sven Giegold</w:t>
      </w:r>
      <w:r w:rsidRPr="00837CC4">
        <w:rPr>
          <w:rStyle w:val="HideTWBExt"/>
          <w:b w:val="0"/>
          <w:noProof w:val="0"/>
        </w:rPr>
        <w:t>&lt;/Members&gt;</w:t>
      </w:r>
    </w:p>
    <w:p w:rsidR="0084543E" w:rsidRPr="00837CC4" w:rsidRDefault="0084543E" w:rsidP="0084543E">
      <w:r w:rsidRPr="00837CC4">
        <w:rPr>
          <w:rStyle w:val="HideTWBExt"/>
          <w:noProof w:val="0"/>
        </w:rPr>
        <w:t>&lt;AuNomDe&gt;</w:t>
      </w:r>
      <w:r w:rsidRPr="00837CC4">
        <w:rPr>
          <w:rStyle w:val="HideTWBInt"/>
          <w:noProof w:val="0"/>
        </w:rPr>
        <w:t>{Greens/EFA}</w:t>
      </w:r>
      <w:r w:rsidRPr="00837CC4">
        <w:t>Verts/ALE frakcijos vardu</w:t>
      </w:r>
      <w:r w:rsidRPr="00837CC4">
        <w:rPr>
          <w:rStyle w:val="HideTWBExt"/>
          <w:noProof w:val="0"/>
        </w:rPr>
        <w:t>&lt;/AuNomDe&gt;</w:t>
      </w:r>
    </w:p>
    <w:p w:rsidR="0084543E" w:rsidRPr="00837CC4" w:rsidRDefault="0084543E" w:rsidP="0084543E">
      <w:r w:rsidRPr="00837CC4">
        <w:rPr>
          <w:rStyle w:val="HideTWBExt"/>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4 straipsnio 1 dalies įžanginė dalis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t>1.</w:t>
            </w:r>
            <w:r w:rsidRPr="00837CC4">
              <w:tab/>
              <w:t>PRT DPS taikomi visi pagal Direktyvą 2014/65/ES ir Reglamentą (ES) Nr. 600/2014 DPS taikytini reikalavimai</w:t>
            </w:r>
            <w:r w:rsidRPr="00837CC4">
              <w:rPr>
                <w:b/>
                <w:bCs/>
                <w:i/>
                <w:iCs/>
              </w:rPr>
              <w:t>, išskyrus atvejus, kai PRT DPS valdanti investicinė įmonė arba rinkos operatorius</w:t>
            </w:r>
            <w:r w:rsidRPr="00837CC4">
              <w:t>:</w:t>
            </w:r>
          </w:p>
        </w:tc>
        <w:tc>
          <w:tcPr>
            <w:tcW w:w="4876" w:type="dxa"/>
          </w:tcPr>
          <w:p w:rsidR="0084543E" w:rsidRPr="00837CC4" w:rsidRDefault="0084543E" w:rsidP="00E51AD6">
            <w:pPr>
              <w:pStyle w:val="Normal6a"/>
            </w:pPr>
            <w:r w:rsidRPr="00837CC4">
              <w:t>1.</w:t>
            </w:r>
            <w:r w:rsidRPr="00837CC4">
              <w:tab/>
              <w:t xml:space="preserve">PRT DPS taikomi visi pagal Direktyvą 2014/65/ES ir Reglamentą (ES) Nr. 600/2014 DPS </w:t>
            </w:r>
            <w:r w:rsidRPr="00837CC4">
              <w:rPr>
                <w:b/>
                <w:bCs/>
                <w:i/>
                <w:iCs/>
              </w:rPr>
              <w:t xml:space="preserve">bei PRT DPS valdančiai investicinei įmonei arba rinkos operatoriui </w:t>
            </w:r>
            <w:r w:rsidRPr="00837CC4">
              <w:t xml:space="preserve">taikytini reikalavimai, išskyrus </w:t>
            </w:r>
            <w:r w:rsidRPr="00837CC4">
              <w:rPr>
                <w:b/>
                <w:bCs/>
                <w:i/>
                <w:iCs/>
              </w:rPr>
              <w:t>susijusius su išimtimi, taikoma pagal 1a dalį (nauja)</w:t>
            </w:r>
            <w:r w:rsidRPr="00837CC4">
              <w:t>:</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pPr>
        <w:pStyle w:val="AmJustTitle"/>
      </w:pPr>
      <w:r w:rsidRPr="00837CC4">
        <w:rPr>
          <w:rStyle w:val="HideTWBExt"/>
          <w:i w:val="0"/>
          <w:noProof w:val="0"/>
        </w:rPr>
        <w:t>&lt;TitreJust&gt;</w:t>
      </w:r>
      <w:r w:rsidRPr="00837CC4">
        <w:t>Pagrindimas</w:t>
      </w:r>
      <w:r w:rsidRPr="00837CC4">
        <w:rPr>
          <w:rStyle w:val="HideTWBExt"/>
          <w:i w:val="0"/>
          <w:noProof w:val="0"/>
        </w:rPr>
        <w:t>&lt;/TitreJust&gt;</w:t>
      </w:r>
    </w:p>
    <w:p w:rsidR="0084543E" w:rsidRPr="00837CC4" w:rsidRDefault="0084543E" w:rsidP="0084543E">
      <w:pPr>
        <w:pStyle w:val="AmJustText"/>
      </w:pPr>
      <w:r w:rsidRPr="00837CC4">
        <w:t>Išaiškinama, kad visi reikalavimai yra taikomi su viena galima išimtimi FPRD II, kaip nurodyta tolesnėje dalyje.</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301</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Jessica Polfjärd</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4 straipsnio 1 dalies įžanginė dalis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t>1.</w:t>
            </w:r>
            <w:r w:rsidRPr="00837CC4">
              <w:tab/>
              <w:t xml:space="preserve">PRT DPS taikomi visi pagal Direktyvą 2014/65/ES </w:t>
            </w:r>
            <w:r w:rsidRPr="00837CC4">
              <w:rPr>
                <w:b/>
                <w:bCs/>
                <w:i/>
                <w:iCs/>
              </w:rPr>
              <w:t>ir</w:t>
            </w:r>
            <w:r w:rsidRPr="00837CC4">
              <w:t xml:space="preserve"> Reglamentą (ES) Nr. 600/2014 DPS taikytini reikalavimai, išskyrus atvejus, kai PRT DPS valdanti investicinė įmonė arba rinkos operatorius:</w:t>
            </w:r>
          </w:p>
        </w:tc>
        <w:tc>
          <w:tcPr>
            <w:tcW w:w="4876" w:type="dxa"/>
          </w:tcPr>
          <w:p w:rsidR="0084543E" w:rsidRPr="00837CC4" w:rsidRDefault="0084543E" w:rsidP="00E51AD6">
            <w:pPr>
              <w:pStyle w:val="Normal6a"/>
            </w:pPr>
            <w:r w:rsidRPr="00837CC4">
              <w:t>1.</w:t>
            </w:r>
            <w:r w:rsidRPr="00837CC4">
              <w:tab/>
              <w:t>PRT DPS ir jos operatoriui taikomi visi pagal Direktyvą 2014/65/ES</w:t>
            </w:r>
            <w:r w:rsidRPr="00837CC4">
              <w:rPr>
                <w:b/>
                <w:bCs/>
                <w:i/>
                <w:iCs/>
              </w:rPr>
              <w:t>,</w:t>
            </w:r>
            <w:r w:rsidRPr="00837CC4">
              <w:t xml:space="preserve"> Reglamentą (ES) Nr. 2014/2014 </w:t>
            </w:r>
            <w:r w:rsidRPr="00837CC4">
              <w:rPr>
                <w:b/>
                <w:bCs/>
                <w:i/>
                <w:iCs/>
              </w:rPr>
              <w:t>bei visus kitus galiojančius Sąjungos finansinių paslaugų teisės aktus</w:t>
            </w:r>
            <w:r w:rsidRPr="00837CC4">
              <w:t xml:space="preserve"> DPS taikytini reikalavimai, išskyrus atvejus, kai PRT DPS valdanti investicinė įmonė arba rinkos operatorius:</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302</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Eva Kaili</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4 straipsnio 1 dalies įžanginė dalis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t>1.</w:t>
            </w:r>
            <w:r w:rsidRPr="00837CC4">
              <w:tab/>
              <w:t>PRT DPS taikomi visi pagal Direktyvą 2014/65/ES ir Reglamentą (ES) Nr. 600/2014 DPS taikytini reikalavimai, išskyrus atvejus, kai PRT DPS valdanti investicinė įmonė arba rinkos operatorius:</w:t>
            </w:r>
          </w:p>
        </w:tc>
        <w:tc>
          <w:tcPr>
            <w:tcW w:w="4876" w:type="dxa"/>
          </w:tcPr>
          <w:p w:rsidR="0084543E" w:rsidRPr="00837CC4" w:rsidRDefault="0084543E" w:rsidP="00E51AD6">
            <w:pPr>
              <w:pStyle w:val="Normal6a"/>
            </w:pPr>
            <w:r w:rsidRPr="00837CC4">
              <w:t>1.</w:t>
            </w:r>
            <w:r w:rsidRPr="00837CC4">
              <w:tab/>
              <w:t xml:space="preserve">PRT DPS </w:t>
            </w:r>
            <w:r w:rsidRPr="00837CC4">
              <w:rPr>
                <w:b/>
                <w:bCs/>
                <w:i/>
                <w:iCs/>
              </w:rPr>
              <w:t xml:space="preserve">ir jos operatoriui </w:t>
            </w:r>
            <w:r w:rsidRPr="00837CC4">
              <w:t>taikomi visi pagal Direktyvą 2014/65/ES ir Reglamentą (ES) Nr. 600/2014 DPS taikytini reikalavimai, išskyrus atvejus, kai PRT DPS valdanti investicinė įmonė arba rinkos operatorius:</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pPr>
        <w:pStyle w:val="AmJustTitle"/>
      </w:pPr>
      <w:r w:rsidRPr="00837CC4">
        <w:rPr>
          <w:rStyle w:val="HideTWBExt"/>
          <w:i w:val="0"/>
          <w:noProof w:val="0"/>
        </w:rPr>
        <w:t>&lt;TitreJust&gt;</w:t>
      </w:r>
      <w:r w:rsidRPr="00837CC4">
        <w:t>Pagrindimas</w:t>
      </w:r>
      <w:r w:rsidRPr="00837CC4">
        <w:rPr>
          <w:rStyle w:val="HideTWBExt"/>
          <w:i w:val="0"/>
          <w:noProof w:val="0"/>
        </w:rPr>
        <w:t>&lt;/TitreJust&gt;</w:t>
      </w:r>
    </w:p>
    <w:p w:rsidR="0084543E" w:rsidRPr="00837CC4" w:rsidRDefault="0084543E" w:rsidP="0084543E">
      <w:pPr>
        <w:pStyle w:val="AmJustText"/>
      </w:pPr>
      <w:r w:rsidRPr="00837CC4">
        <w:t>Kai kurie reikalavimai yra taikomi rinkos infrastruktūros operatoriui.</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303</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Stéphanie Yon-Courtin, Ondřej Kovařík, Gilles Boyer, Olivier Chastel</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4 straipsnio 1 dalies įžanginė dalis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t>1.</w:t>
            </w:r>
            <w:r w:rsidRPr="00837CC4">
              <w:tab/>
              <w:t xml:space="preserve">PRT DPS taikomi visi pagal Direktyvą 2014/65/ES ir Reglamentą (ES) Nr. 600/2014 DPS taikytini reikalavimai, išskyrus atvejus, kai PRT DPS </w:t>
            </w:r>
            <w:r w:rsidRPr="00837CC4">
              <w:rPr>
                <w:b/>
                <w:bCs/>
                <w:i/>
                <w:iCs/>
              </w:rPr>
              <w:t>valdanti investicinė įmonė arba rinkos operatorius</w:t>
            </w:r>
            <w:r w:rsidRPr="00837CC4">
              <w:t>:</w:t>
            </w:r>
          </w:p>
        </w:tc>
        <w:tc>
          <w:tcPr>
            <w:tcW w:w="4876" w:type="dxa"/>
          </w:tcPr>
          <w:p w:rsidR="0084543E" w:rsidRPr="00837CC4" w:rsidRDefault="0084543E" w:rsidP="00E51AD6">
            <w:pPr>
              <w:pStyle w:val="Normal6a"/>
            </w:pPr>
            <w:r w:rsidRPr="00837CC4">
              <w:t>1.</w:t>
            </w:r>
            <w:r w:rsidRPr="00837CC4">
              <w:tab/>
              <w:t xml:space="preserve">PRT DPS taikomi visi pagal Direktyvą 2014/65/ES ir Reglamentą (ES) Nr. 600/2014 DPS taikytini reikalavimai, išskyrus atvejus, kai PRT DPS </w:t>
            </w:r>
            <w:r w:rsidRPr="00837CC4">
              <w:rPr>
                <w:b/>
                <w:bCs/>
                <w:i/>
                <w:iCs/>
              </w:rPr>
              <w:t>valdantis subjektas</w:t>
            </w:r>
            <w:r w:rsidRPr="00837CC4">
              <w:t>:</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pPr>
        <w:pStyle w:val="AmJustTitle"/>
      </w:pPr>
      <w:r w:rsidRPr="00837CC4">
        <w:rPr>
          <w:rStyle w:val="HideTWBExt"/>
          <w:i w:val="0"/>
          <w:noProof w:val="0"/>
        </w:rPr>
        <w:t>&lt;TitreJust&gt;</w:t>
      </w:r>
      <w:r w:rsidRPr="00837CC4">
        <w:t>Pagrindimas</w:t>
      </w:r>
      <w:r w:rsidRPr="00837CC4">
        <w:rPr>
          <w:rStyle w:val="HideTWBExt"/>
          <w:i w:val="0"/>
          <w:noProof w:val="0"/>
        </w:rPr>
        <w:t>&lt;/TitreJust&gt;</w:t>
      </w:r>
    </w:p>
    <w:p w:rsidR="0084543E" w:rsidRPr="00837CC4" w:rsidRDefault="0084543E" w:rsidP="0084543E">
      <w:pPr>
        <w:pStyle w:val="AmJustText"/>
      </w:pPr>
      <w:r w:rsidRPr="00837CC4">
        <w:t>Bandomosios tvarkos atvirumas naujų dalyvių atžvilgiu.</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304</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Sven Giegold</w:t>
      </w:r>
      <w:r w:rsidRPr="00837CC4">
        <w:rPr>
          <w:rStyle w:val="HideTWBExt"/>
          <w:b w:val="0"/>
          <w:noProof w:val="0"/>
        </w:rPr>
        <w:t>&lt;/Members&gt;</w:t>
      </w:r>
    </w:p>
    <w:p w:rsidR="0084543E" w:rsidRPr="00837CC4" w:rsidRDefault="0084543E" w:rsidP="0084543E">
      <w:r w:rsidRPr="00837CC4">
        <w:rPr>
          <w:rStyle w:val="HideTWBExt"/>
          <w:noProof w:val="0"/>
        </w:rPr>
        <w:t>&lt;AuNomDe&gt;</w:t>
      </w:r>
      <w:r w:rsidRPr="00837CC4">
        <w:rPr>
          <w:rStyle w:val="HideTWBInt"/>
          <w:noProof w:val="0"/>
        </w:rPr>
        <w:t>{Greens/EFA}</w:t>
      </w:r>
      <w:r w:rsidRPr="00837CC4">
        <w:t>Verts/ALE frakcijos vardu</w:t>
      </w:r>
      <w:r w:rsidRPr="00837CC4">
        <w:rPr>
          <w:rStyle w:val="HideTWBExt"/>
          <w:noProof w:val="0"/>
        </w:rPr>
        <w:t>&lt;/AuNomDe&gt;</w:t>
      </w:r>
    </w:p>
    <w:p w:rsidR="0084543E" w:rsidRPr="00837CC4" w:rsidRDefault="0084543E" w:rsidP="0084543E">
      <w:r w:rsidRPr="00837CC4">
        <w:rPr>
          <w:rStyle w:val="HideTWBExt"/>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4 straipsnio 1 dalies a punktas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rPr>
                <w:b/>
                <w:i/>
              </w:rPr>
              <w:t>a)</w:t>
            </w:r>
            <w:r w:rsidRPr="00837CC4">
              <w:tab/>
            </w:r>
            <w:r w:rsidRPr="00837CC4">
              <w:rPr>
                <w:b/>
                <w:bCs/>
                <w:i/>
                <w:iCs/>
              </w:rPr>
              <w:t>paprašė leisti taikyti išimtį, kaip nurodyta 2 dalyje arba Direktyvoje (ES) .../...,</w:t>
            </w:r>
            <w:r w:rsidRPr="00837CC4">
              <w:rPr>
                <w:rStyle w:val="SupBoldItalic"/>
                <w:b w:val="0"/>
                <w:bCs/>
                <w:i w:val="0"/>
                <w:iCs/>
              </w:rPr>
              <w:t>53</w:t>
            </w:r>
            <w:r w:rsidRPr="00837CC4">
              <w:rPr>
                <w:b/>
                <w:bCs/>
                <w:i/>
                <w:iCs/>
              </w:rPr>
              <w:t xml:space="preserve"> ir kompetentinga institucija, pagal 7 straipsnį suteikusi specialų leidimą, tokią išimtį taikyti leido;</w:t>
            </w:r>
            <w:r w:rsidRPr="00837CC4">
              <w:rPr>
                <w:b/>
                <w:i/>
              </w:rPr>
              <w:t xml:space="preserve"> ir</w:t>
            </w:r>
          </w:p>
        </w:tc>
        <w:tc>
          <w:tcPr>
            <w:tcW w:w="4876" w:type="dxa"/>
          </w:tcPr>
          <w:p w:rsidR="0084543E" w:rsidRPr="00837CC4" w:rsidRDefault="0084543E" w:rsidP="00E51AD6">
            <w:pPr>
              <w:pStyle w:val="Normal6a"/>
            </w:pPr>
            <w:r w:rsidRPr="00837CC4">
              <w:rPr>
                <w:b/>
                <w:i/>
              </w:rPr>
              <w:t>Išbraukta.</w:t>
            </w:r>
          </w:p>
        </w:tc>
      </w:tr>
      <w:tr w:rsidR="0084543E" w:rsidRPr="00837CC4" w:rsidTr="00E51AD6">
        <w:trPr>
          <w:jc w:val="center"/>
        </w:trPr>
        <w:tc>
          <w:tcPr>
            <w:tcW w:w="4876" w:type="dxa"/>
          </w:tcPr>
          <w:p w:rsidR="0084543E" w:rsidRPr="00837CC4" w:rsidRDefault="0084543E" w:rsidP="00E51AD6">
            <w:pPr>
              <w:pStyle w:val="Normal6a"/>
            </w:pPr>
            <w:r w:rsidRPr="00837CC4">
              <w:t>_________________</w:t>
            </w:r>
          </w:p>
        </w:tc>
        <w:tc>
          <w:tcPr>
            <w:tcW w:w="4876" w:type="dxa"/>
          </w:tcPr>
          <w:p w:rsidR="0084543E" w:rsidRPr="00837CC4" w:rsidRDefault="0084543E" w:rsidP="00E51AD6">
            <w:pPr>
              <w:pStyle w:val="Normal6a"/>
            </w:pPr>
          </w:p>
        </w:tc>
      </w:tr>
      <w:tr w:rsidR="0084543E" w:rsidRPr="00837CC4" w:rsidTr="00E51AD6">
        <w:trPr>
          <w:jc w:val="center"/>
        </w:trPr>
        <w:tc>
          <w:tcPr>
            <w:tcW w:w="4876" w:type="dxa"/>
          </w:tcPr>
          <w:p w:rsidR="0084543E" w:rsidRPr="00837CC4" w:rsidRDefault="0084543E" w:rsidP="00E51AD6">
            <w:pPr>
              <w:pStyle w:val="Normal6a"/>
            </w:pPr>
            <w:r w:rsidRPr="00837CC4">
              <w:rPr>
                <w:rStyle w:val="SupBoldItalic"/>
              </w:rPr>
              <w:t>53</w:t>
            </w:r>
            <w:r w:rsidRPr="00837CC4">
              <w:t xml:space="preserve"> </w:t>
            </w:r>
            <w:r w:rsidRPr="00837CC4">
              <w:rPr>
                <w:b/>
                <w:i/>
              </w:rPr>
              <w:t>Pasiūlymas dėl Europos Parlamento ir Tarybos direktyvos, kuria iš dalies keičiamos direktyvos 2006/43/EB, 2009/65/EB, 2009/138/ES, 2011/61/ES, ES/2013/36, 2014/65/ES, (ES) 2015/2366 ir ES/2016/2341, COM(2020) 596.</w:t>
            </w:r>
          </w:p>
        </w:tc>
        <w:tc>
          <w:tcPr>
            <w:tcW w:w="4876" w:type="dxa"/>
          </w:tcPr>
          <w:p w:rsidR="0084543E" w:rsidRPr="00837CC4" w:rsidRDefault="0084543E" w:rsidP="00E51AD6">
            <w:pPr>
              <w:pStyle w:val="Normal6a"/>
            </w:pP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305</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Sven Giegold</w:t>
      </w:r>
      <w:r w:rsidRPr="00837CC4">
        <w:rPr>
          <w:rStyle w:val="HideTWBExt"/>
          <w:b w:val="0"/>
          <w:noProof w:val="0"/>
        </w:rPr>
        <w:t>&lt;/Members&gt;</w:t>
      </w:r>
    </w:p>
    <w:p w:rsidR="0084543E" w:rsidRPr="00837CC4" w:rsidRDefault="0084543E" w:rsidP="0084543E">
      <w:r w:rsidRPr="00837CC4">
        <w:rPr>
          <w:rStyle w:val="HideTWBExt"/>
          <w:noProof w:val="0"/>
        </w:rPr>
        <w:t>&lt;AuNomDe&gt;</w:t>
      </w:r>
      <w:r w:rsidRPr="00837CC4">
        <w:rPr>
          <w:rStyle w:val="HideTWBInt"/>
          <w:noProof w:val="0"/>
        </w:rPr>
        <w:t>{Greens/EFA}</w:t>
      </w:r>
      <w:r w:rsidRPr="00837CC4">
        <w:t>Verts/ALE frakcijos vardu</w:t>
      </w:r>
      <w:r w:rsidRPr="00837CC4">
        <w:rPr>
          <w:rStyle w:val="HideTWBExt"/>
          <w:noProof w:val="0"/>
        </w:rPr>
        <w:t>&lt;/AuNomDe&gt;</w:t>
      </w:r>
    </w:p>
    <w:p w:rsidR="0084543E" w:rsidRPr="00837CC4" w:rsidRDefault="0084543E" w:rsidP="0084543E">
      <w:r w:rsidRPr="00837CC4">
        <w:rPr>
          <w:rStyle w:val="HideTWBExt"/>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4 straipsnio 1 a dalis (nauja)</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p>
        </w:tc>
        <w:tc>
          <w:tcPr>
            <w:tcW w:w="4876" w:type="dxa"/>
          </w:tcPr>
          <w:p w:rsidR="0084543E" w:rsidRPr="00837CC4" w:rsidRDefault="0084543E" w:rsidP="00E51AD6">
            <w:pPr>
              <w:pStyle w:val="Normal6a"/>
            </w:pPr>
            <w:r w:rsidRPr="00837CC4">
              <w:rPr>
                <w:b/>
                <w:i/>
              </w:rPr>
              <w:t>1a.</w:t>
            </w:r>
            <w:r w:rsidRPr="00837CC4">
              <w:tab/>
            </w:r>
            <w:r w:rsidRPr="00837CC4">
              <w:rPr>
                <w:b/>
                <w:i/>
              </w:rPr>
              <w:t>PRT DPS valdančios investicinės įmonės arba rinkos operatoriaus prašymu ESMA juos gali atleisti nuo Direktyvos 2014/65/ES (FPRD ) 19 straipsnio taikymo ir, vadovaujantis Direktyvos 2014/65/ES (FPRD) 18 straipsnio 3 dalyje nurodytomis taisyklėmis, kuriomis reglamentuojama prieiga, bei ne ilgiau kaip ketverius metus, jiems gali būti leidžiama priimti fizinius asmenis į PRT DPS kaip narius ar dalyvius, jeigu tie asmenys atitinka šiuos reikalavimus:</w:t>
            </w:r>
          </w:p>
        </w:tc>
      </w:tr>
      <w:tr w:rsidR="0084543E" w:rsidRPr="00837CC4" w:rsidTr="00E51AD6">
        <w:trPr>
          <w:jc w:val="center"/>
        </w:trPr>
        <w:tc>
          <w:tcPr>
            <w:tcW w:w="4876" w:type="dxa"/>
          </w:tcPr>
          <w:p w:rsidR="0084543E" w:rsidRPr="00837CC4" w:rsidRDefault="0084543E" w:rsidP="00E51AD6">
            <w:pPr>
              <w:pStyle w:val="Normal6a"/>
            </w:pPr>
          </w:p>
        </w:tc>
        <w:tc>
          <w:tcPr>
            <w:tcW w:w="4876" w:type="dxa"/>
          </w:tcPr>
          <w:p w:rsidR="0084543E" w:rsidRPr="00837CC4" w:rsidRDefault="0084543E" w:rsidP="00E51AD6">
            <w:pPr>
              <w:pStyle w:val="Normal6a"/>
            </w:pPr>
            <w:r w:rsidRPr="00837CC4">
              <w:rPr>
                <w:b/>
                <w:i/>
              </w:rPr>
              <w:t>a) yra pakankamai geros reputacijos ir kompetentingi bei tinkami;</w:t>
            </w:r>
          </w:p>
        </w:tc>
      </w:tr>
      <w:tr w:rsidR="0084543E" w:rsidRPr="00837CC4" w:rsidTr="00E51AD6">
        <w:trPr>
          <w:jc w:val="center"/>
        </w:trPr>
        <w:tc>
          <w:tcPr>
            <w:tcW w:w="4876" w:type="dxa"/>
          </w:tcPr>
          <w:p w:rsidR="0084543E" w:rsidRPr="00837CC4" w:rsidRDefault="0084543E" w:rsidP="00E51AD6">
            <w:pPr>
              <w:pStyle w:val="Normal6a"/>
            </w:pPr>
          </w:p>
        </w:tc>
        <w:tc>
          <w:tcPr>
            <w:tcW w:w="4876" w:type="dxa"/>
          </w:tcPr>
          <w:p w:rsidR="0084543E" w:rsidRPr="00837CC4" w:rsidRDefault="0084543E" w:rsidP="00E51AD6">
            <w:pPr>
              <w:pStyle w:val="Normal6a"/>
            </w:pPr>
            <w:r w:rsidRPr="00837CC4">
              <w:rPr>
                <w:b/>
                <w:i/>
              </w:rPr>
              <w:t>b) turi pakankamų gebėjimų, kompetencijos ir patirties prekybos srityje, įskaitant žinias apie prekybą ir PRT veikimą ir</w:t>
            </w:r>
          </w:p>
        </w:tc>
      </w:tr>
      <w:tr w:rsidR="0084543E" w:rsidRPr="00837CC4" w:rsidTr="00E51AD6">
        <w:trPr>
          <w:jc w:val="center"/>
        </w:trPr>
        <w:tc>
          <w:tcPr>
            <w:tcW w:w="4876" w:type="dxa"/>
          </w:tcPr>
          <w:p w:rsidR="0084543E" w:rsidRPr="00837CC4" w:rsidRDefault="0084543E" w:rsidP="00E51AD6">
            <w:pPr>
              <w:pStyle w:val="Normal6a"/>
            </w:pPr>
          </w:p>
        </w:tc>
        <w:tc>
          <w:tcPr>
            <w:tcW w:w="4876" w:type="dxa"/>
          </w:tcPr>
          <w:p w:rsidR="0084543E" w:rsidRPr="00837CC4" w:rsidRDefault="0084543E" w:rsidP="00E51AD6">
            <w:pPr>
              <w:pStyle w:val="Normal6a"/>
            </w:pPr>
            <w:r w:rsidRPr="00837CC4">
              <w:rPr>
                <w:b/>
                <w:i/>
              </w:rPr>
              <w:t>c) jie suteikė informuoto asmens sutikimą juos įtraukti į bandomąją tvarką ir yra tinkamai informuoti apie jos eksperimentinį pobūdį ir su ja siejamą galima riziką.</w:t>
            </w:r>
          </w:p>
        </w:tc>
      </w:tr>
      <w:tr w:rsidR="0084543E" w:rsidRPr="00837CC4" w:rsidTr="00E51AD6">
        <w:trPr>
          <w:jc w:val="center"/>
        </w:trPr>
        <w:tc>
          <w:tcPr>
            <w:tcW w:w="4876" w:type="dxa"/>
          </w:tcPr>
          <w:p w:rsidR="0084543E" w:rsidRPr="00837CC4" w:rsidRDefault="0084543E" w:rsidP="00E51AD6">
            <w:pPr>
              <w:pStyle w:val="Normal6a"/>
            </w:pPr>
          </w:p>
        </w:tc>
        <w:tc>
          <w:tcPr>
            <w:tcW w:w="4876" w:type="dxa"/>
          </w:tcPr>
          <w:p w:rsidR="0084543E" w:rsidRPr="00837CC4" w:rsidRDefault="0084543E" w:rsidP="00E51AD6">
            <w:pPr>
              <w:pStyle w:val="Normal6a"/>
            </w:pPr>
            <w:r w:rsidRPr="00837CC4">
              <w:rPr>
                <w:b/>
                <w:i/>
              </w:rPr>
              <w:t>Tais atvejais, kai ESMA taiko išimtį, nurodytą pirmoje pastraipoje, ji gali įvesti papildomas investuotojų apsaugos priemones, kuriomis būtų apsaugoti kaip nariai arba dalyviai į PRT DPS priimti fiziniai asmenys. Tokios priemonės turi būti proporcingos dalyvių ar narių rizikos pobūdžiui.</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pPr>
        <w:pStyle w:val="AmJustTitle"/>
      </w:pPr>
      <w:r w:rsidRPr="00837CC4">
        <w:rPr>
          <w:rStyle w:val="HideTWBExt"/>
          <w:i w:val="0"/>
          <w:noProof w:val="0"/>
        </w:rPr>
        <w:t>&lt;TitreJust&gt;</w:t>
      </w:r>
      <w:r w:rsidRPr="00837CC4">
        <w:t>Pagrindimas</w:t>
      </w:r>
      <w:r w:rsidRPr="00837CC4">
        <w:rPr>
          <w:rStyle w:val="HideTWBExt"/>
          <w:i w:val="0"/>
          <w:noProof w:val="0"/>
        </w:rPr>
        <w:t>&lt;/TitreJust&gt;</w:t>
      </w:r>
    </w:p>
    <w:p w:rsidR="0084543E" w:rsidRPr="00837CC4" w:rsidRDefault="0084543E" w:rsidP="0084543E">
      <w:pPr>
        <w:pStyle w:val="AmJustText"/>
      </w:pPr>
      <w:r w:rsidRPr="00837CC4">
        <w:t>Šiame reglamente numatyta galimybė atleisti nuo FPRD taikymo, užuot priėmus ad hoc FPRD pakeitimą.</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306</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Sven Giegold</w:t>
      </w:r>
      <w:r w:rsidRPr="00837CC4">
        <w:rPr>
          <w:rStyle w:val="HideTWBExt"/>
          <w:b w:val="0"/>
          <w:noProof w:val="0"/>
        </w:rPr>
        <w:t>&lt;/Members&gt;</w:t>
      </w:r>
    </w:p>
    <w:p w:rsidR="0084543E" w:rsidRPr="00837CC4" w:rsidRDefault="0084543E" w:rsidP="0084543E">
      <w:r w:rsidRPr="00837CC4">
        <w:rPr>
          <w:rStyle w:val="HideTWBExt"/>
          <w:noProof w:val="0"/>
        </w:rPr>
        <w:t>&lt;AuNomDe&gt;</w:t>
      </w:r>
      <w:r w:rsidRPr="00837CC4">
        <w:rPr>
          <w:rStyle w:val="HideTWBInt"/>
          <w:noProof w:val="0"/>
        </w:rPr>
        <w:t>{Greens/EFA}</w:t>
      </w:r>
      <w:r w:rsidRPr="00837CC4">
        <w:t>Verts/ALE frakcijos vardu</w:t>
      </w:r>
      <w:r w:rsidRPr="00837CC4">
        <w:rPr>
          <w:rStyle w:val="HideTWBExt"/>
          <w:noProof w:val="0"/>
        </w:rPr>
        <w:t>&lt;/AuNomDe&gt;</w:t>
      </w:r>
    </w:p>
    <w:p w:rsidR="0084543E" w:rsidRPr="00837CC4" w:rsidRDefault="0084543E" w:rsidP="0084543E">
      <w:r w:rsidRPr="00837CC4">
        <w:rPr>
          <w:rStyle w:val="HideTWBExt"/>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4 straipsnio 1 b dalis (nauja)</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p>
        </w:tc>
        <w:tc>
          <w:tcPr>
            <w:tcW w:w="4876" w:type="dxa"/>
          </w:tcPr>
          <w:p w:rsidR="0084543E" w:rsidRPr="00837CC4" w:rsidRDefault="0084543E" w:rsidP="00E51AD6">
            <w:pPr>
              <w:pStyle w:val="Normal6a"/>
            </w:pPr>
            <w:r w:rsidRPr="00837CC4">
              <w:rPr>
                <w:b/>
                <w:i/>
              </w:rPr>
              <w:t>1b.</w:t>
            </w:r>
            <w:r w:rsidRPr="00837CC4">
              <w:tab/>
            </w:r>
            <w:r w:rsidRPr="00837CC4">
              <w:rPr>
                <w:b/>
                <w:i/>
              </w:rPr>
              <w:t>ESMA parengia techninius reguliavimo standartus, pagal kuriuos nustatoma:</w:t>
            </w:r>
          </w:p>
        </w:tc>
      </w:tr>
      <w:tr w:rsidR="0084543E" w:rsidRPr="00837CC4" w:rsidTr="00E51AD6">
        <w:trPr>
          <w:jc w:val="center"/>
        </w:trPr>
        <w:tc>
          <w:tcPr>
            <w:tcW w:w="4876" w:type="dxa"/>
          </w:tcPr>
          <w:p w:rsidR="0084543E" w:rsidRPr="00837CC4" w:rsidRDefault="0084543E" w:rsidP="00E51AD6">
            <w:pPr>
              <w:pStyle w:val="Normal6a"/>
            </w:pPr>
          </w:p>
        </w:tc>
        <w:tc>
          <w:tcPr>
            <w:tcW w:w="4876" w:type="dxa"/>
          </w:tcPr>
          <w:p w:rsidR="0084543E" w:rsidRPr="00837CC4" w:rsidRDefault="0084543E" w:rsidP="00E51AD6">
            <w:pPr>
              <w:pStyle w:val="Normal6a"/>
            </w:pPr>
            <w:r w:rsidRPr="00837CC4">
              <w:rPr>
                <w:b/>
                <w:i/>
              </w:rPr>
              <w:t>a) fizinių asmenų tinkamumo ir padorumo vertinimo kriterijai, skirti kovos su pinigų plovimu ir terorizmo finansavimo tikslais;</w:t>
            </w:r>
          </w:p>
        </w:tc>
      </w:tr>
      <w:tr w:rsidR="0084543E" w:rsidRPr="00837CC4" w:rsidTr="00E51AD6">
        <w:trPr>
          <w:jc w:val="center"/>
        </w:trPr>
        <w:tc>
          <w:tcPr>
            <w:tcW w:w="4876" w:type="dxa"/>
          </w:tcPr>
          <w:p w:rsidR="0084543E" w:rsidRPr="00837CC4" w:rsidRDefault="0084543E" w:rsidP="00E51AD6">
            <w:pPr>
              <w:pStyle w:val="Normal6a"/>
            </w:pPr>
          </w:p>
        </w:tc>
        <w:tc>
          <w:tcPr>
            <w:tcW w:w="4876" w:type="dxa"/>
          </w:tcPr>
          <w:p w:rsidR="0084543E" w:rsidRPr="00837CC4" w:rsidRDefault="0084543E" w:rsidP="00E51AD6">
            <w:pPr>
              <w:pStyle w:val="Normal6a"/>
            </w:pPr>
            <w:r w:rsidRPr="00837CC4">
              <w:rPr>
                <w:b/>
                <w:i/>
              </w:rPr>
              <w:t>b) gebėjimų, kompetencijos ir patirties, kurių reikalaujama pagal 4 straipsnio 1a dalį ir 5 straipsnio 4 dalį, vertinimo kriterijai;</w:t>
            </w:r>
          </w:p>
        </w:tc>
      </w:tr>
      <w:tr w:rsidR="0084543E" w:rsidRPr="00837CC4" w:rsidTr="00E51AD6">
        <w:trPr>
          <w:jc w:val="center"/>
        </w:trPr>
        <w:tc>
          <w:tcPr>
            <w:tcW w:w="4876" w:type="dxa"/>
          </w:tcPr>
          <w:p w:rsidR="0084543E" w:rsidRPr="00837CC4" w:rsidRDefault="0084543E" w:rsidP="00E51AD6">
            <w:pPr>
              <w:pStyle w:val="Normal6a"/>
            </w:pPr>
          </w:p>
        </w:tc>
        <w:tc>
          <w:tcPr>
            <w:tcW w:w="4876" w:type="dxa"/>
          </w:tcPr>
          <w:p w:rsidR="0084543E" w:rsidRPr="00837CC4" w:rsidRDefault="0084543E" w:rsidP="00E51AD6">
            <w:pPr>
              <w:pStyle w:val="Normal6a"/>
            </w:pPr>
            <w:r w:rsidRPr="00837CC4">
              <w:rPr>
                <w:b/>
                <w:i/>
              </w:rPr>
              <w:t>c) investuotojų apsaugos priemonės, nurodytos 4 straipsnio 1 dalyje.</w:t>
            </w:r>
          </w:p>
        </w:tc>
      </w:tr>
      <w:tr w:rsidR="0084543E" w:rsidRPr="00837CC4" w:rsidTr="00E51AD6">
        <w:trPr>
          <w:jc w:val="center"/>
        </w:trPr>
        <w:tc>
          <w:tcPr>
            <w:tcW w:w="4876" w:type="dxa"/>
          </w:tcPr>
          <w:p w:rsidR="0084543E" w:rsidRPr="00837CC4" w:rsidRDefault="0084543E" w:rsidP="00E51AD6">
            <w:pPr>
              <w:pStyle w:val="Normal6a"/>
            </w:pPr>
          </w:p>
        </w:tc>
        <w:tc>
          <w:tcPr>
            <w:tcW w:w="4876" w:type="dxa"/>
          </w:tcPr>
          <w:p w:rsidR="0084543E" w:rsidRPr="00837CC4" w:rsidRDefault="0084543E" w:rsidP="00E51AD6">
            <w:pPr>
              <w:pStyle w:val="Normal6a"/>
            </w:pPr>
            <w:r w:rsidRPr="00837CC4">
              <w:rPr>
                <w:b/>
                <w:i/>
              </w:rPr>
              <w:t>ESMA tuos techninių reguliavimo standartų projektus pateikia Komisijai ne vėliau kaip ... [šeši mėnesiai po šio reglamento įsigaliojimo dienos].</w:t>
            </w:r>
          </w:p>
        </w:tc>
      </w:tr>
      <w:tr w:rsidR="0084543E" w:rsidRPr="00837CC4" w:rsidTr="00E51AD6">
        <w:trPr>
          <w:jc w:val="center"/>
        </w:trPr>
        <w:tc>
          <w:tcPr>
            <w:tcW w:w="4876" w:type="dxa"/>
          </w:tcPr>
          <w:p w:rsidR="0084543E" w:rsidRPr="00837CC4" w:rsidRDefault="0084543E" w:rsidP="00E51AD6">
            <w:pPr>
              <w:pStyle w:val="Normal6a"/>
            </w:pPr>
          </w:p>
        </w:tc>
        <w:tc>
          <w:tcPr>
            <w:tcW w:w="4876" w:type="dxa"/>
          </w:tcPr>
          <w:p w:rsidR="0084543E" w:rsidRPr="00837CC4" w:rsidRDefault="0084543E" w:rsidP="00E51AD6">
            <w:pPr>
              <w:pStyle w:val="Normal6a"/>
            </w:pPr>
            <w:r w:rsidRPr="00837CC4">
              <w:rPr>
                <w:b/>
                <w:i/>
              </w:rPr>
              <w:t>Komisijai suteikiami įgaliojimai priimti pirmoje pastraipoje nurodytus techninius reguliavimo standartus pagal Reglamento (ES) Nr. 1095/2010 15 straipsnį.</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307</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Stéphanie Yon-Courtin, Ondřej Kovařík, Gilles Boyer, Olivier Chastel</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4 straipsnio 2 dalies įžanginė dalis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t>2.</w:t>
            </w:r>
            <w:r w:rsidRPr="00837CC4">
              <w:tab/>
              <w:t xml:space="preserve">PRT DPS </w:t>
            </w:r>
            <w:r w:rsidRPr="00837CC4">
              <w:rPr>
                <w:b/>
                <w:bCs/>
                <w:i/>
                <w:iCs/>
              </w:rPr>
              <w:t>valdančios investicinės įmonės arba rinkos operatoriaus</w:t>
            </w:r>
            <w:r w:rsidRPr="00837CC4">
              <w:t xml:space="preserve"> prašymu jiems gali būti leista prekiauti PRT perleidžiamaisiais vertybiniais popieriais, kurie yra užregistruoti PRT DPS </w:t>
            </w:r>
            <w:r w:rsidRPr="00837CC4">
              <w:rPr>
                <w:b/>
                <w:bCs/>
                <w:i/>
                <w:iCs/>
              </w:rPr>
              <w:t>paskirstytajame registre</w:t>
            </w:r>
            <w:r w:rsidRPr="00837CC4">
              <w:t>, o ne CVPD pagal Reglamento (ES) Nr. 909/2014 3 straipsnio 2 dalį.</w:t>
            </w:r>
          </w:p>
        </w:tc>
        <w:tc>
          <w:tcPr>
            <w:tcW w:w="4876" w:type="dxa"/>
          </w:tcPr>
          <w:p w:rsidR="0084543E" w:rsidRPr="00837CC4" w:rsidRDefault="0084543E" w:rsidP="00E51AD6">
            <w:pPr>
              <w:pStyle w:val="Normal6a"/>
            </w:pPr>
            <w:r w:rsidRPr="00837CC4">
              <w:t>2.</w:t>
            </w:r>
            <w:r w:rsidRPr="00837CC4">
              <w:tab/>
              <w:t xml:space="preserve">PRT DPS </w:t>
            </w:r>
            <w:r w:rsidRPr="00837CC4">
              <w:rPr>
                <w:b/>
                <w:bCs/>
                <w:i/>
                <w:iCs/>
              </w:rPr>
              <w:t>valdančio subjekto</w:t>
            </w:r>
            <w:r w:rsidRPr="00837CC4">
              <w:t xml:space="preserve"> prašymu jiems gali būti leista prekiauti PRT perleidžiamaisiais vertybiniais popieriais, kurie yra užregistruoti PRT DPS </w:t>
            </w:r>
            <w:r w:rsidRPr="00837CC4">
              <w:rPr>
                <w:b/>
                <w:bCs/>
                <w:i/>
                <w:iCs/>
              </w:rPr>
              <w:t>naudojamoje PRT</w:t>
            </w:r>
            <w:r w:rsidRPr="00837CC4">
              <w:t>, o ne CVPD pagal Reglamento (ES) Nr. 909/2014 3 straipsnio 2 dalį.</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pPr>
        <w:pStyle w:val="AmJustTitle"/>
      </w:pPr>
      <w:r w:rsidRPr="00837CC4">
        <w:rPr>
          <w:rStyle w:val="HideTWBExt"/>
          <w:i w:val="0"/>
          <w:noProof w:val="0"/>
        </w:rPr>
        <w:t>&lt;TitreJust&gt;</w:t>
      </w:r>
      <w:r w:rsidRPr="00837CC4">
        <w:t>Pagrindimas</w:t>
      </w:r>
      <w:r w:rsidRPr="00837CC4">
        <w:rPr>
          <w:rStyle w:val="HideTWBExt"/>
          <w:i w:val="0"/>
          <w:noProof w:val="0"/>
        </w:rPr>
        <w:t>&lt;/TitreJust&gt;</w:t>
      </w:r>
    </w:p>
    <w:p w:rsidR="0084543E" w:rsidRPr="00837CC4" w:rsidRDefault="0084543E" w:rsidP="0084543E">
      <w:pPr>
        <w:pStyle w:val="AmJustText"/>
      </w:pPr>
      <w:r w:rsidRPr="00837CC4">
        <w:t>Bandomosios tvarkos atvirumas naujiems dalyviams ir technologinis neutralumas, susijęs su nuosavybinėmis ir viešosiomis PRT.</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308</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Jessica Polfjärd</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4 straipsnio 2 dalies įžanginė dalis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t>2.</w:t>
            </w:r>
            <w:r w:rsidRPr="00837CC4">
              <w:tab/>
              <w:t>PRT DPS valdančios investicinės įmonės arba rinkos operatoriaus prašymu jiems gali būti leista prekiauti PRT perleidžiamaisiais vertybiniais popieriais, kurie yra užregistruoti PRT DPS paskirstytajame registre, o ne CVPD pagal Reglamento (ES) Nr. 909/2014 3 straipsnio 2 dalį.</w:t>
            </w:r>
          </w:p>
        </w:tc>
        <w:tc>
          <w:tcPr>
            <w:tcW w:w="4876" w:type="dxa"/>
          </w:tcPr>
          <w:p w:rsidR="0084543E" w:rsidRPr="00837CC4" w:rsidRDefault="0084543E" w:rsidP="00E51AD6">
            <w:pPr>
              <w:pStyle w:val="Normal6a"/>
            </w:pPr>
            <w:r w:rsidRPr="00837CC4">
              <w:t>2.</w:t>
            </w:r>
            <w:r w:rsidRPr="00837CC4">
              <w:tab/>
              <w:t xml:space="preserve">PRT DPS valdančios investicinės įmonės arba rinkos operatoriaus prašymu jiems gali būti leista prekiauti PRT perleidžiamaisiais vertybiniais popieriais, kurie yra užregistruoti PRT DPS </w:t>
            </w:r>
            <w:r w:rsidRPr="00837CC4">
              <w:rPr>
                <w:b/>
                <w:bCs/>
                <w:i/>
                <w:iCs/>
              </w:rPr>
              <w:t xml:space="preserve">naudojamame </w:t>
            </w:r>
            <w:r w:rsidRPr="00837CC4">
              <w:t>paskirstytajame registre, o ne CVPD pagal Reglamento (ES) Nr. 909/2014 3 straipsnio 2 dalį.</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309</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Stéphanie Yon-Courtin, Ondřej Kovařík, Gilles Boyer, Olivier Chastel</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4 straipsnio 2 dalies 1 pastraipos įžanginė dalis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t xml:space="preserve">Pagal 1 dalį leisti taikyti išimtį prašanti </w:t>
            </w:r>
            <w:r w:rsidRPr="00837CC4">
              <w:rPr>
                <w:b/>
                <w:bCs/>
                <w:i/>
                <w:iCs/>
              </w:rPr>
              <w:t>investicinė įmonė arba rinkos operatorius</w:t>
            </w:r>
            <w:r w:rsidRPr="00837CC4">
              <w:t xml:space="preserve"> pasiūlo kompensacinių priemonių, kuriomis būtų pasiekti tikslai, kurių siekiama nuostatomis, kurių prašoma leisti netaikyti, ir užtikrina bent:</w:t>
            </w:r>
          </w:p>
        </w:tc>
        <w:tc>
          <w:tcPr>
            <w:tcW w:w="4876" w:type="dxa"/>
          </w:tcPr>
          <w:p w:rsidR="0084543E" w:rsidRPr="00837CC4" w:rsidRDefault="0084543E" w:rsidP="00E51AD6">
            <w:pPr>
              <w:pStyle w:val="Normal6a"/>
            </w:pPr>
            <w:r w:rsidRPr="00837CC4">
              <w:t xml:space="preserve">Pagal 1 dalį leisti taikyti išimtį </w:t>
            </w:r>
            <w:r w:rsidRPr="00837CC4">
              <w:rPr>
                <w:b/>
                <w:bCs/>
                <w:i/>
                <w:iCs/>
              </w:rPr>
              <w:t>subjektas</w:t>
            </w:r>
            <w:r w:rsidRPr="00837CC4">
              <w:t xml:space="preserve"> pasiūlo kompensacinių priemonių, kuriomis būtų pasiekti tikslai, kurių siekiama nuostatomis, kurių prašoma leisti netaikyti, ir užtikrina bent:</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pPr>
        <w:pStyle w:val="AmJustTitle"/>
      </w:pPr>
      <w:r w:rsidRPr="00837CC4">
        <w:rPr>
          <w:rStyle w:val="HideTWBExt"/>
          <w:i w:val="0"/>
          <w:noProof w:val="0"/>
        </w:rPr>
        <w:t>&lt;TitreJust&gt;</w:t>
      </w:r>
      <w:r w:rsidRPr="00837CC4">
        <w:t>Pagrindimas</w:t>
      </w:r>
      <w:r w:rsidRPr="00837CC4">
        <w:rPr>
          <w:rStyle w:val="HideTWBExt"/>
          <w:i w:val="0"/>
          <w:noProof w:val="0"/>
        </w:rPr>
        <w:t>&lt;/TitreJust&gt;</w:t>
      </w:r>
    </w:p>
    <w:p w:rsidR="0084543E" w:rsidRPr="00837CC4" w:rsidRDefault="0084543E" w:rsidP="0084543E">
      <w:pPr>
        <w:pStyle w:val="AmJustText"/>
      </w:pPr>
      <w:r w:rsidRPr="00837CC4">
        <w:t>Bandomosios tvarkos atvirumas naujų dalyvių atžvilgiu.</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310</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Stéphanie Yon-Courtin, Ondřej Kovařík, Gilles Boyer, Olivier Chastel</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4 straipsnio 2 dalies 1 pastraipos c punktas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t>c)</w:t>
            </w:r>
            <w:r w:rsidRPr="00837CC4">
              <w:tab/>
              <w:t xml:space="preserve">tai, kad PRT DPS saugotų įrašus, leidžiančius PRT DPS </w:t>
            </w:r>
            <w:r w:rsidRPr="00837CC4">
              <w:rPr>
                <w:b/>
                <w:bCs/>
                <w:i/>
                <w:iCs/>
              </w:rPr>
              <w:t>valdančiai investicinei įmonei ar rinkos operatoriui</w:t>
            </w:r>
            <w:r w:rsidRPr="00837CC4">
              <w:t xml:space="preserve"> bet kuriuo metu nedelsiant atskirti nario, dalyvio, emitento ar kliento PRT perleidžiamuosius vertybinius popierius nuo kitų narių, dalyvių, emitentų ar klientų PRT perleidžiamųjų vertybinių popierių.</w:t>
            </w:r>
          </w:p>
        </w:tc>
        <w:tc>
          <w:tcPr>
            <w:tcW w:w="4876" w:type="dxa"/>
          </w:tcPr>
          <w:p w:rsidR="0084543E" w:rsidRPr="00837CC4" w:rsidRDefault="0084543E" w:rsidP="00E51AD6">
            <w:pPr>
              <w:pStyle w:val="Normal6a"/>
            </w:pPr>
            <w:r w:rsidRPr="00837CC4">
              <w:t>c)</w:t>
            </w:r>
            <w:r w:rsidRPr="00837CC4">
              <w:tab/>
              <w:t xml:space="preserve">tai, kad PRT DPS saugotų įrašus, leidžiančius PRT DPS </w:t>
            </w:r>
            <w:r w:rsidRPr="00837CC4">
              <w:rPr>
                <w:b/>
                <w:bCs/>
                <w:i/>
                <w:iCs/>
              </w:rPr>
              <w:t>valdančiam subjektui</w:t>
            </w:r>
            <w:r w:rsidRPr="00837CC4">
              <w:t xml:space="preserve"> bet kuriuo metu nedelsiant atskirti nario, dalyvio, emitento ar kliento PRT perleidžiamuosius vertybinius popierius nuo kitų narių, dalyvių, emitentų ar klientų PRT perleidžiamųjų vertybinių popierių.</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pPr>
        <w:pStyle w:val="AmJustTitle"/>
      </w:pPr>
      <w:r w:rsidRPr="00837CC4">
        <w:rPr>
          <w:rStyle w:val="HideTWBExt"/>
          <w:i w:val="0"/>
          <w:noProof w:val="0"/>
        </w:rPr>
        <w:t>&lt;TitreJust&gt;</w:t>
      </w:r>
      <w:r w:rsidRPr="00837CC4">
        <w:t>Pagrindimas</w:t>
      </w:r>
      <w:r w:rsidRPr="00837CC4">
        <w:rPr>
          <w:rStyle w:val="HideTWBExt"/>
          <w:i w:val="0"/>
          <w:noProof w:val="0"/>
        </w:rPr>
        <w:t>&lt;/TitreJust&gt;</w:t>
      </w:r>
    </w:p>
    <w:p w:rsidR="0084543E" w:rsidRPr="00837CC4" w:rsidRDefault="0084543E" w:rsidP="0084543E">
      <w:pPr>
        <w:pStyle w:val="AmJustText"/>
      </w:pPr>
      <w:r w:rsidRPr="00837CC4">
        <w:t>Bandomosios tvarkos atvirumas naujų dalyvių atžvilgiu.</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311</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Eva Kaili</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4 straipsnio 2 dalies 1 pastraipos c a punktas (naujas)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p>
        </w:tc>
        <w:tc>
          <w:tcPr>
            <w:tcW w:w="4876" w:type="dxa"/>
          </w:tcPr>
          <w:p w:rsidR="0084543E" w:rsidRPr="00837CC4" w:rsidRDefault="0084543E" w:rsidP="00E51AD6">
            <w:pPr>
              <w:pStyle w:val="Normal6a"/>
            </w:pPr>
            <w:r w:rsidRPr="00837CC4">
              <w:rPr>
                <w:b/>
                <w:i/>
              </w:rPr>
              <w:t>ca)</w:t>
            </w:r>
            <w:r w:rsidRPr="00837CC4">
              <w:tab/>
            </w:r>
            <w:r w:rsidRPr="00837CC4">
              <w:rPr>
                <w:b/>
                <w:i/>
              </w:rPr>
              <w:t>tai, kad PRT DPS operacijos nedarytų įtakos bet kokių kitų PRT DPS operatoriaus valdomų DPS operacijoms ir patikimumui, pvz., tais atvejais, kai vienas ar daugiau subjektų dalyvauja to paties operatoriaus valdomoje įprastoje ir PRT DPS. Tomis aplinkybėmis PRT DPS operatorius aiškiai nurodo nemokumo ir atsiskaitymų baigtumo riziką, kuri kyla jos dalyviams, taip pat bet kokias kitas priemones, kurias jis įgyvendino tam, kad tokia rizika būtų sumažinta;</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pPr>
        <w:pStyle w:val="AmJustTitle"/>
      </w:pPr>
      <w:r w:rsidRPr="00837CC4">
        <w:rPr>
          <w:rStyle w:val="HideTWBExt"/>
          <w:i w:val="0"/>
          <w:noProof w:val="0"/>
        </w:rPr>
        <w:t>&lt;TitreJust&gt;</w:t>
      </w:r>
      <w:r w:rsidRPr="00837CC4">
        <w:t>Pagrindimas</w:t>
      </w:r>
      <w:r w:rsidRPr="00837CC4">
        <w:rPr>
          <w:rStyle w:val="HideTWBExt"/>
          <w:i w:val="0"/>
          <w:noProof w:val="0"/>
        </w:rPr>
        <w:t>&lt;/TitreJust&gt;</w:t>
      </w:r>
    </w:p>
    <w:p w:rsidR="0084543E" w:rsidRPr="00837CC4" w:rsidRDefault="0084543E" w:rsidP="0084543E">
      <w:pPr>
        <w:pStyle w:val="AmJustText"/>
      </w:pPr>
      <w:r w:rsidRPr="00837CC4">
        <w:t>Siūloma įtraukti balandžio 28 d. ECB nuomonės dėl PRT bandomosios tvarkos 3.4 punkto antrą pastabą, kad būtų numatytas PRT DPS veiklos atskyrimas, jeigu jų operatorius taip pat valdo kitas DPS.</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312</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Jessica Polfjärd</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4 straipsnio 2 dalies 2 pastraipa</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t xml:space="preserve">Kai PRT DPS nėra pateikusi prašymo leisti taikyti išimtį pagal pirmą pastraipą, PRT perleidžiamieji vertybiniai popieriai registruojami CVPD darant įrašus apskaitos sistemoje arba </w:t>
            </w:r>
            <w:r w:rsidRPr="00837CC4">
              <w:rPr>
                <w:b/>
                <w:bCs/>
                <w:i/>
                <w:iCs/>
              </w:rPr>
              <w:t>PRT</w:t>
            </w:r>
            <w:r w:rsidRPr="00837CC4">
              <w:t xml:space="preserve"> vertybinių popierių atsiskaitymo sistemą valdančio CVPD paskirstytajame registre.</w:t>
            </w:r>
          </w:p>
        </w:tc>
        <w:tc>
          <w:tcPr>
            <w:tcW w:w="4876" w:type="dxa"/>
          </w:tcPr>
          <w:p w:rsidR="0084543E" w:rsidRPr="00837CC4" w:rsidRDefault="0084543E" w:rsidP="00E51AD6">
            <w:pPr>
              <w:pStyle w:val="Normal6a"/>
            </w:pPr>
            <w:r w:rsidRPr="00837CC4">
              <w:t xml:space="preserve">Kai PRT DPS nėra pateikusi prašymo leisti taikyti išimtį pagal pirmą pastraipą, PRT perleidžiamieji vertybiniai popieriai registruojami CVPD darant įrašus apskaitos sistemoje arba vertybinių popierių atsiskaitymo sistemą valdančio CVPD </w:t>
            </w:r>
            <w:r w:rsidRPr="00837CC4">
              <w:rPr>
                <w:b/>
                <w:bCs/>
                <w:i/>
                <w:iCs/>
              </w:rPr>
              <w:t xml:space="preserve">naudojamame PRT </w:t>
            </w:r>
            <w:r w:rsidRPr="00837CC4">
              <w:t>paskirstytajame registre.</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313</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Eva Kaili</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4 straipsnio 2 dalies 2 pastraipa</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t xml:space="preserve">Kai PRT DPS nėra </w:t>
            </w:r>
            <w:r w:rsidRPr="00837CC4">
              <w:rPr>
                <w:b/>
                <w:bCs/>
                <w:i/>
                <w:iCs/>
              </w:rPr>
              <w:t>pateikusi</w:t>
            </w:r>
            <w:r w:rsidRPr="00837CC4">
              <w:t xml:space="preserve"> prašymo leisti taikyti išimtį pagal pirmą pastraipą, PRT perleidžiamieji vertybiniai popieriai registruojami CVPD darant įrašus apskaitos sistemoje arba PRT </w:t>
            </w:r>
            <w:r w:rsidRPr="00837CC4">
              <w:rPr>
                <w:b/>
                <w:bCs/>
                <w:i/>
                <w:iCs/>
              </w:rPr>
              <w:t>vertybinių popierių atsiskaitymo sistemą</w:t>
            </w:r>
            <w:r w:rsidRPr="00837CC4">
              <w:t xml:space="preserve"> valdančio CVPD paskirstytajame registre.</w:t>
            </w:r>
          </w:p>
        </w:tc>
        <w:tc>
          <w:tcPr>
            <w:tcW w:w="4876" w:type="dxa"/>
          </w:tcPr>
          <w:p w:rsidR="0084543E" w:rsidRPr="00837CC4" w:rsidRDefault="0084543E" w:rsidP="00E51AD6">
            <w:pPr>
              <w:pStyle w:val="Normal6a"/>
            </w:pPr>
            <w:r w:rsidRPr="00837CC4">
              <w:t xml:space="preserve">Kai PRT DPS </w:t>
            </w:r>
            <w:r w:rsidRPr="00837CC4">
              <w:rPr>
                <w:b/>
                <w:bCs/>
                <w:i/>
                <w:iCs/>
              </w:rPr>
              <w:t xml:space="preserve">operatorius </w:t>
            </w:r>
            <w:r w:rsidRPr="00837CC4">
              <w:t xml:space="preserve">nėra </w:t>
            </w:r>
            <w:r w:rsidRPr="00837CC4">
              <w:rPr>
                <w:b/>
                <w:bCs/>
                <w:i/>
                <w:iCs/>
              </w:rPr>
              <w:t>pateikęs</w:t>
            </w:r>
            <w:r w:rsidRPr="00837CC4">
              <w:t xml:space="preserve"> prašymo leisti taikyti išimtį pagal pirmą pastraipą, PRT perleidžiamieji vertybiniai popieriai registruojami CVPD darant įrašus apskaitos sistemoje arba PRT </w:t>
            </w:r>
            <w:r w:rsidRPr="00837CC4">
              <w:rPr>
                <w:b/>
                <w:bCs/>
                <w:i/>
                <w:iCs/>
              </w:rPr>
              <w:t>VPAS</w:t>
            </w:r>
            <w:r w:rsidRPr="00837CC4">
              <w:t xml:space="preserve"> valdančio CVPD paskirstytajame registre.</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pPr>
        <w:pStyle w:val="AmJustTitle"/>
      </w:pPr>
      <w:r w:rsidRPr="00837CC4">
        <w:rPr>
          <w:rStyle w:val="HideTWBExt"/>
          <w:i w:val="0"/>
          <w:noProof w:val="0"/>
        </w:rPr>
        <w:t>&lt;TitreJust&gt;</w:t>
      </w:r>
      <w:r w:rsidRPr="00837CC4">
        <w:t>Pagrindimas</w:t>
      </w:r>
      <w:r w:rsidRPr="00837CC4">
        <w:rPr>
          <w:rStyle w:val="HideTWBExt"/>
          <w:i w:val="0"/>
          <w:noProof w:val="0"/>
        </w:rPr>
        <w:t>&lt;/TitreJust&gt;</w:t>
      </w:r>
    </w:p>
    <w:p w:rsidR="0084543E" w:rsidRPr="00837CC4" w:rsidRDefault="0084543E" w:rsidP="0084543E">
      <w:pPr>
        <w:pStyle w:val="AmJustText"/>
      </w:pPr>
      <w:r w:rsidRPr="00837CC4">
        <w:t>PRT DPS operatorius (o ne PRT DPS), nurodytas pirmoje pastraipoje, pateikia prašymą taikyti išimtį.</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314</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Sven Giegold</w:t>
      </w:r>
      <w:r w:rsidRPr="00837CC4">
        <w:rPr>
          <w:rStyle w:val="HideTWBExt"/>
          <w:b w:val="0"/>
          <w:noProof w:val="0"/>
        </w:rPr>
        <w:t>&lt;/Members&gt;</w:t>
      </w:r>
    </w:p>
    <w:p w:rsidR="0084543E" w:rsidRPr="00837CC4" w:rsidRDefault="0084543E" w:rsidP="0084543E">
      <w:r w:rsidRPr="00837CC4">
        <w:rPr>
          <w:rStyle w:val="HideTWBExt"/>
          <w:noProof w:val="0"/>
        </w:rPr>
        <w:t>&lt;AuNomDe&gt;</w:t>
      </w:r>
      <w:r w:rsidRPr="00837CC4">
        <w:rPr>
          <w:rStyle w:val="HideTWBInt"/>
          <w:noProof w:val="0"/>
        </w:rPr>
        <w:t>{Greens/EFA}</w:t>
      </w:r>
      <w:r w:rsidRPr="00837CC4">
        <w:t>Verts/ALE frakcijos vardu</w:t>
      </w:r>
      <w:r w:rsidRPr="00837CC4">
        <w:rPr>
          <w:rStyle w:val="HideTWBExt"/>
          <w:noProof w:val="0"/>
        </w:rPr>
        <w:t>&lt;/AuNomDe&gt;</w:t>
      </w:r>
    </w:p>
    <w:p w:rsidR="0084543E" w:rsidRPr="00837CC4" w:rsidRDefault="0084543E" w:rsidP="0084543E">
      <w:r w:rsidRPr="00837CC4">
        <w:rPr>
          <w:rStyle w:val="HideTWBExt"/>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4 straipsnio 3 dalies įžanginė dalis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t>3.</w:t>
            </w:r>
            <w:r w:rsidRPr="00837CC4">
              <w:tab/>
              <w:t xml:space="preserve">Kai PRT DPS valdanti investicinė įmonė ar rinkos operatorius yra paprašę </w:t>
            </w:r>
            <w:r w:rsidRPr="00837CC4">
              <w:rPr>
                <w:b/>
                <w:bCs/>
                <w:i/>
                <w:iCs/>
              </w:rPr>
              <w:t>leisti taikyti išimtį</w:t>
            </w:r>
            <w:r w:rsidRPr="00837CC4">
              <w:t xml:space="preserve"> pagal 2 dalį, taikydami patikimas procedūras ir priemones jie užtikrina, kad PRT DPS:</w:t>
            </w:r>
          </w:p>
        </w:tc>
        <w:tc>
          <w:tcPr>
            <w:tcW w:w="4876" w:type="dxa"/>
          </w:tcPr>
          <w:p w:rsidR="0084543E" w:rsidRPr="00837CC4" w:rsidRDefault="0084543E" w:rsidP="00E51AD6">
            <w:pPr>
              <w:pStyle w:val="Normal6a"/>
            </w:pPr>
            <w:r w:rsidRPr="00837CC4">
              <w:t>3.</w:t>
            </w:r>
            <w:r w:rsidRPr="00837CC4">
              <w:tab/>
              <w:t xml:space="preserve">Kai PRT DPS valdanti investicinė įmonė ar rinkos operatorius yra paprašę </w:t>
            </w:r>
            <w:r w:rsidRPr="00837CC4">
              <w:rPr>
                <w:b/>
                <w:bCs/>
                <w:i/>
                <w:iCs/>
              </w:rPr>
              <w:t>išduoti leidimą</w:t>
            </w:r>
            <w:r w:rsidRPr="00837CC4">
              <w:t xml:space="preserve"> pagal 2 dalį, taikydami patikimas procedūras ir priemones jie užtikrina</w:t>
            </w:r>
            <w:r w:rsidRPr="00837CC4">
              <w:rPr>
                <w:b/>
                <w:bCs/>
                <w:i/>
                <w:iCs/>
              </w:rPr>
              <w:t>, kad būtų jų verslo pobūdžiui, mastui ir rizikai proporcingai laikomasi visų pagal Reglamentą (ES) Nr. 909/2014 PRT valdančioms VPAS taikomų reikalavimų ir užtikrinti</w:t>
            </w:r>
            <w:r w:rsidRPr="00837CC4">
              <w:t>, kad PRT DPS:</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pPr>
        <w:pStyle w:val="AmJustTitle"/>
      </w:pPr>
      <w:r w:rsidRPr="00837CC4">
        <w:rPr>
          <w:rStyle w:val="HideTWBExt"/>
          <w:i w:val="0"/>
          <w:noProof w:val="0"/>
        </w:rPr>
        <w:t>&lt;TitreJust&gt;</w:t>
      </w:r>
      <w:r w:rsidRPr="00837CC4">
        <w:t>Pagrindimas</w:t>
      </w:r>
      <w:r w:rsidRPr="00837CC4">
        <w:rPr>
          <w:rStyle w:val="HideTWBExt"/>
          <w:i w:val="0"/>
          <w:noProof w:val="0"/>
        </w:rPr>
        <w:t>&lt;/TitreJust&gt;</w:t>
      </w:r>
    </w:p>
    <w:p w:rsidR="0084543E" w:rsidRPr="00837CC4" w:rsidRDefault="0084543E" w:rsidP="0084543E">
      <w:pPr>
        <w:pStyle w:val="AmJustText"/>
      </w:pPr>
      <w:r w:rsidRPr="00837CC4">
        <w:t>Siekiant užtikrinti tinkamą pagal Sąjungos teisės aktus VPAS paslaugoms taikomas apsaugos priemones ir skirtingose PRT rinkos infrastruktūrose išsaugoti vienodas sąlygas. Taip pat žr. ECB nuomonę.</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315</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Stéphanie Yon-Courtin, Ondřej Kovařík, Gilles Boyer, Olivier Chastel</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4 straipsnio 3 dalies įžanginė dalis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t>3.</w:t>
            </w:r>
            <w:r w:rsidRPr="00837CC4">
              <w:tab/>
              <w:t xml:space="preserve">Kai PRT DPS </w:t>
            </w:r>
            <w:r w:rsidRPr="00837CC4">
              <w:rPr>
                <w:b/>
                <w:bCs/>
                <w:i/>
                <w:iCs/>
              </w:rPr>
              <w:t>valdanti investicinė įmonė ar rinkos operatorius</w:t>
            </w:r>
            <w:r w:rsidRPr="00837CC4">
              <w:t xml:space="preserve"> yra </w:t>
            </w:r>
            <w:r w:rsidRPr="00837CC4">
              <w:rPr>
                <w:b/>
                <w:bCs/>
                <w:i/>
                <w:iCs/>
              </w:rPr>
              <w:t>paprašę</w:t>
            </w:r>
            <w:r w:rsidRPr="00837CC4">
              <w:t xml:space="preserve"> leisti taikyti išimtį pagal 2 dalį, </w:t>
            </w:r>
            <w:r w:rsidRPr="00837CC4">
              <w:rPr>
                <w:b/>
                <w:bCs/>
                <w:i/>
                <w:iCs/>
              </w:rPr>
              <w:t>taikydami</w:t>
            </w:r>
            <w:r w:rsidRPr="00837CC4">
              <w:t xml:space="preserve"> patikimas procedūras ir priemones </w:t>
            </w:r>
            <w:r w:rsidRPr="00837CC4">
              <w:rPr>
                <w:b/>
                <w:bCs/>
                <w:i/>
                <w:iCs/>
              </w:rPr>
              <w:t>jie</w:t>
            </w:r>
            <w:r w:rsidRPr="00837CC4">
              <w:t xml:space="preserve"> užtikrina, kad PRT DPS:</w:t>
            </w:r>
          </w:p>
        </w:tc>
        <w:tc>
          <w:tcPr>
            <w:tcW w:w="4876" w:type="dxa"/>
          </w:tcPr>
          <w:p w:rsidR="0084543E" w:rsidRPr="00837CC4" w:rsidRDefault="0084543E" w:rsidP="00E51AD6">
            <w:pPr>
              <w:pStyle w:val="Normal6a"/>
            </w:pPr>
            <w:r w:rsidRPr="00837CC4">
              <w:t>3.</w:t>
            </w:r>
            <w:r w:rsidRPr="00837CC4">
              <w:tab/>
              <w:t xml:space="preserve">Kai PRT DPS </w:t>
            </w:r>
            <w:r w:rsidRPr="00837CC4">
              <w:rPr>
                <w:b/>
                <w:bCs/>
                <w:i/>
                <w:iCs/>
              </w:rPr>
              <w:t>valdantis subjektas</w:t>
            </w:r>
            <w:r w:rsidRPr="00837CC4">
              <w:t xml:space="preserve"> yra </w:t>
            </w:r>
            <w:r w:rsidRPr="00837CC4">
              <w:rPr>
                <w:b/>
                <w:bCs/>
                <w:i/>
                <w:iCs/>
              </w:rPr>
              <w:t>paprašęs</w:t>
            </w:r>
            <w:r w:rsidRPr="00837CC4">
              <w:t xml:space="preserve"> leisti taikyti išimtį pagal 2 dalį, </w:t>
            </w:r>
            <w:r w:rsidRPr="00837CC4">
              <w:rPr>
                <w:b/>
                <w:bCs/>
                <w:i/>
                <w:iCs/>
              </w:rPr>
              <w:t>taikydamas</w:t>
            </w:r>
            <w:r w:rsidRPr="00837CC4">
              <w:t xml:space="preserve"> patikimas procedūras ir priemones </w:t>
            </w:r>
            <w:r w:rsidRPr="00837CC4">
              <w:rPr>
                <w:b/>
                <w:bCs/>
                <w:i/>
                <w:iCs/>
              </w:rPr>
              <w:t>jis</w:t>
            </w:r>
            <w:r w:rsidRPr="00837CC4">
              <w:t xml:space="preserve"> užtikrina, kad PRT DPS:</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pPr>
        <w:pStyle w:val="AmJustTitle"/>
      </w:pPr>
      <w:r w:rsidRPr="00837CC4">
        <w:rPr>
          <w:rStyle w:val="HideTWBExt"/>
          <w:i w:val="0"/>
          <w:noProof w:val="0"/>
        </w:rPr>
        <w:t>&lt;TitreJust&gt;</w:t>
      </w:r>
      <w:r w:rsidRPr="00837CC4">
        <w:t>Pagrindimas</w:t>
      </w:r>
      <w:r w:rsidRPr="00837CC4">
        <w:rPr>
          <w:rStyle w:val="HideTWBExt"/>
          <w:i w:val="0"/>
          <w:noProof w:val="0"/>
        </w:rPr>
        <w:t>&lt;/TitreJust&gt;</w:t>
      </w:r>
    </w:p>
    <w:p w:rsidR="0084543E" w:rsidRPr="00837CC4" w:rsidRDefault="0084543E" w:rsidP="0084543E">
      <w:pPr>
        <w:pStyle w:val="AmJustText"/>
      </w:pPr>
      <w:r w:rsidRPr="00837CC4">
        <w:t>Bandomosios tvarkos atvirumas naujų dalyvių atžvilgiu.</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316</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Johan Van Overtveldt</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4 straipsnio 3 dalies a punktas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t>a)</w:t>
            </w:r>
            <w:r w:rsidRPr="00837CC4">
              <w:tab/>
              <w:t>garantuotų, kad emisiją ar dalį emisijos sudarančių PRT perleidžiamųjų vertybinių popierių, kuriais leidžia prekiauti PRT </w:t>
            </w:r>
            <w:r w:rsidRPr="00837CC4">
              <w:rPr>
                <w:b/>
                <w:bCs/>
                <w:i/>
                <w:iCs/>
              </w:rPr>
              <w:t>DPS</w:t>
            </w:r>
            <w:r w:rsidRPr="00837CC4">
              <w:t xml:space="preserve"> valdanti investicinė įmonė ar rinkos operatorius, skaičius bet kuriuo metu būtų lygus tokią emisiją ar jos dalį sudarančių PRT perleidžiamųjų vertybinių popierių, užregistruotų paskirstytajame registre, sumai;</w:t>
            </w:r>
          </w:p>
        </w:tc>
        <w:tc>
          <w:tcPr>
            <w:tcW w:w="4876" w:type="dxa"/>
          </w:tcPr>
          <w:p w:rsidR="0084543E" w:rsidRPr="00837CC4" w:rsidRDefault="0084543E" w:rsidP="00E51AD6">
            <w:pPr>
              <w:pStyle w:val="Normal6a"/>
            </w:pPr>
            <w:r w:rsidRPr="00837CC4">
              <w:t>(a)</w:t>
            </w:r>
            <w:r w:rsidRPr="00837CC4">
              <w:tab/>
            </w:r>
            <w:r w:rsidRPr="00837CC4">
              <w:rPr>
                <w:b/>
                <w:bCs/>
                <w:i/>
                <w:iCs/>
              </w:rPr>
              <w:t xml:space="preserve">laikantis Reglamento (ES) Nr. 909/2014 37 straipsnio 2 ir 3 dalių, </w:t>
            </w:r>
            <w:r w:rsidRPr="00837CC4">
              <w:t>garantuotų, kad emisiją ar dalį emisijos sudarančių PRT perleidžiamųjų vertybinių popierių, kuriais leidžia prekiauti PRT </w:t>
            </w:r>
            <w:r w:rsidRPr="00837CC4">
              <w:rPr>
                <w:b/>
                <w:bCs/>
                <w:i/>
                <w:iCs/>
              </w:rPr>
              <w:t>PAS</w:t>
            </w:r>
            <w:r w:rsidRPr="00837CC4">
              <w:t xml:space="preserve"> valdanti investicinė įmonė ar rinkos operatorius, skaičius bet kuriuo metu būtų lygus tokią emisiją ar jos dalį sudarančių PRT perleidžiamųjų vertybinių popierių, užregistruotų paskirstytajame registre, sumai;</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pPr>
        <w:pStyle w:val="AmJustTitle"/>
      </w:pPr>
      <w:r w:rsidRPr="00837CC4">
        <w:rPr>
          <w:rStyle w:val="HideTWBExt"/>
          <w:i w:val="0"/>
          <w:noProof w:val="0"/>
        </w:rPr>
        <w:t>&lt;TitreJust&gt;</w:t>
      </w:r>
      <w:r w:rsidRPr="00837CC4">
        <w:t>Pagrindimas</w:t>
      </w:r>
      <w:r w:rsidRPr="00837CC4">
        <w:rPr>
          <w:rStyle w:val="HideTWBExt"/>
          <w:i w:val="0"/>
          <w:noProof w:val="0"/>
        </w:rPr>
        <w:t>&lt;/TitreJust&gt;</w:t>
      </w:r>
    </w:p>
    <w:p w:rsidR="0084543E" w:rsidRPr="00837CC4" w:rsidRDefault="0084543E" w:rsidP="0084543E">
      <w:pPr>
        <w:pStyle w:val="AmJustText"/>
      </w:pPr>
      <w:r w:rsidRPr="00837CC4">
        <w:t>Šiuo pakeitimu siekiama atsižvelgti į ECB nuomonėje pateiktą pasiūlymą. Nevienodos pagrindines CVPD paslaugas teikiančių PRT DPS sąlygos, dėl kurių ECB kyla nerimas, ir PRT VPAS klausimai yra sprendžiami nustatant PRT PAS sąvoką. Vis dėlto svarbu šiame straipsnyje papildomai išaiškinti, kad PRT rinkos infrastruktūros operatoriaus teikiamoms pagrindinėms CVDP paslaugoms taikomi reikalavimai turėtų būti suderinti su atitinkamomis Reglamento (ES) Nr. 909/2014 nuostatomis.</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317</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Jonás Fernández, Eero Heinäluoma</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4 straipsnio 3 dalies a punktas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t>a)</w:t>
            </w:r>
            <w:r w:rsidRPr="00837CC4">
              <w:tab/>
              <w:t>garantuotų, kad emisiją ar dalį emisijos sudarančių PRT perleidžiamųjų vertybinių popierių, kuriais leidžia prekiauti PRT DPS valdanti investicinė įmonė ar rinkos operatorius, skaičius bet kuriuo metu būtų lygus tokią emisiją ar jos dalį sudarančių PRT perleidžiamųjų vertybinių popierių, užregistruotų paskirstytajame registre, sumai;</w:t>
            </w:r>
          </w:p>
        </w:tc>
        <w:tc>
          <w:tcPr>
            <w:tcW w:w="4876" w:type="dxa"/>
          </w:tcPr>
          <w:p w:rsidR="0084543E" w:rsidRPr="00837CC4" w:rsidRDefault="0084543E" w:rsidP="00E51AD6">
            <w:pPr>
              <w:pStyle w:val="Normal6a"/>
            </w:pPr>
            <w:r w:rsidRPr="00837CC4">
              <w:t>a)</w:t>
            </w:r>
            <w:r w:rsidRPr="00837CC4">
              <w:tab/>
            </w:r>
            <w:r w:rsidRPr="00837CC4">
              <w:rPr>
                <w:b/>
                <w:bCs/>
                <w:i/>
                <w:iCs/>
              </w:rPr>
              <w:t xml:space="preserve">laikantis Reglamento (ES) Nr. 909/2014 37 straipsnio 2 ir 3 dalių, </w:t>
            </w:r>
            <w:r w:rsidRPr="00837CC4">
              <w:t>garantuotų, kad emisiją ar dalį emisijos sudarančių PRT perleidžiamųjų vertybinių popierių, kuriais leidžia prekiauti PRT DPS valdanti investicinė įmonė ar rinkos operatorius, skaičius bet kuriuo metu būtų lygus tokią emisiją ar jos dalį sudarančių PRT perleidžiamųjų vertybinių popierių, užregistruotų paskirstytajame registre, sumai;</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pPr>
        <w:pStyle w:val="AmJustTitle"/>
      </w:pPr>
      <w:r w:rsidRPr="00837CC4">
        <w:rPr>
          <w:rStyle w:val="HideTWBExt"/>
          <w:i w:val="0"/>
          <w:noProof w:val="0"/>
        </w:rPr>
        <w:t>&lt;TitreJust&gt;</w:t>
      </w:r>
      <w:r w:rsidRPr="00837CC4">
        <w:t>Pagrindimas</w:t>
      </w:r>
      <w:r w:rsidRPr="00837CC4">
        <w:rPr>
          <w:rStyle w:val="HideTWBExt"/>
          <w:i w:val="0"/>
          <w:noProof w:val="0"/>
        </w:rPr>
        <w:t>&lt;/TitreJust&gt;</w:t>
      </w:r>
    </w:p>
    <w:p w:rsidR="0084543E" w:rsidRPr="00837CC4" w:rsidRDefault="0084543E" w:rsidP="0084543E">
      <w:pPr>
        <w:pStyle w:val="AmJustText"/>
      </w:pPr>
      <w:r w:rsidRPr="00837CC4">
        <w:t>Remiantis ECB nuomone.</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318</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Stéphanie Yon-Courtin, Ondřej Kovařík, Gilles Boyer, Olivier Chastel</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4 straipsnio 3 dalies a punktas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t>a)</w:t>
            </w:r>
            <w:r w:rsidRPr="00837CC4">
              <w:tab/>
              <w:t xml:space="preserve">garantuotų, kad emisiją ar dalį emisijos sudarančių PRT perleidžiamųjų vertybinių popierių, kuriais leidžia prekiauti PRT DPS </w:t>
            </w:r>
            <w:r w:rsidRPr="00837CC4">
              <w:rPr>
                <w:b/>
                <w:bCs/>
                <w:i/>
                <w:iCs/>
              </w:rPr>
              <w:t>valdanti investicinė įmonė ar rinkos operatorius</w:t>
            </w:r>
            <w:r w:rsidRPr="00837CC4">
              <w:t>, skaičius bet kuriuo metu būtų lygus tokią emisiją ar jos dalį sudarančių PRT perleidžiamųjų vertybinių popierių, užregistruotų paskirstytajame registre, sumai;</w:t>
            </w:r>
          </w:p>
        </w:tc>
        <w:tc>
          <w:tcPr>
            <w:tcW w:w="4876" w:type="dxa"/>
          </w:tcPr>
          <w:p w:rsidR="0084543E" w:rsidRPr="00837CC4" w:rsidRDefault="0084543E" w:rsidP="00E51AD6">
            <w:pPr>
              <w:pStyle w:val="Normal6a"/>
            </w:pPr>
            <w:r w:rsidRPr="00837CC4">
              <w:t>(a)</w:t>
            </w:r>
            <w:r w:rsidRPr="00837CC4">
              <w:tab/>
              <w:t xml:space="preserve">garantuotų, kad emisiją ar dalį emisijos sudarančių PRT perleidžiamųjų vertybinių popierių, kuriais leidžia prekiauti PRT DPS </w:t>
            </w:r>
            <w:r w:rsidRPr="00837CC4">
              <w:rPr>
                <w:b/>
                <w:bCs/>
                <w:i/>
                <w:iCs/>
              </w:rPr>
              <w:t>valdantis subjektas</w:t>
            </w:r>
            <w:r w:rsidRPr="00837CC4">
              <w:t>, skaičius bet kuriuo metu būtų lygus tokią emisiją ar jos dalį sudarančių PRT perleidžiamųjų vertybinių popierių, užregistruotų paskirstytajame registre, sumai;</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pPr>
        <w:pStyle w:val="AmJustTitle"/>
      </w:pPr>
      <w:r w:rsidRPr="00837CC4">
        <w:rPr>
          <w:rStyle w:val="HideTWBExt"/>
          <w:i w:val="0"/>
          <w:noProof w:val="0"/>
        </w:rPr>
        <w:t>&lt;TitreJust&gt;</w:t>
      </w:r>
      <w:r w:rsidRPr="00837CC4">
        <w:t>Pagrindimas</w:t>
      </w:r>
      <w:r w:rsidRPr="00837CC4">
        <w:rPr>
          <w:rStyle w:val="HideTWBExt"/>
          <w:i w:val="0"/>
          <w:noProof w:val="0"/>
        </w:rPr>
        <w:t>&lt;/TitreJust&gt;</w:t>
      </w:r>
    </w:p>
    <w:p w:rsidR="0084543E" w:rsidRPr="00837CC4" w:rsidRDefault="0084543E" w:rsidP="0084543E">
      <w:pPr>
        <w:pStyle w:val="AmJustText"/>
      </w:pPr>
      <w:r w:rsidRPr="00837CC4">
        <w:t>Bandomosios tvarkos atvirumas naujų dalyvių atžvilgiu.</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319</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Johan Van Overtveldt</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4 straipsnio 3 dalies d punktas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t>d)</w:t>
            </w:r>
            <w:r w:rsidRPr="00837CC4">
              <w:tab/>
              <w:t>laiku teiktų aiškią ir tikslią informaciją apie atsiskaitymą už sandorius, įskaitant atsiskaitymo baigtinumą, apibrėždama momentą, nuo kurio nariui, dalyviui, emitentui ar klientui nebebūtų įmanoma atšaukti pervedimo nurodymų ar kitų iš anksto nustatytų nurodymų;</w:t>
            </w:r>
          </w:p>
        </w:tc>
        <w:tc>
          <w:tcPr>
            <w:tcW w:w="4876" w:type="dxa"/>
          </w:tcPr>
          <w:p w:rsidR="0084543E" w:rsidRPr="00837CC4" w:rsidRDefault="0084543E" w:rsidP="00E51AD6">
            <w:pPr>
              <w:pStyle w:val="Normal6a"/>
            </w:pPr>
            <w:r w:rsidRPr="00837CC4">
              <w:t>d)</w:t>
            </w:r>
            <w:r w:rsidRPr="00837CC4">
              <w:tab/>
            </w:r>
            <w:r w:rsidRPr="00837CC4">
              <w:rPr>
                <w:b/>
                <w:bCs/>
                <w:i/>
                <w:iCs/>
              </w:rPr>
              <w:t xml:space="preserve">vadovaujantis Reglamento (ES) Nr. 909/2014 39 straipsnio 5 dalimi, </w:t>
            </w:r>
            <w:r w:rsidRPr="00837CC4">
              <w:t>laiku teiktų aiškią ir tikslią informaciją apie atsiskaitymą už sandorius, įskaitant atsiskaitymo baigtinumą, apibrėždama momentą, nuo kurio nariui, dalyviui, emitentui ar klientui nebebūtų įmanoma atšaukti pervedimo nurodymų ar kitų iš anksto nustatytų nurodymų;</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pPr>
        <w:pStyle w:val="AmJustTitle"/>
      </w:pPr>
      <w:r w:rsidRPr="00837CC4">
        <w:rPr>
          <w:rStyle w:val="HideTWBExt"/>
          <w:i w:val="0"/>
          <w:noProof w:val="0"/>
        </w:rPr>
        <w:t>&lt;TitreJust&gt;</w:t>
      </w:r>
      <w:r w:rsidRPr="00837CC4">
        <w:t>Pagrindimas</w:t>
      </w:r>
      <w:r w:rsidRPr="00837CC4">
        <w:rPr>
          <w:rStyle w:val="HideTWBExt"/>
          <w:i w:val="0"/>
          <w:noProof w:val="0"/>
        </w:rPr>
        <w:t>&lt;/TitreJust&gt;</w:t>
      </w:r>
    </w:p>
    <w:p w:rsidR="0084543E" w:rsidRPr="00837CC4" w:rsidRDefault="0084543E" w:rsidP="0084543E">
      <w:pPr>
        <w:pStyle w:val="AmJustText"/>
      </w:pPr>
      <w:r w:rsidRPr="00837CC4">
        <w:t>Šiuo pakeitimu siekiama atsižvelgti į ECB nuomonėje pateiktą pasiūlymą. Nevienodos pagrindines CVPD paslaugas teikiančių PRT DPS sąlygos, dėl kurių ECB kyla nerimas, ir PRT VPAS klausimai yra sprendžiami nustatant PRT PAS sąvoką. Vis dėlto svarbu šiame straipsnyje papildomai išaiškinti, kad PRT rinkos infrastruktūros operatoriaus teikiamoms pagrindinėms CVDP paslaugoms taikomi reikalavimai turėtų būti suderinti su atitinkamomis Reglamento (ES) Nr. 909/2014 nuostatomis.</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320</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Jonás Fernández, Eero Heinäluoma</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4 straipsnio 3 dalies d punktas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t>d)</w:t>
            </w:r>
            <w:r w:rsidRPr="00837CC4">
              <w:tab/>
              <w:t>laiku teiktų aiškią ir tikslią informaciją apie atsiskaitymą už sandorius, įskaitant atsiskaitymo baigtinumą, apibrėždama momentą, nuo kurio nariui, dalyviui, emitentui ar klientui nebebūtų įmanoma atšaukti pervedimo nurodymų ar kitų iš anksto nustatytų nurodymų;</w:t>
            </w:r>
          </w:p>
        </w:tc>
        <w:tc>
          <w:tcPr>
            <w:tcW w:w="4876" w:type="dxa"/>
          </w:tcPr>
          <w:p w:rsidR="0084543E" w:rsidRPr="00837CC4" w:rsidRDefault="0084543E" w:rsidP="00E51AD6">
            <w:pPr>
              <w:pStyle w:val="Normal6a"/>
            </w:pPr>
            <w:r w:rsidRPr="00837CC4">
              <w:t>d)</w:t>
            </w:r>
            <w:r w:rsidRPr="00837CC4">
              <w:tab/>
            </w:r>
            <w:r w:rsidRPr="00837CC4">
              <w:rPr>
                <w:b/>
                <w:bCs/>
                <w:i/>
                <w:iCs/>
              </w:rPr>
              <w:t xml:space="preserve">vadovaujantis Reglamento (ES) Nr. 909/2014 39 straipsnio 5 dalimi, </w:t>
            </w:r>
            <w:r w:rsidRPr="00837CC4">
              <w:t>laiku teiktų aiškią ir tikslią informaciją apie atsiskaitymą už sandorius, įskaitant atsiskaitymo baigtinumą, apibrėždama momentą, nuo kurio nariui, dalyviui, emitentui ar klientui nebebūtų įmanoma atšaukti pervedimo nurodymų ar kitų iš anksto nustatytų nurodymų;</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pPr>
        <w:pStyle w:val="AmJustTitle"/>
      </w:pPr>
      <w:r w:rsidRPr="00837CC4">
        <w:rPr>
          <w:rStyle w:val="HideTWBExt"/>
          <w:i w:val="0"/>
          <w:noProof w:val="0"/>
        </w:rPr>
        <w:t>&lt;TitreJust&gt;</w:t>
      </w:r>
      <w:r w:rsidRPr="00837CC4">
        <w:t>Pagrindimas</w:t>
      </w:r>
      <w:r w:rsidRPr="00837CC4">
        <w:rPr>
          <w:rStyle w:val="HideTWBExt"/>
          <w:i w:val="0"/>
          <w:noProof w:val="0"/>
        </w:rPr>
        <w:t>&lt;/TitreJust&gt;</w:t>
      </w:r>
    </w:p>
    <w:p w:rsidR="0084543E" w:rsidRPr="00837CC4" w:rsidRDefault="0084543E" w:rsidP="0084543E">
      <w:pPr>
        <w:pStyle w:val="AmJustText"/>
      </w:pPr>
      <w:r w:rsidRPr="00837CC4">
        <w:t>Remiantis ECB nuomone.</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321</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Sven Giegold</w:t>
      </w:r>
      <w:r w:rsidRPr="00837CC4">
        <w:rPr>
          <w:rStyle w:val="HideTWBExt"/>
          <w:b w:val="0"/>
          <w:noProof w:val="0"/>
        </w:rPr>
        <w:t>&lt;/Members&gt;</w:t>
      </w:r>
    </w:p>
    <w:p w:rsidR="0084543E" w:rsidRPr="00837CC4" w:rsidRDefault="0084543E" w:rsidP="0084543E">
      <w:r w:rsidRPr="00837CC4">
        <w:rPr>
          <w:rStyle w:val="HideTWBExt"/>
          <w:noProof w:val="0"/>
        </w:rPr>
        <w:t>&lt;AuNomDe&gt;</w:t>
      </w:r>
      <w:r w:rsidRPr="00837CC4">
        <w:rPr>
          <w:rStyle w:val="HideTWBInt"/>
          <w:noProof w:val="0"/>
        </w:rPr>
        <w:t>{Greens/EFA}</w:t>
      </w:r>
      <w:r w:rsidRPr="00837CC4">
        <w:t>Verts/ALE frakcijos vardu</w:t>
      </w:r>
      <w:r w:rsidRPr="00837CC4">
        <w:rPr>
          <w:rStyle w:val="HideTWBExt"/>
          <w:noProof w:val="0"/>
        </w:rPr>
        <w:t>&lt;/AuNomDe&gt;</w:t>
      </w:r>
    </w:p>
    <w:p w:rsidR="0084543E" w:rsidRPr="00837CC4" w:rsidRDefault="0084543E" w:rsidP="0084543E">
      <w:r w:rsidRPr="00837CC4">
        <w:rPr>
          <w:rStyle w:val="HideTWBExt"/>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4 straipsnio 3 dalies d punktas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t>d)</w:t>
            </w:r>
            <w:r w:rsidRPr="00837CC4">
              <w:tab/>
              <w:t>laiku teiktų aiškią ir tikslią informaciją apie atsiskaitymą už sandorius, įskaitant atsiskaitymo baigtinumą, apibrėždama momentą, nuo kurio nariui, dalyviui, emitentui ar klientui nebebūtų įmanoma atšaukti pervedimo nurodymų ar kitų iš anksto nustatytų nurodymų;</w:t>
            </w:r>
          </w:p>
        </w:tc>
        <w:tc>
          <w:tcPr>
            <w:tcW w:w="4876" w:type="dxa"/>
          </w:tcPr>
          <w:p w:rsidR="0084543E" w:rsidRPr="00837CC4" w:rsidRDefault="0084543E" w:rsidP="00E51AD6">
            <w:pPr>
              <w:pStyle w:val="Normal6a"/>
            </w:pPr>
            <w:r w:rsidRPr="00837CC4">
              <w:t>d)</w:t>
            </w:r>
            <w:r w:rsidRPr="00837CC4">
              <w:tab/>
              <w:t>laiku teiktų aiškią ir tikslią informaciją apie atsiskaitymą už sandorius, įskaitant atsiskaitymo baigtinumą, apibrėždama momentą, nuo kurio nariui, dalyviui, emitentui ar klientui nebebūtų įmanoma atšaukti pervedimo nurodymų ar kitų iš anksto nustatytų nurodymų</w:t>
            </w:r>
            <w:r w:rsidRPr="00837CC4">
              <w:rPr>
                <w:b/>
                <w:bCs/>
                <w:i/>
                <w:iCs/>
              </w:rPr>
              <w:t>, laikantis Reglamento (ES) Nr. 909/2014 39 straipsnio</w:t>
            </w:r>
            <w:r w:rsidRPr="00837CC4">
              <w:t>;</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322</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Eva Kaili</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4 straipsnio 3 dalies f punkto 1 pastraipa</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t xml:space="preserve">Kai tikslinga ir įmanoma, </w:t>
            </w:r>
            <w:r w:rsidRPr="00837CC4">
              <w:rPr>
                <w:b/>
                <w:bCs/>
                <w:i/>
                <w:iCs/>
              </w:rPr>
              <w:t>mokėjimai</w:t>
            </w:r>
            <w:r w:rsidRPr="00837CC4">
              <w:t xml:space="preserve"> gali būti </w:t>
            </w:r>
            <w:r w:rsidRPr="00837CC4">
              <w:rPr>
                <w:b/>
                <w:bCs/>
                <w:i/>
                <w:iCs/>
              </w:rPr>
              <w:t>vykdomi</w:t>
            </w:r>
            <w:r w:rsidRPr="00837CC4">
              <w:t xml:space="preserve"> centrinio banko pinigais, o kai netikslinga ar neįmanoma – komercinio banko pinigais, įskaitant komercinio banko pinigus kriptožetonų pavidalu, arba e. pinigais žetonais.</w:t>
            </w:r>
          </w:p>
        </w:tc>
        <w:tc>
          <w:tcPr>
            <w:tcW w:w="4876" w:type="dxa"/>
          </w:tcPr>
          <w:p w:rsidR="0084543E" w:rsidRPr="00837CC4" w:rsidRDefault="0084543E" w:rsidP="00E51AD6">
            <w:pPr>
              <w:pStyle w:val="Normal6a"/>
            </w:pPr>
            <w:r w:rsidRPr="00837CC4">
              <w:t xml:space="preserve">Kai tikslinga ir įmanoma, </w:t>
            </w:r>
            <w:r w:rsidRPr="00837CC4">
              <w:rPr>
                <w:b/>
                <w:bCs/>
                <w:i/>
                <w:iCs/>
              </w:rPr>
              <w:t>mokėjimo sudėtinės dalies atsiskaitymas</w:t>
            </w:r>
            <w:r w:rsidRPr="00837CC4">
              <w:t xml:space="preserve"> gali būti </w:t>
            </w:r>
            <w:r w:rsidRPr="00837CC4">
              <w:rPr>
                <w:b/>
                <w:bCs/>
                <w:i/>
                <w:iCs/>
              </w:rPr>
              <w:t>vykdomas</w:t>
            </w:r>
            <w:r w:rsidRPr="00837CC4">
              <w:t xml:space="preserve"> centrinio banko pinigais, o kai netikslinga ar neįmanoma – komercinio banko pinigais, įskaitant komercinio banko pinigus kriptožetonų pavidalu, arba e. pinigais žetonais.</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323</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Eva Kaili</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4 straipsnio 3 dalies f punkto 2 pastraipa</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t>Kai atsiskaitymas vyksta komercinio banko pinigais arba e. pinigais žetonais, PRT DPS valdanti investicinė įmonė ar rinkos operatorius nustato, vertina, stebi, valdo ir kuo labiau sumažina bet kokią dėl tokių pinigų naudojimo kylančią sandorio šalies riziką ir</w:t>
            </w:r>
          </w:p>
        </w:tc>
        <w:tc>
          <w:tcPr>
            <w:tcW w:w="4876" w:type="dxa"/>
          </w:tcPr>
          <w:p w:rsidR="0084543E" w:rsidRPr="00837CC4" w:rsidRDefault="0084543E" w:rsidP="00E51AD6">
            <w:pPr>
              <w:pStyle w:val="Normal6a"/>
            </w:pPr>
            <w:r w:rsidRPr="00837CC4">
              <w:t>Kai atsiskaitymas vyksta komercinio banko pinigais arba e. pinigais žetonais, PRT DPS valdanti investicinė įmonė ar rinkos operatorius nustato, vertina, stebi, valdo ir kuo labiau sumažina bet kokią dėl tokių pinigų naudojimo kylančią sandorio šalies riziką</w:t>
            </w:r>
            <w:r w:rsidRPr="00837CC4">
              <w:rPr>
                <w:b/>
                <w:bCs/>
                <w:i/>
                <w:iCs/>
              </w:rPr>
              <w:t>.</w:t>
            </w:r>
            <w:r w:rsidRPr="00837CC4">
              <w:rPr>
                <w:b/>
                <w:i/>
              </w:rPr>
              <w:t xml:space="preserve"> Kai mokėjimo sudėtinės dalies atsiskaitymas vykdomas e. pinigų žetonais, PRT DPS dalyviai gali tiesiogiai atsidaryti PRT DPS sąskaitas mokėjimo sudėtinės dalies atsiskaitymo vykdomo e. pinigų žetonais tikslais ir jos dalyviai gali atsidaryti sąskaitą trečiojoje šalyje, teikiančioje su e. pinigų žetonais susijusias paslaugas. Tais atvejais, PRT DPS arba trečioji šalis yra e. pinigų žetonais emitentės ir jos užtikrina, kad mokėjimo sudėtinės dalies atsiskaitymas būtų vykdomas e. pinigų žetonais. </w:t>
            </w:r>
            <w:r w:rsidRPr="00837CC4">
              <w:rPr>
                <w:b/>
                <w:bCs/>
                <w:i/>
                <w:iCs/>
              </w:rPr>
              <w:t>Kadangi, remiantis Reglamentu Nr. 2021/XX dėl kriptoturto rinkų, e. pinigų žetonus gali išleisti tik kredito įstaigos arba e. pinigų įstaigos, pagal šį reglamentą taikomomis išimtimis, susijusiomis su CVPDR mokėjimo atsiskaitymų nuostatomis, neketinama PRT DPS arba e. pinigų žetonus leidžiančios arba per savo sąskaitas vertybinių popiečių sandorių sudėtinės dalies atskaitymus vykdančios trečiosios šalies atleisti nuo Reglamente Nr. 2021/XX dėl kriptoturto rinkų nustatytų licencijavimo reikalavimų</w:t>
            </w:r>
            <w:r w:rsidRPr="00837CC4">
              <w:t xml:space="preserve"> ir</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pPr>
        <w:pStyle w:val="AmJustTitle"/>
      </w:pPr>
      <w:r w:rsidRPr="00837CC4">
        <w:rPr>
          <w:rStyle w:val="HideTWBExt"/>
          <w:i w:val="0"/>
          <w:noProof w:val="0"/>
        </w:rPr>
        <w:t>&lt;TitreJust&gt;</w:t>
      </w:r>
      <w:r w:rsidRPr="00837CC4">
        <w:t>Pagrindimas</w:t>
      </w:r>
      <w:r w:rsidRPr="00837CC4">
        <w:rPr>
          <w:rStyle w:val="HideTWBExt"/>
          <w:i w:val="0"/>
          <w:noProof w:val="0"/>
        </w:rPr>
        <w:t>&lt;/TitreJust&gt;</w:t>
      </w:r>
    </w:p>
    <w:p w:rsidR="0084543E" w:rsidRPr="00837CC4" w:rsidRDefault="0084543E" w:rsidP="0084543E">
      <w:pPr>
        <w:pStyle w:val="AmJustText"/>
      </w:pPr>
      <w:r w:rsidRPr="00837CC4">
        <w:t>Redakcinė pastaba. Be to, siūloma įtraukti balandžio 28 d. ECB nuomonę dėl PRT bandomosios tvarkos 3.3.7 punktą, susijusį su atsiskaitymu e. pinigų žetonais.</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324</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Stéphanie Yon-Courtin, Ondřej Kovařík, Gilles Boyer, Olivier Chastel</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4 straipsnio 3 dalies f punkto 2 pastraipa</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t xml:space="preserve">Kai atsiskaitymas vyksta komercinio banko pinigais arba e. pinigais žetonais, PRT DPS </w:t>
            </w:r>
            <w:r w:rsidRPr="00837CC4">
              <w:rPr>
                <w:b/>
                <w:bCs/>
                <w:i/>
                <w:iCs/>
              </w:rPr>
              <w:t>valdanti investicinė įmonė ar rinkos operatorius</w:t>
            </w:r>
            <w:r w:rsidRPr="00837CC4">
              <w:t xml:space="preserve"> nustato, vertina, stebi, valdo ir kuo labiau sumažina bet kokią dėl tokių pinigų naudojimo kylančią sandorio šalies riziką ir</w:t>
            </w:r>
          </w:p>
        </w:tc>
        <w:tc>
          <w:tcPr>
            <w:tcW w:w="4876" w:type="dxa"/>
          </w:tcPr>
          <w:p w:rsidR="0084543E" w:rsidRPr="00837CC4" w:rsidRDefault="0084543E" w:rsidP="00E51AD6">
            <w:pPr>
              <w:pStyle w:val="Normal6a"/>
            </w:pPr>
            <w:r w:rsidRPr="00837CC4">
              <w:t xml:space="preserve">Kai atsiskaitymas vyksta komercinio banko pinigais arba e. pinigais žetonais, PRT DPS </w:t>
            </w:r>
            <w:r w:rsidRPr="00837CC4">
              <w:rPr>
                <w:b/>
                <w:bCs/>
                <w:i/>
                <w:iCs/>
              </w:rPr>
              <w:t>valdantis subjektas</w:t>
            </w:r>
            <w:r w:rsidRPr="00837CC4">
              <w:t xml:space="preserve"> nustato, vertina, stebi, valdo ir kuo labiau sumažina bet kokią dėl tokių pinigų naudojimo kylančią sandorio šalies riziką ir</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pPr>
        <w:pStyle w:val="AmJustTitle"/>
      </w:pPr>
      <w:r w:rsidRPr="00837CC4">
        <w:rPr>
          <w:rStyle w:val="HideTWBExt"/>
          <w:i w:val="0"/>
          <w:noProof w:val="0"/>
        </w:rPr>
        <w:t>&lt;TitreJust&gt;</w:t>
      </w:r>
      <w:r w:rsidRPr="00837CC4">
        <w:t>Pagrindimas</w:t>
      </w:r>
      <w:r w:rsidRPr="00837CC4">
        <w:rPr>
          <w:rStyle w:val="HideTWBExt"/>
          <w:i w:val="0"/>
          <w:noProof w:val="0"/>
        </w:rPr>
        <w:t>&lt;/TitreJust&gt;</w:t>
      </w:r>
    </w:p>
    <w:p w:rsidR="0084543E" w:rsidRPr="00837CC4" w:rsidRDefault="0084543E" w:rsidP="0084543E">
      <w:pPr>
        <w:pStyle w:val="AmJustText"/>
      </w:pPr>
      <w:r w:rsidRPr="00837CC4">
        <w:t>Bandomosios tvarkos atvirumas naujų dalyvių atžvilgiu.</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325</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Sven Giegold</w:t>
      </w:r>
      <w:r w:rsidRPr="00837CC4">
        <w:rPr>
          <w:rStyle w:val="HideTWBExt"/>
          <w:b w:val="0"/>
          <w:noProof w:val="0"/>
        </w:rPr>
        <w:t>&lt;/Members&gt;</w:t>
      </w:r>
    </w:p>
    <w:p w:rsidR="0084543E" w:rsidRPr="00837CC4" w:rsidRDefault="0084543E" w:rsidP="0084543E">
      <w:r w:rsidRPr="00837CC4">
        <w:rPr>
          <w:rStyle w:val="HideTWBExt"/>
          <w:noProof w:val="0"/>
        </w:rPr>
        <w:t>&lt;AuNomDe&gt;</w:t>
      </w:r>
      <w:r w:rsidRPr="00837CC4">
        <w:rPr>
          <w:rStyle w:val="HideTWBInt"/>
          <w:noProof w:val="0"/>
        </w:rPr>
        <w:t>{Greens/EFA}</w:t>
      </w:r>
      <w:r w:rsidRPr="00837CC4">
        <w:t>Verts/ALE frakcijos vardu</w:t>
      </w:r>
      <w:r w:rsidRPr="00837CC4">
        <w:rPr>
          <w:rStyle w:val="HideTWBExt"/>
          <w:noProof w:val="0"/>
        </w:rPr>
        <w:t>&lt;/AuNomDe&gt;</w:t>
      </w:r>
    </w:p>
    <w:p w:rsidR="0084543E" w:rsidRPr="00837CC4" w:rsidRDefault="0084543E" w:rsidP="0084543E">
      <w:r w:rsidRPr="00837CC4">
        <w:rPr>
          <w:rStyle w:val="HideTWBExt"/>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4 straipsnio 3 dalies g punktas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t>g)</w:t>
            </w:r>
            <w:r w:rsidRPr="00837CC4">
              <w:tab/>
              <w:t>arba užkerta kelią neatsiskaitymui, arba, jei tai neįmanoma, imasi veiksmų dėl neatsiskaitymo.</w:t>
            </w:r>
          </w:p>
        </w:tc>
        <w:tc>
          <w:tcPr>
            <w:tcW w:w="4876" w:type="dxa"/>
          </w:tcPr>
          <w:p w:rsidR="0084543E" w:rsidRPr="00837CC4" w:rsidRDefault="0084543E" w:rsidP="00E51AD6">
            <w:pPr>
              <w:pStyle w:val="Normal6a"/>
            </w:pPr>
            <w:r w:rsidRPr="00837CC4">
              <w:t>g)</w:t>
            </w:r>
            <w:r w:rsidRPr="00837CC4">
              <w:tab/>
              <w:t>arba užkerta kelią neatsiskaitymui, arba, jei tai neįmanoma, imasi veiksmų dėl neatsiskaitymo</w:t>
            </w:r>
            <w:r w:rsidRPr="00837CC4">
              <w:rPr>
                <w:b/>
                <w:bCs/>
                <w:i/>
                <w:iCs/>
              </w:rPr>
              <w:t>, laikantis Reglamento (ES) Nr. 909/2014 6 ir 7 straipsnių ir Komisijos deleguotojo reglamento (ES) 2018/1229, mutatis mutandis</w:t>
            </w:r>
            <w:r w:rsidRPr="00837CC4">
              <w:t>.</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326</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Jonás Fernández, Eero Heinäluoma</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4 straipsnio 3 dalies g punktas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t>g)</w:t>
            </w:r>
            <w:r w:rsidRPr="00837CC4">
              <w:tab/>
              <w:t>arba užkerta kelią neatsiskaitymui, arba, jei tai neįmanoma, imasi veiksmų dėl neatsiskaitymo.</w:t>
            </w:r>
          </w:p>
        </w:tc>
        <w:tc>
          <w:tcPr>
            <w:tcW w:w="4876" w:type="dxa"/>
          </w:tcPr>
          <w:p w:rsidR="0084543E" w:rsidRPr="00837CC4" w:rsidRDefault="0084543E" w:rsidP="00E51AD6">
            <w:pPr>
              <w:pStyle w:val="Normal6a"/>
            </w:pPr>
            <w:r w:rsidRPr="00837CC4">
              <w:t>g)</w:t>
            </w:r>
            <w:r w:rsidRPr="00837CC4">
              <w:tab/>
              <w:t>arba užkerta kelią neatsiskaitymui, arba, jei tai neįmanoma, imasi veiksmų dėl neatsiskaitymo</w:t>
            </w:r>
            <w:r w:rsidRPr="00837CC4">
              <w:rPr>
                <w:b/>
                <w:bCs/>
                <w:i/>
                <w:iCs/>
              </w:rPr>
              <w:t>, laikantis Reglamento (ES) Nr. 909/2014 7 straipsnio ir Komisijos deleguotojo reglamento (ES) 2018/1229</w:t>
            </w:r>
            <w:r w:rsidRPr="00837CC4">
              <w:rPr>
                <w:rStyle w:val="SupBoldItalic"/>
                <w:b w:val="0"/>
                <w:bCs/>
                <w:i w:val="0"/>
                <w:iCs/>
              </w:rPr>
              <w:t>1a</w:t>
            </w:r>
            <w:r w:rsidRPr="00837CC4">
              <w:t>.</w:t>
            </w:r>
          </w:p>
        </w:tc>
      </w:tr>
      <w:tr w:rsidR="0084543E" w:rsidRPr="00837CC4" w:rsidTr="00E51AD6">
        <w:trPr>
          <w:jc w:val="center"/>
        </w:trPr>
        <w:tc>
          <w:tcPr>
            <w:tcW w:w="4876" w:type="dxa"/>
          </w:tcPr>
          <w:p w:rsidR="0084543E" w:rsidRPr="00837CC4" w:rsidRDefault="0084543E" w:rsidP="00E51AD6">
            <w:pPr>
              <w:pStyle w:val="Normal6a"/>
            </w:pPr>
          </w:p>
        </w:tc>
        <w:tc>
          <w:tcPr>
            <w:tcW w:w="4876" w:type="dxa"/>
          </w:tcPr>
          <w:p w:rsidR="0084543E" w:rsidRPr="00837CC4" w:rsidRDefault="0084543E" w:rsidP="00E51AD6">
            <w:pPr>
              <w:pStyle w:val="Normal6a"/>
            </w:pPr>
            <w:r w:rsidRPr="00837CC4">
              <w:t>_________________</w:t>
            </w:r>
          </w:p>
        </w:tc>
      </w:tr>
      <w:tr w:rsidR="0084543E" w:rsidRPr="00837CC4" w:rsidTr="00E51AD6">
        <w:trPr>
          <w:jc w:val="center"/>
        </w:trPr>
        <w:tc>
          <w:tcPr>
            <w:tcW w:w="4876" w:type="dxa"/>
          </w:tcPr>
          <w:p w:rsidR="0084543E" w:rsidRPr="00837CC4" w:rsidRDefault="0084543E" w:rsidP="00E51AD6">
            <w:pPr>
              <w:pStyle w:val="Normal6a"/>
            </w:pPr>
          </w:p>
        </w:tc>
        <w:tc>
          <w:tcPr>
            <w:tcW w:w="4876" w:type="dxa"/>
          </w:tcPr>
          <w:p w:rsidR="0084543E" w:rsidRPr="00837CC4" w:rsidRDefault="0084543E" w:rsidP="00E51AD6">
            <w:pPr>
              <w:pStyle w:val="Normal6a"/>
            </w:pPr>
            <w:r w:rsidRPr="00837CC4">
              <w:rPr>
                <w:rStyle w:val="SupBoldItalic"/>
              </w:rPr>
              <w:t>1a</w:t>
            </w:r>
            <w:r w:rsidRPr="00837CC4">
              <w:t xml:space="preserve"> </w:t>
            </w:r>
            <w:r w:rsidRPr="00837CC4">
              <w:rPr>
                <w:b/>
                <w:i/>
              </w:rPr>
              <w:t>2018 m. gegužės 25 d. Komisijos deleguotasis reglamentas (ES) 2018/1229, kuriuo Europos Parlamento ir Tarybos reglamentas (ES) Nr. 909/2014 papildomas atsiskaitymo drausmės techniniais reguliavimo standartais (OL L 230, 2018 9 13, p. 1).</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pPr>
        <w:pStyle w:val="AmJustTitle"/>
      </w:pPr>
      <w:r w:rsidRPr="00837CC4">
        <w:rPr>
          <w:rStyle w:val="HideTWBExt"/>
          <w:i w:val="0"/>
          <w:noProof w:val="0"/>
        </w:rPr>
        <w:t>&lt;TitreJust&gt;</w:t>
      </w:r>
      <w:r w:rsidRPr="00837CC4">
        <w:t>Pagrindimas</w:t>
      </w:r>
      <w:r w:rsidRPr="00837CC4">
        <w:rPr>
          <w:rStyle w:val="HideTWBExt"/>
          <w:i w:val="0"/>
          <w:noProof w:val="0"/>
        </w:rPr>
        <w:t>&lt;/TitreJust&gt;</w:t>
      </w:r>
    </w:p>
    <w:p w:rsidR="0084543E" w:rsidRPr="00837CC4" w:rsidRDefault="0084543E" w:rsidP="0084543E">
      <w:pPr>
        <w:pStyle w:val="AmJustText"/>
      </w:pPr>
      <w:r w:rsidRPr="00837CC4">
        <w:t>Remiantis ECB nuomone.</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327</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Johan Van Overtveldt</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4 straipsnio 3 dalies g punktas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t>g)</w:t>
            </w:r>
            <w:r w:rsidRPr="00837CC4">
              <w:tab/>
              <w:t>arba užkerta kelią neatsiskaitymui, arba, jei tai neįmanoma, imasi veiksmų dėl neatsiskaitymo.</w:t>
            </w:r>
          </w:p>
        </w:tc>
        <w:tc>
          <w:tcPr>
            <w:tcW w:w="4876" w:type="dxa"/>
          </w:tcPr>
          <w:p w:rsidR="0084543E" w:rsidRPr="00837CC4" w:rsidRDefault="0084543E" w:rsidP="00E51AD6">
            <w:pPr>
              <w:pStyle w:val="Normal6a"/>
            </w:pPr>
            <w:r w:rsidRPr="00837CC4">
              <w:t>g)</w:t>
            </w:r>
            <w:r w:rsidRPr="00837CC4">
              <w:tab/>
              <w:t>arba užkerta kelią neatsiskaitymui, arba, jei tai neįmanoma, imasi veiksmų dėl neatsiskaitymo</w:t>
            </w:r>
            <w:r w:rsidRPr="00837CC4">
              <w:rPr>
                <w:b/>
                <w:bCs/>
                <w:i/>
                <w:iCs/>
              </w:rPr>
              <w:t>, laikantis Reglamento (ES) Nr. 909/2014 7 straipsnio ir Komisijos deleguotojo reglamento (ES) 2018/1229</w:t>
            </w:r>
            <w:r w:rsidRPr="00837CC4">
              <w:rPr>
                <w:rStyle w:val="SupBoldItalic"/>
                <w:b w:val="0"/>
                <w:bCs/>
                <w:i w:val="0"/>
                <w:iCs/>
              </w:rPr>
              <w:t>*</w:t>
            </w:r>
            <w:r w:rsidRPr="00837CC4">
              <w:t>.</w:t>
            </w:r>
          </w:p>
        </w:tc>
      </w:tr>
      <w:tr w:rsidR="0084543E" w:rsidRPr="00837CC4" w:rsidTr="00E51AD6">
        <w:trPr>
          <w:jc w:val="center"/>
        </w:trPr>
        <w:tc>
          <w:tcPr>
            <w:tcW w:w="4876" w:type="dxa"/>
          </w:tcPr>
          <w:p w:rsidR="0084543E" w:rsidRPr="00837CC4" w:rsidRDefault="0084543E" w:rsidP="00E51AD6">
            <w:pPr>
              <w:pStyle w:val="Normal6a"/>
            </w:pPr>
          </w:p>
        </w:tc>
        <w:tc>
          <w:tcPr>
            <w:tcW w:w="4876" w:type="dxa"/>
          </w:tcPr>
          <w:p w:rsidR="0084543E" w:rsidRPr="00837CC4" w:rsidRDefault="0084543E" w:rsidP="00E51AD6">
            <w:pPr>
              <w:pStyle w:val="Normal6a"/>
            </w:pPr>
            <w:r w:rsidRPr="00837CC4">
              <w:t>_________________</w:t>
            </w:r>
          </w:p>
        </w:tc>
      </w:tr>
      <w:tr w:rsidR="0084543E" w:rsidRPr="00837CC4" w:rsidTr="00E51AD6">
        <w:trPr>
          <w:jc w:val="center"/>
        </w:trPr>
        <w:tc>
          <w:tcPr>
            <w:tcW w:w="4876" w:type="dxa"/>
          </w:tcPr>
          <w:p w:rsidR="0084543E" w:rsidRPr="00837CC4" w:rsidRDefault="0084543E" w:rsidP="00E51AD6">
            <w:pPr>
              <w:pStyle w:val="Normal6a"/>
            </w:pPr>
          </w:p>
        </w:tc>
        <w:tc>
          <w:tcPr>
            <w:tcW w:w="4876" w:type="dxa"/>
          </w:tcPr>
          <w:p w:rsidR="0084543E" w:rsidRPr="00837CC4" w:rsidRDefault="0084543E" w:rsidP="00E51AD6">
            <w:pPr>
              <w:pStyle w:val="Normal6a"/>
            </w:pPr>
            <w:r w:rsidRPr="00837CC4">
              <w:rPr>
                <w:rStyle w:val="SupBoldItalic"/>
              </w:rPr>
              <w:t>*</w:t>
            </w:r>
            <w:r w:rsidRPr="00837CC4">
              <w:t xml:space="preserve"> </w:t>
            </w:r>
            <w:r w:rsidRPr="00837CC4">
              <w:rPr>
                <w:b/>
                <w:i/>
              </w:rPr>
              <w:t>2018 m. gegužės 25 d. Komisijos deleguotasis reglamentas (ES) 2018/1229, kuriuo Europos Parlamento ir Tarybos reglamentas (ES) Nr. 909/2014 papildomas atsiskaitymo drausmės techniniais reguliavimo standartais (OL L 230, 2018 9 13, p. 1).</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pPr>
        <w:pStyle w:val="AmJustTitle"/>
      </w:pPr>
      <w:r w:rsidRPr="00837CC4">
        <w:rPr>
          <w:rStyle w:val="HideTWBExt"/>
          <w:i w:val="0"/>
          <w:noProof w:val="0"/>
        </w:rPr>
        <w:t>&lt;TitreJust&gt;</w:t>
      </w:r>
      <w:r w:rsidRPr="00837CC4">
        <w:t>Pagrindimas</w:t>
      </w:r>
      <w:r w:rsidRPr="00837CC4">
        <w:rPr>
          <w:rStyle w:val="HideTWBExt"/>
          <w:i w:val="0"/>
          <w:noProof w:val="0"/>
        </w:rPr>
        <w:t>&lt;/TitreJust&gt;</w:t>
      </w:r>
    </w:p>
    <w:p w:rsidR="0084543E" w:rsidRPr="00837CC4" w:rsidRDefault="0084543E" w:rsidP="0084543E">
      <w:pPr>
        <w:pStyle w:val="AmJustText"/>
      </w:pPr>
      <w:r w:rsidRPr="00837CC4">
        <w:t>Šiuo pakeitimu siekiama atsižvelgti į ECB nuomonėje pateiktą pasiūlymą. Nevienodos pagrindines CVPD paslaugas teikiančių PRT DPS sąlygos, dėl kurių ECB kyla nerimas, ir PRT VPAS klausimai yra sprendžiami nustatant PRT PAS sąvoką. Vis dėlto svarbu šiame straipsnyje papildomai išaiškinti, kad PRT rinkos infrastruktūros operatoriaus teikiamoms pagrindinėms CVDP paslaugoms taikomi reikalavimai turėtų būti suderinti su atitinkamomis Reglamento (ES) Nr. 909/2014 nuostatomis.</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328</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Stéphanie Yon-Courtin, Ondřej Kovařík, Gilles Boyer, Olivier Chastel</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4 straipsnio 4 dalies įžanginė dalis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t>4.</w:t>
            </w:r>
            <w:r w:rsidRPr="00837CC4">
              <w:tab/>
              <w:t xml:space="preserve">Kai PRT DPS </w:t>
            </w:r>
            <w:r w:rsidRPr="00837CC4">
              <w:rPr>
                <w:b/>
                <w:bCs/>
                <w:i/>
                <w:iCs/>
              </w:rPr>
              <w:t>valdanti investicinė įmonė ar rinkos operatorius</w:t>
            </w:r>
            <w:r w:rsidRPr="00837CC4">
              <w:t xml:space="preserve"> prašo leisti taikyti išimtį pagal 2 dalį arba Direktyvą (ES) .../...</w:t>
            </w:r>
            <w:r w:rsidRPr="00837CC4">
              <w:rPr>
                <w:rStyle w:val="Sup"/>
              </w:rPr>
              <w:t>54</w:t>
            </w:r>
            <w:r w:rsidRPr="00837CC4">
              <w:t>, jie bet kuriuo atveju įrodo, kad prašoma išimtis:</w:t>
            </w:r>
          </w:p>
        </w:tc>
        <w:tc>
          <w:tcPr>
            <w:tcW w:w="4876" w:type="dxa"/>
          </w:tcPr>
          <w:p w:rsidR="0084543E" w:rsidRPr="00837CC4" w:rsidRDefault="0084543E" w:rsidP="00E51AD6">
            <w:pPr>
              <w:pStyle w:val="Normal6a"/>
            </w:pPr>
            <w:r w:rsidRPr="00837CC4">
              <w:t>4.</w:t>
            </w:r>
            <w:r w:rsidRPr="00837CC4">
              <w:tab/>
              <w:t xml:space="preserve">Kai PRT DPS </w:t>
            </w:r>
            <w:r w:rsidRPr="00837CC4">
              <w:rPr>
                <w:b/>
                <w:bCs/>
                <w:i/>
                <w:iCs/>
              </w:rPr>
              <w:t>valdantis subjektas</w:t>
            </w:r>
            <w:r w:rsidRPr="00837CC4">
              <w:t xml:space="preserve"> prašo leisti taikyti išimtį pagal 2 dalį arba Direktyvą (ES) .../...</w:t>
            </w:r>
            <w:r w:rsidRPr="00837CC4">
              <w:rPr>
                <w:rStyle w:val="Sup"/>
              </w:rPr>
              <w:t>54</w:t>
            </w:r>
            <w:r w:rsidRPr="00837CC4">
              <w:t>, jie bet kuriuo atveju įrodo, kad prašoma išimtis:</w:t>
            </w:r>
          </w:p>
        </w:tc>
      </w:tr>
      <w:tr w:rsidR="0084543E" w:rsidRPr="00837CC4" w:rsidTr="00E51AD6">
        <w:trPr>
          <w:jc w:val="center"/>
        </w:trPr>
        <w:tc>
          <w:tcPr>
            <w:tcW w:w="4876" w:type="dxa"/>
          </w:tcPr>
          <w:p w:rsidR="0084543E" w:rsidRPr="00837CC4" w:rsidRDefault="0084543E" w:rsidP="00E51AD6">
            <w:pPr>
              <w:pStyle w:val="Normal6a"/>
            </w:pPr>
            <w:r w:rsidRPr="00837CC4">
              <w:t>_________________</w:t>
            </w:r>
          </w:p>
        </w:tc>
        <w:tc>
          <w:tcPr>
            <w:tcW w:w="4876" w:type="dxa"/>
          </w:tcPr>
          <w:p w:rsidR="0084543E" w:rsidRPr="00837CC4" w:rsidRDefault="0084543E" w:rsidP="00E51AD6">
            <w:pPr>
              <w:pStyle w:val="Normal6a"/>
            </w:pPr>
            <w:r w:rsidRPr="00837CC4">
              <w:t>_________________</w:t>
            </w:r>
          </w:p>
        </w:tc>
      </w:tr>
      <w:tr w:rsidR="0084543E" w:rsidRPr="00837CC4" w:rsidTr="00E51AD6">
        <w:trPr>
          <w:jc w:val="center"/>
        </w:trPr>
        <w:tc>
          <w:tcPr>
            <w:tcW w:w="4876" w:type="dxa"/>
          </w:tcPr>
          <w:p w:rsidR="0084543E" w:rsidRPr="00837CC4" w:rsidRDefault="0084543E" w:rsidP="00E51AD6">
            <w:pPr>
              <w:pStyle w:val="Normal6a"/>
            </w:pPr>
            <w:r w:rsidRPr="00837CC4">
              <w:rPr>
                <w:rStyle w:val="Sup"/>
              </w:rPr>
              <w:t>54</w:t>
            </w:r>
            <w:r w:rsidRPr="00837CC4">
              <w:t xml:space="preserve"> Pasiūlymas dėl Europos Parlamento ir Tarybos direktyvos, kuria iš dalies keičiamos direktyvos 2006/43/EB, 2009/65/EB, 2009/138/ES, 2011/61/ES, ES/2013/36, 2014/65/ES, (ES) 2015/2366 ir ES/2016/2341, COM(2020)596.</w:t>
            </w:r>
          </w:p>
        </w:tc>
        <w:tc>
          <w:tcPr>
            <w:tcW w:w="4876" w:type="dxa"/>
          </w:tcPr>
          <w:p w:rsidR="0084543E" w:rsidRPr="00837CC4" w:rsidRDefault="0084543E" w:rsidP="00E51AD6">
            <w:pPr>
              <w:pStyle w:val="Normal6a"/>
            </w:pPr>
            <w:r w:rsidRPr="00837CC4">
              <w:rPr>
                <w:rStyle w:val="Sup"/>
              </w:rPr>
              <w:t>54</w:t>
            </w:r>
            <w:r w:rsidRPr="00837CC4">
              <w:t xml:space="preserve"> Pasiūlymas dėl Europos Parlamento ir Tarybos direktyvos, kuria iš dalies keičiamos direktyvos 2006/43/EB, 2009/65/EB, 2009/138/ES, 2011/61/ES, ES/2013/36, 2014/65/ES, (ES) 2015/2366 ir ES/2016/2341, COM(2020)596.</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pPr>
        <w:pStyle w:val="AmJustTitle"/>
      </w:pPr>
      <w:r w:rsidRPr="00837CC4">
        <w:rPr>
          <w:rStyle w:val="HideTWBExt"/>
          <w:i w:val="0"/>
          <w:noProof w:val="0"/>
        </w:rPr>
        <w:t>&lt;TitreJust&gt;</w:t>
      </w:r>
      <w:r w:rsidRPr="00837CC4">
        <w:t>Pagrindimas</w:t>
      </w:r>
      <w:r w:rsidRPr="00837CC4">
        <w:rPr>
          <w:rStyle w:val="HideTWBExt"/>
          <w:i w:val="0"/>
          <w:noProof w:val="0"/>
        </w:rPr>
        <w:t>&lt;/TitreJust&gt;</w:t>
      </w:r>
    </w:p>
    <w:p w:rsidR="0084543E" w:rsidRPr="00837CC4" w:rsidRDefault="0084543E" w:rsidP="0084543E">
      <w:pPr>
        <w:pStyle w:val="AmJustText"/>
      </w:pPr>
      <w:r w:rsidRPr="00837CC4">
        <w:t>Bandomosios tvarkos atvirumas naujų dalyvių atžvilgiu.</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329</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Stéphanie Yon-Courtin, Ondřej Kovařík, Gilles Boyer, Olivier Chastel</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4 straipsnio 4 dalies b punktas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t>b)</w:t>
            </w:r>
            <w:r w:rsidRPr="00837CC4">
              <w:tab/>
              <w:t xml:space="preserve">būtų taikoma tik PRT DPS, o ne kitai DPS, kurią valdo </w:t>
            </w:r>
            <w:r w:rsidRPr="00837CC4">
              <w:rPr>
                <w:b/>
                <w:bCs/>
                <w:i/>
                <w:iCs/>
              </w:rPr>
              <w:t>minėta investicinė įmonė ar rinkos operatorius</w:t>
            </w:r>
            <w:r w:rsidRPr="00837CC4">
              <w:t>.</w:t>
            </w:r>
          </w:p>
        </w:tc>
        <w:tc>
          <w:tcPr>
            <w:tcW w:w="4876" w:type="dxa"/>
          </w:tcPr>
          <w:p w:rsidR="0084543E" w:rsidRPr="00837CC4" w:rsidRDefault="0084543E" w:rsidP="00E51AD6">
            <w:pPr>
              <w:pStyle w:val="Normal6a"/>
            </w:pPr>
            <w:r w:rsidRPr="00837CC4">
              <w:t>b)</w:t>
            </w:r>
            <w:r w:rsidRPr="00837CC4">
              <w:tab/>
              <w:t xml:space="preserve">būtų taikoma tik PRT DPS, o ne kitai DPS, kurią valdo </w:t>
            </w:r>
            <w:r w:rsidRPr="00837CC4">
              <w:rPr>
                <w:b/>
                <w:bCs/>
                <w:i/>
                <w:iCs/>
              </w:rPr>
              <w:t>minėtas subjektas</w:t>
            </w:r>
            <w:r w:rsidRPr="00837CC4">
              <w:t>.</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pPr>
        <w:pStyle w:val="AmJustTitle"/>
      </w:pPr>
      <w:r w:rsidRPr="00837CC4">
        <w:rPr>
          <w:rStyle w:val="HideTWBExt"/>
          <w:i w:val="0"/>
          <w:noProof w:val="0"/>
        </w:rPr>
        <w:t>&lt;TitreJust&gt;</w:t>
      </w:r>
      <w:r w:rsidRPr="00837CC4">
        <w:t>Pagrindimas</w:t>
      </w:r>
      <w:r w:rsidRPr="00837CC4">
        <w:rPr>
          <w:rStyle w:val="HideTWBExt"/>
          <w:i w:val="0"/>
          <w:noProof w:val="0"/>
        </w:rPr>
        <w:t>&lt;/TitreJust&gt;</w:t>
      </w:r>
    </w:p>
    <w:p w:rsidR="0084543E" w:rsidRPr="00837CC4" w:rsidRDefault="0084543E" w:rsidP="0084543E">
      <w:pPr>
        <w:pStyle w:val="AmJustText"/>
      </w:pPr>
      <w:r w:rsidRPr="00837CC4">
        <w:t>Bandomosios tvarkos atvirumas naujų dalyvių atžvilgiu.</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330</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Stéphanie Yon-Courtin, Ondřej Kovařík, Gilles Boyer, Olivier Chastel</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4 straipsnio 4 a dalis (nauja)</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p>
        </w:tc>
        <w:tc>
          <w:tcPr>
            <w:tcW w:w="4876" w:type="dxa"/>
          </w:tcPr>
          <w:p w:rsidR="0084543E" w:rsidRPr="00837CC4" w:rsidRDefault="0084543E" w:rsidP="00E51AD6">
            <w:pPr>
              <w:pStyle w:val="Normal6a"/>
            </w:pPr>
            <w:r w:rsidRPr="00837CC4">
              <w:rPr>
                <w:b/>
                <w:i/>
              </w:rPr>
              <w:t>4a.</w:t>
            </w:r>
            <w:r w:rsidRPr="00837CC4">
              <w:tab/>
            </w:r>
            <w:r w:rsidRPr="00837CC4">
              <w:rPr>
                <w:b/>
                <w:i/>
              </w:rPr>
              <w:t>Subjektui, kuriam prašymo dėl specialaus leidimo pateikimo metu netaikomi visi pagal Direktyvą 2014/65/ES ir Reglamentą (ES) Nr. 2014/600 DPS taikomi reikalavimai, bus leidžiama juos taikyti pagal šio straipsnio 1–4 dalis. Kompetentingos institucijos nustato konkrečias procedūras subjektams, kuriems netaikomi visi pagal Direktyvą 2014/65/ES ir Reglamentą (ES) Nr. 2014/600 jų prašymo pateikimo metu DPS taikomi reikalavimai.</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pPr>
        <w:pStyle w:val="AmJustTitle"/>
      </w:pPr>
      <w:r w:rsidRPr="00837CC4">
        <w:rPr>
          <w:rStyle w:val="HideTWBExt"/>
          <w:i w:val="0"/>
          <w:noProof w:val="0"/>
        </w:rPr>
        <w:t>&lt;TitreJust&gt;</w:t>
      </w:r>
      <w:r w:rsidRPr="00837CC4">
        <w:t>Pagrindimas</w:t>
      </w:r>
      <w:r w:rsidRPr="00837CC4">
        <w:rPr>
          <w:rStyle w:val="HideTWBExt"/>
          <w:i w:val="0"/>
          <w:noProof w:val="0"/>
        </w:rPr>
        <w:t>&lt;/TitreJust&gt;</w:t>
      </w:r>
    </w:p>
    <w:p w:rsidR="0084543E" w:rsidRPr="00837CC4" w:rsidRDefault="0084543E" w:rsidP="0084543E">
      <w:pPr>
        <w:pStyle w:val="AmJustText"/>
      </w:pPr>
      <w:r w:rsidRPr="00837CC4">
        <w:t>Subjektams, kurie prašymo pateikimo metu nėra reguliuojami kaip DPS, taikoma paspartinta procedūra.</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331</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Jessica Polfjärd</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5 straipsnio 1 dalies įžanginė dalis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t>1.</w:t>
            </w:r>
            <w:r w:rsidRPr="00837CC4">
              <w:tab/>
              <w:t>PRT vertybinių popierių atsiskaitymo sistemą valdančiam CVPD taikomi CVPD taikytini Reglamento (ES) Nr. 909/2014 reikalavimai, išskyrus atvejus, kai toks CVPD:</w:t>
            </w:r>
          </w:p>
        </w:tc>
        <w:tc>
          <w:tcPr>
            <w:tcW w:w="4876" w:type="dxa"/>
          </w:tcPr>
          <w:p w:rsidR="0084543E" w:rsidRPr="00837CC4" w:rsidRDefault="0084543E" w:rsidP="00E51AD6">
            <w:pPr>
              <w:pStyle w:val="Normal6a"/>
            </w:pPr>
            <w:r w:rsidRPr="00837CC4">
              <w:t>1.</w:t>
            </w:r>
            <w:r w:rsidRPr="00837CC4">
              <w:tab/>
              <w:t xml:space="preserve">PRT vertybinių popierių atsiskaitymo sistemą valdančiam CVPD taikomi CVPD taikytini Reglamento (ES) Nr. 909/2014 </w:t>
            </w:r>
            <w:r w:rsidRPr="00837CC4">
              <w:rPr>
                <w:b/>
                <w:bCs/>
                <w:i/>
                <w:iCs/>
              </w:rPr>
              <w:t xml:space="preserve">ir bet kurių kitų taikomų Sąjungos finansinių paslaugų teisės aktų </w:t>
            </w:r>
            <w:r w:rsidRPr="00837CC4">
              <w:t>reikalavimai, išskyrus atvejus, kai toks CVPD:</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332</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Stéphanie Yon-Courtin, Ondřej Kovařík, Gilles Boyer, Olivier Chastel</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5 straipsnio 1 dalies įžanginė dalis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t>1.</w:t>
            </w:r>
            <w:r w:rsidRPr="00837CC4">
              <w:tab/>
              <w:t xml:space="preserve">PRT vertybinių popierių atsiskaitymo sistemą valdančiam </w:t>
            </w:r>
            <w:r w:rsidRPr="00837CC4">
              <w:rPr>
                <w:b/>
                <w:bCs/>
                <w:i/>
                <w:iCs/>
              </w:rPr>
              <w:t>CVPD</w:t>
            </w:r>
            <w:r w:rsidRPr="00837CC4">
              <w:t xml:space="preserve"> taikomi CVPD taikytini Reglamento (ES) Nr. 909/2014 reikalavimai, išskyrus atvejus, kai toks </w:t>
            </w:r>
            <w:r w:rsidRPr="00837CC4">
              <w:rPr>
                <w:b/>
                <w:bCs/>
                <w:i/>
                <w:iCs/>
              </w:rPr>
              <w:t>CVPD</w:t>
            </w:r>
            <w:r w:rsidRPr="00837CC4">
              <w:t>:</w:t>
            </w:r>
          </w:p>
        </w:tc>
        <w:tc>
          <w:tcPr>
            <w:tcW w:w="4876" w:type="dxa"/>
          </w:tcPr>
          <w:p w:rsidR="0084543E" w:rsidRPr="00837CC4" w:rsidRDefault="0084543E" w:rsidP="00E51AD6">
            <w:pPr>
              <w:pStyle w:val="Normal6a"/>
            </w:pPr>
            <w:r w:rsidRPr="00837CC4">
              <w:t>1.</w:t>
            </w:r>
            <w:r w:rsidRPr="00837CC4">
              <w:tab/>
              <w:t xml:space="preserve">PRT vertybinių popierių atsiskaitymo sistemą valdančiam </w:t>
            </w:r>
            <w:r w:rsidRPr="00837CC4">
              <w:rPr>
                <w:b/>
                <w:bCs/>
                <w:i/>
                <w:iCs/>
              </w:rPr>
              <w:t>subjektui</w:t>
            </w:r>
            <w:r w:rsidRPr="00837CC4">
              <w:t xml:space="preserve"> taikomi CVPD taikytini Reglamento (ES) Nr. 909/2014 reikalavimai, išskyrus atvejus, kai toks </w:t>
            </w:r>
            <w:r w:rsidRPr="00837CC4">
              <w:rPr>
                <w:b/>
                <w:bCs/>
                <w:i/>
                <w:iCs/>
              </w:rPr>
              <w:t>subjektas</w:t>
            </w:r>
            <w:r w:rsidRPr="00837CC4">
              <w:t>:</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pPr>
        <w:pStyle w:val="AmJustTitle"/>
      </w:pPr>
      <w:r w:rsidRPr="00837CC4">
        <w:rPr>
          <w:rStyle w:val="HideTWBExt"/>
          <w:i w:val="0"/>
          <w:noProof w:val="0"/>
        </w:rPr>
        <w:t>&lt;TitreJust&gt;</w:t>
      </w:r>
      <w:r w:rsidRPr="00837CC4">
        <w:t>Pagrindimas</w:t>
      </w:r>
      <w:r w:rsidRPr="00837CC4">
        <w:rPr>
          <w:rStyle w:val="HideTWBExt"/>
          <w:i w:val="0"/>
          <w:noProof w:val="0"/>
        </w:rPr>
        <w:t>&lt;/TitreJust&gt;</w:t>
      </w:r>
    </w:p>
    <w:p w:rsidR="0084543E" w:rsidRPr="00837CC4" w:rsidRDefault="0084543E" w:rsidP="0084543E">
      <w:pPr>
        <w:pStyle w:val="AmJustText"/>
      </w:pPr>
      <w:r w:rsidRPr="00837CC4">
        <w:t>Bandomosios tvarkos atvirumas.</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333</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Christophe Hansen, Lídia Pereira</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5 straipsnio 1 dalies c punktas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t>c)</w:t>
            </w:r>
            <w:r w:rsidRPr="00837CC4">
              <w:tab/>
              <w:t>laikosi 2–7 dalyse nustatytų sąlygų ir visų papildomų kompensacinių priemonių, kurias specialų leidimą suteikusi kompetentinga institucija gali laikyti tinkamomis siekiant tikslų, kurių siekiama nuostatomis, kurių prašoma leisti netaikyti, arba siekiant užtikrinti investuotojų apsaugą, rinkos vientisumą ir (arba) finansinį stabilumą.</w:t>
            </w:r>
          </w:p>
        </w:tc>
        <w:tc>
          <w:tcPr>
            <w:tcW w:w="4876" w:type="dxa"/>
          </w:tcPr>
          <w:p w:rsidR="0084543E" w:rsidRPr="00837CC4" w:rsidRDefault="0084543E" w:rsidP="00E51AD6">
            <w:pPr>
              <w:pStyle w:val="Normal6a"/>
            </w:pPr>
            <w:r w:rsidRPr="00837CC4">
              <w:t>c)</w:t>
            </w:r>
            <w:r w:rsidRPr="00837CC4">
              <w:tab/>
              <w:t xml:space="preserve">laikosi 2–7 dalyse nustatytų sąlygų ir visų papildomų kompensacinių priemonių, kurias specialų leidimą suteikusi kompetentinga institucija </w:t>
            </w:r>
            <w:r w:rsidRPr="00837CC4">
              <w:rPr>
                <w:b/>
                <w:bCs/>
                <w:i/>
                <w:iCs/>
              </w:rPr>
              <w:t xml:space="preserve">arba ESMA, pasikonsultavusi su nacionaline kompetentinga institucija, </w:t>
            </w:r>
            <w:r w:rsidRPr="00837CC4">
              <w:t>gali laikyti tinkamomis siekiant tikslų, kurių siekiama nuostatomis, kurių prašoma leisti netaikyti, arba siekiant užtikrinti investuotojų apsaugą, rinkos vientisumą ir (arba) finansinį stabilumą.</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r w:rsidRPr="00837CC4">
        <w:rPr>
          <w:rStyle w:val="HideTWBExt"/>
          <w:noProof w:val="0"/>
        </w:rPr>
        <w:t>&lt;/AmendB&gt;</w:t>
      </w:r>
    </w:p>
    <w:p w:rsidR="0084543E" w:rsidRPr="00837CC4" w:rsidRDefault="0084543E" w:rsidP="0084543E">
      <w:pPr>
        <w:pStyle w:val="AmNumberTabs"/>
      </w:pPr>
      <w:r w:rsidRPr="00837CC4">
        <w:rPr>
          <w:rStyle w:val="HideTWBExt"/>
          <w:b w:val="0"/>
          <w:noProof w:val="0"/>
        </w:rPr>
        <w:t>&lt;AmendB&gt;</w:t>
      </w:r>
      <w:r w:rsidRPr="00837CC4">
        <w:t>Pakeitimas</w:t>
      </w:r>
      <w:r w:rsidRPr="00837CC4">
        <w:tab/>
      </w:r>
      <w:r w:rsidRPr="00837CC4">
        <w:tab/>
      </w:r>
      <w:r w:rsidRPr="00837CC4">
        <w:rPr>
          <w:rStyle w:val="HideTWBExt"/>
          <w:b w:val="0"/>
          <w:noProof w:val="0"/>
        </w:rPr>
        <w:t>&lt;NumAmB&gt;</w:t>
      </w:r>
      <w:r w:rsidRPr="00837CC4">
        <w:t>334</w:t>
      </w:r>
      <w:r w:rsidRPr="00837CC4">
        <w:rPr>
          <w:rStyle w:val="HideTWBExt"/>
          <w:b w:val="0"/>
          <w:noProof w:val="0"/>
        </w:rPr>
        <w:t>&lt;/NumAmB&gt;</w:t>
      </w:r>
    </w:p>
    <w:p w:rsidR="0084543E" w:rsidRPr="00837CC4" w:rsidRDefault="0084543E" w:rsidP="0084543E">
      <w:pPr>
        <w:pStyle w:val="NormalBold"/>
      </w:pPr>
      <w:r w:rsidRPr="00837CC4">
        <w:rPr>
          <w:rStyle w:val="HideTWBExt"/>
          <w:b w:val="0"/>
          <w:noProof w:val="0"/>
        </w:rPr>
        <w:t>&lt;RepeatBlock-By&gt;&lt;Members&gt;</w:t>
      </w:r>
      <w:r w:rsidRPr="00837CC4">
        <w:t>Eva Kaili</w:t>
      </w:r>
      <w:r w:rsidRPr="00837CC4">
        <w:rPr>
          <w:rStyle w:val="HideTWBExt"/>
          <w:b w:val="0"/>
          <w:noProof w:val="0"/>
        </w:rPr>
        <w:t>&lt;/Members&gt;</w:t>
      </w:r>
    </w:p>
    <w:p w:rsidR="0084543E" w:rsidRPr="00837CC4" w:rsidRDefault="0084543E" w:rsidP="0084543E">
      <w:pPr>
        <w:pStyle w:val="NormalBold"/>
      </w:pPr>
      <w:r w:rsidRPr="00837CC4">
        <w:rPr>
          <w:rStyle w:val="HideTWBExt"/>
          <w:b w:val="0"/>
          <w:noProof w:val="0"/>
        </w:rPr>
        <w:t>&lt;/RepeatBlock-By&gt;</w:t>
      </w:r>
    </w:p>
    <w:p w:rsidR="0084543E" w:rsidRPr="00837CC4" w:rsidRDefault="0084543E" w:rsidP="0084543E">
      <w:pPr>
        <w:pStyle w:val="NormalBold"/>
      </w:pPr>
      <w:r w:rsidRPr="00837CC4">
        <w:rPr>
          <w:rStyle w:val="HideTWBExt"/>
          <w:b w:val="0"/>
          <w:noProof w:val="0"/>
        </w:rPr>
        <w:t>&lt;DocAmend&gt;</w:t>
      </w:r>
      <w:r w:rsidRPr="00837CC4">
        <w:t>Pasiūlymas dėl reglamento</w:t>
      </w:r>
      <w:r w:rsidRPr="00837CC4">
        <w:rPr>
          <w:rStyle w:val="HideTWBExt"/>
          <w:b w:val="0"/>
          <w:noProof w:val="0"/>
        </w:rPr>
        <w:t>&lt;/DocAmend&gt;</w:t>
      </w:r>
    </w:p>
    <w:p w:rsidR="0084543E" w:rsidRPr="00837CC4" w:rsidRDefault="0084543E" w:rsidP="0084543E">
      <w:pPr>
        <w:pStyle w:val="NormalBold"/>
      </w:pPr>
      <w:r w:rsidRPr="00837CC4">
        <w:rPr>
          <w:rStyle w:val="HideTWBExt"/>
          <w:b w:val="0"/>
          <w:noProof w:val="0"/>
        </w:rPr>
        <w:t>&lt;Article&gt;</w:t>
      </w:r>
      <w:r w:rsidRPr="00837CC4">
        <w:t>5 straipsnio 1 dalies c punktas</w:t>
      </w:r>
      <w:r w:rsidRPr="00837CC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43E" w:rsidRPr="00837CC4" w:rsidTr="00E51AD6">
        <w:trPr>
          <w:trHeight w:hRule="exact" w:val="240"/>
          <w:jc w:val="center"/>
        </w:trPr>
        <w:tc>
          <w:tcPr>
            <w:tcW w:w="9752" w:type="dxa"/>
            <w:gridSpan w:val="2"/>
          </w:tcPr>
          <w:p w:rsidR="0084543E" w:rsidRPr="00837CC4" w:rsidRDefault="0084543E" w:rsidP="00E51AD6"/>
        </w:tc>
      </w:tr>
      <w:tr w:rsidR="0084543E" w:rsidRPr="00837CC4" w:rsidTr="00E51AD6">
        <w:trPr>
          <w:trHeight w:val="240"/>
          <w:jc w:val="center"/>
        </w:trPr>
        <w:tc>
          <w:tcPr>
            <w:tcW w:w="4876" w:type="dxa"/>
          </w:tcPr>
          <w:p w:rsidR="0084543E" w:rsidRPr="00837CC4" w:rsidRDefault="0084543E" w:rsidP="00E51AD6">
            <w:pPr>
              <w:pStyle w:val="AmColumnHeading"/>
            </w:pPr>
            <w:r w:rsidRPr="00837CC4">
              <w:t>Komisijos siūlomas tekstas</w:t>
            </w:r>
          </w:p>
        </w:tc>
        <w:tc>
          <w:tcPr>
            <w:tcW w:w="4876" w:type="dxa"/>
          </w:tcPr>
          <w:p w:rsidR="0084543E" w:rsidRPr="00837CC4" w:rsidRDefault="0084543E" w:rsidP="00E51AD6">
            <w:pPr>
              <w:pStyle w:val="AmColumnHeading"/>
            </w:pPr>
            <w:r w:rsidRPr="00837CC4">
              <w:t>Pakeitimas</w:t>
            </w:r>
          </w:p>
        </w:tc>
      </w:tr>
      <w:tr w:rsidR="0084543E" w:rsidRPr="00837CC4" w:rsidTr="00E51AD6">
        <w:trPr>
          <w:jc w:val="center"/>
        </w:trPr>
        <w:tc>
          <w:tcPr>
            <w:tcW w:w="4876" w:type="dxa"/>
          </w:tcPr>
          <w:p w:rsidR="0084543E" w:rsidRPr="00837CC4" w:rsidRDefault="0084543E" w:rsidP="00E51AD6">
            <w:pPr>
              <w:pStyle w:val="Normal6a"/>
            </w:pPr>
            <w:r w:rsidRPr="00837CC4">
              <w:t>c)</w:t>
            </w:r>
            <w:r w:rsidRPr="00837CC4">
              <w:tab/>
              <w:t>laikosi 2–7 dalyse nustatytų sąlygų ir visų papildomų kompensacinių priemonių, kurias specialų leidimą suteikusi kompetentinga institucija gali laikyti tinkamomis siekiant tikslų, kurių siekiama nuostatomis, kurių prašoma leisti netaikyti, arba siekiant užtikrinti investuotojų apsaugą, rinkos vientisumą ir (arba) finansinį stabilumą.</w:t>
            </w:r>
          </w:p>
        </w:tc>
        <w:tc>
          <w:tcPr>
            <w:tcW w:w="4876" w:type="dxa"/>
          </w:tcPr>
          <w:p w:rsidR="0084543E" w:rsidRPr="00837CC4" w:rsidRDefault="0084543E" w:rsidP="00E51AD6">
            <w:pPr>
              <w:pStyle w:val="Normal6a"/>
            </w:pPr>
            <w:r w:rsidRPr="00837CC4">
              <w:t>(c)</w:t>
            </w:r>
            <w:r w:rsidRPr="00837CC4">
              <w:tab/>
              <w:t xml:space="preserve">laikosi 2–7 dalyse nustatytų sąlygų ir visų papildomų kompensacinių </w:t>
            </w:r>
            <w:r w:rsidRPr="00837CC4">
              <w:rPr>
                <w:b/>
                <w:bCs/>
                <w:i/>
                <w:iCs/>
              </w:rPr>
              <w:t xml:space="preserve">arba taisomųjų </w:t>
            </w:r>
            <w:r w:rsidRPr="00837CC4">
              <w:t xml:space="preserve">priemonių, kurias </w:t>
            </w:r>
            <w:r w:rsidRPr="00837CC4">
              <w:rPr>
                <w:b/>
                <w:bCs/>
                <w:i/>
                <w:iCs/>
              </w:rPr>
              <w:t xml:space="preserve">ESMA arba </w:t>
            </w:r>
            <w:r w:rsidRPr="00837CC4">
              <w:t>specialų leidimą suteikusi kompetentinga institucija gali laikyti tinkamomis siekiant tikslų, kurių siekiama nuostatomis, kurių prašoma leisti netaikyti, arba siekiant užtikrinti investuotojų apsaugą, rinkos vientisumą ir (arba) finansinį stabilumą.</w:t>
            </w:r>
          </w:p>
        </w:tc>
      </w:tr>
    </w:tbl>
    <w:p w:rsidR="0084543E" w:rsidRPr="00837CC4" w:rsidRDefault="0084543E" w:rsidP="0084543E">
      <w:pPr>
        <w:pStyle w:val="AmOrLang"/>
      </w:pPr>
      <w:r w:rsidRPr="00837CC4">
        <w:t xml:space="preserve">Or. </w:t>
      </w:r>
      <w:r w:rsidRPr="00837CC4">
        <w:rPr>
          <w:rStyle w:val="HideTWBExt"/>
          <w:noProof w:val="0"/>
        </w:rPr>
        <w:t>&lt;Original&gt;</w:t>
      </w:r>
      <w:r w:rsidRPr="00837CC4">
        <w:rPr>
          <w:rStyle w:val="HideTWBInt"/>
          <w:noProof w:val="0"/>
        </w:rPr>
        <w:t>{EN}</w:t>
      </w:r>
      <w:r w:rsidRPr="00837CC4">
        <w:t>en</w:t>
      </w:r>
      <w:r w:rsidRPr="00837CC4">
        <w:rPr>
          <w:rStyle w:val="HideTWBExt"/>
          <w:noProof w:val="0"/>
        </w:rPr>
        <w:t>&lt;/Original&gt;</w:t>
      </w:r>
    </w:p>
    <w:p w:rsidR="0084543E" w:rsidRPr="00837CC4" w:rsidRDefault="0084543E" w:rsidP="0084543E">
      <w:pPr>
        <w:pStyle w:val="AmJustTitle"/>
      </w:pPr>
      <w:r w:rsidRPr="00837CC4">
        <w:rPr>
          <w:rStyle w:val="HideTWBExt"/>
          <w:i w:val="0"/>
          <w:noProof w:val="0"/>
        </w:rPr>
        <w:t>&lt;TitreJust&gt;</w:t>
      </w:r>
      <w:r w:rsidRPr="00837CC4">
        <w:t>Pagrindimas</w:t>
      </w:r>
      <w:r w:rsidRPr="00837CC4">
        <w:rPr>
          <w:rStyle w:val="HideTWBExt"/>
          <w:i w:val="0"/>
          <w:noProof w:val="0"/>
        </w:rPr>
        <w:t>&lt;/TitreJust&gt;</w:t>
      </w:r>
    </w:p>
    <w:p w:rsidR="0084543E" w:rsidRPr="00837CC4" w:rsidRDefault="0084543E" w:rsidP="0084543E">
      <w:pPr>
        <w:pStyle w:val="AmJustText"/>
      </w:pPr>
      <w:r w:rsidRPr="00837CC4">
        <w:t>ESMA turėtų būti nurodyta atsižvelgiant į siūlomą tvirtesnį vaidmenį.</w:t>
      </w:r>
    </w:p>
    <w:p w:rsidR="0084543E" w:rsidRPr="00837CC4" w:rsidRDefault="0084543E" w:rsidP="0084543E">
      <w:r w:rsidRPr="00837CC4">
        <w:rPr>
          <w:rStyle w:val="HideTWBExt"/>
          <w:noProof w:val="0"/>
        </w:rPr>
        <w:t>&lt;/AmendB&gt;&lt;/RepeatBlock-AmendB&gt;</w:t>
      </w:r>
    </w:p>
    <w:p w:rsidR="00B939B1" w:rsidRPr="00837CC4" w:rsidRDefault="00B939B1" w:rsidP="0084543E"/>
    <w:sectPr w:rsidR="00B939B1" w:rsidRPr="00837CC4" w:rsidSect="00490119">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3728" w:rsidRPr="00837CC4" w:rsidRDefault="00332F17">
      <w:r w:rsidRPr="00837CC4">
        <w:separator/>
      </w:r>
    </w:p>
  </w:endnote>
  <w:endnote w:type="continuationSeparator" w:id="0">
    <w:p w:rsidR="00B23728" w:rsidRPr="00837CC4" w:rsidRDefault="00332F17">
      <w:r w:rsidRPr="00837CC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0119" w:rsidRPr="00837CC4" w:rsidRDefault="00490119" w:rsidP="00490119">
    <w:pPr>
      <w:pStyle w:val="EPFooter"/>
    </w:pPr>
    <w:r w:rsidRPr="00837CC4">
      <w:t>PE</w:t>
    </w:r>
    <w:r w:rsidRPr="00837CC4">
      <w:rPr>
        <w:rStyle w:val="HideTWBExt"/>
        <w:noProof w:val="0"/>
      </w:rPr>
      <w:t>&lt;NoPE&gt;</w:t>
    </w:r>
    <w:r w:rsidRPr="00837CC4">
      <w:t>692.980</w:t>
    </w:r>
    <w:r w:rsidRPr="00837CC4">
      <w:rPr>
        <w:rStyle w:val="HideTWBExt"/>
        <w:noProof w:val="0"/>
      </w:rPr>
      <w:t>&lt;/NoPE&gt;&lt;Version&gt;</w:t>
    </w:r>
    <w:r w:rsidRPr="00837CC4">
      <w:t>v01-00</w:t>
    </w:r>
    <w:r w:rsidRPr="00837CC4">
      <w:rPr>
        <w:rStyle w:val="HideTWBExt"/>
        <w:noProof w:val="0"/>
      </w:rPr>
      <w:t>&lt;/Version&gt;</w:t>
    </w:r>
    <w:r w:rsidRPr="00837CC4">
      <w:tab/>
    </w:r>
    <w:r w:rsidRPr="00837CC4">
      <w:fldChar w:fldCharType="begin"/>
    </w:r>
    <w:r w:rsidRPr="00837CC4">
      <w:instrText xml:space="preserve"> PAGE  \* MERGEFORMAT </w:instrText>
    </w:r>
    <w:r w:rsidRPr="00837CC4">
      <w:fldChar w:fldCharType="separate"/>
    </w:r>
    <w:r w:rsidR="00130311">
      <w:rPr>
        <w:noProof/>
      </w:rPr>
      <w:t>104</w:t>
    </w:r>
    <w:r w:rsidRPr="00837CC4">
      <w:fldChar w:fldCharType="end"/>
    </w:r>
    <w:r w:rsidRPr="00837CC4">
      <w:t>/</w:t>
    </w:r>
    <w:fldSimple w:instr=" NUMPAGES  \* MERGEFORMAT ">
      <w:r w:rsidR="00130311">
        <w:rPr>
          <w:noProof/>
        </w:rPr>
        <w:t>148</w:t>
      </w:r>
    </w:fldSimple>
    <w:r w:rsidRPr="00837CC4">
      <w:tab/>
    </w:r>
    <w:r w:rsidRPr="00837CC4">
      <w:rPr>
        <w:rStyle w:val="HideTWBExt"/>
        <w:noProof w:val="0"/>
      </w:rPr>
      <w:t>&lt;PathFdR&gt;</w:t>
    </w:r>
    <w:r w:rsidR="00837CC4" w:rsidRPr="00837CC4">
      <w:t>AM\1232225LT.docx</w:t>
    </w:r>
    <w:r w:rsidRPr="00837CC4">
      <w:rPr>
        <w:rStyle w:val="HideTWBExt"/>
        <w:noProof w:val="0"/>
      </w:rPr>
      <w:t>&lt;/PathFdR&gt;</w:t>
    </w:r>
  </w:p>
  <w:p w:rsidR="00B939B1" w:rsidRPr="00837CC4" w:rsidRDefault="00490119" w:rsidP="00490119">
    <w:pPr>
      <w:pStyle w:val="EPFooter2"/>
    </w:pPr>
    <w:r w:rsidRPr="00837CC4">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0119" w:rsidRPr="00837CC4" w:rsidRDefault="00490119" w:rsidP="00490119">
    <w:pPr>
      <w:pStyle w:val="EPFooter"/>
    </w:pPr>
    <w:r w:rsidRPr="00837CC4">
      <w:rPr>
        <w:rStyle w:val="HideTWBExt"/>
        <w:noProof w:val="0"/>
      </w:rPr>
      <w:t>&lt;PathFdR&gt;</w:t>
    </w:r>
    <w:r w:rsidR="00837CC4" w:rsidRPr="00837CC4">
      <w:t>AM\1232225LT.docx</w:t>
    </w:r>
    <w:r w:rsidRPr="00837CC4">
      <w:rPr>
        <w:rStyle w:val="HideTWBExt"/>
        <w:noProof w:val="0"/>
      </w:rPr>
      <w:t>&lt;/PathFdR&gt;</w:t>
    </w:r>
    <w:r w:rsidRPr="00837CC4">
      <w:tab/>
    </w:r>
    <w:r w:rsidRPr="00837CC4">
      <w:fldChar w:fldCharType="begin"/>
    </w:r>
    <w:r w:rsidRPr="00837CC4">
      <w:instrText xml:space="preserve"> PAGE  \* MERGEFORMAT </w:instrText>
    </w:r>
    <w:r w:rsidRPr="00837CC4">
      <w:fldChar w:fldCharType="separate"/>
    </w:r>
    <w:r w:rsidR="00130311">
      <w:rPr>
        <w:noProof/>
      </w:rPr>
      <w:t>105</w:t>
    </w:r>
    <w:r w:rsidRPr="00837CC4">
      <w:fldChar w:fldCharType="end"/>
    </w:r>
    <w:r w:rsidRPr="00837CC4">
      <w:t>/</w:t>
    </w:r>
    <w:fldSimple w:instr=" NUMPAGES  \* MERGEFORMAT ">
      <w:r w:rsidR="00130311">
        <w:rPr>
          <w:noProof/>
        </w:rPr>
        <w:t>148</w:t>
      </w:r>
    </w:fldSimple>
    <w:r w:rsidRPr="00837CC4">
      <w:tab/>
      <w:t>PE</w:t>
    </w:r>
    <w:r w:rsidRPr="00837CC4">
      <w:rPr>
        <w:rStyle w:val="HideTWBExt"/>
        <w:noProof w:val="0"/>
      </w:rPr>
      <w:t>&lt;NoPE&gt;</w:t>
    </w:r>
    <w:r w:rsidRPr="00837CC4">
      <w:t>692.980</w:t>
    </w:r>
    <w:r w:rsidRPr="00837CC4">
      <w:rPr>
        <w:rStyle w:val="HideTWBExt"/>
        <w:noProof w:val="0"/>
      </w:rPr>
      <w:t>&lt;/NoPE&gt;&lt;Version&gt;</w:t>
    </w:r>
    <w:r w:rsidRPr="00837CC4">
      <w:t>v01-00</w:t>
    </w:r>
    <w:r w:rsidRPr="00837CC4">
      <w:rPr>
        <w:rStyle w:val="HideTWBExt"/>
        <w:noProof w:val="0"/>
      </w:rPr>
      <w:t>&lt;/Version&gt;</w:t>
    </w:r>
  </w:p>
  <w:p w:rsidR="00B939B1" w:rsidRPr="00837CC4" w:rsidRDefault="00490119" w:rsidP="00490119">
    <w:pPr>
      <w:pStyle w:val="EPFooter2"/>
    </w:pPr>
    <w:r w:rsidRPr="00837CC4">
      <w:tab/>
    </w:r>
    <w:r w:rsidRPr="00837CC4">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0119" w:rsidRPr="00837CC4" w:rsidRDefault="00490119" w:rsidP="00490119">
    <w:pPr>
      <w:pStyle w:val="EPFooter"/>
    </w:pPr>
    <w:r w:rsidRPr="00837CC4">
      <w:rPr>
        <w:rStyle w:val="HideTWBExt"/>
        <w:noProof w:val="0"/>
      </w:rPr>
      <w:t>&lt;PathFdR&gt;</w:t>
    </w:r>
    <w:r w:rsidR="00837CC4" w:rsidRPr="00837CC4">
      <w:t>AM\1232225LT.docx</w:t>
    </w:r>
    <w:r w:rsidRPr="00837CC4">
      <w:rPr>
        <w:rStyle w:val="HideTWBExt"/>
        <w:noProof w:val="0"/>
      </w:rPr>
      <w:t>&lt;/PathFdR&gt;</w:t>
    </w:r>
    <w:r w:rsidRPr="00837CC4">
      <w:tab/>
    </w:r>
    <w:r w:rsidRPr="00837CC4">
      <w:tab/>
      <w:t>PE</w:t>
    </w:r>
    <w:r w:rsidRPr="00837CC4">
      <w:rPr>
        <w:rStyle w:val="HideTWBExt"/>
        <w:noProof w:val="0"/>
      </w:rPr>
      <w:t>&lt;NoPE&gt;</w:t>
    </w:r>
    <w:r w:rsidRPr="00837CC4">
      <w:t>692.980</w:t>
    </w:r>
    <w:r w:rsidRPr="00837CC4">
      <w:rPr>
        <w:rStyle w:val="HideTWBExt"/>
        <w:noProof w:val="0"/>
      </w:rPr>
      <w:t>&lt;/NoPE&gt;&lt;Version&gt;</w:t>
    </w:r>
    <w:r w:rsidRPr="00837CC4">
      <w:t>v01-00</w:t>
    </w:r>
    <w:r w:rsidRPr="00837CC4">
      <w:rPr>
        <w:rStyle w:val="HideTWBExt"/>
        <w:noProof w:val="0"/>
      </w:rPr>
      <w:t>&lt;/Version&gt;</w:t>
    </w:r>
  </w:p>
  <w:p w:rsidR="00B939B1" w:rsidRPr="00837CC4" w:rsidRDefault="00490119" w:rsidP="00490119">
    <w:pPr>
      <w:pStyle w:val="EPFooter2"/>
    </w:pPr>
    <w:r w:rsidRPr="00837CC4">
      <w:t>LT</w:t>
    </w:r>
    <w:r w:rsidRPr="00837CC4">
      <w:tab/>
    </w:r>
    <w:r w:rsidRPr="00837CC4">
      <w:rPr>
        <w:b w:val="0"/>
        <w:i/>
        <w:color w:val="C0C0C0"/>
        <w:sz w:val="22"/>
      </w:rPr>
      <w:t>Suvienijusi įvairovę</w:t>
    </w:r>
    <w:r w:rsidRPr="00837CC4">
      <w:tab/>
      <w:t>LT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3728" w:rsidRPr="00837CC4" w:rsidRDefault="00332F17">
      <w:r w:rsidRPr="00837CC4">
        <w:separator/>
      </w:r>
    </w:p>
  </w:footnote>
  <w:footnote w:type="continuationSeparator" w:id="0">
    <w:p w:rsidR="00B23728" w:rsidRPr="00837CC4" w:rsidRDefault="00332F17">
      <w:r w:rsidRPr="00837CC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65B2" w:rsidRDefault="003265B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65B2" w:rsidRDefault="003265B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65B2" w:rsidRDefault="003265B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gruik" w:val="value of gruik"/>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32"/>
    <w:docVar w:name="TXTLANGUE" w:val="LT"/>
    <w:docVar w:name="TXTLANGUEMIN" w:val="lt"/>
    <w:docVar w:name="TXTNRPE" w:val="692.980"/>
    <w:docVar w:name="TXTPEorAP" w:val="PE"/>
    <w:docVar w:name="TXTROUTE" w:val="AM\1232225LT.docx"/>
    <w:docVar w:name="TXTVERSION" w:val="01-00"/>
  </w:docVars>
  <w:rsids>
    <w:rsidRoot w:val="00A77B3E"/>
    <w:rsid w:val="00130311"/>
    <w:rsid w:val="003265B2"/>
    <w:rsid w:val="00332F17"/>
    <w:rsid w:val="00490119"/>
    <w:rsid w:val="00837CC4"/>
    <w:rsid w:val="0084543E"/>
    <w:rsid w:val="00865E13"/>
    <w:rsid w:val="009C2185"/>
    <w:rsid w:val="00A77B3E"/>
    <w:rsid w:val="00B23728"/>
    <w:rsid w:val="00B939B1"/>
    <w:rsid w:val="00CA2A5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4CA61B"/>
  <w15:docId w15:val="{9EF2A23E-6D3E-4C72-8012-B4730AB96B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lt-LT"/>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sid w:val="00E546E2"/>
    <w:rPr>
      <w:rFonts w:ascii="Arial" w:hAnsi="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iddle">
    <w:name w:val="EPFooter2Middle"/>
    <w:uiPriority w:val="1"/>
    <w:qFormat/>
    <w:rsid w:val="00305047"/>
    <w:rPr>
      <w:rFonts w:ascii="Arial" w:hAnsi="Arial"/>
      <w:b w:val="0"/>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148</Pages>
  <Words>36166</Words>
  <Characters>253293</Characters>
  <Application>Microsoft Office Word</Application>
  <DocSecurity>0</DocSecurity>
  <Lines>8837</Lines>
  <Paragraphs>2135</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287567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2021-06-16T12:46:00Z</dcterms:created>
  <dcterms:modified xsi:type="dcterms:W3CDTF">2021-06-16T12:46:00Z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1232225</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20210526-161504-218474-413366</vt:lpwstr>
  </property>
  <property fmtid="{D5CDD505-2E9C-101B-9397-08002B2CF9AE}" pid="7" name="FooterPath">
    <vt:lpwstr>AM\1232225LT.docx</vt:lpwstr>
  </property>
  <property fmtid="{D5CDD505-2E9C-101B-9397-08002B2CF9AE}" pid="8" name="PE Number">
    <vt:lpwstr>692.980</vt:lpwstr>
  </property>
  <property fmtid="{D5CDD505-2E9C-101B-9397-08002B2CF9AE}" pid="9" name="UID">
    <vt:lpwstr>eu.europa.europarl-DIN1-2021-0000041986_03.00-xm-01.00_text-xml</vt:lpwstr>
  </property>
  <property fmtid="{D5CDD505-2E9C-101B-9397-08002B2CF9AE}" pid="10" name="LastEdited with">
    <vt:lpwstr>9.9.1 Build [20200705]</vt:lpwstr>
  </property>
  <property fmtid="{D5CDD505-2E9C-101B-9397-08002B2CF9AE}" pid="11" name="Bookout">
    <vt:lpwstr>OK - 2021/06/16 14:46</vt:lpwstr>
  </property>
</Properties>
</file>