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cantSplit w:val="0"/>
          <w:trHeight w:hRule="exact" w:val="1417"/>
          <w:jc w:val="center"/>
        </w:trPr>
        <w:tc>
          <w:tcPr>
            <w:tcW w:w="6804" w:type="dxa"/>
            <w:vAlign w:val="center"/>
          </w:tcPr>
          <w:p>
            <w:pPr>
              <w:pStyle w:val="EPName"/>
            </w:pPr>
            <w:r w:rsidR="00A77B3E">
              <w:t>Eiropas Parlaments</w:t>
            </w:r>
          </w:p>
          <w:p>
            <w:pPr>
              <w:pStyle w:val="EPTerm"/>
            </w:pPr>
            <w:r>
              <w:t>2019-2024</w:t>
            </w:r>
          </w:p>
        </w:tc>
        <w:tc>
          <w:tcPr>
            <w:tcW w:w="226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473188"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{ECON}</w:t>
      </w:r>
      <w:r>
        <w:t>Ekonomikas un monetārā komiteja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2020/0267</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26/05/2021</w:t>
      </w:r>
      <w:r>
        <w:rPr>
          <w:rStyle w:val="HideTWBInt"/>
        </w:rPr>
        <w:t>}</w:t>
      </w:r>
      <w:r>
        <w:t>26.5.2021</w:t>
      </w:r>
      <w:r>
        <w:rPr>
          <w:rStyle w:val="HideTWBExt"/>
        </w:rPr>
        <w:t>&lt;/</w:t>
      </w:r>
      <w:r>
        <w:rPr>
          <w:rStyle w:val="HideTWBExt"/>
        </w:rPr>
        <w:t>Date</w:t>
      </w:r>
      <w:r>
        <w:rPr>
          <w:rStyle w:val="HideTWBExt"/>
        </w:rPr>
        <w:t>&gt;</w:t>
      </w:r>
    </w:p>
    <w:p>
      <w:pPr>
        <w:pStyle w:val="CoverDocType"/>
      </w:pPr>
      <w:r>
        <w:rPr>
          <w:rStyle w:val="HideTWBExt"/>
        </w:rPr>
        <w:t>&lt;</w:t>
      </w:r>
      <w:r>
        <w:rPr>
          <w:rStyle w:val="HideTWBExt"/>
        </w:rPr>
        <w:t>TypeAM</w:t>
      </w:r>
      <w:r>
        <w:rPr>
          <w:rStyle w:val="HideTWBExt"/>
        </w:rPr>
        <w:t>&gt;</w:t>
      </w:r>
      <w:r>
        <w:t>GROZĪJUMI Nr.</w:t>
      </w:r>
      <w:r>
        <w:rPr>
          <w:rStyle w:val="HideTWBExt"/>
        </w:rPr>
        <w:t>&lt;/</w:t>
      </w:r>
      <w:r>
        <w:rPr>
          <w:rStyle w:val="HideTWBExt"/>
        </w:rPr>
        <w:t>TypeAM</w:t>
      </w:r>
      <w:r>
        <w:rPr>
          <w:rStyle w:val="HideTWBExt"/>
        </w:rPr>
        <w:t>&gt;</w:t>
      </w:r>
    </w:p>
    <w:p>
      <w:pPr>
        <w:pStyle w:val="CoverDocType24a"/>
      </w:pPr>
      <w:r>
        <w:rPr>
          <w:rStyle w:val="HideTWBExt"/>
        </w:rPr>
        <w:t>&lt;</w:t>
      </w:r>
      <w:r>
        <w:rPr>
          <w:rStyle w:val="HideTWBExt"/>
        </w:rPr>
        <w:t>RangeAM</w:t>
      </w:r>
      <w:r>
        <w:rPr>
          <w:rStyle w:val="HideTWBExt"/>
        </w:rPr>
        <w:t>&gt;</w:t>
      </w:r>
      <w:r>
        <w:t>135 - 334</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Ziņojuma projekts</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Johan Van Overtveldt</w:t>
      </w:r>
      <w:r>
        <w:rPr>
          <w:rStyle w:val="HideTWBExt"/>
        </w:rPr>
        <w:t>&lt;/</w:t>
      </w:r>
      <w:r>
        <w:rPr>
          <w:rStyle w:val="HideTWBExt"/>
        </w:rPr>
        <w:t>Rapporteur</w:t>
      </w:r>
      <w:r>
        <w:rPr>
          <w:rStyle w:val="HideTWBExt"/>
        </w:rPr>
        <w:t>&gt;</w:t>
      </w:r>
    </w:p>
    <w:p>
      <w:pPr>
        <w:pStyle w:val="CoverNormal24a"/>
      </w:pPr>
      <w:r>
        <w:rPr>
          <w:rStyle w:val="HideTWBExt"/>
        </w:rPr>
        <w:t>&lt;</w:t>
      </w:r>
      <w:r>
        <w:rPr>
          <w:rStyle w:val="HideTWBExt"/>
        </w:rPr>
        <w:t>DocRefPE</w:t>
      </w:r>
      <w:r>
        <w:rPr>
          <w:rStyle w:val="HideTWBExt"/>
        </w:rPr>
        <w:t>&gt;</w:t>
      </w:r>
      <w:r>
        <w:t>(</w:t>
      </w:r>
      <w:r>
        <w:t>PE689.571v01-00</w:t>
      </w:r>
      <w:r>
        <w:t>)</w:t>
      </w:r>
      <w:r>
        <w:rPr>
          <w:rStyle w:val="HideTWBExt"/>
        </w:rPr>
        <w:t>&lt;/</w:t>
      </w:r>
      <w:r>
        <w:rPr>
          <w:rStyle w:val="HideTWBExt"/>
        </w:rPr>
        <w:t>DocRefPE</w:t>
      </w:r>
      <w:r>
        <w:rPr>
          <w:rStyle w:val="HideTWBExt"/>
        </w:rPr>
        <w:t>&gt;</w:t>
      </w:r>
    </w:p>
    <w:p>
      <w:pPr>
        <w:pStyle w:val="CoverNormal24a"/>
      </w:pPr>
      <w:r>
        <w:rPr>
          <w:rStyle w:val="HideTWBExt"/>
        </w:rPr>
        <w:t>&lt;</w:t>
      </w:r>
      <w:r>
        <w:rPr>
          <w:rStyle w:val="HideTWBExt"/>
        </w:rPr>
        <w:t>Titre</w:t>
      </w:r>
      <w:r>
        <w:rPr>
          <w:rStyle w:val="HideTWBExt"/>
        </w:rPr>
        <w:t>&gt;</w:t>
      </w:r>
      <w:r>
        <w:t>Izmēģinājuma režīms attiecībā uz tirgus infrastruktūrām, kuru pamatā ir sadalītās virsgrāmatas tehnoloģija</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CoverNormal24a"/>
      </w:pPr>
      <w:r>
        <w:rPr>
          <w:rStyle w:val="HideTWBExt"/>
        </w:rPr>
        <w:t>&lt;</w:t>
      </w:r>
      <w:r>
        <w:rPr>
          <w:rStyle w:val="HideTWBExt"/>
        </w:rPr>
        <w:t>DocRef</w:t>
      </w:r>
      <w:r>
        <w:rPr>
          <w:rStyle w:val="HideTWBExt"/>
        </w:rPr>
        <w:t>&gt;</w:t>
      </w:r>
      <w:r>
        <w:t>(</w:t>
      </w:r>
      <w:r>
        <w:t>COM(2020)0594</w:t>
      </w:r>
      <w:r>
        <w:t xml:space="preserve"> – </w:t>
      </w:r>
      <w:r>
        <w:t>C9-0305/2020</w:t>
      </w:r>
      <w:r>
        <w:t xml:space="preserve"> – </w:t>
      </w:r>
      <w:r>
        <w:t>2020/0267(COD)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RepeatBlock-AmendA</w:t>
      </w:r>
      <w:r>
        <w:rPr>
          <w:rStyle w:val="HideTWBExt"/>
        </w:rPr>
        <w:t>&gt;</w:t>
      </w:r>
      <w:r>
        <w:rPr>
          <w:rStyle w:val="HideTWBExt"/>
        </w:rPr>
        <w:t>&lt;</w:t>
      </w:r>
      <w:r>
        <w:rPr>
          <w:rStyle w:val="HideTWBExt"/>
        </w:rPr>
        <w:t>AmendA</w:t>
      </w:r>
      <w:r>
        <w:rPr>
          <w:rStyle w:val="HideTWBExt"/>
        </w:rPr>
        <w:t>&gt;</w:t>
      </w:r>
      <w:r>
        <w:t>Grozījums Nr.</w:t>
      </w:r>
      <w:r>
        <w:tab/>
      </w:r>
      <w:r>
        <w:tab/>
      </w:r>
      <w:r>
        <w:rPr>
          <w:rStyle w:val="HideTWBExt"/>
        </w:rPr>
        <w:t>&lt;</w:t>
      </w:r>
      <w:r>
        <w:rPr>
          <w:rStyle w:val="HideTWBExt"/>
        </w:rPr>
        <w:t>NumAmA</w:t>
      </w:r>
      <w:r>
        <w:rPr>
          <w:rStyle w:val="HideTWBExt"/>
        </w:rPr>
        <w:t>&gt;</w:t>
      </w:r>
      <w:r>
        <w:t>135</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Stasys Jakeliūnas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p>
        </w:tc>
        <w:tc>
          <w:tcPr>
            <w:tcW w:w="4876" w:type="dxa"/>
            <w:vAlign w:val="top"/>
          </w:tcPr>
          <w:p>
            <w:pPr>
              <w:pStyle w:val="AmColumnHeading"/>
            </w:pPr>
            <w:r>
              <w:t>Priekšlikums noraidīt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AmColumnHeading"/>
            </w:pPr>
          </w:p>
        </w:tc>
        <w:tc>
          <w:tcPr>
            <w:tcW w:w="4876" w:type="dxa"/>
            <w:vAlign w:val="top"/>
          </w:tcPr>
          <w:p>
            <w:pPr>
              <w:pStyle w:val="NormalBoldItalic6a"/>
            </w:pPr>
            <w:r>
              <w:t>Eiropas Parlaments noraida priekšlikumu Eiropas Parlamenta un Padomes regulai par izmēģinājuma režīmu attiecībā uz tirgus infrastruktūrām, kuru pamatā ir sadalītās virsgrāmatas tehnoloģija.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Priekšlikums nav tehnoloģiski neitrāls un ir lieks.</w:t>
      </w:r>
      <w:r>
        <w:t xml:space="preserve"> </w:t>
      </w:r>
      <w:r>
        <w:t>Pašreizējais ES finanšu pakalpojumu regulējums jau veicina inovāciju. </w:t>
      </w:r>
      <w:r>
        <w:t xml:space="preserve"> </w:t>
      </w:r>
      <w:r>
        <w:t>Regulas priekšlikumā dažas prasības attiecībā uz ieguldītāju aizsardzību un tirgus integritāti ir atvieglotas.</w:t>
      </w:r>
      <w:r>
        <w:t xml:space="preserve"> </w:t>
      </w:r>
      <w:r>
        <w:t>Tas var izraisīt lielāku tirgus sadrumstalotību un finanšu nestabilitāti. </w:t>
      </w:r>
      <w:r>
        <w:t xml:space="preserve"> </w:t>
      </w:r>
      <w:r>
        <w:t>Turklāt pastāv būtiska pilnvaru deleģēšana valstu kompetentajām iestādēm.</w:t>
      </w:r>
      <w:r>
        <w:t xml:space="preserve"> </w:t>
      </w:r>
      <w:r>
        <w:t>Tā kā ES finanšu uzraudzības sistēma vēl nav saskaņota, ierosinātā regula varētu izraisīt regulējuma arbitrāžu un vēl vairāk palielināt tirgus sadrumstalotību.</w:t>
      </w:r>
    </w:p>
    <w:p>
      <w:r>
        <w:rPr>
          <w:rStyle w:val="HideTWBExt"/>
        </w:rPr>
        <w:t>&lt;/</w:t>
      </w:r>
      <w:r>
        <w:rPr>
          <w:rStyle w:val="HideTWBExt"/>
        </w:rPr>
        <w:t>AmendA</w:t>
      </w:r>
      <w:r>
        <w:rPr>
          <w:rStyle w:val="HideTWBExt"/>
        </w:rPr>
        <w:t>&gt;</w:t>
      </w:r>
    </w:p>
    <w:p>
      <w:pPr>
        <w:pStyle w:val="AmNumberTabs"/>
      </w:pPr>
      <w:r>
        <w:rPr>
          <w:rStyle w:val="HideTWBExt"/>
        </w:rPr>
        <w:t>&lt;</w:t>
      </w:r>
      <w:r>
        <w:rPr>
          <w:rStyle w:val="HideTWBExt"/>
        </w:rPr>
        <w:t>AmendA</w:t>
      </w:r>
      <w:r>
        <w:rPr>
          <w:rStyle w:val="HideTWBExt"/>
        </w:rPr>
        <w:t>&gt;</w:t>
      </w:r>
      <w:r>
        <w:t>Grozījums Nr.</w:t>
      </w:r>
      <w:r>
        <w:tab/>
      </w:r>
      <w:r>
        <w:tab/>
      </w:r>
      <w:r>
        <w:rPr>
          <w:rStyle w:val="HideTWBExt"/>
        </w:rPr>
        <w:t>&lt;</w:t>
      </w:r>
      <w:r>
        <w:rPr>
          <w:rStyle w:val="HideTWBExt"/>
        </w:rPr>
        <w:t>NumAmA</w:t>
      </w:r>
      <w:r>
        <w:rPr>
          <w:rStyle w:val="HideTWBExt"/>
        </w:rPr>
        <w:t>&gt;</w:t>
      </w:r>
      <w:r>
        <w:t>136</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Normatīvās rezolūcijas projekts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norāde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Normatīvās rezolūcijas projekts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w:t>
            </w:r>
            <w:r>
              <w:tab/>
            </w:r>
            <w:r>
              <w:t>ņemot vērā Eiropas Centrālās bankas atzinumu</w:t>
            </w:r>
            <w:r>
              <w:rPr>
                <w:rStyle w:val="Sup"/>
              </w:rPr>
              <w:t>2</w:t>
            </w:r>
            <w:r>
              <w:t>,</w:t>
            </w:r>
          </w:p>
        </w:tc>
        <w:tc>
          <w:tcPr>
            <w:tcW w:w="4876" w:type="dxa"/>
            <w:vAlign w:val="top"/>
          </w:tcPr>
          <w:p>
            <w:pPr>
              <w:pStyle w:val="Normal6a"/>
            </w:pPr>
            <w:r>
              <w:t>—</w:t>
            </w:r>
            <w:r>
              <w:tab/>
            </w:r>
            <w:r>
              <w:t xml:space="preserve">ņemot vērā Eiropas Centrālās bankas </w:t>
            </w:r>
            <w:r>
              <w:rPr>
                <w:b/>
                <w:i/>
                <w:strike w:val="0"/>
                <w:color w:val="auto"/>
                <w:highlight w:val="none"/>
                <w:u w:val="none" w:color="auto"/>
                <w:vertAlign w:val="baseline"/>
              </w:rPr>
              <w:t>2021. gada 28. aprīļa</w:t>
            </w:r>
            <w:r>
              <w:t xml:space="preserve"> atzinumu</w:t>
            </w:r>
            <w:r>
              <w:rPr>
                <w:rStyle w:val="Sup"/>
              </w:rPr>
              <w:t>2</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w:t>
            </w:r>
            <w:r>
              <w:t xml:space="preserve"> </w:t>
            </w:r>
            <w:r>
              <w:t>OV C xxx, ..., xx. lpp.</w:t>
            </w:r>
          </w:p>
        </w:tc>
        <w:tc>
          <w:tcPr>
            <w:tcW w:w="4876" w:type="dxa"/>
            <w:vAlign w:val="top"/>
          </w:tcPr>
          <w:p>
            <w:pPr>
              <w:pStyle w:val="Normal6a"/>
            </w:pPr>
            <w:r>
              <w:rPr>
                <w:rStyle w:val="Sup"/>
              </w:rPr>
              <w:t>2</w:t>
            </w:r>
            <w:r>
              <w:t xml:space="preserve"> </w:t>
            </w:r>
            <w:r>
              <w:t>OV C xxx, ..., xx. lpp.</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AmendA</w:t>
      </w:r>
      <w:r>
        <w:rPr>
          <w:rStyle w:val="HideTWBExt"/>
        </w:rPr>
        <w:t>&gt;</w:t>
      </w:r>
    </w:p>
    <w:p>
      <w:pPr>
        <w:pStyle w:val="AmNumberTabs"/>
      </w:pPr>
      <w:r>
        <w:rPr>
          <w:rStyle w:val="HideTWBExt"/>
        </w:rPr>
        <w:t>&lt;</w:t>
      </w:r>
      <w:r>
        <w:rPr>
          <w:rStyle w:val="HideTWBExt"/>
        </w:rPr>
        <w:t>AmendA</w:t>
      </w:r>
      <w:r>
        <w:rPr>
          <w:rStyle w:val="HideTWBExt"/>
        </w:rPr>
        <w:t>&gt;</w:t>
      </w:r>
      <w:r>
        <w:t>Grozījums Nr.</w:t>
      </w:r>
      <w:r>
        <w:tab/>
      </w:r>
      <w:r>
        <w:tab/>
      </w:r>
      <w:r>
        <w:rPr>
          <w:rStyle w:val="HideTWBExt"/>
        </w:rPr>
        <w:t>&lt;</w:t>
      </w:r>
      <w:r>
        <w:rPr>
          <w:rStyle w:val="HideTWBExt"/>
        </w:rPr>
        <w:t>NumAmA</w:t>
      </w:r>
      <w:r>
        <w:rPr>
          <w:rStyle w:val="HideTWBExt"/>
        </w:rPr>
        <w:t>&gt;</w:t>
      </w:r>
      <w:r>
        <w:t>137</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Normatīvās rezolūcijas projekts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Normatīvās rezolūcijas projekts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Eiropas Datu aizsardzības uzraudzītāja 2021. gada 23. aprīļa atzinumu Nr. 6/2021,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AmendA</w:t>
      </w:r>
      <w:r>
        <w:rPr>
          <w:rStyle w:val="HideTWBExt"/>
        </w:rPr>
        <w:t>&gt;</w:t>
      </w:r>
    </w:p>
    <w:p>
      <w:r>
        <w:rPr>
          <w:rStyle w:val="HideTWBExt"/>
        </w:rPr>
        <w:t>&lt;/</w:t>
      </w:r>
      <w:r>
        <w:rPr>
          <w:rStyle w:val="HideTWBExt"/>
        </w:rPr>
        <w:t>RepeatBlock-AmendA</w:t>
      </w:r>
      <w:r>
        <w:rPr>
          <w:rStyle w:val="HideTWBExt"/>
        </w:rPr>
        <w:t>&gt;</w:t>
      </w:r>
    </w:p>
    <w:p>
      <w:pPr>
        <w:pStyle w:val="AmNumberTabs"/>
      </w:pPr>
      <w:r>
        <w:rPr>
          <w:rStyle w:val="HideTWBExt"/>
        </w:rPr>
        <w:t>&lt;</w:t>
      </w:r>
      <w:r>
        <w:rPr>
          <w:rStyle w:val="HideTWBExt"/>
        </w:rPr>
        <w:t>RepeatBlock-AmendB</w:t>
      </w:r>
      <w:r>
        <w:rPr>
          <w:rStyle w:val="HideTWBExt"/>
        </w:rPr>
        <w:t>&gt;</w:t>
      </w: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138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Eiropas Komisijas paziņojuma par digitālo finanšu stratēģiju</w:t>
            </w:r>
            <w:r>
              <w:rPr>
                <w:rStyle w:val="Sup"/>
              </w:rPr>
              <w:t>32</w:t>
            </w:r>
            <w:r>
              <w:t>mērķis ir nodrošināt, ka Savienības finanšu pakalpojumu tiesību akti ir piemēroti digitālajam laikmetam, un tas veicina nākotnei sagatavotu ekonomiku, kas strādā cilvēku labā, cita starpā iespējojot inovatīvu tehnoloģiju izmantošanu. Savienības politikas interesēs ir attīstīt un veicināt transformatīvu tehnoloģiju, piemēram, blokķēžu un sadalītās virsgrāmatas tehnoloģijas (“SVT”), pieņemšanu finanšu sektorā. Kriptoaktīvi ir viens no SVT galvenajiem pielietojumiem.</w:t>
            </w:r>
          </w:p>
        </w:tc>
        <w:tc>
          <w:tcPr>
            <w:tcW w:w="4876" w:type="dxa"/>
            <w:vAlign w:val="top"/>
          </w:tcPr>
          <w:p>
            <w:pPr>
              <w:pStyle w:val="Normal6a"/>
            </w:pPr>
            <w:r>
              <w:t>(1)</w:t>
            </w:r>
            <w:r>
              <w:tab/>
            </w:r>
            <w:r>
              <w:t>Eiropas Komisijas paziņojuma par digitālo finanšu stratēģiju</w:t>
            </w:r>
            <w:r>
              <w:rPr>
                <w:rStyle w:val="Sup"/>
              </w:rPr>
              <w:t>32</w:t>
            </w:r>
            <w:r>
              <w:t xml:space="preserve"> mērķis ir nodrošināt, ka Savienības finanšu pakalpojumu tiesību akti ir piemēroti digitālajam laikmetam, un tas veicina nākotnei sagatavotu ekonomiku, kas strādā cilvēku labā, cita starpā iespējojot inovatīvu tehnoloģiju izmantošanu. Savienības politikas interesēs ir </w:t>
            </w:r>
            <w:r>
              <w:rPr>
                <w:b/>
                <w:i/>
                <w:strike w:val="0"/>
                <w:color w:val="auto"/>
                <w:highlight w:val="none"/>
                <w:u w:val="none" w:color="auto"/>
                <w:vertAlign w:val="baseline"/>
              </w:rPr>
              <w:t>izpētīt,</w:t>
            </w:r>
            <w:r>
              <w:t xml:space="preserve"> attīstīt un veicināt transformatīvu tehnoloģiju, piemēram, blokķēžu un sadalītās virsgrāmatas tehnoloģijas (“SVT”), pieņemšanu finanšu sektorā. Kriptoaktīvi ir viens no SVT galvenajiem pielietojumiem.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32</w:t>
            </w:r>
            <w:r>
              <w:t xml:space="preserve"> </w:t>
            </w:r>
            <w:r>
              <w:t>Komisijas paziņojums Eiropas Parlamentam, Padomei, Eiropas Centrālajai bankai, Eiropas Ekonomikas un sociālo lietu komitejai un Reģionu komitejai par ES digitālā finansējuma stratēģiju, COM(2020)591.</w:t>
            </w:r>
          </w:p>
        </w:tc>
        <w:tc>
          <w:tcPr>
            <w:tcW w:w="4876" w:type="dxa"/>
            <w:vAlign w:val="top"/>
          </w:tcPr>
          <w:p>
            <w:pPr>
              <w:pStyle w:val="Normal6a"/>
            </w:pPr>
            <w:r>
              <w:rPr>
                <w:rStyle w:val="Sup"/>
              </w:rPr>
              <w:t>32</w:t>
            </w:r>
            <w:r>
              <w:t xml:space="preserve"> </w:t>
            </w:r>
            <w:r>
              <w:t>Komisijas paziņojums Eiropas Parlamentam, Padomei, Eiropas Centrālajai bankai, Eiropas Ekonomikas un sociālo lietu komitejai un Reģionu komitejai par ES digitālā finansējuma stratēģiju, COM(2020)591.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139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Eiropas Komisijas paziņojuma par digitālo finanšu stratēģiju</w:t>
            </w:r>
            <w:r>
              <w:rPr>
                <w:rStyle w:val="Sup"/>
              </w:rPr>
              <w:t>32</w:t>
            </w:r>
            <w:r>
              <w:t>mērķis ir nodrošināt, ka Savienības finanšu pakalpojumu tiesību akti ir piemēroti digitālajam laikmetam, un tas veicina nākotnei sagatavotu ekonomiku, kas strādā cilvēku labā, cita starpā iespējojot inovatīvu tehnoloģiju izmantošanu. Savienības politikas interesēs ir attīstīt un veicināt transformatīvu tehnoloģiju, piemēram, blokķēžu un sadalītās virsgrāmatas tehnoloģijas (“SVT”), pieņemšanu finanšu sektorā. Kriptoaktīvi ir viens no SVT galvenajiem pielietojumiem.</w:t>
            </w:r>
          </w:p>
        </w:tc>
        <w:tc>
          <w:tcPr>
            <w:tcW w:w="4876" w:type="dxa"/>
            <w:vAlign w:val="top"/>
          </w:tcPr>
          <w:p>
            <w:pPr>
              <w:pStyle w:val="Normal6a"/>
            </w:pPr>
            <w:r>
              <w:t>(1)</w:t>
            </w:r>
            <w:r>
              <w:tab/>
            </w:r>
            <w:r>
              <w:t>Eiropas Komisijas paziņojuma par digitālo finanšu stratēģiju</w:t>
            </w:r>
            <w:r>
              <w:rPr>
                <w:rStyle w:val="Sup"/>
              </w:rPr>
              <w:t>32</w:t>
            </w:r>
            <w:r>
              <w:t xml:space="preserve"> mērķis ir nodrošināt, ka Savienības finanšu pakalpojumu tiesību akti ir piemēroti digitālajam laikmetam, un tas veicina nākotnei sagatavotu ekonomiku, kas strādā cilvēku labā, cita starpā iespējojot inovatīvu tehnoloģiju izmantošanu. Savienības politikas interesēs ir attīstīt un veicināt transformatīvu tehnoloģiju, piemēram, blokķēžu un sadalītās virsgrāmatas tehnoloģijas (“SVT”), pieņemšanu finanšu sektorā. Kriptoaktīvi ir viens no SVT galvenajiem pielietojumiem. </w:t>
            </w:r>
            <w:r>
              <w:rPr>
                <w:b/>
                <w:i/>
                <w:strike w:val="0"/>
                <w:color w:val="auto"/>
                <w:highlight w:val="none"/>
                <w:u w:val="none" w:color="auto"/>
                <w:vertAlign w:val="baseline"/>
              </w:rPr>
              <w:t>SVT ietver dažādus risinājumus, kas apvieno datubāzu tehnoloģijas un kriptogrāfiju nolūkā novērst ļaunprātīgu uzvedību un risku, ka dažādi lietotāji paļaujas uz nesaskaņotām datu versijām tīkla latentuma vai konfliktējošu virsgrāmatas daļu validēšanas dēļ, un kas ļauj veikt galīgo kriptogrāfisko lietotāja darbības revīziju un nodrošina tradicionālus un jaunus mehānismus ar mērķi laika gaitā panākt lietotāju vienprātību par datubāzes statusu.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32</w:t>
            </w:r>
            <w:r>
              <w:t xml:space="preserve"> </w:t>
            </w:r>
            <w:r>
              <w:t>Komisijas paziņojums Eiropas Parlamentam, Padomei, Eiropas Centrālajai bankai, Eiropas Ekonomikas un sociālo lietu komitejai un Reģionu komitejai par ES digitālā finansējuma stratēģiju, COM(2020)591.</w:t>
            </w:r>
          </w:p>
        </w:tc>
        <w:tc>
          <w:tcPr>
            <w:tcW w:w="4876" w:type="dxa"/>
            <w:vAlign w:val="top"/>
          </w:tcPr>
          <w:p>
            <w:pPr>
              <w:pStyle w:val="Normal6a"/>
            </w:pPr>
            <w:r>
              <w:rPr>
                <w:rStyle w:val="Sup"/>
              </w:rPr>
              <w:t>32</w:t>
            </w:r>
            <w:r>
              <w:t xml:space="preserve"> </w:t>
            </w:r>
            <w:r>
              <w:t>Komisijas paziņojums Eiropas Parlamentam, Padomei, Eiropas Centrālajai bankai, Eiropas Ekonomikas un sociālo lietu komitejai un Reģionu komitejai par ES digitālā finansējuma stratēģiju, COM(2020)591.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Apraksts par to, kā darbojas SVT, ņemts no ECB 2017. gada ziņojuma “The potential impact of DLTs on securities post-trading harmonisation and on the wider EU financial market integration” (Iespējamā SVT ietekme uz vērtspapīru pēctirdzniecības saskaņošanu un plašāku ES finanšu tirgus integrāciju), ko izstrādājusi Vērtspapīru un nodrošinājuma tirgus infrastruktūru konsultatīvā grupa (AMI-SeCo).</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Lielākā daļa kriptoaktīvu neietilpst ES tiesību aktu darbības jomā un cita starpā rada izaicinājumus no ieguldītāju aizsardzības, tirgus integritātes un finanšu stabilitātes viedokļa. Tāpēc attiecībā uz tiem ir vajadzīgs speciāls režīms Savienības līmenī. Turpretī citus kriptoaktīvus var uzskatīt par finanšu instrumentiem Eiropas Parlamenta un Padomes Direktīvas 2014/65/ES (Finanšu instrumentu tirgu direktīva jeb FITD II)</w:t>
            </w:r>
            <w:r>
              <w:rPr>
                <w:rStyle w:val="Sup"/>
              </w:rPr>
              <w:t>33</w:t>
            </w:r>
            <w:r>
              <w:t>nozīmē. Ciktāl kriptoaktīvu var uzskatīt par finanšu instrumentu saskaņā ar minēto direktīvu, uz tā emitentu un sabiedrībām, kas veic ar to saistītas darbības, var attiecināt pilnu Savienības finanšu noteikumu kopumu, tostarp Eiropas Parlamenta un Padomes Regulu (ES) 2017/1129 (Prospektu regula)</w:t>
            </w:r>
            <w:r>
              <w:rPr>
                <w:rStyle w:val="Sup"/>
              </w:rPr>
              <w:t>34</w:t>
            </w:r>
            <w:r>
              <w:t>, Eiropas Parlamenta un Padomes Direktīvu 2013/50/ES (Pārredzamības direktīva)</w:t>
            </w:r>
            <w:r>
              <w:rPr>
                <w:rStyle w:val="Sup"/>
              </w:rPr>
              <w:t>35</w:t>
            </w:r>
            <w:r>
              <w:t>, Eiropas Parlamenta un Padomes Regulu (ES) Nr. 596/2014 (Tirgus ļaunprātīgas izmantošanas regula)</w:t>
            </w:r>
            <w:r>
              <w:rPr>
                <w:rStyle w:val="Sup"/>
              </w:rPr>
              <w:t>36</w:t>
            </w:r>
            <w:r>
              <w:t>, Eiropas Parlamenta un Padomes Regulu (ES) Nr. 236/2012 (Īsās pārdošanas regula)</w:t>
            </w:r>
            <w:r>
              <w:rPr>
                <w:rStyle w:val="Sup"/>
              </w:rPr>
              <w:t>37</w:t>
            </w:r>
            <w:r>
              <w:t>, Eiropas Parlamenta un Padomes Regulu (ES) Nr. 909/2014 (Vērtspapīru norēķinu un centrālo depozitāriju regula)</w:t>
            </w:r>
            <w:r>
              <w:rPr>
                <w:rStyle w:val="Sup"/>
              </w:rPr>
              <w:t>38</w:t>
            </w:r>
            <w:r>
              <w:t>un Eiropas Parlamenta un Padomes Direktīvu 98/26/EK (Norēķinu galīguma direktīva)</w:t>
            </w:r>
            <w:r>
              <w:rPr>
                <w:rStyle w:val="Sup"/>
              </w:rPr>
              <w:t>39</w:t>
            </w:r>
            <w:r>
              <w:t xml:space="preserve">. Paredzams, ka tā dēvētā finanšu instrumentu tokenizācija, proti, to pārveidošana par kriptoaktīviem, lai tos varētu emitēt, uzglabāt un pārnest uz sadalītu virsgrāmatu, pavērs iespējas efektivitātes uzlabojumiem </w:t>
            </w:r>
            <w:r>
              <w:rPr>
                <w:b/>
                <w:i/>
                <w:strike w:val="0"/>
                <w:color w:val="auto"/>
                <w:highlight w:val="none"/>
                <w:u w:val="none" w:color="auto"/>
                <w:vertAlign w:val="baseline"/>
              </w:rPr>
              <w:t>visā</w:t>
            </w:r>
            <w:r>
              <w:t xml:space="preserve"> tirdzniecības un pēctirdzniecības telpā.</w:t>
            </w:r>
          </w:p>
        </w:tc>
        <w:tc>
          <w:tcPr>
            <w:tcW w:w="4876" w:type="dxa"/>
            <w:vAlign w:val="top"/>
          </w:tcPr>
          <w:p>
            <w:pPr>
              <w:pStyle w:val="Normal6a"/>
            </w:pPr>
            <w:r>
              <w:t>(2)</w:t>
            </w:r>
            <w:r>
              <w:tab/>
            </w:r>
            <w:r>
              <w:t>Lielākā daļa kriptoaktīvu neietilpst ES tiesību aktu darbības jomā un cita starpā rada izaicinājumus no ieguldītāju aizsardzības, tirgus integritātes un finanšu stabilitātes viedokļa. Tāpēc attiecībā uz tiem ir vajadzīgs speciāls režīms Savienības līmenī. Turpretī citus kriptoaktīvus var uzskatīt par finanšu instrumentiem Eiropas Parlamenta un Padomes Direktīvas 2014/65/ES (Finanšu instrumentu tirgu direktīva jeb FITD II)</w:t>
            </w:r>
            <w:r>
              <w:rPr>
                <w:rStyle w:val="Sup"/>
              </w:rPr>
              <w:t>33</w:t>
            </w:r>
            <w:r>
              <w:t xml:space="preserve"> nozīmē. Ciktāl kriptoaktīvu var uzskatīt par finanšu instrumentu saskaņā ar minēto direktīvu, uz tā emitentu un sabiedrībām, kas veic ar to saistītas darbības, var attiecināt pilnu Savienības finanšu noteikumu kopumu, tostarp Eiropas Parlamenta un Padomes Regulu (ES) 2017/1129 (Prospektu regula)</w:t>
            </w:r>
            <w:r>
              <w:rPr>
                <w:rStyle w:val="Sup"/>
              </w:rPr>
              <w:t>34</w:t>
            </w:r>
            <w:r>
              <w:t>, Eiropas Parlamenta un Padomes Direktīvu 2013/50/ES (Pārredzamības direktīva)</w:t>
            </w:r>
            <w:r>
              <w:rPr>
                <w:rStyle w:val="Sup"/>
              </w:rPr>
              <w:t>35</w:t>
            </w:r>
            <w:r>
              <w:t>, Eiropas Parlamenta un Padomes Regulu (ES) Nr. 596/2014 (Tirgus ļaunprātīgas izmantošanas regula)</w:t>
            </w:r>
            <w:r>
              <w:rPr>
                <w:rStyle w:val="Sup"/>
              </w:rPr>
              <w:t>36</w:t>
            </w:r>
            <w:r>
              <w:t>, Eiropas Parlamenta un Padomes Regulu (ES) Nr. 236/2012 (Īsās pārdošanas regula)</w:t>
            </w:r>
            <w:r>
              <w:rPr>
                <w:rStyle w:val="Sup"/>
              </w:rPr>
              <w:t>37</w:t>
            </w:r>
            <w:r>
              <w:t>, Eiropas Parlamenta un Padomes Regulu (ES) Nr. 909/2014 (Vērtspapīru norēķinu un centrālo depozitāriju regula)</w:t>
            </w:r>
            <w:r>
              <w:rPr>
                <w:rStyle w:val="Sup"/>
              </w:rPr>
              <w:t>38</w:t>
            </w:r>
            <w:r>
              <w:t xml:space="preserve"> un Eiropas Parlamenta un Padomes Direktīvu 98/26/EK (Norēķinu galīguma direktīva)</w:t>
            </w:r>
            <w:r>
              <w:rPr>
                <w:rStyle w:val="Sup"/>
              </w:rPr>
              <w:t>39</w:t>
            </w:r>
            <w:r>
              <w:t>. Paredzams, ka tā dēvētā finanšu instrumentu tokenizācija, proti, to pārveidošana par kriptoaktīviem, lai tos varētu emitēt, uzglabāt un pārnest uz sadalītu virsgrāmatu, pavērs iespējas efektivitātes uzlabojumiem tirdzniecības un pēctirdzniecības telpā.</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33</w:t>
            </w:r>
            <w:r>
              <w:t xml:space="preserve"> </w:t>
            </w:r>
            <w:r>
              <w:t>Eiropas Parlamenta un Padomes Direktīva 2014/65/ES (2014. gada 15. maijs) par finanšu instrumentu tirgiem un ar ko groza Direktīvu 2002/92/ES un Direktīvu 2011/61/ES (OV L 173, 12.6.2014., 349. lpp.).</w:t>
            </w:r>
          </w:p>
        </w:tc>
        <w:tc>
          <w:tcPr>
            <w:tcW w:w="4876" w:type="dxa"/>
            <w:vAlign w:val="top"/>
          </w:tcPr>
          <w:p>
            <w:pPr>
              <w:pStyle w:val="Normal6a"/>
            </w:pPr>
            <w:r>
              <w:rPr>
                <w:rStyle w:val="Sup"/>
              </w:rPr>
              <w:t>33</w:t>
            </w:r>
            <w:r>
              <w:t xml:space="preserve"> </w:t>
            </w:r>
            <w:r>
              <w:t>Eiropas Parlamenta un Padomes Direktīva 2014/65/ES (2014. gada 15. maijs) par finanšu instrumentu tirgiem un ar ko groza Direktīvu 2002/92/ES un Direktīvu 2011/61/ES (OV L 173, 12.6.2014., 349.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34</w:t>
            </w:r>
            <w:r>
              <w:t xml:space="preserve"> </w:t>
            </w:r>
            <w:r>
              <w:t>Eiropas Parlamenta un Padomes Regula (ES) 2017/1129 (2017. gada 14. jūnijs) par prospektu, kurš jāpublicē, publiski piedāvājot vērtspapīrus vai atļaujot to tirdzniecību regulētā tirgū, un ar ko atceļ Direktīvu 2003/71/EK (OV L 168, 30.6.2017., 12. lpp.).</w:t>
            </w:r>
          </w:p>
        </w:tc>
        <w:tc>
          <w:tcPr>
            <w:tcW w:w="4876" w:type="dxa"/>
            <w:vAlign w:val="top"/>
          </w:tcPr>
          <w:p>
            <w:pPr>
              <w:pStyle w:val="Normal6a"/>
            </w:pPr>
            <w:r>
              <w:rPr>
                <w:rStyle w:val="Sup"/>
              </w:rPr>
              <w:t>34</w:t>
            </w:r>
            <w:r>
              <w:t xml:space="preserve"> </w:t>
            </w:r>
            <w:r>
              <w:t>Eiropas Parlamenta un Padomes Regula (ES) 2017/1129 (2017. gada 14. jūnijs) par prospektu, kurš jāpublicē, publiski piedāvājot vērtspapīrus vai atļaujot to tirdzniecību regulētā tirgū, un ar ko atceļ Direktīvu 2003/71/EK (OV L 168, 30.6.2017., 12.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35</w:t>
            </w:r>
            <w:r>
              <w:t xml:space="preserve"> </w:t>
            </w:r>
            <w:r>
              <w:t>Eiropas Parlamenta un Padomes Direktīva 2013/50/ES (2013. gada 22. oktobris), ar kuru groza Eiropas Parlamenta un Padomes Direktīvu 2004/109/EK par atklātības prasību saskaņošanu attiecībā uz informāciju par emitentiem, kuru vērtspapīrus atļauts tirgot regulētā tirgū, Eiropas Parlamenta un Padomes Direktīvu 2003/71/EK par prospektu, kurš jāpublicē, publiski piedāvājot vērtspapīrus vai atļaujot to tirdzniecību, un Komisijas Direktīvu 2007/14/EK, ar ko nosaka sīki izstrādātus noteikumus Direktīvas 2004/109/EK atsevišķu noteikumu īstenošanai (OV L 294, 6.11.2013., 13. lpp.).</w:t>
            </w:r>
          </w:p>
        </w:tc>
        <w:tc>
          <w:tcPr>
            <w:tcW w:w="4876" w:type="dxa"/>
            <w:vAlign w:val="top"/>
          </w:tcPr>
          <w:p>
            <w:pPr>
              <w:pStyle w:val="Normal6a"/>
            </w:pPr>
            <w:r>
              <w:rPr>
                <w:rStyle w:val="Sup"/>
              </w:rPr>
              <w:t>35</w:t>
            </w:r>
            <w:r>
              <w:t xml:space="preserve"> </w:t>
            </w:r>
            <w:r>
              <w:t>Eiropas Parlamenta un Padomes Direktīva 2013/50/ES (2013. gada 22. oktobris), ar kuru groza Eiropas Parlamenta un Padomes Direktīvu 2004/109/EK par atklātības prasību saskaņošanu attiecībā uz informāciju par emitentiem, kuru vērtspapīrus atļauts tirgot regulētā tirgū, Eiropas Parlamenta un Padomes Direktīvu 2003/71/EK par prospektu, kurš jāpublicē, publiski piedāvājot vērtspapīrus vai atļaujot to tirdzniecību, un Komisijas Direktīvu 2007/14/EK, ar ko nosaka sīki izstrādātus noteikumus Direktīvas 2004/109/EK atsevišķu noteikumu īstenošanai (OV L 294, 6.11.2013., 13.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Eiropas Parlamenta un Padomes Regula (ES) Nr. 596/2014 (2014. gada 16. aprīlis) par tirgus ļaunprātīgu izmantošanu (tirgus ļaunprātīgas izmantošanas regula) un ar ko atceļ Eiropas Parlamenta un Padomes Direktīvu 2003/6/EK un Komisijas Direktīvas 2003/124/EK, 2003/125/EK un 2004/72/EK (OV L 173, 12.6.2014., 1. lpp.).</w:t>
            </w:r>
          </w:p>
        </w:tc>
        <w:tc>
          <w:tcPr>
            <w:tcW w:w="4876" w:type="dxa"/>
            <w:vAlign w:val="top"/>
          </w:tcPr>
          <w:p>
            <w:pPr>
              <w:pStyle w:val="Normal6a"/>
            </w:pPr>
            <w:r>
              <w:rPr>
                <w:rStyle w:val="Sup"/>
              </w:rPr>
              <w:t>36</w:t>
            </w:r>
            <w:r>
              <w:t xml:space="preserve"> </w:t>
            </w:r>
            <w:r>
              <w:t>Eiropas Parlamenta un Padomes Regula (ES) Nr. 596/2014 (2014. gada 16. aprīlis) par tirgus ļaunprātīgu izmantošanu (tirgus ļaunprātīgas izmantošanas regula) un ar ko atceļ Eiropas Parlamenta un Padomes Direktīvu 2003/6/EK un Komisijas Direktīvas 2003/124/EK, 2003/125/EK un 2004/72/EK (OV L 173, 12.6.2014.,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37</w:t>
            </w:r>
            <w:r>
              <w:t xml:space="preserve"> </w:t>
            </w:r>
            <w:r>
              <w:t>Eiropas Parlamenta un Padomes Regula (ES) Nr. 236/2012 (2012. gada 14. marts) par īso pārdošanu un dažiem kredītriska mijmaiņas darījumu aspektiem (OV L 86, 24.3.2012., 1. lpp.).</w:t>
            </w:r>
          </w:p>
        </w:tc>
        <w:tc>
          <w:tcPr>
            <w:tcW w:w="4876" w:type="dxa"/>
            <w:vAlign w:val="top"/>
          </w:tcPr>
          <w:p>
            <w:pPr>
              <w:pStyle w:val="Normal6a"/>
            </w:pPr>
            <w:r>
              <w:rPr>
                <w:rStyle w:val="Sup"/>
              </w:rPr>
              <w:t>37</w:t>
            </w:r>
            <w:r>
              <w:t xml:space="preserve"> </w:t>
            </w:r>
            <w:r>
              <w:t>Eiropas Parlamenta un Padomes Regula (ES) Nr. 236/2012 (2012. gada 14. marts) par īso pārdošanu un dažiem kredītriska mijmaiņas darījumu aspektiem (OV L 86, 24.3.2012.,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38</w:t>
            </w:r>
            <w:r>
              <w:t xml:space="preserve"> </w:t>
            </w:r>
            <w:r>
              <w:t>Eiropas Parlamenta un Padomes Regula (ES) Nr. 909/2014 (2014. gada 23. jūlijs) par vērtspapīru norēķinu uzlabošanu Eiropas Savienībā, centrālajiem vērtspapīru depozitārijiem un grozījumiem Direktīvās 98/26/EK un 2014/65/ES un Regulā (ES) Nr. 236/2012 (OV L 257, 28.8.2014., 1. lpp.).</w:t>
            </w:r>
          </w:p>
        </w:tc>
        <w:tc>
          <w:tcPr>
            <w:tcW w:w="4876" w:type="dxa"/>
            <w:vAlign w:val="top"/>
          </w:tcPr>
          <w:p>
            <w:pPr>
              <w:pStyle w:val="Normal6a"/>
            </w:pPr>
            <w:r>
              <w:rPr>
                <w:rStyle w:val="Sup"/>
              </w:rPr>
              <w:t>38</w:t>
            </w:r>
            <w:r>
              <w:t xml:space="preserve"> </w:t>
            </w:r>
            <w:r>
              <w:t>Eiropas Parlamenta un Padomes Regula (ES) Nr. 909/2014 (2014. gada 23. jūlijs) par vērtspapīru norēķinu uzlabošanu Eiropas Savienībā, centrālajiem vērtspapīru depozitārijiem un grozījumiem Direktīvās 98/26/EK un 2014/65/ES un Regulā (ES) Nr. 236/2012 (OV L 257, 28.8.2014.,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39</w:t>
            </w:r>
            <w:r>
              <w:t xml:space="preserve"> </w:t>
            </w:r>
            <w:r>
              <w:t>Eiropas Parlamenta un Padomes Direktīva 98/26/EK (1998. gada 19. maijs) par norēķinu galīgumu maksājumu un vērtspapīru norēķinu sistēmās (OV L 166, 11.6.1998., 45. lpp.)</w:t>
            </w:r>
          </w:p>
        </w:tc>
        <w:tc>
          <w:tcPr>
            <w:tcW w:w="4876" w:type="dxa"/>
            <w:vAlign w:val="top"/>
          </w:tcPr>
          <w:p>
            <w:pPr>
              <w:pStyle w:val="Normal6a"/>
            </w:pPr>
            <w:r>
              <w:rPr>
                <w:rStyle w:val="Sup"/>
              </w:rPr>
              <w:t>39</w:t>
            </w:r>
            <w:r>
              <w:t xml:space="preserve"> </w:t>
            </w:r>
            <w:r>
              <w:t>Eiropas Parlamenta un Padomes Direktīva 98/26/EK (1998. gada 19. maijs) par norēķinu galīgumu maksājumu un vērtspapīru norēķinu sistēmās (OV L 166, 11.6.1998., 45. lpp.)</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Lielākā daļa kriptoaktīvu neietilpst ES tiesību aktu darbības jomā un cita starpā rada izaicinājumus no ieguldītāju aizsardzības, tirgus integritātes un finanšu stabilitātes viedokļa. Tāpēc attiecībā uz tiem ir vajadzīgs speciāls režīms Savienības līmenī. Turpretī citus kriptoaktīvus var uzskatīt par finanšu instrumentiem Eiropas Parlamenta un Padomes Direktīvas 2014/65/ES (Finanšu instrumentu tirgu direktīva jeb FITD II)</w:t>
            </w:r>
            <w:r>
              <w:rPr>
                <w:rStyle w:val="Sup"/>
              </w:rPr>
              <w:t>33</w:t>
            </w:r>
            <w:r>
              <w:t>nozīmē. Ciktāl kriptoaktīvu var uzskatīt par finanšu instrumentu saskaņā ar minēto direktīvu, uz tā emitentu un sabiedrībām, kas veic ar to saistītas darbības, var attiecināt pilnu Savienības finanšu noteikumu kopumu, tostarp Eiropas Parlamenta un Padomes Regulu (ES) 2017/1129 (Prospektu regula)</w:t>
            </w:r>
            <w:r>
              <w:rPr>
                <w:rStyle w:val="Sup"/>
              </w:rPr>
              <w:t>34</w:t>
            </w:r>
            <w:r>
              <w:t>, Eiropas Parlamenta un Padomes Direktīvu 2013/50/ES (Pārredzamības direktīva)</w:t>
            </w:r>
            <w:r>
              <w:rPr>
                <w:rStyle w:val="Sup"/>
              </w:rPr>
              <w:t>35</w:t>
            </w:r>
            <w:r>
              <w:t>, Eiropas Parlamenta un Padomes Regulu (ES) Nr. 596/2014 (Tirgus ļaunprātīgas izmantošanas regula)</w:t>
            </w:r>
            <w:r>
              <w:rPr>
                <w:rStyle w:val="Sup"/>
              </w:rPr>
              <w:t>36</w:t>
            </w:r>
            <w:r>
              <w:t>, Eiropas Parlamenta un Padomes Regulu (ES) Nr. 236/2012 (Īsās pārdošanas regula)</w:t>
            </w:r>
            <w:r>
              <w:rPr>
                <w:rStyle w:val="Sup"/>
              </w:rPr>
              <w:t>37</w:t>
            </w:r>
            <w:r>
              <w:t>, Eiropas Parlamenta un Padomes Regulu (ES) Nr. 909/2014 (Vērtspapīru norēķinu un centrālo depozitāriju regula)</w:t>
            </w:r>
            <w:r>
              <w:rPr>
                <w:rStyle w:val="Sup"/>
              </w:rPr>
              <w:t>38</w:t>
            </w:r>
            <w:r>
              <w:t>un Eiropas Parlamenta un Padomes Direktīvu 98/26/EK (Norēķinu galīguma direktīva)</w:t>
            </w:r>
            <w:r>
              <w:rPr>
                <w:rStyle w:val="Sup"/>
              </w:rPr>
              <w:t>39</w:t>
            </w:r>
            <w:r>
              <w:t xml:space="preserve">. Paredzams, ka tā dēvētā finanšu instrumentu tokenizācija, proti, to </w:t>
            </w:r>
            <w:r>
              <w:rPr>
                <w:b/>
                <w:i/>
                <w:strike w:val="0"/>
                <w:color w:val="auto"/>
                <w:highlight w:val="none"/>
                <w:u w:val="none" w:color="auto"/>
                <w:vertAlign w:val="baseline"/>
              </w:rPr>
              <w:t>pārveidošana par kriptoaktīviem</w:t>
            </w:r>
            <w:r>
              <w:t xml:space="preserve">, lai tos varētu emitēt, uzglabāt un pārnest uz sadalītu virsgrāmatu, pavērs iespējas efektivitātes uzlabojumiem </w:t>
            </w:r>
            <w:r>
              <w:rPr>
                <w:b/>
                <w:i/>
                <w:strike w:val="0"/>
                <w:color w:val="auto"/>
                <w:highlight w:val="none"/>
                <w:u w:val="none" w:color="auto"/>
                <w:vertAlign w:val="baseline"/>
              </w:rPr>
              <w:t>visā</w:t>
            </w:r>
            <w:r>
              <w:t xml:space="preserve"> tirdzniecības un pēctirdzniecības telpā.</w:t>
            </w:r>
          </w:p>
        </w:tc>
        <w:tc>
          <w:tcPr>
            <w:tcW w:w="4876" w:type="dxa"/>
            <w:vAlign w:val="top"/>
          </w:tcPr>
          <w:p>
            <w:pPr>
              <w:pStyle w:val="Normal6a"/>
            </w:pPr>
            <w:r>
              <w:t>(2)</w:t>
            </w:r>
            <w:r>
              <w:tab/>
            </w:r>
            <w:r>
              <w:t>Lielākā daļa kriptoaktīvu neietilpst ES tiesību aktu darbības jomā un cita starpā rada izaicinājumus no ieguldītāju aizsardzības, tirgus integritātes un finanšu stabilitātes viedokļa. Tāpēc attiecībā uz tiem ir vajadzīgs speciāls režīms Savienības līmenī. Turpretī citus kriptoaktīvus var uzskatīt par finanšu instrumentiem Eiropas Parlamenta un Padomes Direktīvas 2014/65/ES (Finanšu instrumentu tirgu direktīva jeb FITD II)</w:t>
            </w:r>
            <w:r>
              <w:rPr>
                <w:rStyle w:val="Sup"/>
              </w:rPr>
              <w:t>33</w:t>
            </w:r>
            <w:r>
              <w:t xml:space="preserve"> nozīmē. Ciktāl kriptoaktīvu var uzskatīt par finanšu instrumentu saskaņā ar minēto direktīvu, uz tā emitentu un sabiedrībām, kas veic ar to saistītas darbības, var attiecināt pilnu Savienības finanšu noteikumu kopumu, tostarp Eiropas Parlamenta un Padomes Regulu (ES) 2017/1129 (Prospektu regula)</w:t>
            </w:r>
            <w:r>
              <w:rPr>
                <w:rStyle w:val="Sup"/>
              </w:rPr>
              <w:t>34</w:t>
            </w:r>
            <w:r>
              <w:t>, Eiropas Parlamenta un Padomes Direktīvu 2013/50/ES (Pārredzamības direktīva)</w:t>
            </w:r>
            <w:r>
              <w:rPr>
                <w:rStyle w:val="Sup"/>
              </w:rPr>
              <w:t>35</w:t>
            </w:r>
            <w:r>
              <w:t>, Eiropas Parlamenta un Padomes Regulu (ES) Nr. 596/2014 (Tirgus ļaunprātīgas izmantošanas regula)</w:t>
            </w:r>
            <w:r>
              <w:rPr>
                <w:rStyle w:val="Sup"/>
              </w:rPr>
              <w:t>36</w:t>
            </w:r>
            <w:r>
              <w:t>, Eiropas Parlamenta un Padomes Regulu (ES) Nr. 236/2012 (Īsās pārdošanas regula)</w:t>
            </w:r>
            <w:r>
              <w:rPr>
                <w:rStyle w:val="Sup"/>
              </w:rPr>
              <w:t>37</w:t>
            </w:r>
            <w:r>
              <w:t>, Eiropas Parlamenta un Padomes Regulu (ES) Nr. 909/2014 (Vērtspapīru norēķinu un centrālo depozitāriju regula)</w:t>
            </w:r>
            <w:r>
              <w:rPr>
                <w:rStyle w:val="Sup"/>
              </w:rPr>
              <w:t>38</w:t>
            </w:r>
            <w:r>
              <w:t xml:space="preserve"> un Eiropas Parlamenta un Padomes Direktīvu 98/26/EK (Norēķinu galīguma direktīva)</w:t>
            </w:r>
            <w:r>
              <w:rPr>
                <w:rStyle w:val="Sup"/>
              </w:rPr>
              <w:t>39</w:t>
            </w:r>
            <w:r>
              <w:t xml:space="preserve">. Paredzams, ka tā dēvētā finanšu instrumentu tokenizācija, proti, to </w:t>
            </w:r>
            <w:r>
              <w:rPr>
                <w:b/>
                <w:i/>
                <w:strike w:val="0"/>
                <w:color w:val="auto"/>
                <w:highlight w:val="none"/>
                <w:u w:val="none" w:color="auto"/>
                <w:vertAlign w:val="baseline"/>
              </w:rPr>
              <w:t>digitāla atveide sadalītajās virsgrāmatās vai tradicionālu aktīvu grupu emitēšana tokenizētā veidā</w:t>
            </w:r>
            <w:r>
              <w:t xml:space="preserve">, lai tos varētu emitēt, uzglabāt un pārnest uz sadalītu virsgrāmatu, pavērs iespējas efektivitātes uzlabojumiem tirdzniecības un pēctirdzniecības telpā. </w:t>
            </w:r>
            <w:r>
              <w:rPr>
                <w:b/>
                <w:i/>
                <w:strike w:val="0"/>
                <w:color w:val="auto"/>
                <w:highlight w:val="none"/>
                <w:u w:val="none" w:color="auto"/>
                <w:vertAlign w:val="baseline"/>
              </w:rPr>
              <w:t>Sadalītās virsgrāmatas tehnoloģijai (DLT) ir potenciāls veicināt datu un uzņēmējdarbības procesu koplietošanu, pārsniedzot līmeni, ko nodrošina pašreizējās sadalītās datubāzes, kuras līdz šim ir izmantotas, lai dalībnieki, kuri atrodas dažādās vietās, varētu lasīt vienas iestādes pārvaldītas datu kopas saturu.</w:t>
            </w:r>
            <w:r>
              <w:t xml:space="preserve"> </w:t>
            </w:r>
            <w:r>
              <w:rPr>
                <w:b/>
                <w:i/>
                <w:strike w:val="0"/>
                <w:color w:val="auto"/>
                <w:highlight w:val="none"/>
                <w:u w:val="none" w:color="auto"/>
                <w:vertAlign w:val="baseline"/>
              </w:rPr>
              <w:t>SVT mērķis ir radīt vērtību tirgus dalībniekiem, ļaujot dažādām iestādēm kopīgi pārvaldīt informāciju sadalītajā virsgrāmatā un ievērot vienādas procedūras šīs informācijas atjaunināšanai.</w:t>
            </w:r>
            <w:r>
              <w:t xml:space="preserve"> </w:t>
            </w:r>
            <w:r>
              <w:rPr>
                <w:b/>
                <w:i/>
                <w:strike w:val="0"/>
                <w:color w:val="auto"/>
                <w:highlight w:val="none"/>
                <w:u w:val="none" w:color="auto"/>
                <w:vertAlign w:val="baseline"/>
              </w:rPr>
              <w:t>Katra finanšu darījumu apstrādē iesaistītā struktūra pašlaik uztur neatkarīgu centrālo reģistru par savu klientu aktīvu turējumiem, un tai ir jānodrošina šā reģistra saskaņotība ar datiem, kas tiek glabāti citās centralizēti pārvaldītās datubāzēs dažādos pēctirdzniecības vērtības ķēdes posmos.</w:t>
            </w:r>
            <w:r>
              <w:t xml:space="preserve"> </w:t>
            </w:r>
            <w:r>
              <w:rPr>
                <w:b/>
                <w:i/>
                <w:strike w:val="0"/>
                <w:color w:val="auto"/>
                <w:highlight w:val="none"/>
                <w:u w:val="none" w:color="auto"/>
                <w:vertAlign w:val="baseline"/>
              </w:rPr>
              <w:t>SVT varētu atvieglot pēctirdzniecības integrāciju, izmantojot infrastruktūru, kas nodrošina, ka katrs lietotājs redz saskaņotu un atjauninātu informāciju par aktīviem, par kuriem tas ir atbildīgs, un ka vienus un tos pašus aktīvus var pārvest ar augstu automatizācijas pakāpi.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33</w:t>
            </w:r>
            <w:r>
              <w:t xml:space="preserve"> </w:t>
            </w:r>
            <w:r>
              <w:t>Eiropas Parlamenta un Padomes Direktīva 2014/65/ES (2014. gada 15. maijs) par finanšu instrumentu tirgiem un ar ko groza Direktīvu 2002/92/ES un Direktīvu 2011/61/ES (OV L 173, 12.6.2014., 349. lpp.).</w:t>
            </w:r>
          </w:p>
        </w:tc>
        <w:tc>
          <w:tcPr>
            <w:tcW w:w="4876" w:type="dxa"/>
            <w:vAlign w:val="top"/>
          </w:tcPr>
          <w:p>
            <w:pPr>
              <w:pStyle w:val="Normal6a"/>
            </w:pPr>
            <w:r>
              <w:rPr>
                <w:rStyle w:val="Sup"/>
              </w:rPr>
              <w:t>33</w:t>
            </w:r>
            <w:r>
              <w:t xml:space="preserve"> </w:t>
            </w:r>
            <w:r>
              <w:t>Eiropas Parlamenta un Padomes Direktīva 2014/65/ES (2014. gada 15. maijs) par finanšu instrumentu tirgiem un ar ko groza Direktīvu 2002/92/ES un Direktīvu 2011/61/ES (OV L 173, 12.6.2014., 349.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34</w:t>
            </w:r>
            <w:r>
              <w:t xml:space="preserve"> </w:t>
            </w:r>
            <w:r>
              <w:t>Eiropas Parlamenta un Padomes Regula (ES) 2017/1129 (2017. gada 14. jūnijs) par prospektu, kurš jāpublicē, publiski piedāvājot vērtspapīrus vai atļaujot to tirdzniecību regulētā tirgū, un ar ko atceļ Direktīvu 2003/71/EK (OV L 168, 30.6.2017., 12. lpp.).</w:t>
            </w:r>
          </w:p>
        </w:tc>
        <w:tc>
          <w:tcPr>
            <w:tcW w:w="4876" w:type="dxa"/>
            <w:vAlign w:val="top"/>
          </w:tcPr>
          <w:p>
            <w:pPr>
              <w:pStyle w:val="Normal6a"/>
            </w:pPr>
            <w:r>
              <w:rPr>
                <w:rStyle w:val="Sup"/>
              </w:rPr>
              <w:t>34</w:t>
            </w:r>
            <w:r>
              <w:t xml:space="preserve"> </w:t>
            </w:r>
            <w:r>
              <w:t>Eiropas Parlamenta un Padomes Regula (ES) 2017/1129 (2017. gada 14. jūnijs) par prospektu, kurš jāpublicē, publiski piedāvājot vērtspapīrus vai atļaujot to tirdzniecību regulētā tirgū, un ar ko atceļ Direktīvu 2003/71/EK (OV L 168, 30.6.2017., 12.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35</w:t>
            </w:r>
            <w:r>
              <w:t xml:space="preserve"> </w:t>
            </w:r>
            <w:r>
              <w:t>Eiropas Parlamenta un Padomes Direktīva 2013/50/ES (2013. gada 22. oktobris), ar kuru groza Eiropas Parlamenta un Padomes Direktīvu 2004/109/EK par atklātības prasību saskaņošanu attiecībā uz informāciju par emitentiem, kuru vērtspapīrus atļauts tirgot regulētā tirgū, Eiropas Parlamenta un Padomes Direktīvu 2003/71/EK par prospektu, kurš jāpublicē, publiski piedāvājot vērtspapīrus vai atļaujot to tirdzniecību, un Komisijas Direktīvu 2007/14/EK, ar ko nosaka sīki izstrādātus noteikumus Direktīvas 2004/109/EK atsevišķu noteikumu īstenošanai (OV L 294, 6.11.2013., 13. lpp.).</w:t>
            </w:r>
          </w:p>
        </w:tc>
        <w:tc>
          <w:tcPr>
            <w:tcW w:w="4876" w:type="dxa"/>
            <w:vAlign w:val="top"/>
          </w:tcPr>
          <w:p>
            <w:pPr>
              <w:pStyle w:val="Normal6a"/>
            </w:pPr>
            <w:r>
              <w:rPr>
                <w:rStyle w:val="Sup"/>
              </w:rPr>
              <w:t>35</w:t>
            </w:r>
            <w:r>
              <w:t xml:space="preserve"> </w:t>
            </w:r>
            <w:r>
              <w:t>Eiropas Parlamenta un Padomes Direktīva 2013/50/ES (2013. gada 22. oktobris), ar kuru groza Eiropas Parlamenta un Padomes Direktīvu 2004/109/EK par atklātības prasību saskaņošanu attiecībā uz informāciju par emitentiem, kuru vērtspapīrus atļauts tirgot regulētā tirgū, Eiropas Parlamenta un Padomes Direktīvu 2003/71/EK par prospektu, kurš jāpublicē, publiski piedāvājot vērtspapīrus vai atļaujot to tirdzniecību, un Komisijas Direktīvu 2007/14/EK, ar ko nosaka sīki izstrādātus noteikumus Direktīvas 2004/109/EK atsevišķu noteikumu īstenošanai (OV L 294, 6.11.2013., 13.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Eiropas Parlamenta un Padomes Regula (ES) Nr. 596/2014 (2014. gada 16. aprīlis) par tirgus ļaunprātīgu izmantošanu (tirgus ļaunprātīgas izmantošanas regula) un ar ko atceļ Eiropas Parlamenta un Padomes Direktīvu 2003/6/EK un Komisijas Direktīvas 2003/124/EK, 2003/125/EK un 2004/72/EK (OV L 173, 12.6.2014., 1. lpp.).</w:t>
            </w:r>
          </w:p>
        </w:tc>
        <w:tc>
          <w:tcPr>
            <w:tcW w:w="4876" w:type="dxa"/>
            <w:vAlign w:val="top"/>
          </w:tcPr>
          <w:p>
            <w:pPr>
              <w:pStyle w:val="Normal6a"/>
            </w:pPr>
            <w:r>
              <w:rPr>
                <w:rStyle w:val="Sup"/>
              </w:rPr>
              <w:t>36</w:t>
            </w:r>
            <w:r>
              <w:t xml:space="preserve"> </w:t>
            </w:r>
            <w:r>
              <w:t>Eiropas Parlamenta un Padomes Regula (ES) Nr. 596/2014 (2014. gada 16. aprīlis) par tirgus ļaunprātīgu izmantošanu (tirgus ļaunprātīgas izmantošanas regula) un ar ko atceļ Eiropas Parlamenta un Padomes Direktīvu 2003/6/EK un Komisijas Direktīvas 2003/124/EK, 2003/125/EK un 2004/72/EK (OV L 173, 12.6.2014.,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37</w:t>
            </w:r>
            <w:r>
              <w:t xml:space="preserve"> </w:t>
            </w:r>
            <w:r>
              <w:t>Eiropas Parlamenta un Padomes Regula (ES) Nr. 236/2012 (2012. gada 14. marts) par īso pārdošanu un dažiem kredītriska mijmaiņas darījumu aspektiem (OV L 86, 24.3.2012., 1. lpp.).</w:t>
            </w:r>
          </w:p>
        </w:tc>
        <w:tc>
          <w:tcPr>
            <w:tcW w:w="4876" w:type="dxa"/>
            <w:vAlign w:val="top"/>
          </w:tcPr>
          <w:p>
            <w:pPr>
              <w:pStyle w:val="Normal6a"/>
            </w:pPr>
            <w:r>
              <w:rPr>
                <w:rStyle w:val="Sup"/>
              </w:rPr>
              <w:t>37</w:t>
            </w:r>
            <w:r>
              <w:t xml:space="preserve"> </w:t>
            </w:r>
            <w:r>
              <w:t>Eiropas Parlamenta un Padomes Regula (ES) Nr. 236/2012 (2012. gada 14. marts) par īso pārdošanu un dažiem kredītriska mijmaiņas darījumu aspektiem (OV L 86, 24.3.2012.,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38</w:t>
            </w:r>
            <w:r>
              <w:t xml:space="preserve"> </w:t>
            </w:r>
            <w:r>
              <w:t>Eiropas Parlamenta un Padomes Regula (ES) Nr. 909/2014 (2014. gada 23. jūlijs) par vērtspapīru norēķinu uzlabošanu Eiropas Savienībā, centrālajiem vērtspapīru depozitārijiem un grozījumiem Direktīvās 98/26/EK un 2014/65/ES un Regulā (ES) Nr. 236/2012 (OV L 257, 28.8.2014., 1. lpp.).</w:t>
            </w:r>
          </w:p>
        </w:tc>
        <w:tc>
          <w:tcPr>
            <w:tcW w:w="4876" w:type="dxa"/>
            <w:vAlign w:val="top"/>
          </w:tcPr>
          <w:p>
            <w:pPr>
              <w:pStyle w:val="Normal6a"/>
            </w:pPr>
            <w:r>
              <w:rPr>
                <w:rStyle w:val="Sup"/>
              </w:rPr>
              <w:t>38</w:t>
            </w:r>
            <w:r>
              <w:t xml:space="preserve"> </w:t>
            </w:r>
            <w:r>
              <w:t>Eiropas Parlamenta un Padomes Regula (ES) Nr. 909/2014 (2014. gada 23. jūlijs) par vērtspapīru norēķinu uzlabošanu Eiropas Savienībā, centrālajiem vērtspapīru depozitārijiem un grozījumiem Direktīvās 98/26/EK un 2014/65/ES un Regulā (ES) Nr. 236/2012 (OV L 257, 28.8.2014.,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39</w:t>
            </w:r>
            <w:r>
              <w:t xml:space="preserve"> </w:t>
            </w:r>
            <w:r>
              <w:t>Eiropas Parlamenta un Padomes Direktīva 98/26/EK (1998. gada 19. maijs) par norēķinu galīgumu maksājumu un vērtspapīru norēķinu sistēmās (OV L 166, 11.6.1998., 45. lpp.)</w:t>
            </w:r>
          </w:p>
        </w:tc>
        <w:tc>
          <w:tcPr>
            <w:tcW w:w="4876" w:type="dxa"/>
            <w:vAlign w:val="top"/>
          </w:tcPr>
          <w:p>
            <w:pPr>
              <w:pStyle w:val="Normal6a"/>
            </w:pPr>
            <w:r>
              <w:rPr>
                <w:rStyle w:val="Sup"/>
              </w:rPr>
              <w:t>39</w:t>
            </w:r>
            <w:r>
              <w:t xml:space="preserve"> </w:t>
            </w:r>
            <w:r>
              <w:t>Eiropas Parlamenta un Padomes Direktīva 98/26/EK (1998. gada 19. maijs) par norēķinu galīgumu maksājumu un vērtspapīru norēķinu sistēmās (OV L 166, 11.6.1998., 45. lpp.)</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Saskaņā ar plaši lietoto definīciju (piemēram, ESAO); fragments no kopsavilkuma par ECB 2017. gada ziņojumu “The potential impact of DLTs on securities post-trading harmonisation and on the wider EU financial market integration” (Iespējamā SVT ietekme uz vērtspapīru pēctirdzniecības saskaņošanu un plašāku ES finanšu tirgus integrāciju), ko izstrādājusi Vērtspapīru un nodrošinājuma tirgus infrastruktūru konsultatīvā grupa (AMI-SeCo).</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Lielākā daļa kriptoaktīvu neietilpst ES tiesību aktu darbības jomā un cita starpā rada izaicinājumus no ieguldītāju aizsardzības, tirgus integritātes un finanšu stabilitātes viedokļa. Tāpēc attiecībā uz tiem ir vajadzīgs speciāls režīms Savienības līmenī. Turpretī citus kriptoaktīvus var uzskatīt par finanšu instrumentiem Eiropas Parlamenta un Padomes Direktīvas 2014/65/ES (Finanšu instrumentu tirgu direktīva jeb FITD II)</w:t>
            </w:r>
            <w:r>
              <w:rPr>
                <w:rStyle w:val="Sup"/>
              </w:rPr>
              <w:t>33</w:t>
            </w:r>
            <w:r>
              <w:t>nozīmē. Ciktāl kriptoaktīvu var uzskatīt par finanšu instrumentu saskaņā ar minēto direktīvu, uz tā emitentu un sabiedrībām, kas veic ar to saistītas darbības, var attiecināt pilnu Savienības finanšu noteikumu kopumu, tostarp Eiropas Parlamenta un Padomes Regulu (ES) 2017/1129 (Prospektu regula)</w:t>
            </w:r>
            <w:r>
              <w:rPr>
                <w:rStyle w:val="Sup"/>
              </w:rPr>
              <w:t>34</w:t>
            </w:r>
            <w:r>
              <w:t>, Eiropas Parlamenta un Padomes Direktīvu 2013/50/ES (Pārredzamības direktīva)</w:t>
            </w:r>
            <w:r>
              <w:rPr>
                <w:rStyle w:val="Sup"/>
              </w:rPr>
              <w:t>35</w:t>
            </w:r>
            <w:r>
              <w:t>, Eiropas Parlamenta un Padomes Regulu (ES) Nr. 596/2014 (Tirgus ļaunprātīgas izmantošanas regula)</w:t>
            </w:r>
            <w:r>
              <w:rPr>
                <w:rStyle w:val="Sup"/>
              </w:rPr>
              <w:t>36</w:t>
            </w:r>
            <w:r>
              <w:t>, Eiropas Parlamenta un Padomes Regulu (ES) Nr. 236/2012 (Īsās pārdošanas regula)</w:t>
            </w:r>
            <w:r>
              <w:rPr>
                <w:rStyle w:val="Sup"/>
              </w:rPr>
              <w:t>37</w:t>
            </w:r>
            <w:r>
              <w:t>, Eiropas Parlamenta un Padomes Regulu (ES) Nr. 909/2014 (Vērtspapīru norēķinu un centrālo depozitāriju regula)</w:t>
            </w:r>
            <w:r>
              <w:rPr>
                <w:rStyle w:val="Sup"/>
              </w:rPr>
              <w:t>38</w:t>
            </w:r>
            <w:r>
              <w:t>un Eiropas Parlamenta un Padomes Direktīvu 98/26/EK (Norēķinu galīguma direktīva)</w:t>
            </w:r>
            <w:r>
              <w:rPr>
                <w:rStyle w:val="Sup"/>
              </w:rPr>
              <w:t>39</w:t>
            </w:r>
            <w:r>
              <w:t xml:space="preserve">. Paredzams, ka tā dēvētā finanšu instrumentu tokenizācija, proti, to pārveidošana par kriptoaktīviem, lai tos varētu emitēt, uzglabāt un pārnest uz sadalītu virsgrāmatu, pavērs iespējas efektivitātes uzlabojumiem </w:t>
            </w:r>
            <w:r>
              <w:rPr>
                <w:b/>
                <w:i/>
                <w:strike w:val="0"/>
                <w:color w:val="auto"/>
                <w:highlight w:val="none"/>
                <w:u w:val="none" w:color="auto"/>
                <w:vertAlign w:val="baseline"/>
              </w:rPr>
              <w:t>visā</w:t>
            </w:r>
            <w:r>
              <w:t xml:space="preserve"> tirdzniecības un pēctirdzniecības </w:t>
            </w:r>
            <w:r>
              <w:rPr>
                <w:b/>
                <w:i/>
                <w:strike w:val="0"/>
                <w:color w:val="auto"/>
                <w:highlight w:val="none"/>
                <w:u w:val="none" w:color="auto"/>
                <w:vertAlign w:val="baseline"/>
              </w:rPr>
              <w:t>telpā</w:t>
            </w:r>
            <w:r>
              <w:t>.</w:t>
            </w:r>
          </w:p>
        </w:tc>
        <w:tc>
          <w:tcPr>
            <w:tcW w:w="4876" w:type="dxa"/>
            <w:vAlign w:val="top"/>
          </w:tcPr>
          <w:p>
            <w:pPr>
              <w:pStyle w:val="Normal6a"/>
            </w:pPr>
            <w:r>
              <w:t>(2)</w:t>
            </w:r>
            <w:r>
              <w:tab/>
            </w:r>
            <w:r>
              <w:t>Lielākā daļa kriptoaktīvu neietilpst ES tiesību aktu darbības jomā un cita starpā rada izaicinājumus no ieguldītāju aizsardzības, tirgus integritātes</w:t>
            </w:r>
            <w:r>
              <w:rPr>
                <w:b/>
                <w:i/>
                <w:strike w:val="0"/>
                <w:color w:val="auto"/>
                <w:highlight w:val="none"/>
                <w:u w:val="none" w:color="auto"/>
                <w:vertAlign w:val="baseline"/>
              </w:rPr>
              <w:t>, enerģijas patēriņa</w:t>
            </w:r>
            <w:r>
              <w:t xml:space="preserve"> un finanšu stabilitātes viedokļa. Tāpēc attiecībā uz tiem ir vajadzīgs speciāls režīms Savienības līmenī. Turpretī citus kriptoaktīvus var uzskatīt par finanšu instrumentiem Eiropas Parlamenta un Padomes Direktīvas 2014/65/ES (Finanšu instrumentu tirgu direktīva jeb FITD II)</w:t>
            </w:r>
            <w:r>
              <w:rPr>
                <w:rStyle w:val="Sup"/>
              </w:rPr>
              <w:t>33</w:t>
            </w:r>
            <w:r>
              <w:t xml:space="preserve"> nozīmē. Ciktāl kriptoaktīvu var uzskatīt par finanšu instrumentu saskaņā ar minēto direktīvu, uz tā emitentu un sabiedrībām, kas veic ar to saistītas darbības, var attiecināt pilnu Savienības finanšu noteikumu kopumu, tostarp Eiropas Parlamenta un Padomes Regulu (ES) 2017/1129 (Prospektu regula)</w:t>
            </w:r>
            <w:r>
              <w:rPr>
                <w:rStyle w:val="Sup"/>
              </w:rPr>
              <w:t>34</w:t>
            </w:r>
            <w:r>
              <w:t>, Eiropas Parlamenta un Padomes Direktīvu 2013/50/ES (Pārredzamības direktīva)</w:t>
            </w:r>
            <w:r>
              <w:rPr>
                <w:rStyle w:val="Sup"/>
              </w:rPr>
              <w:t>35</w:t>
            </w:r>
            <w:r>
              <w:t>, Eiropas Parlamenta un Padomes Regulu (ES) Nr. 596/2014 (Tirgus ļaunprātīgas izmantošanas regula)</w:t>
            </w:r>
            <w:r>
              <w:rPr>
                <w:rStyle w:val="Sup"/>
              </w:rPr>
              <w:t>36</w:t>
            </w:r>
            <w:r>
              <w:t>, Eiropas Parlamenta un Padomes Regulu (ES) Nr. 236/2012 (Īsās pārdošanas regula)</w:t>
            </w:r>
            <w:r>
              <w:rPr>
                <w:rStyle w:val="Sup"/>
              </w:rPr>
              <w:t>37</w:t>
            </w:r>
            <w:r>
              <w:t>, Eiropas Parlamenta un Padomes Regulu (ES) Nr. 909/2014 (Vērtspapīru norēķinu un centrālo depozitāriju regula)</w:t>
            </w:r>
            <w:r>
              <w:rPr>
                <w:rStyle w:val="Sup"/>
              </w:rPr>
              <w:t>38</w:t>
            </w:r>
            <w:r>
              <w:t xml:space="preserve"> un Eiropas Parlamenta un Padomes Direktīvu 98/26/EK (Norēķinu galīguma direktīva)</w:t>
            </w:r>
            <w:r>
              <w:rPr>
                <w:rStyle w:val="Sup"/>
              </w:rPr>
              <w:t>39</w:t>
            </w:r>
            <w:r>
              <w:t xml:space="preserve">. Paredzams, ka tā dēvētā finanšu instrumentu tokenizācija, proti, to pārveidošana par kriptoaktīviem, lai tos varētu emitēt, uzglabāt un pārnest uz sadalītu virsgrāmatu, pavērs iespējas efektivitātes uzlabojumiem </w:t>
            </w:r>
            <w:r>
              <w:rPr>
                <w:b/>
                <w:i/>
                <w:strike w:val="0"/>
                <w:color w:val="auto"/>
                <w:highlight w:val="none"/>
                <w:u w:val="none" w:color="auto"/>
                <w:vertAlign w:val="baseline"/>
              </w:rPr>
              <w:t>dažās</w:t>
            </w:r>
            <w:r>
              <w:t xml:space="preserve"> tirdzniecības un pēctirdzniecības </w:t>
            </w:r>
            <w:r>
              <w:rPr>
                <w:b/>
                <w:i/>
                <w:strike w:val="0"/>
                <w:color w:val="auto"/>
                <w:highlight w:val="none"/>
                <w:u w:val="none" w:color="auto"/>
                <w:vertAlign w:val="baseline"/>
              </w:rPr>
              <w:t>telpas daļās ar nosacījumu, ka šādi kriptoaktīvi tiek veidoti energoefektīvā veidā.</w:t>
            </w:r>
            <w:r>
              <w:t xml:space="preserve"> </w:t>
            </w:r>
            <w:r>
              <w:rPr>
                <w:b/>
                <w:i/>
                <w:strike w:val="0"/>
                <w:color w:val="auto"/>
                <w:highlight w:val="none"/>
                <w:u w:val="none" w:color="auto"/>
                <w:vertAlign w:val="baseline"/>
              </w:rPr>
              <w:t>Turklāt, tā kā finanšu instruments un saistītie riski paliek nemainīgi neatkarīgi no tā, vai tiek izmantota SVT, galvenie kompromisi saistībā ar kredītrisku un likviditāti paliek tokenizētā pasaulē.</w:t>
            </w:r>
            <w:r>
              <w:t xml:space="preserve"> </w:t>
            </w:r>
            <w:r>
              <w:rPr>
                <w:b/>
                <w:i/>
                <w:strike w:val="0"/>
                <w:color w:val="auto"/>
                <w:highlight w:val="none"/>
                <w:u w:val="none" w:color="auto"/>
                <w:vertAlign w:val="baseline"/>
              </w:rPr>
              <w:t>Tāpēc uz tokeniem balstītu sistēmu panākumi būs pilnībā atkarīgi no tā, cik labi tās mijiedarbojas ar tradicionālajām uz kontiem balstītajām sistēmām</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33</w:t>
            </w:r>
            <w:r>
              <w:t xml:space="preserve"> </w:t>
            </w:r>
            <w:r>
              <w:t>Eiropas Parlamenta un Padomes Direktīva 2014/65/ES (2014. gada 15. maijs) par finanšu instrumentu tirgiem un ar ko groza Direktīvu 2002/92/ES un Direktīvu 2011/61/ES (OV L 173, 12.6.2014., 349. lpp.).</w:t>
            </w:r>
          </w:p>
        </w:tc>
        <w:tc>
          <w:tcPr>
            <w:tcW w:w="4876" w:type="dxa"/>
            <w:vAlign w:val="top"/>
          </w:tcPr>
          <w:p>
            <w:pPr>
              <w:pStyle w:val="Normal6a"/>
            </w:pPr>
            <w:r>
              <w:rPr>
                <w:rStyle w:val="Sup"/>
              </w:rPr>
              <w:t>33</w:t>
            </w:r>
            <w:r>
              <w:t xml:space="preserve"> </w:t>
            </w:r>
            <w:r>
              <w:t>Eiropas Parlamenta un Padomes Direktīva 2014/65/ES (2014. gada 15. maijs) par finanšu instrumentu tirgiem un ar ko groza Direktīvu 2002/92/ES un Direktīvu 2011/61/ES (OV L 173, 12.6.2014., 349.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34</w:t>
            </w:r>
            <w:r>
              <w:t xml:space="preserve"> </w:t>
            </w:r>
            <w:r>
              <w:t>Eiropas Parlamenta un Padomes Regula (ES) 2017/1129 (2017. gada 14. jūnijs) par prospektu, kurš jāpublicē, publiski piedāvājot vērtspapīrus vai atļaujot to tirdzniecību regulētā tirgū, un ar ko atceļ Direktīvu 2003/71/EK (OV L 168, 30.6.2017., 12. lpp.).</w:t>
            </w:r>
          </w:p>
        </w:tc>
        <w:tc>
          <w:tcPr>
            <w:tcW w:w="4876" w:type="dxa"/>
            <w:vAlign w:val="top"/>
          </w:tcPr>
          <w:p>
            <w:pPr>
              <w:pStyle w:val="Normal6a"/>
            </w:pPr>
            <w:r>
              <w:rPr>
                <w:rStyle w:val="Sup"/>
              </w:rPr>
              <w:t>34</w:t>
            </w:r>
            <w:r>
              <w:t xml:space="preserve"> </w:t>
            </w:r>
            <w:r>
              <w:t>Eiropas Parlamenta un Padomes Regula (ES) 2017/1129 (2017. gada 14. jūnijs) par prospektu, kurš jāpublicē, publiski piedāvājot vērtspapīrus vai atļaujot to tirdzniecību regulētā tirgū, un ar ko atceļ Direktīvu 2003/71/EK (OV L 168, 30.6.2017., 12.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35</w:t>
            </w:r>
            <w:r>
              <w:t xml:space="preserve"> </w:t>
            </w:r>
            <w:r>
              <w:t>Eiropas Parlamenta un Padomes Direktīva 2013/50/ES (2013. gada 22. oktobris), ar kuru groza Eiropas Parlamenta un Padomes Direktīvu 2004/109/EK par atklātības prasību saskaņošanu attiecībā uz informāciju par emitentiem, kuru vērtspapīrus atļauts tirgot regulētā tirgū, Eiropas Parlamenta un Padomes Direktīvu 2003/71/EK par prospektu, kurš jāpublicē, publiski piedāvājot vērtspapīrus vai atļaujot to tirdzniecību, un Komisijas Direktīvu 2007/14/EK, ar ko nosaka sīki izstrādātus noteikumus Direktīvas 2004/109/EK atsevišķu noteikumu īstenošanai (OV L 294, 6.11.2013., 13. lpp.).</w:t>
            </w:r>
          </w:p>
        </w:tc>
        <w:tc>
          <w:tcPr>
            <w:tcW w:w="4876" w:type="dxa"/>
            <w:vAlign w:val="top"/>
          </w:tcPr>
          <w:p>
            <w:pPr>
              <w:pStyle w:val="Normal6a"/>
            </w:pPr>
            <w:r>
              <w:rPr>
                <w:rStyle w:val="Sup"/>
              </w:rPr>
              <w:t>35</w:t>
            </w:r>
            <w:r>
              <w:t xml:space="preserve"> </w:t>
            </w:r>
            <w:r>
              <w:t>Eiropas Parlamenta un Padomes Direktīva 2013/50/ES (2013. gada 22. oktobris), ar kuru groza Eiropas Parlamenta un Padomes Direktīvu 2004/109/EK par atklātības prasību saskaņošanu attiecībā uz informāciju par emitentiem, kuru vērtspapīrus atļauts tirgot regulētā tirgū, Eiropas Parlamenta un Padomes Direktīvu 2003/71/EK par prospektu, kurš jāpublicē, publiski piedāvājot vērtspapīrus vai atļaujot to tirdzniecību, un Komisijas Direktīvu 2007/14/EK, ar ko nosaka sīki izstrādātus noteikumus Direktīvas 2004/109/EK atsevišķu noteikumu īstenošanai (OV L 294, 6.11.2013., 13.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Eiropas Parlamenta un Padomes Regula (ES) Nr. 596/2014 (2014. gada 16. aprīlis) par tirgus ļaunprātīgu izmantošanu (tirgus ļaunprātīgas izmantošanas regula) un ar ko atceļ Eiropas Parlamenta un Padomes Direktīvu 2003/6/EK un Komisijas Direktīvas 2003/124/EK, 2003/125/EK un 2004/72/EK (OV L 173, 12.6.2014., 1. lpp.).</w:t>
            </w:r>
          </w:p>
        </w:tc>
        <w:tc>
          <w:tcPr>
            <w:tcW w:w="4876" w:type="dxa"/>
            <w:vAlign w:val="top"/>
          </w:tcPr>
          <w:p>
            <w:pPr>
              <w:pStyle w:val="Normal6a"/>
            </w:pPr>
            <w:r>
              <w:rPr>
                <w:rStyle w:val="Sup"/>
              </w:rPr>
              <w:t>36</w:t>
            </w:r>
            <w:r>
              <w:t xml:space="preserve"> </w:t>
            </w:r>
            <w:r>
              <w:t>Eiropas Parlamenta un Padomes Regula (ES) Nr. 596/2014 (2014. gada 16. aprīlis) par tirgus ļaunprātīgu izmantošanu (tirgus ļaunprātīgas izmantošanas regula) un ar ko atceļ Eiropas Parlamenta un Padomes Direktīvu 2003/6/EK un Komisijas Direktīvas 2003/124/EK, 2003/125/EK un 2004/72/EK (OV L 173, 12.6.2014.,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37</w:t>
            </w:r>
            <w:r>
              <w:t xml:space="preserve"> </w:t>
            </w:r>
            <w:r>
              <w:t>Eiropas Parlamenta un Padomes Regula (ES) Nr. 236/2012 (2012. gada 14. marts) par īso pārdošanu un dažiem kredītriska mijmaiņas darījumu aspektiem (OV L 86, 24.3.2012., 1. lpp.).</w:t>
            </w:r>
          </w:p>
        </w:tc>
        <w:tc>
          <w:tcPr>
            <w:tcW w:w="4876" w:type="dxa"/>
            <w:vAlign w:val="top"/>
          </w:tcPr>
          <w:p>
            <w:pPr>
              <w:pStyle w:val="Normal6a"/>
            </w:pPr>
            <w:r>
              <w:rPr>
                <w:rStyle w:val="Sup"/>
              </w:rPr>
              <w:t>37</w:t>
            </w:r>
            <w:r>
              <w:t xml:space="preserve"> </w:t>
            </w:r>
            <w:r>
              <w:t>Eiropas Parlamenta un Padomes Regula (ES) Nr. 236/2012 (2012. gada 14. marts) par īso pārdošanu un dažiem kredītriska mijmaiņas darījumu aspektiem (OV L 86, 24.3.2012.,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38</w:t>
            </w:r>
            <w:r>
              <w:t xml:space="preserve"> </w:t>
            </w:r>
            <w:r>
              <w:t>Eiropas Parlamenta un Padomes Regula (ES) Nr. 909/2014 (2014. gada 23. jūlijs) par vērtspapīru norēķinu uzlabošanu Eiropas Savienībā, centrālajiem vērtspapīru depozitārijiem un grozījumiem Direktīvās 98/26/EK un 2014/65/ES un Regulā (ES) Nr. 236/2012 (OV L 257, 28.8.2014., 1. lpp.).</w:t>
            </w:r>
          </w:p>
        </w:tc>
        <w:tc>
          <w:tcPr>
            <w:tcW w:w="4876" w:type="dxa"/>
            <w:vAlign w:val="top"/>
          </w:tcPr>
          <w:p>
            <w:pPr>
              <w:pStyle w:val="Normal6a"/>
            </w:pPr>
            <w:r>
              <w:rPr>
                <w:rStyle w:val="Sup"/>
              </w:rPr>
              <w:t>38</w:t>
            </w:r>
            <w:r>
              <w:t xml:space="preserve"> </w:t>
            </w:r>
            <w:r>
              <w:t>Eiropas Parlamenta un Padomes Regula (ES) Nr. 909/2014 (2014. gada 23. jūlijs) par vērtspapīru norēķinu uzlabošanu Eiropas Savienībā, centrālajiem vērtspapīru depozitārijiem un grozījumiem Direktīvās 98/26/EK un 2014/65/ES un Regulā (ES) Nr. 236/2012 (OV L 257, 28.8.2014.,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39</w:t>
            </w:r>
            <w:r>
              <w:t xml:space="preserve"> </w:t>
            </w:r>
            <w:r>
              <w:t>Eiropas Parlamenta un Padomes Direktīva 98/26/EK (1998. gada 19. maijs) par norēķinu galīgumu maksājumu un vērtspapīru norēķinu sistēmās (OV L 166, 11.6.1998., 45. lpp.)</w:t>
            </w:r>
          </w:p>
        </w:tc>
        <w:tc>
          <w:tcPr>
            <w:tcW w:w="4876" w:type="dxa"/>
            <w:vAlign w:val="top"/>
          </w:tcPr>
          <w:p>
            <w:pPr>
              <w:pStyle w:val="Normal6a"/>
            </w:pPr>
            <w:r>
              <w:rPr>
                <w:rStyle w:val="Sup"/>
              </w:rPr>
              <w:t>39</w:t>
            </w:r>
            <w:r>
              <w:t xml:space="preserve"> </w:t>
            </w:r>
            <w:r>
              <w:t>Eiropas Parlamenta un Padomes Direktīva 98/26/EK (1998. gada 19. maijs) par norēķinu galīgumu maksājumu un vērtspapīru norēķinu sistēmās (OV L 166, 11.6.1998., 45. lpp.)</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Savienības finanšu pakalpojumu tiesību akti netika izstrādāti, domājot par SVT un kriptoaktīviem</w:t>
            </w:r>
            <w:r>
              <w:rPr>
                <w:rStyle w:val="Sup"/>
              </w:rPr>
              <w:t>40</w:t>
            </w:r>
            <w:r>
              <w:t xml:space="preserve">, un esošajos ES finanšu pakalpojumu tiesību aktos ir noteikumi, kas var liegt vai ierobežot SVT izmantošanu to kriptoaktīvu emitēšanā, tirdzniecībā un norēķinos, kurus var uzskatīt par finanšu instrumentiem. Patlaban arī nav tirgus infrastruktūru, kas izmanto SVT un sniedz tirdzniecības un norēķinu pakalpojumus attiecībā uz kriptoaktīviem, kurus var uzskatīt par finanšu instrumentiem. </w:t>
            </w:r>
            <w:r>
              <w:rPr>
                <w:b/>
                <w:i/>
                <w:strike w:val="0"/>
                <w:color w:val="auto"/>
                <w:highlight w:val="none"/>
                <w:u w:val="none" w:color="auto"/>
                <w:vertAlign w:val="baseline"/>
              </w:rPr>
              <w:t>Bez sekundārā tirgus, kas spēj nodrošināt likviditāti un</w:t>
            </w:r>
            <w:r>
              <w:t xml:space="preserve"> sniegt </w:t>
            </w:r>
            <w:r>
              <w:rPr>
                <w:b/>
                <w:i/>
                <w:strike w:val="0"/>
                <w:color w:val="auto"/>
                <w:highlight w:val="none"/>
                <w:u w:val="none" w:color="auto"/>
                <w:vertAlign w:val="baseline"/>
              </w:rPr>
              <w:t>ieguldītājiem iespēju pirkt un pārdot šādus aktīvus, kriptoaktīvu, kurus var uzskatīt par finanšu instrumentiem, primārais tirgus nekad ilgtspējīgi nepaplašināsies</w:t>
            </w:r>
            <w:r>
              <w:t>.</w:t>
            </w:r>
          </w:p>
        </w:tc>
        <w:tc>
          <w:tcPr>
            <w:tcW w:w="4876" w:type="dxa"/>
            <w:vAlign w:val="top"/>
          </w:tcPr>
          <w:p>
            <w:pPr>
              <w:pStyle w:val="Normal6a"/>
            </w:pPr>
            <w:r>
              <w:t>(3)</w:t>
            </w:r>
            <w:r>
              <w:tab/>
            </w:r>
            <w:r>
              <w:t>Savienības finanšu pakalpojumu tiesību akti netika izstrādāti, domājot par SVT un kriptoaktīviem</w:t>
            </w:r>
            <w:r>
              <w:rPr>
                <w:rStyle w:val="Sup"/>
              </w:rPr>
              <w:t>40</w:t>
            </w:r>
            <w:r>
              <w:t xml:space="preserve">, un esošajos ES finanšu pakalpojumu tiesību aktos ir noteikumi, kas var liegt vai ierobežot SVT izmantošanu to kriptoaktīvu emitēšanā, tirdzniecībā un norēķinos, kurus var uzskatīt par finanšu instrumentiem. Patlaban arī nav tirgus infrastruktūru, kas izmanto SVT un sniedz tirdzniecības un norēķinu pakalpojumus attiecībā uz kriptoaktīviem, kurus var uzskatīt par finanšu instrumentiem. </w:t>
            </w:r>
            <w:r>
              <w:rPr>
                <w:b/>
                <w:i/>
                <w:strike w:val="0"/>
                <w:color w:val="auto"/>
                <w:highlight w:val="none"/>
                <w:u w:val="none" w:color="auto"/>
                <w:vertAlign w:val="baseline"/>
              </w:rPr>
              <w:t>Kriptoaktīvu un tokenizētu vērtspapīru sekundārā tirgus attīstība varētu</w:t>
            </w:r>
            <w:r>
              <w:t xml:space="preserve"> sniegt </w:t>
            </w:r>
            <w:r>
              <w:rPr>
                <w:b/>
                <w:i/>
                <w:strike w:val="0"/>
                <w:color w:val="auto"/>
                <w:highlight w:val="none"/>
                <w:u w:val="none" w:color="auto"/>
                <w:vertAlign w:val="baseline"/>
              </w:rPr>
              <w:t>vairākus ieguvumus attiecībā uz lielāku efektivitāti, pārredzamību un konkurenci saistībā ar tirdzniecības un norēķinu darbībām</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Eiropas Vērtspapīru un tirgu iestādes ziņojums ar konsultāciju par sākotnējo virtuālās valūtas piedāvājumu un kriptoaktīviem (ESMA50-157-1391).</w:t>
            </w:r>
          </w:p>
        </w:tc>
        <w:tc>
          <w:tcPr>
            <w:tcW w:w="4876" w:type="dxa"/>
            <w:vAlign w:val="top"/>
          </w:tcPr>
          <w:p>
            <w:pPr>
              <w:pStyle w:val="Normal6a"/>
            </w:pPr>
            <w:r>
              <w:rPr>
                <w:rStyle w:val="Sup"/>
              </w:rPr>
              <w:t>40</w:t>
            </w:r>
            <w:r>
              <w:t xml:space="preserve"> </w:t>
            </w:r>
            <w:r>
              <w:t>Eiropas Vērtspapīru un tirgu iestādes ziņojums ar konsultāciju par sākotnējo virtuālās valūtas piedāvājumu un kriptoaktīviem (ESMA50-157-1391).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Savienības finanšu pakalpojumu tiesību akti netika izstrādāti, domājot par SVT un kriptoaktīviem</w:t>
            </w:r>
            <w:r>
              <w:rPr>
                <w:rStyle w:val="Sup"/>
              </w:rPr>
              <w:t>40</w:t>
            </w:r>
            <w:r>
              <w:t>, un esošajos ES finanšu pakalpojumu tiesību aktos ir noteikumi, kas var liegt vai ierobežot SVT izmantošanu to kriptoaktīvu emitēšanā, tirdzniecībā un norēķinos, kurus var uzskatīt par finanšu instrumentiem. Patlaban arī nav tirgus infrastruktūru, kas izmanto SVT un sniedz tirdzniecības un norēķinu pakalpojumus attiecībā uz kriptoaktīviem, kurus var uzskatīt par finanšu instrumentiem. Bez sekundārā tirgus, kas spēj nodrošināt likviditāti un sniegt ieguldītājiem iespēju pirkt un pārdot šādus aktīvus, kriptoaktīvu, kurus var uzskatīt par finanšu instrumentiem, primārais tirgus nekad ilgtspējīgi nepaplašināsies.</w:t>
            </w:r>
          </w:p>
        </w:tc>
        <w:tc>
          <w:tcPr>
            <w:tcW w:w="4876" w:type="dxa"/>
            <w:vAlign w:val="top"/>
          </w:tcPr>
          <w:p>
            <w:pPr>
              <w:pStyle w:val="Normal6a"/>
            </w:pPr>
            <w:r>
              <w:t>(3)</w:t>
            </w:r>
            <w:r>
              <w:tab/>
            </w:r>
            <w:r>
              <w:t>Savienības finanšu pakalpojumu tiesību akti netika izstrādāti, domājot par SVT un kriptoaktīviem</w:t>
            </w:r>
            <w:r>
              <w:rPr>
                <w:rStyle w:val="Sup"/>
              </w:rPr>
              <w:t>40</w:t>
            </w:r>
            <w:r>
              <w:t xml:space="preserve">, un esošajos ES finanšu pakalpojumu tiesību aktos ir noteikumi, kas var liegt vai ierobežot SVT izmantošanu to kriptoaktīvu emitēšanā, tirdzniecībā un norēķinos, kurus var uzskatīt par finanšu instrumentiem. Patlaban arī nav </w:t>
            </w:r>
            <w:r>
              <w:rPr>
                <w:b/>
                <w:i/>
                <w:strike w:val="0"/>
                <w:color w:val="auto"/>
                <w:highlight w:val="none"/>
                <w:u w:val="none" w:color="auto"/>
                <w:vertAlign w:val="baseline"/>
              </w:rPr>
              <w:t>pilnvarotu finanšu</w:t>
            </w:r>
            <w:r>
              <w:t xml:space="preserve"> tirgus infrastruktūru, kas izmanto SVT un sniedz tirdzniecības un norēķinu pakalpojumus attiecībā uz kriptoaktīviem, kurus var uzskatīt par finanšu instrumentiem. Bez sekundārā tirgus, kas spēj nodrošināt likviditāti un sniegt ieguldītājiem iespēju pirkt un pārdot šādus aktīvus, kriptoaktīvu, kurus var uzskatīt par finanšu instrumentiem, primārais tirgus nekad ilgtspējīgi nepaplašināsies.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Eiropas Vērtspapīru un tirgu iestādes ziņojums ar konsultāciju par sākotnējo virtuālās valūtas piedāvājumu un kriptoaktīviem (ESMA50-157-1391).</w:t>
            </w:r>
          </w:p>
        </w:tc>
        <w:tc>
          <w:tcPr>
            <w:tcW w:w="4876" w:type="dxa"/>
            <w:vAlign w:val="top"/>
          </w:tcPr>
          <w:p>
            <w:pPr>
              <w:pStyle w:val="Normal6a"/>
            </w:pPr>
            <w:r>
              <w:rPr>
                <w:rStyle w:val="Sup"/>
              </w:rPr>
              <w:t>40</w:t>
            </w:r>
            <w:r>
              <w:t xml:space="preserve"> </w:t>
            </w:r>
            <w:r>
              <w:t>Eiropas Vērtspapīru un tirgu iestādes ziņojums ar konsultāciju par sākotnējo virtuālās valūtas piedāvājumu un kriptoaktīviem (ESMA50-157-1391).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Precizējums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Lai izveidotu vienotu Savienības digitālo finanšu tirgu vērtspapīru tokeniem un tokenizētiem aktīviem kopumā, būtu jāņem vērā atšķirības, kas pastāv dažādu dalībvalstu režīmos, tostarp atšķirības Savienības direktīvu, piemēram, Eiropas Parlamenta un Padomes Direktīvas 2014/65/ES (FITD II), transponēšanā.</w:t>
            </w:r>
            <w:r>
              <w:t xml:space="preserve"> </w:t>
            </w:r>
            <w:r>
              <w:rPr>
                <w:b/>
                <w:i/>
                <w:strike w:val="0"/>
                <w:color w:val="auto"/>
                <w:highlight w:val="none"/>
                <w:u w:val="none" w:color="auto"/>
                <w:vertAlign w:val="baseline"/>
              </w:rPr>
              <w:t>Saskaņā ar EVTI 2019. gada janvāra atzinumu par ICO un kriptoaktīviem viens no galvenajiem šķēršļiem, lai visā Savienībā vienādi reglamentētu kriptoaktīvus ar ieguldījumu iezīmēm, ir Savienības direktīvu transponēšana valstu tiesību aktos, piemēram, jēdziena “finanšu instruments” vai “pārvedams vērtspapīrs” definīcija vai juridiskā analīze un prasības attiecībā uz ieguldījumu pakalpojumiem, darbībām un papildpakalpojumiem, ieskaitot finanšu instrumentu turēšanu un pārvaldīšanu klientu vārdā, vai uzskaiti vērtspapīru tokenu emitentu vārdā.</w:t>
            </w:r>
            <w:r>
              <w:t xml:space="preserve"> </w:t>
            </w:r>
            <w:r>
              <w:rPr>
                <w:b/>
                <w:i/>
                <w:strike w:val="0"/>
                <w:color w:val="auto"/>
                <w:highlight w:val="none"/>
                <w:u w:val="none" w:color="auto"/>
                <w:vertAlign w:val="baseline"/>
              </w:rPr>
              <w:t>Ir ārkārtīgi svarīgi Savienības līmenī sākt diskusijas par valstu režīmu saskaņošanu, lai palielinātu juridisko noteiktību un sasniegtu KTS mērķus, vienlaikus ļaujot izveidot konkurētspējīgu Savienības digitālo tirgu vērtspapīru tokeniem un tokenizētiem aktīviem kopumā.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Kā jau atzīts EVTI atzinumā par ICO un kriptoaktīviem, atšķirības starp dalībvalstu tiesību aktiem kavē ES finanšu regulējuma vienotu piemērošanu, radot risku netraucētām pārrobežu darbībām KTS kontekstā.</w:t>
      </w:r>
      <w:r>
        <w:t xml:space="preserve"> </w:t>
      </w:r>
      <w:r>
        <w:t>Lai izveidotu spēcīgu un konkurētspējīgu ES vērtspapīru tokenu digitālo tirgu, mums ir jānodrošina minēto atšķirību likvidēšana tuvākajā laikā.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3.b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(3b)</w:t>
            </w:r>
            <w:r>
              <w:tab/>
            </w:r>
            <w:r>
              <w:rPr>
                <w:b/>
                <w:i/>
                <w:strike w:val="0"/>
                <w:color w:val="auto"/>
                <w:highlight w:val="none"/>
                <w:u w:val="none" w:color="auto"/>
                <w:vertAlign w:val="baseline"/>
              </w:rPr>
              <w:t>Attiecībā uz SVT jomu pašlaik var noteikt vismaz šādus konkrētus SVT veidus: 1) blokķēdes, kurās jebkādas izmaiņas to pašreizējo lietotāju identitātē, kuriem ir tiesības nosūtīt neizlietotu darījumu izvaddatus (UTXO), kas atspoguļo aktīvu turējumus, apstrādā partijās (blokos), kuras pēc tam tiek savienotas kopā ar kriptogrāfijas metodēm (jaukšana); 2) konsensa virsgrāmatas, kurās ar katru lietojumu saistītās bilances pārskati tiek atjaunināti kārtās,</w:t>
            </w:r>
            <w:r>
              <w:t xml:space="preserve"> </w:t>
            </w:r>
            <w:r>
              <w:rPr>
                <w:b/>
                <w:i/>
                <w:strike w:val="0"/>
                <w:color w:val="auto"/>
                <w:highlight w:val="none"/>
                <w:u w:val="none" w:color="auto"/>
                <w:vertAlign w:val="baseline"/>
              </w:rPr>
              <w:t>un 3) sinhronizētas divpusējās virsgrāmatas, kurās darījuma partneri var atjaunināt informācijas apakškopu, kas tieši attiecas uz to divpusējo darbību, iespējams, ar citiem izvēlētiem partneriem, kuri arī piekļūst šiem uzskaites datiem, un daļu no šīs informācijas darīt pieejamu plašākam lietotāju lokam.</w:t>
            </w:r>
            <w:r>
              <w:t xml:space="preserve"> </w:t>
            </w:r>
            <w:r>
              <w:rPr>
                <w:b/>
                <w:i/>
                <w:strike w:val="0"/>
                <w:color w:val="auto"/>
                <w:highlight w:val="none"/>
                <w:u w:val="none" w:color="auto"/>
                <w:vertAlign w:val="baseline"/>
              </w:rPr>
              <w:t>Viedlīgumi ir cita veida tehnoloģija, ko var saistīt ar SVT, kad tos apstrādā tīkla mezglos.</w:t>
            </w:r>
            <w:r>
              <w:t xml:space="preserve"> </w:t>
            </w:r>
            <w:r>
              <w:rPr>
                <w:b/>
                <w:i/>
                <w:strike w:val="0"/>
                <w:color w:val="auto"/>
                <w:highlight w:val="none"/>
                <w:u w:val="none" w:color="auto"/>
                <w:vertAlign w:val="baseline"/>
              </w:rPr>
              <w:t>Šie līgumi tiek rakstīti kā izpildkods.</w:t>
            </w:r>
            <w:r>
              <w:t xml:space="preserve"> </w:t>
            </w:r>
            <w:r>
              <w:rPr>
                <w:b/>
                <w:i/>
                <w:strike w:val="0"/>
                <w:color w:val="auto"/>
                <w:highlight w:val="none"/>
                <w:u w:val="none" w:color="auto"/>
                <w:vertAlign w:val="baseline"/>
              </w:rPr>
              <w:t>Saskaņā ar šiem līgumiem darījuma partneri apliecina, ka attiecīgie aktīvi ir jānosūta vai jāsaņem to vārdā, izmantojot automatizētas procedūras, kuras apstrādā, ja iepriekš noteiktu notikumu kopums notiek vai nu virsgrāmatā (piemēram, lietotāja turējumu bilance), vai ārpus virsgrāmatas (piemēram, aktīvu cena).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Ar šo grozījumu ierosina apsvērt iespēju iekļaut aprakstu par SVT veidiem, kas ņemts no ECB 2017. gada ziņojuma “The potential impact of DLTs on securities post-trading harmonisation and on the wider EU financial market integration” (Iespējamā SVT ietekme uz vērtspapīru pēctirdzniecības saskaņošanu un plašāku ES finanšu tirgus integrāciju), ko izstrādājusi Vērtspapīru un nodrošinājuma tirgus infrastruktūru konsultatīvā grupa (AMI-SeCo).</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Tajā pašā laikā pastāv regulatīvas nepilnības, kuru iemesls ir juridiskā, tehnoloģiskā un operatīvā specifika, kas saistīta ar SVT un kriptoaktīvu, kurus var uzskatīt par finanšu instrumentiem, izmantošanu. Piemēram, protokoliem un viedlīgumiem, kas ir pamatā kriptoaktīviem, kurus var uzskatīt par finanšu instrumentiem, nepiemēro pārredzamības, uzticamības un drošības prasības. Pamatā esošā tehnoloģija var arī radīt dažus jauna veida kiberriskus, kas nav pienācīgi ņemti vērā esošajos noteikumos. Savienībā ir izstrādāti vairāki projekti kriptoaktīvu, kurus var uzskatīt par finanšu instrumentiem, tirdzniecībai un pēctirdzniecībai, taču tikai daži no tiem jau darbojas, vai arī to tvērums ir ierobežots. </w:t>
            </w:r>
            <w:r>
              <w:rPr>
                <w:b/>
                <w:i/>
                <w:strike w:val="0"/>
                <w:color w:val="auto"/>
                <w:highlight w:val="none"/>
                <w:u w:val="none" w:color="auto"/>
                <w:vertAlign w:val="baseline"/>
              </w:rPr>
              <w:t>Ņemot vērā šo ierobežoto pieredzi saistībā ar kriptoaktīvu, kurus var uzskatīt par finanšu instrumentiem, tirdzniecību un pēctirdzniecību, patlaban būtu pāragri ieviest būtiskas izmaiņas Savienības finanšu pakalpojumu tiesību aktos, lai varētu pilnvērtīgi izvērst šādus kriptoaktīvus un tiem pamatā esošo tehnoloģiju. Tajā pašā laikā finanšu tirgus infrastruktūru izveidi kriptoaktīviem, kurus var uzskatīt par finanšu instrumentiem, pašlaik ierobežo dažas prasības, kas paredzētas Savienības</w:t>
            </w:r>
            <w:r>
              <w:t xml:space="preserve"> finanšu </w:t>
            </w:r>
            <w:r>
              <w:rPr>
                <w:b/>
                <w:i/>
                <w:strike w:val="0"/>
                <w:color w:val="auto"/>
                <w:highlight w:val="none"/>
                <w:u w:val="none" w:color="auto"/>
                <w:vertAlign w:val="baseline"/>
              </w:rPr>
              <w:t>pakalpojumu tiesību aktos, kuri nav pilnībā pielāgoti kriptoaktīviem, ko var uzskatīt par finanšu instrumentiem, un SVT izmantošanai. Piemēram, kriptoaktīvu tirdzniecības platformas parasti nodrošina tiešu piekļuvi privātajiem ieguldītājiem, savukārt tradicionālās tirdzniecības vietas parasti nodrošina piekļuvi ar finanšu starpnieku starpniecību</w:t>
            </w:r>
            <w:r>
              <w:t>.</w:t>
            </w:r>
          </w:p>
        </w:tc>
        <w:tc>
          <w:tcPr>
            <w:tcW w:w="4876" w:type="dxa"/>
            <w:vAlign w:val="top"/>
          </w:tcPr>
          <w:p>
            <w:pPr>
              <w:pStyle w:val="Normal6a"/>
            </w:pPr>
            <w:r>
              <w:t>(4)</w:t>
            </w:r>
            <w:r>
              <w:tab/>
            </w:r>
            <w:r>
              <w:t>Tajā pašā laikā pastāv regulatīvas nepilnības, kuru iemesls ir juridiskā, tehnoloģiskā un operatīvā specifika, kas saistīta ar SVT un kriptoaktīvu, kurus var uzskatīt par finanšu instrumentiem, izmantošanu. Piemēram, protokoliem un viedlīgumiem, kas ir pamatā kriptoaktīviem, kurus var uzskatīt par finanšu instrumentiem, nepiemēro pārredzamības, uzticamības un drošības prasības</w:t>
            </w:r>
            <w:r>
              <w:rPr>
                <w:b/>
                <w:i/>
                <w:strike w:val="0"/>
                <w:color w:val="auto"/>
                <w:highlight w:val="none"/>
                <w:u w:val="none" w:color="auto"/>
                <w:vertAlign w:val="baseline"/>
              </w:rPr>
              <w:t>, un tas rada daudz problēmu</w:t>
            </w:r>
            <w:r>
              <w:t xml:space="preserve">. Pamatā esošā tehnoloģija var arī radīt dažus jauna veida kiberriskus, kas nav pienācīgi ņemti vērā esošajos noteikumos. Savienībā ir izstrādāti vairāki projekti kriptoaktīvu, kurus var uzskatīt par finanšu instrumentiem, tirdzniecībai un pēctirdzniecībai, taču tikai daži no tiem jau darbojas, vai arī to tvērums ir ierobežots. </w:t>
            </w:r>
            <w:r>
              <w:rPr>
                <w:b/>
                <w:i/>
                <w:strike w:val="0"/>
                <w:color w:val="auto"/>
                <w:highlight w:val="none"/>
                <w:u w:val="none" w:color="auto"/>
                <w:vertAlign w:val="baseline"/>
              </w:rPr>
              <w:t>Turklāt, kā uzsvērušas ECB konsultatīvās grupas vērtspapīru, nodrošinājuma un maksājumu tirgus infrastruktūru jautājumos, SVT izmantošana radītu līdzīgas problēmas tām, kas saistītas ar risinājumiem, kuru pamatā ir tradicionālās tehnoloģijas (piemēram, sadrumstalotības un sadarbspējas jautājumi), un vienlaikus potenciāli radītu jaunas (piemēram, saistībā ar tokenu juridisko spēkā esamību).</w:t>
            </w:r>
            <w:r>
              <w:t xml:space="preserve"> </w:t>
            </w:r>
            <w:r>
              <w:rPr>
                <w:b/>
                <w:i/>
                <w:strike w:val="0"/>
                <w:color w:val="auto"/>
                <w:highlight w:val="none"/>
                <w:u w:val="none" w:color="auto"/>
                <w:vertAlign w:val="baseline"/>
              </w:rPr>
              <w:t>Ņemot vērā šo ierobežoto pieredzi saistībā ar to kriptoaktīvu tirdzniecību un pēctirdzniecību, kurus var uzskatīt par</w:t>
            </w:r>
            <w:r>
              <w:t xml:space="preserve"> finanšu </w:t>
            </w:r>
            <w:r>
              <w:rPr>
                <w:b/>
                <w:i/>
                <w:strike w:val="0"/>
                <w:color w:val="auto"/>
                <w:highlight w:val="none"/>
                <w:u w:val="none" w:color="auto"/>
                <w:vertAlign w:val="baseline"/>
              </w:rPr>
              <w:t>instrumentiem, kā arī riskiem, ko uzsvērusi ECB, ir jāīsteno ļoti piesardzīga pieeja, un būtu ļoti pāragri ieviest būtiskas izmaiņas Savienības finanšu pakalpojumu tiesību aktos, lai varētu pilnvērtīgi izvērst šādus kriptoaktīvus un tiem pamatā esošo tehnoloģiju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Tajā pašā laikā pastāv regulatīvas nepilnības, kuru iemesls ir juridiskā, tehnoloģiskā un operatīvā specifika, kas saistīta ar SVT un kriptoaktīvu, kurus var uzskatīt par finanšu instrumentiem, izmantošanu. Piemēram, protokoliem un viedlīgumiem, kas ir pamatā kriptoaktīviem, kurus var uzskatīt par finanšu instrumentiem, nepiemēro pārredzamības, uzticamības un drošības prasības. Pamatā esošā tehnoloģija var arī radīt dažus jauna veida kiberriskus, kas nav pienācīgi ņemti vērā esošajos noteikumos. Savienībā ir izstrādāti vairāki projekti kriptoaktīvu, kurus var uzskatīt par finanšu instrumentiem, tirdzniecībai un pēctirdzniecībai, taču tikai daži no tiem jau darbojas, vai arī to tvērums ir ierobežots. Ņemot vērā šo ierobežoto pieredzi saistībā ar kriptoaktīvu, kurus var uzskatīt par finanšu instrumentiem, tirdzniecību un pēctirdzniecību, patlaban būtu pāragri ieviest būtiskas izmaiņas Savienības finanšu pakalpojumu tiesību aktos, lai varētu pilnvērtīgi izvērst šādus kriptoaktīvus un tiem pamatā esošo tehnoloģiju. Tajā pašā laikā finanšu tirgus infrastruktūru izveidi kriptoaktīviem, kurus var uzskatīt par finanšu instrumentiem, pašlaik ierobežo dažas prasības, kas paredzētas Savienības finanšu pakalpojumu tiesību aktos, kuri nav pilnībā pielāgoti kriptoaktīviem, ko var uzskatīt par finanšu instrumentiem, un SVT izmantošanai. Piemēram, kriptoaktīvu tirdzniecības platformas parasti nodrošina tiešu piekļuvi privātajiem ieguldītājiem, savukārt tradicionālās tirdzniecības vietas parasti nodrošina piekļuvi ar finanšu starpnieku starpniecību.</w:t>
            </w:r>
          </w:p>
        </w:tc>
        <w:tc>
          <w:tcPr>
            <w:tcW w:w="4876" w:type="dxa"/>
            <w:vAlign w:val="top"/>
          </w:tcPr>
          <w:p>
            <w:pPr>
              <w:pStyle w:val="Normal6a"/>
            </w:pPr>
            <w:r>
              <w:rPr>
                <w:b w:val="0"/>
                <w:i/>
                <w:strike w:val="0"/>
                <w:color w:val="auto"/>
                <w:highlight w:val="none"/>
                <w:u w:val="none" w:color="auto"/>
                <w:vertAlign w:val="baseline"/>
              </w:rPr>
              <w:t>(Neattiecas uz tekstu latviešu valodā.)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rPr>
          <w:b w:val="0"/>
          <w:i/>
          <w:strike w:val="0"/>
          <w:color w:val="auto"/>
          <w:highlight w:val="none"/>
          <w:u w:val="none" w:color="auto"/>
          <w:vertAlign w:val="baseline"/>
        </w:rPr>
        <w:t>(Neattiecas uz tekstu latviešu valodā.)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149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Tajā pašā laikā pastāv regulatīvas nepilnības, kuru iemesls ir juridiskā, tehnoloģiskā un operatīvā specifika, kas saistīta ar SVT un kriptoaktīvu, kurus var uzskatīt par finanšu instrumentiem, izmantošanu. Piemēram, protokoliem un viedlīgumiem, kas ir pamatā kriptoaktīviem, kurus var uzskatīt par finanšu instrumentiem, nepiemēro pārredzamības, uzticamības un drošības prasības. Pamatā esošā tehnoloģija var arī radīt dažus jauna veida kiberriskus, kas nav pienācīgi ņemti vērā esošajos noteikumos. Savienībā ir izstrādāti vairāki projekti kriptoaktīvu, kurus var uzskatīt par finanšu instrumentiem, tirdzniecībai un pēctirdzniecībai, taču tikai daži no tiem jau darbojas, vai arī to tvērums ir ierobežots. Ņemot vērā šo ierobežoto pieredzi saistībā ar kriptoaktīvu, kurus var uzskatīt par finanšu instrumentiem, tirdzniecību un pēctirdzniecību, patlaban būtu pāragri ieviest būtiskas izmaiņas Savienības finanšu pakalpojumu tiesību aktos, lai varētu pilnvērtīgi izvērst šādus kriptoaktīvus un tiem pamatā esošo tehnoloģiju. Tajā pašā laikā finanšu tirgus infrastruktūru izveidi kriptoaktīviem, kurus var uzskatīt par finanšu instrumentiem, pašlaik ierobežo dažas prasības, kas paredzētas Savienības finanšu pakalpojumu tiesību aktos, kuri nav pilnībā pielāgoti kriptoaktīviem, ko var uzskatīt par finanšu instrumentiem, un SVT izmantošanai. Piemēram, kriptoaktīvu tirdzniecības platformas parasti nodrošina tiešu piekļuvi privātajiem ieguldītājiem, savukārt tradicionālās tirdzniecības vietas parasti nodrošina piekļuvi ar finanšu starpnieku starpniecību.</w:t>
            </w:r>
          </w:p>
        </w:tc>
        <w:tc>
          <w:tcPr>
            <w:tcW w:w="4876" w:type="dxa"/>
            <w:vAlign w:val="top"/>
          </w:tcPr>
          <w:p>
            <w:pPr>
              <w:pStyle w:val="Normal6a"/>
            </w:pPr>
            <w:r>
              <w:t>(4)</w:t>
            </w:r>
            <w:r>
              <w:tab/>
            </w:r>
            <w:r>
              <w:t xml:space="preserve">Tajā pašā laikā pastāv regulatīvas nepilnības, kuru iemesls ir juridiskā, tehnoloģiskā un operatīvā specifika, kas saistīta ar SVT un kriptoaktīvu, kurus var uzskatīt par finanšu instrumentiem, izmantošanu. Piemēram, protokoliem un viedlīgumiem, kas ir pamatā kriptoaktīviem, kurus var uzskatīt par finanšu instrumentiem, nepiemēro pārredzamības, uzticamības un drošības prasības. Pamatā esošā tehnoloģija var arī radīt dažus jauna veida kiberriskus, kas nav pienācīgi ņemti vērā esošajos noteikumos </w:t>
            </w:r>
            <w:r>
              <w:rPr>
                <w:b/>
                <w:i/>
                <w:strike w:val="0"/>
                <w:color w:val="auto"/>
                <w:highlight w:val="none"/>
                <w:u w:val="none" w:color="auto"/>
                <w:vertAlign w:val="baseline"/>
              </w:rPr>
              <w:t>un praksēs</w:t>
            </w:r>
            <w:r>
              <w:t>. Savienībā ir izstrādāti vairāki projekti kriptoaktīvu, kurus var uzskatīt par finanšu instrumentiem, tirdzniecībai un pēctirdzniecībai, taču tikai daži no tiem jau darbojas, vai arī to tvērums ir ierobežots. Ņemot vērā šo ierobežoto pieredzi saistībā ar kriptoaktīvu, kurus var uzskatīt par finanšu instrumentiem, tirdzniecību un pēctirdzniecību, patlaban būtu pāragri ieviest būtiskas izmaiņas Savienības finanšu pakalpojumu tiesību aktos, lai varētu pilnvērtīgi izvērst šādus kriptoaktīvus un tiem pamatā esošo tehnoloģiju. Tajā pašā laikā finanšu tirgus infrastruktūru izveidi kriptoaktīviem, kurus var uzskatīt par finanšu instrumentiem, pašlaik ierobežo dažas prasības, kas paredzētas Savienības finanšu pakalpojumu tiesību aktos, kuri nav pilnībā pielāgoti kriptoaktīviem, ko var uzskatīt par finanšu instrumentiem, un SVT izmantošanai. Piemēram, kriptoaktīvu tirdzniecības platformas parasti nodrošina tiešu piekļuvi privātajiem ieguldītājiem, savukārt tradicionālās tirdzniecības vietas parasti nodrošina piekļuvi ar finanšu starpnieku starpniecību.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Lai varētu attīstīt kriptoaktīvus, kurus var uzskatīt par finanšu instrumentiem, </w:t>
            </w:r>
            <w:r>
              <w:rPr>
                <w:b/>
                <w:i/>
                <w:strike w:val="0"/>
                <w:color w:val="auto"/>
                <w:highlight w:val="none"/>
                <w:u w:val="none" w:color="auto"/>
                <w:vertAlign w:val="baseline"/>
              </w:rPr>
              <w:t>un</w:t>
            </w:r>
            <w:r>
              <w:t xml:space="preserve">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c>
          <w:tcPr>
            <w:tcW w:w="4876" w:type="dxa"/>
            <w:vAlign w:val="top"/>
          </w:tcPr>
          <w:p>
            <w:pPr>
              <w:pStyle w:val="Normal6a"/>
            </w:pPr>
            <w:r>
              <w:t>(5)</w:t>
            </w:r>
            <w:r>
              <w:tab/>
            </w:r>
            <w:r>
              <w:t xml:space="preserve">Lai varētu attīstīt kriptoaktīvus, kurus var uzskatīt par finanšu instrumentiem, </w:t>
            </w:r>
            <w:r>
              <w:rPr>
                <w:b/>
                <w:i/>
                <w:strike w:val="0"/>
                <w:color w:val="auto"/>
                <w:highlight w:val="none"/>
                <w:u w:val="none" w:color="auto"/>
                <w:vertAlign w:val="baseline"/>
              </w:rPr>
              <w:t>kas balstīti uz</w:t>
            </w:r>
            <w:r>
              <w:t xml:space="preserve">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w:t>
            </w:r>
            <w:r>
              <w:rPr>
                <w:b/>
                <w:i/>
                <w:strike w:val="0"/>
                <w:color w:val="auto"/>
                <w:highlight w:val="none"/>
                <w:u w:val="none" w:color="auto"/>
                <w:vertAlign w:val="baseline"/>
              </w:rPr>
              <w:t>režīma izveidei nevajadzētu skart Eiropas Centrālās bankas (ECB) un Eiropas Centrālo banku sistēmas (ECBS) valstu centrālo banku uzdevumus un pienākumus, kas noteikti Līgumā par Eiropas Savienības darbību, kā arī ECBS un ECB statūtos un paredz veicināt maksājumu sistēmu netraucētu darbību un nodrošināt efektīvas un drošas tīrvērtes un maksājumu sistēmas Savienībā un ar trešām valstīm.</w:t>
            </w:r>
            <w:r>
              <w:t xml:space="preserve"> </w:t>
            </w:r>
            <w:r>
              <w:rPr>
                <w:b/>
                <w:i/>
                <w:strike w:val="0"/>
                <w:color w:val="auto"/>
                <w:highlight w:val="none"/>
                <w:u w:val="none" w:color="auto"/>
                <w:vertAlign w:val="baseline"/>
              </w:rPr>
              <w:t>Izmēģinājuma</w:t>
            </w:r>
            <w:r>
              <w:t xml:space="preserve"> režīmam arī būtu jāļauj Eiropas Vērtspapīru un tirgu iestādei (EVTI) un kompetentajām iestādēm gūt pieredzi attiecībā uz iespējām un īpašajiem riskiem, ko rada kriptoaktīvi, kurus var uzskatīt par finanšu instrumentiem, un tiem pamatā esošā tehnoloģija. </w:t>
            </w:r>
            <w:r>
              <w:rPr>
                <w:b/>
                <w:i/>
                <w:strike w:val="0"/>
                <w:color w:val="auto"/>
                <w:highlight w:val="none"/>
                <w:u w:val="none" w:color="auto"/>
                <w:vertAlign w:val="baseline"/>
              </w:rPr>
              <w:t>Tāpēc pieredzei, kas gūta šajā izmēģinājuma režīmā, būtu jāpalīdz apzināt iespējamus praktiskus priekšlikumus attiecībā uz piemērotu tiesisko regulējumu nolūkā veikt mērķtiecīgus pielāgojumus spēkā esošajos Savienības tiesību aktos, kuri reglamentē uz SVT balstītu finanšu instrumentu emisiju, glabāšanu un aktīvu apkalpošanu, tirdzniecību un norēķinu veikšanu.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Šā grozījuma mērķis ir ņemt vērā ECB atzinumā izteikto ierosinājumu.</w:t>
      </w:r>
      <w:r>
        <w:t xml:space="preserve"> </w:t>
      </w:r>
      <w:r>
        <w:t>Ņemot vērā ierosinātās regulas un ECBS pamatuzdevumu pārklāšanos, lai veicinātu maksājumu sistēmu netraucētu darbību un nodrošinātu efektīvas un drošas tīrvērtes un maksājumu sistēmas Savienībā un ar citām valstīm, būtu skaidri jānorāda, ka ierosinātā regula neskar ECBS uzdevumu.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w:t>
            </w:r>
            <w:r>
              <w:rPr>
                <w:b/>
                <w:i/>
                <w:strike w:val="0"/>
                <w:color w:val="auto"/>
                <w:highlight w:val="none"/>
                <w:u w:val="none" w:color="auto"/>
                <w:vertAlign w:val="baseline"/>
              </w:rPr>
              <w:t>Galvenajam izmēģinājuma režīma devumam vajadzētu būt pārbaudei, vai vērtspapīru reģistrēšanā tiek novērsta “starpniecība” caur CVD, atļaujot reģistrāciju blokķēdē.</w:t>
            </w:r>
            <w:r>
              <w:t xml:space="preserve"> </w:t>
            </w:r>
            <w:r>
              <w:rPr>
                <w:b/>
                <w:i/>
                <w:strike w:val="0"/>
                <w:color w:val="auto"/>
                <w:highlight w:val="none"/>
                <w:u w:val="none" w:color="auto"/>
                <w:vertAlign w:val="baseline"/>
              </w:rPr>
              <w:t>Liela daļa Regulas (ES) Nr. 909/2014 (CVDR) regulatīvā pamatojuma ir nodrošināt uzticēšanos attiecībā uz ieguldītāju aizsardzību un tirgus integritāti saskaņā ar uzticamas trešās personas (TTP) pieeju.</w:t>
            </w:r>
            <w:r>
              <w:t xml:space="preserve"> </w:t>
            </w:r>
            <w:r>
              <w:rPr>
                <w:b/>
                <w:i/>
                <w:strike w:val="0"/>
                <w:color w:val="auto"/>
                <w:highlight w:val="none"/>
                <w:u w:val="none" w:color="auto"/>
                <w:vertAlign w:val="baseline"/>
              </w:rPr>
              <w:t>Izmēģinājuma režīma mērķim vajadzētu būt ļaut šo pieeju no jauna pārformulēt kā pieeju, kuras pamatā ir uzticēšanās, palīdzot izprast, kā būtu jāveido jauni uz blokķēdi vai SVT balstītas uzticēšanās modeļi.</w:t>
            </w:r>
            <w:r>
              <w:t xml:space="preserve">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r>
              <w:rPr>
                <w:b/>
                <w:i/>
                <w:strike w:val="0"/>
                <w:color w:val="auto"/>
                <w:highlight w:val="none"/>
                <w:u w:val="none" w:color="auto"/>
                <w:vertAlign w:val="baseline"/>
              </w:rPr>
              <w:t>, nolūkā apzināt nepieciešamos mērķtiecīgos grozījumus spēkā esošajā Savienības tiesiskajā regulējumā attiecībā uz tādu finanšu instrumentu emisiju, glabāšanu un aktīvu apkalpošanu, tirdzniecību un norēķinu veikšanu, kuru pamatā ir SVT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Turklāt ir lietderīgi skaidri norādīt, ka izmēģinājuma režīms ir būtiski svarīgs, lai pārbaudītu atteikšanos no starpniecības vērtspapīru reģistrēšanā, ļaujot veikt reģistrāciju blokķēdē.</w:t>
      </w:r>
      <w:r>
        <w:t xml:space="preserve"> </w:t>
      </w:r>
      <w:r>
        <w:t>Pieredzi, kas tiks gūta saistībā ar SVT izmēģinājuma režīmu, vajadzētu izmantot par pamatu turpmākai likumdošanas attīstībai.</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w:t>
            </w:r>
            <w:r>
              <w:rPr>
                <w:b/>
                <w:i/>
                <w:strike w:val="0"/>
                <w:color w:val="auto"/>
                <w:highlight w:val="none"/>
                <w:u w:val="none" w:color="auto"/>
                <w:vertAlign w:val="baseline"/>
              </w:rPr>
              <w:t>režīma izveidei nevajadzētu nelabvēlīgi ieteikmēt Eiropas Centrālās bankas (ECB) un Eiropas Centrālo banku sistēmas (ECBS) valstu centrālo banku uzdevumus un pienākumus, kas paredzēti Līgumā par Eiropas Savienības darbību un ECBS un ECB statūtos un paredz veicināt maksājumu sistēmu netraucētu darbību un nodrošināt efektīvas un uzticamas tīrvērtes un maksājumu sistēmas Savienībā un ar citām valstīm.</w:t>
            </w:r>
            <w:r>
              <w:t xml:space="preserve"> </w:t>
            </w:r>
            <w:r>
              <w:rPr>
                <w:b/>
                <w:i/>
                <w:strike w:val="0"/>
                <w:color w:val="auto"/>
                <w:highlight w:val="none"/>
                <w:u w:val="none" w:color="auto"/>
                <w:vertAlign w:val="baseline"/>
              </w:rPr>
              <w:t>Izmēģinājuma</w:t>
            </w:r>
            <w:r>
              <w:t xml:space="preserve">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w:t>
            </w:r>
            <w:r>
              <w:rPr>
                <w:b/>
                <w:i/>
                <w:strike w:val="0"/>
                <w:color w:val="auto"/>
                <w:highlight w:val="none"/>
                <w:u w:val="none" w:color="auto"/>
                <w:vertAlign w:val="baseline"/>
              </w:rPr>
              <w:t>Izmēģinājuma režīma izveidei nevajadzētu skart Eiropas Centrālās bankas (ECB) un Eiropas Centrālo banku sistēmas (ECBS) valstu centrālo banku uzdevumus un pienākumus, kas noteikti Līgumā par Eiropas Savienības darbību un ECBS un ECB statūtos un paredz veicināt maksājumu sistēmu netraucētu darbību un nodrošināt efektīvas un drošas tīrvērtes un maksājumu sistēmas Savienībā un ar trešām valstīm.</w:t>
            </w:r>
            <w:r>
              <w:t xml:space="preserve">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Saskaņā ar ECB atzinumu.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w:t>
            </w:r>
            <w:r>
              <w:rPr>
                <w:b/>
                <w:i/>
                <w:strike w:val="0"/>
                <w:color w:val="auto"/>
                <w:highlight w:val="none"/>
                <w:u w:val="none" w:color="auto"/>
                <w:vertAlign w:val="baseline"/>
              </w:rPr>
              <w:t>infrastruktūrām</w:t>
            </w:r>
            <w:r>
              <w:t>.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un ieguldītāju aizsardzības līmeni </w:t>
            </w:r>
            <w:r>
              <w:rPr>
                <w:b/>
                <w:i/>
                <w:strike w:val="0"/>
                <w:color w:val="auto"/>
                <w:highlight w:val="none"/>
                <w:u w:val="none" w:color="auto"/>
                <w:vertAlign w:val="baseline"/>
              </w:rPr>
              <w:t>un izvairoties no regulējuma arbitrāžas</w:t>
            </w:r>
            <w:r>
              <w:t xml:space="preserve">, būtu lietderīgi izveidot izmēģinājuma režīmu SVT tirgus </w:t>
            </w:r>
            <w:r>
              <w:rPr>
                <w:b/>
                <w:i/>
                <w:strike w:val="0"/>
                <w:color w:val="auto"/>
                <w:highlight w:val="none"/>
                <w:u w:val="none" w:color="auto"/>
                <w:vertAlign w:val="baseline"/>
              </w:rPr>
              <w:t>infrastruktūru testēšanai</w:t>
            </w:r>
            <w:r>
              <w:t>.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w:t>
            </w:r>
            <w:r>
              <w:rPr>
                <w:b/>
                <w:i/>
                <w:strike w:val="0"/>
                <w:color w:val="auto"/>
                <w:highlight w:val="none"/>
                <w:u w:val="none" w:color="auto"/>
                <w:vertAlign w:val="baseline"/>
              </w:rPr>
              <w:t>, nevājinot nekādas pašreizējās prasības un aizsardzības pasākumus, ko piemēro tradicionālajām tirgus infrastruktūrām.</w:t>
            </w:r>
            <w:r>
              <w:t xml:space="preserve"> </w:t>
            </w:r>
            <w:r>
              <w:rPr>
                <w:b/>
                <w:i/>
                <w:strike w:val="0"/>
                <w:color w:val="auto"/>
                <w:highlight w:val="none"/>
                <w:u w:val="none" w:color="auto"/>
                <w:vertAlign w:val="baseline"/>
              </w:rPr>
              <w:t>Turklāt SVT tirgus infrastruktūrām būtu jāievieš atbilstoši aizsardzības pasākumi, lai nodrošinātu ieguldītāju efektīvu aizsardzību saistībā ar SVT izmantošanu un skaidri noteiktu atbildības robežas, un tām vajadzētu būt atbildīgām pret klientiem par jebkādiem zaudējumiem darbības traucējumu dēļ</w:t>
            </w:r>
            <w:r>
              <w:t xml:space="preserve">. Izmēģinājuma režīmam arī būtu jāļauj Eiropas Vērtspapīru un tirgu iestādei (EVTI) un kompetentajām iestādēm </w:t>
            </w:r>
            <w:r>
              <w:rPr>
                <w:b/>
                <w:i/>
                <w:strike w:val="0"/>
                <w:color w:val="auto"/>
                <w:highlight w:val="none"/>
                <w:u w:val="none" w:color="auto"/>
                <w:vertAlign w:val="baseline"/>
              </w:rPr>
              <w:t>izdarīt secinājumus un</w:t>
            </w:r>
            <w:r>
              <w:t xml:space="preserve"> gūt pieredzi attiecībā uz iespējām un īpašajiem riskiem, ko rada kriptoaktīvi, kurus var uzskatīt par finanšu instrumentiem, un tiem pamatā esošā tehnoloģija.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w:t>
            </w:r>
            <w:r>
              <w:rPr>
                <w:b/>
                <w:i/>
                <w:strike w:val="0"/>
                <w:color w:val="auto"/>
                <w:highlight w:val="none"/>
                <w:u w:val="none" w:color="auto"/>
                <w:vertAlign w:val="baseline"/>
              </w:rPr>
              <w:t>ko rada kriptoaktīvi</w:t>
            </w:r>
            <w:r>
              <w:t xml:space="preserve">, kurus var uzskatīt par finanšu instrumentiem, un tiem pamatā </w:t>
            </w:r>
            <w:r>
              <w:rPr>
                <w:b/>
                <w:i/>
                <w:strike w:val="0"/>
                <w:color w:val="auto"/>
                <w:highlight w:val="none"/>
                <w:u w:val="none" w:color="auto"/>
                <w:vertAlign w:val="baseline"/>
              </w:rPr>
              <w:t>esošā tehnoloģija</w:t>
            </w:r>
            <w:r>
              <w:t>.</w:t>
            </w:r>
          </w:p>
        </w:tc>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w:t>
            </w:r>
            <w:r>
              <w:rPr>
                <w:b/>
                <w:i/>
                <w:strike w:val="0"/>
                <w:color w:val="auto"/>
                <w:highlight w:val="none"/>
                <w:u w:val="none" w:color="auto"/>
                <w:vertAlign w:val="baseline"/>
              </w:rPr>
              <w:t>kas saistīti ar kriptoaktīviem</w:t>
            </w:r>
            <w:r>
              <w:t xml:space="preserve">, kurus var uzskatīt par finanšu instrumentiem, un tiem pamatā </w:t>
            </w:r>
            <w:r>
              <w:rPr>
                <w:b/>
                <w:i/>
                <w:strike w:val="0"/>
                <w:color w:val="auto"/>
                <w:highlight w:val="none"/>
                <w:u w:val="none" w:color="auto"/>
                <w:vertAlign w:val="baseline"/>
              </w:rPr>
              <w:t>esošo tehnoloģiju.</w:t>
            </w:r>
            <w:r>
              <w:t xml:space="preserve"> </w:t>
            </w:r>
            <w:r>
              <w:rPr>
                <w:b/>
                <w:i/>
                <w:strike w:val="0"/>
                <w:color w:val="auto"/>
                <w:highlight w:val="none"/>
                <w:u w:val="none" w:color="auto"/>
                <w:vertAlign w:val="baseline"/>
              </w:rPr>
              <w:t>Pieredze, kas gūta izmēģinājuma režīmā, ir paredzēta, lai apzinātu iespējamus praktiskus priekšlikumus attiecībā uz piemērotu tiesisko regulējumu nolūkā veikt mērķtiecīgus pielāgojumus spēkā esošajos Savienības tiesību aktos, kuri reglamentē uz SVT balstītu finanšu instrumentu emisiju, glabāšanu un aktīvu apkalpošanu, tirdzniecību un norēķinu veikšanu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un ieguldītāju aizsardzības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 </w:t>
            </w:r>
            <w:r>
              <w:rPr>
                <w:b/>
                <w:i/>
                <w:strike w:val="0"/>
                <w:color w:val="auto"/>
                <w:highlight w:val="none"/>
                <w:u w:val="none" w:color="auto"/>
                <w:vertAlign w:val="baseline"/>
              </w:rPr>
              <w:t>Tajā pašā laikā ar izmēģinājuma režīmu būtu jāievieš tikai mērķtiecīgi pielāgojumi spēkā esošajos Savienības tiesību aktos, neradot fundamentālas izmaiņas tirdzniecības un pēctirdzniecības funkciju nodalīšanā un finanšu tirgus infrastruktūru jomā.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SVT izmēģinājuma režīmam nebūtu jādarbojas kā precedentam FITD/R regulējuma un CVD regulas pamatīgākai pārskatīšanai, jo īpaši attiecībā uz finanšu tirgus infrastruktūru kategorizēšanu.</w:t>
      </w:r>
      <w:r>
        <w:t xml:space="preserve"> </w:t>
      </w:r>
      <w:r>
        <w:t>Nevajadzētu censties saistīt šo izmēģinājuma režīmu ar organizētām tirdzniecības sistēmām (OTS) un SI.</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Lai varētu attīstīt kriptoaktīvus, kurus var uzskatīt par finanšu instrumentiem, un SVT, vienlaikus saglabājot augstu finanšu stabilitātes, tirgus integritātes, pārredzamības </w:t>
            </w:r>
            <w:r>
              <w:rPr>
                <w:b/>
                <w:i/>
                <w:strike w:val="0"/>
                <w:color w:val="auto"/>
                <w:highlight w:val="none"/>
                <w:u w:val="none" w:color="auto"/>
                <w:vertAlign w:val="baseline"/>
              </w:rPr>
              <w:t>un ieguldītāju aizsardzības</w:t>
            </w:r>
            <w:r>
              <w:t xml:space="preserve">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p>
        </w:tc>
        <w:tc>
          <w:tcPr>
            <w:tcW w:w="4876" w:type="dxa"/>
            <w:vAlign w:val="top"/>
          </w:tcPr>
          <w:p>
            <w:pPr>
              <w:pStyle w:val="Normal6a"/>
            </w:pPr>
            <w:r>
              <w:t>(5)</w:t>
            </w:r>
            <w:r>
              <w:tab/>
            </w:r>
            <w:r>
              <w:t>Lai varētu attīstīt kriptoaktīvus, kurus var uzskatīt par finanšu instrumentiem, un SVT, vienlaikus saglabājot augstu finanšu stabilitātes, tirgus integritātes, pārredzamības</w:t>
            </w:r>
            <w:r>
              <w:rPr>
                <w:b/>
                <w:i/>
                <w:strike w:val="0"/>
                <w:color w:val="auto"/>
                <w:highlight w:val="none"/>
                <w:u w:val="none" w:color="auto"/>
                <w:vertAlign w:val="baseline"/>
              </w:rPr>
              <w:t>, ieguldītāju aizsardzības un zema enerģijas patēriņa</w:t>
            </w:r>
            <w:r>
              <w:t xml:space="preserve"> līmeni, būtu lietderīgi izveidot izmēģinājuma režīmu SVT tirgus infrastruktūrām. SVT tirgus infrastruktūru izmēģinājuma režīmam vajadzētu ļaut īslaicīgi atbrīvot SVT tirgus infrastruktūras no dažām īpašām Savienības finanšu pakalpojumu tiesību aktu prasībām, kas citādi varētu tām liegt izstrādāt risinājumus darījumu ar kriptoaktīviem, kurus var uzskatīt par finanšu instrumentiem, tirdzniecībai un norēķiniem. Izmēģinājuma režīmam arī būtu jāļauj Eiropas Vērtspapīru un tirgu iestādei (EVTI) un kompetentajām iestādēm gūt pieredzi attiecībā uz iespējām un īpašajiem riskiem, ko rada kriptoaktīvi, kurus var uzskatīt par finanšu instrumentiem, un tiem pamatā esošā tehnoloģija</w:t>
            </w:r>
            <w:r>
              <w:rPr>
                <w:b/>
                <w:i/>
                <w:strike w:val="0"/>
                <w:color w:val="auto"/>
                <w:highlight w:val="none"/>
                <w:u w:val="none" w:color="auto"/>
                <w:vertAlign w:val="baseline"/>
              </w:rPr>
              <w:t>, kurai vajadzētu atbilst zema energoefektivitātes līmeņa prasībām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Izmēģinājuma režīmam, ko piemēro uz SVT balstītai tirgus infrastruktūrai, nevajadzētu radīt regulējuma arbitrāžu un nepilnības.</w:t>
            </w:r>
            <w:r>
              <w:t xml:space="preserve"> </w:t>
            </w:r>
            <w:r>
              <w:rPr>
                <w:b/>
                <w:i/>
                <w:strike w:val="0"/>
                <w:color w:val="auto"/>
                <w:highlight w:val="none"/>
                <w:u w:val="none" w:color="auto"/>
                <w:vertAlign w:val="baseline"/>
              </w:rPr>
              <w:t>Tādēļ būtu jāpiemēro vispārējais princips “vienāda darbība, vienāds risks, vienādi noteikumi”.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159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Lai sasniegtu šo mērķi, būtu jārada jauns SVT tirgus infrastruktūru Savienības statuss. Šim SVT tirgus infrastruktūru statusam vajadzētu būt neobligātam, un tas nedrīkstētu liegt finanšu tirgus infrastruktūrām, piemēram, tirdzniecības vietām, centrālajiem vērtspapīru depozitārijiem un centrālajiem darījumu partneriem, attīstīt tirdzniecības un pēctirdzniecības pakalpojumus un darbības attiecībā uz kriptoaktīviem, kurus var uzskatīt par finanšu instrumentiem vai kuru pamatā ir SVT, saskaņā ar esošajiem Savienības finanšu pakalpojumu tiesību aktiem.</w:t>
            </w:r>
          </w:p>
        </w:tc>
        <w:tc>
          <w:tcPr>
            <w:tcW w:w="4876" w:type="dxa"/>
            <w:vAlign w:val="top"/>
          </w:tcPr>
          <w:p>
            <w:pPr>
              <w:pStyle w:val="Normal6a"/>
            </w:pPr>
            <w:r>
              <w:t>(6)</w:t>
            </w:r>
            <w:r>
              <w:tab/>
            </w:r>
            <w:r>
              <w:t xml:space="preserve">Lai sasniegtu šo mērķi, būtu jārada jauns SVT tirgus infrastruktūru Savienības statuss </w:t>
            </w:r>
            <w:r>
              <w:rPr>
                <w:b/>
                <w:i/>
                <w:strike w:val="0"/>
                <w:color w:val="auto"/>
                <w:highlight w:val="none"/>
                <w:u w:val="none" w:color="auto"/>
                <w:vertAlign w:val="baseline"/>
              </w:rPr>
              <w:t>nolūkā nodrošināt, ka Savienība spēj saglabāt savu vadošo pozīciju konkurencē attiecībā uz tokenizētiem aktīviem, un veicināt šo aktīvu sekundārā tirgus attīstību</w:t>
            </w:r>
            <w:r>
              <w:t>. Šim SVT tirgus infrastruktūru statusam vajadzētu būt neobligātam, un tas nedrīkstētu liegt finanšu tirgus infrastruktūrām, piemēram, tirdzniecības vietām, centrālajiem vērtspapīru depozitārijiem un centrālajiem darījumu partneriem, attīstīt tirdzniecības un pēctirdzniecības pakalpojumus un darbības attiecībā uz kriptoaktīviem, kurus var uzskatīt par finanšu instrumentiem vai kuru pamatā ir SVT, saskaņā ar esošajiem Savienības finanšu pakalpojumu tiesību aktiem.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Ir svarīgi uzsvērt, ka ES ir jāsaglabā vadošā loma jaunā globālā uz SVT balstītā ekonomikā, kas nodrošinās apjomradītus ietaupījumus un efektivitātes ieguvumus tokenizēto aktīvu tirgos.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Ja CVD, kurus uztur ECBS dalībnieki, dalībvalstu struktūras, kas veic līdzīgas funkcijas, vai citas publiskas struktūras, kuru pienākumos ir valsts parāda pārvaldība vai kuras iesaistās šādā pārvaldībā Savienībā, uztur SVT vērtspapīru norēķinu sistēmu, tiem nebūtu jāprasa kompetentajai iestādei īpaši atbrīvojumi vai atļaujas, jo šādiem CVD nav jāziņo kompetentajām iestādēm vai jāpilda to rīkojumi, un uz tiem saskaņā ar Regulu (ES) Nr. 909/2014 attiecas ierobežots prasību kopums atbilstīgi minētās regulas 1. panta 4. punktam.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Saskaņā ar ECB atzinumu.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Ja CVD, kurus uztur ECBS dalībnieki, dalībvalstu struktūras, kas veic līdzīgas funkcijas, vai citas publiskas struktūras, kuru pienākumos ir valsts parāda pārvaldība vai kuras iesaistās šādā pārvaldībā Savienībā, uztur SVT vērtspapīru norēķinu sistēmu (VNS), tiem nebūtu jāprasa kompetentajai iestādei īpaši atbrīvojumi vai atļaujas, jo šādiem CVD nav jāziņo kompetentajām iestādēm vai jāpilda to rīkojumi, un uz tiem saskaņā ar Regulu (ES) Nr. 909/2014 attiecas ierobežots prasību kopums atbilstīgi minētās regulas 1. panta 4. punktam.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Šā grozījuma mērķis ir ņemt vērā ECB atzinumā izteikto ierosinājumu.</w:t>
      </w:r>
      <w:r>
        <w:t xml:space="preserve"> </w:t>
      </w:r>
      <w:r>
        <w:t>Juridiskās noteiktības labad ECB ierosina skaidri noteikt, ka uz CVD, ko uztur ECBS centrālās bankas, kuras uztur SVT vērtspapīru norēķinu sistēmu, neattiecas ierosinātās regulas noteikumi par atbrīvojumu piešķiršanas un atļauju atsaukšanas procesu.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SVT tirgus infrastruktūra būtu jādefinē vai nu kā SVT daudzpusējā tirdzniecības sistēma (SVT DTS), vai kā SVT vērtspapīru norēķinu sistēma.</w:t>
            </w:r>
          </w:p>
        </w:tc>
        <w:tc>
          <w:tcPr>
            <w:tcW w:w="4876" w:type="dxa"/>
            <w:vAlign w:val="top"/>
          </w:tcPr>
          <w:p>
            <w:pPr>
              <w:pStyle w:val="Normal6a"/>
            </w:pPr>
            <w:r>
              <w:t>(7)</w:t>
            </w:r>
            <w:r>
              <w:tab/>
            </w:r>
            <w:r>
              <w:t xml:space="preserve">SVT tirgus infrastruktūra būtu jādefinē vai nu kā SVT daudzpusējā tirdzniecības sistēma (SVT DTS), vai kā SVT vērtspapīru norēķinu sistēma. </w:t>
            </w:r>
            <w:r>
              <w:rPr>
                <w:b/>
                <w:i/>
                <w:strike w:val="0"/>
                <w:color w:val="auto"/>
                <w:highlight w:val="none"/>
                <w:u w:val="none" w:color="auto"/>
                <w:vertAlign w:val="baseline"/>
              </w:rPr>
              <w:t>Šīm SVT tirgus infrastruktūrām vajadzētu būt iespējai sadarboties ar citiem tirgus dalībniekiem, lai katrā finanšu pakalpojumu vērtības ķēdes posmā rastu inovatīvus risinājumus, kuru pamatā ir SVT.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režīmam būtu jādod iespēja tirgus dalībniekiem, kuri paši nevēlas kļūt par SVT tirgus infrastruktūru, bet vēlas apvienot spēkus, sadarbojoties ar SVT tirgus infrastruktūrām, izmēģināt jaunus modeļus informācijas uzglabāšanai blokķēdē.</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SVT DTS vajadzētu būt daudzpusējai tirdzniecības sistēmai, ko uztur ieguldījumu brokeru sabiedrība vai tirgus dalībnieks, </w:t>
            </w:r>
            <w:r>
              <w:rPr>
                <w:b/>
                <w:i/>
                <w:strike w:val="0"/>
                <w:color w:val="auto"/>
                <w:highlight w:val="none"/>
                <w:u w:val="none" w:color="auto"/>
                <w:vertAlign w:val="baseline"/>
              </w:rPr>
              <w:t>kas vada uzņēmumu vai regulētu tirgu</w:t>
            </w:r>
            <w:r>
              <w:t xml:space="preserve">,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 xml:space="preserve">vai jebkuriem citiem </w:t>
            </w:r>
            <w:r>
              <w:rPr>
                <w:b/>
                <w:i/>
                <w:strike w:val="0"/>
                <w:color w:val="auto"/>
                <w:highlight w:val="none"/>
                <w:u w:val="none" w:color="auto"/>
                <w:vertAlign w:val="baseline"/>
              </w:rPr>
              <w:t>ES</w:t>
            </w:r>
            <w:r>
              <w:t xml:space="preserve"> finanšu pakalpojumu tiesību aktiem, izņemot, ja kompetentā iestāde </w:t>
            </w:r>
            <w:r>
              <w:rPr>
                <w:b/>
                <w:i/>
                <w:strike w:val="0"/>
                <w:color w:val="auto"/>
                <w:highlight w:val="none"/>
                <w:u w:val="none" w:color="auto"/>
                <w:vertAlign w:val="baseline"/>
              </w:rPr>
              <w:t>tai</w:t>
            </w:r>
            <w:r>
              <w:t xml:space="preserve"> ir piešķīrusi vienu vai vairākus atbrīvojumus saskaņā ar šo regulu un Eiropas Parlamenta un Padomes (..) Direktīvu (ES) (..)/(..)</w:t>
            </w:r>
            <w:r>
              <w:rPr>
                <w:rStyle w:val="Sup"/>
              </w:rPr>
              <w:t>42</w:t>
            </w:r>
            <w:r>
              <w:t>.</w:t>
            </w:r>
          </w:p>
        </w:tc>
        <w:tc>
          <w:tcPr>
            <w:tcW w:w="4876" w:type="dxa"/>
            <w:vAlign w:val="top"/>
          </w:tcPr>
          <w:p>
            <w:pPr>
              <w:pStyle w:val="Normal6a"/>
            </w:pPr>
            <w:r>
              <w:t>(8)</w:t>
            </w:r>
            <w:r>
              <w:tab/>
            </w:r>
            <w:r>
              <w:t xml:space="preserve">SVT DTS vajadzētu būt daudzpusējai tirdzniecības sistēmai, ko uztur ieguldījumu brokeru sabiedrība vai tirgus dalībnieks, </w:t>
            </w:r>
            <w:r>
              <w:rPr>
                <w:b/>
                <w:i/>
                <w:strike w:val="0"/>
                <w:color w:val="auto"/>
                <w:highlight w:val="none"/>
                <w:u w:val="none" w:color="auto"/>
                <w:vertAlign w:val="baseline"/>
              </w:rPr>
              <w:t>kurš veic regulēta tirgus darījumdarbību</w:t>
            </w:r>
            <w:r>
              <w:t xml:space="preserve">, — un, iespējams, pats regulētais tirgus, kas pilnvarots saskaņā ar Direktīvu 2014/65/ES (Finanšu instrumentu tirgu direktīva jeb FITD II) —, un kas ir saņēmis īpašu atļauju saskaņā ar šo regulu. Uz šādu SVT DTS </w:t>
            </w:r>
            <w:r>
              <w:rPr>
                <w:b/>
                <w:i/>
                <w:strike w:val="0"/>
                <w:color w:val="auto"/>
                <w:highlight w:val="none"/>
                <w:u w:val="none" w:color="auto"/>
                <w:vertAlign w:val="baseline"/>
              </w:rPr>
              <w:t>un tās uzturētāju</w:t>
            </w:r>
            <w:r>
              <w:t xml:space="preserve"> būtu jāattiecas visām prasībām, kas piemērojamas daudzpusējai tirdzniecības sistēmai </w:t>
            </w:r>
            <w:r>
              <w:rPr>
                <w:b/>
                <w:i/>
                <w:strike w:val="0"/>
                <w:color w:val="auto"/>
                <w:highlight w:val="none"/>
                <w:u w:val="none" w:color="auto"/>
                <w:vertAlign w:val="baseline"/>
              </w:rPr>
              <w:t>un tās uzturētājam</w:t>
            </w:r>
            <w:r>
              <w:t xml:space="preserve">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 xml:space="preserve"> vai jebkuriem citiem </w:t>
            </w:r>
            <w:r>
              <w:rPr>
                <w:b/>
                <w:i/>
                <w:strike w:val="0"/>
                <w:color w:val="auto"/>
                <w:highlight w:val="none"/>
                <w:u w:val="none" w:color="auto"/>
                <w:vertAlign w:val="baseline"/>
              </w:rPr>
              <w:t>piemērojamiem Savienības</w:t>
            </w:r>
            <w:r>
              <w:t xml:space="preserve"> finanšu pakalpojumu tiesību aktiem, izņemot, ja kompetentā iestāde </w:t>
            </w:r>
            <w:r>
              <w:rPr>
                <w:b/>
                <w:i/>
                <w:strike w:val="0"/>
                <w:color w:val="auto"/>
                <w:highlight w:val="none"/>
                <w:u w:val="none" w:color="auto"/>
                <w:vertAlign w:val="baseline"/>
              </w:rPr>
              <w:t>SVT DTS</w:t>
            </w:r>
            <w:r>
              <w:t xml:space="preserve"> ir piešķīrusi vienu vai vairākus atbrīvojumus saskaņā ar šo regulu un Eiropas Parlamenta un Padomes (..) Direktīvu (ES) (..)/(..)</w:t>
            </w:r>
            <w:r>
              <w:rPr>
                <w:rStyle w:val="Sup"/>
              </w:rPr>
              <w:t>42</w:t>
            </w:r>
            <w:r>
              <w:t xml:space="preserve">. </w:t>
            </w:r>
            <w:r>
              <w:rPr>
                <w:b/>
                <w:i/>
                <w:strike w:val="0"/>
                <w:color w:val="auto"/>
                <w:highlight w:val="none"/>
                <w:u w:val="none" w:color="auto"/>
                <w:vertAlign w:val="baseline"/>
              </w:rPr>
              <w:t>Jauniem tirgus dalībniekiem vai regulētām vienībām, piemēram, ieguldījumu brokeru sabiedrībām vai kredītiestādēm, kas vēlas uzturēt SVT DTS saskaņā ar šo regulu, būtu jāļauj piemērot vienpakāpes pieteikšanās procedūru, iesniedzot pieteikumu savas valsts kompetentajai iestādei, lai saņemtu atļauju saskaņā ar Direktīvu 2014/65/ES (FITD II), un vienlaikus norādot jebkuru atbrīvojumu, ko tie vēlas saņemt saskaņā ar šo regulu un Eiropas Parlamenta un Padomes Direktīvu (ES).../....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Priekšlikums Eiropas Parlamenta un Padomes direktīvai, ar ko groza Direktīvas 2006/43/EK, 2009/65/EK, 2009/138/ES, 2011/61/ES, ES/2013/36, 2014/65/ES, (ES) 2015/2366 un ES/2016/2341 – COM(2020)596</w:t>
            </w:r>
          </w:p>
        </w:tc>
        <w:tc>
          <w:tcPr>
            <w:tcW w:w="4876" w:type="dxa"/>
            <w:vAlign w:val="top"/>
          </w:tcPr>
          <w:p>
            <w:pPr>
              <w:pStyle w:val="Normal6a"/>
            </w:pPr>
            <w:r>
              <w:rPr>
                <w:rStyle w:val="Sup"/>
              </w:rPr>
              <w:t>42</w:t>
            </w:r>
            <w:r>
              <w:t xml:space="preserve"> </w:t>
            </w:r>
            <w:r>
              <w:t>Priekšlikums Eiropas Parlamenta un Padomes direktīvai, ar ko groza Direktīvas 2006/43/EK, 2009/65/EK, 2009/138/ES, 2011/61/ES, ES/2013/36, 2014/65/ES, (ES) 2015/2366 un ES/2016/2341 – COM(2020)596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Dažas prasības ir piemērojamas tirgus infrastruktūras uzturētājam.</w:t>
      </w:r>
      <w:r>
        <w:t xml:space="preserve"> </w:t>
      </w:r>
      <w:r>
        <w:t>Turklāt ir ārkārtīgi svarīgi paredzēt vienpakāpes atļauju piešķiršanas procedūru jaunpienācējiem, kas vēlētos piedalīties izmēģinājuma režīmā, kļūstot par SVT DTS.</w:t>
      </w:r>
      <w:r>
        <w:t xml:space="preserve"> </w:t>
      </w:r>
      <w:r>
        <w:t>Mērķis ir izvairīties no resursu un laikietilpīgas divkāršas atļaujas piešķiršanas procedūras, kas radītu būtisku slogu jaunam tirgus dalībniekam.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SVT DTS vajadzētu būt daudzpusējai tirdzniecības sistēmai, ko uztur ieguldījumu brokeru sabiedrība vai tirgus dalībnieks, kas vada uzņēmumu vai regulētu tirgu,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vai jebkuriem citiem ES finanšu pakalpojumu tiesību aktiem, izņemot</w:t>
            </w:r>
            <w:r>
              <w:rPr>
                <w:b/>
                <w:i/>
                <w:strike w:val="0"/>
                <w:color w:val="auto"/>
                <w:highlight w:val="none"/>
                <w:u w:val="none" w:color="auto"/>
                <w:vertAlign w:val="baseline"/>
              </w:rPr>
              <w:t>, ja kompetentā iestāde tai</w:t>
            </w:r>
            <w:r>
              <w:t xml:space="preserve"> ir piešķīrusi </w:t>
            </w:r>
            <w:r>
              <w:rPr>
                <w:b/>
                <w:i/>
                <w:strike w:val="0"/>
                <w:color w:val="auto"/>
                <w:highlight w:val="none"/>
                <w:u w:val="none" w:color="auto"/>
                <w:vertAlign w:val="baseline"/>
              </w:rPr>
              <w:t>vienu vai vairākus atbrīvojumus saskaņā ar šo regulu un Eiropas Parlamenta un Padomes (..)</w:t>
            </w:r>
            <w:r>
              <w:t xml:space="preserve"> Direktīvu </w:t>
            </w:r>
            <w:r>
              <w:rPr>
                <w:b/>
                <w:i/>
                <w:strike w:val="0"/>
                <w:color w:val="auto"/>
                <w:highlight w:val="none"/>
                <w:u w:val="none" w:color="auto"/>
                <w:vertAlign w:val="baseline"/>
              </w:rPr>
              <w:t>(ES) (..)/(..</w:t>
            </w:r>
            <w:r>
              <w:t>)</w:t>
            </w:r>
            <w:r>
              <w:rPr>
                <w:rStyle w:val="SupBoldItalic"/>
              </w:rPr>
              <w:t>42</w:t>
            </w:r>
            <w:r>
              <w:t>.</w:t>
            </w:r>
          </w:p>
        </w:tc>
        <w:tc>
          <w:tcPr>
            <w:tcW w:w="4876" w:type="dxa"/>
            <w:vAlign w:val="top"/>
          </w:tcPr>
          <w:p>
            <w:pPr>
              <w:pStyle w:val="Normal6a"/>
            </w:pPr>
            <w:r>
              <w:t>(8)</w:t>
            </w:r>
            <w:r>
              <w:tab/>
            </w:r>
            <w:r>
              <w:t xml:space="preserve">SVT DTS vajadzētu būt daudzpusējai tirdzniecības sistēmai, ko uztur ieguldījumu brokeru sabiedrība vai tirgus dalībnieks, kas vada uzņēmumu vai regulētu tirgu,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 xml:space="preserve"> vai jebkuriem citiem ES finanšu pakalpojumu tiesību aktiem, izņemot </w:t>
            </w:r>
            <w:r>
              <w:rPr>
                <w:b/>
                <w:i/>
                <w:strike w:val="0"/>
                <w:color w:val="auto"/>
                <w:highlight w:val="none"/>
                <w:u w:val="none" w:color="auto"/>
                <w:vertAlign w:val="baseline"/>
              </w:rPr>
              <w:t>attiecībā uz prasībām, no kurām EVTI saskaņā ar šo regulu</w:t>
            </w:r>
            <w:r>
              <w:t xml:space="preserve"> ir piešķīrusi </w:t>
            </w:r>
            <w:r>
              <w:rPr>
                <w:b/>
                <w:i/>
                <w:strike w:val="0"/>
                <w:color w:val="auto"/>
                <w:highlight w:val="none"/>
                <w:u w:val="none" w:color="auto"/>
                <w:vertAlign w:val="baseline"/>
              </w:rPr>
              <w:t>atbrīvojumu.</w:t>
            </w:r>
            <w:r>
              <w:t xml:space="preserve"> </w:t>
            </w:r>
            <w:r>
              <w:rPr>
                <w:b/>
                <w:i/>
                <w:strike w:val="0"/>
                <w:color w:val="auto"/>
                <w:highlight w:val="none"/>
                <w:u w:val="none" w:color="auto"/>
                <w:vertAlign w:val="baseline"/>
              </w:rPr>
              <w:t>Lai nodrošinātu konkurenci, vienlaikus saglabājot vienlīdzīgus konkurences apstākļus un augstus standartus attiecībā uz ieguldītāju aizsardzību, tirgus integritāti un finanšu stabilitāti, jaunpienācējiem vajadzētu būt iespējai piekļūt izmēģinājuma režīmam, ja vien tie atbilst tām pašām prasībām, ko piemēro pilnvarotām ieguldījumu brokeru sabiedrībām saskaņā ar</w:t>
            </w:r>
            <w:r>
              <w:t xml:space="preserve"> Direktīvu </w:t>
            </w:r>
            <w:r>
              <w:rPr>
                <w:b/>
                <w:i/>
                <w:strike w:val="0"/>
                <w:color w:val="auto"/>
                <w:highlight w:val="none"/>
                <w:u w:val="none" w:color="auto"/>
                <w:vertAlign w:val="baseline"/>
              </w:rPr>
              <w:t>2014/65/ES (FITD</w:t>
            </w:r>
            <w:r>
              <w:t xml:space="preserve">) </w:t>
            </w:r>
            <w:r>
              <w:rPr>
                <w:b/>
                <w:i/>
                <w:strike w:val="0"/>
                <w:color w:val="auto"/>
                <w:highlight w:val="none"/>
                <w:u w:val="none" w:color="auto"/>
                <w:vertAlign w:val="baseline"/>
              </w:rPr>
              <w:t>un citiem Savienības finanšu pakalpojumu tiesību aktiem, izņemot jebkādus atbrīvojumus, kas piešķirti saskaņā ar šo regulu</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42</w:t>
            </w:r>
            <w:r>
              <w:t xml:space="preserve"> </w:t>
            </w:r>
            <w:r>
              <w:rPr>
                <w:b/>
                <w:i/>
                <w:strike w:val="0"/>
                <w:color w:val="auto"/>
                <w:highlight w:val="none"/>
                <w:u w:val="none" w:color="auto"/>
                <w:vertAlign w:val="baseline"/>
              </w:rPr>
              <w:t>Priekšlikums Eiropas Parlamenta un Padomes direktīvai, ar ko groza Direktīvas 2006/43/EK, 2009/65/EK, 2009/138/ES, 2011/61/ES, ES/2013/36, 2014/65/ES, (ES) 2015/2366 un ES/2016/2341 – COM(2020)596</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SVT DTS vajadzētu būt daudzpusējai tirdzniecības sistēmai, ko uztur ieguldījumu brokeru sabiedrība vai tirgus dalībnieks, kas vada uzņēmumu vai regulētu tirgu,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vai jebkuriem citiem ES finanšu pakalpojumu tiesību aktiem, izņemot, ja kompetentā iestāde tai ir piešķīrusi vienu vai vairākus atbrīvojumus saskaņā ar šo regulu un Eiropas Parlamenta un Padomes (..) Direktīvu (ES) (..)/(..)</w:t>
            </w:r>
            <w:r>
              <w:rPr>
                <w:rStyle w:val="Sup"/>
              </w:rPr>
              <w:t>42</w:t>
            </w:r>
            <w:r>
              <w:t>.</w:t>
            </w:r>
          </w:p>
        </w:tc>
        <w:tc>
          <w:tcPr>
            <w:tcW w:w="4876" w:type="dxa"/>
            <w:vAlign w:val="top"/>
          </w:tcPr>
          <w:p>
            <w:pPr>
              <w:pStyle w:val="Normal6a"/>
            </w:pPr>
            <w:r>
              <w:t>(8)</w:t>
            </w:r>
            <w:r>
              <w:tab/>
            </w:r>
            <w:r>
              <w:t xml:space="preserve">SVT DTS vajadzētu būt daudzpusējai tirdzniecības sistēmai, ko uztur </w:t>
            </w:r>
            <w:r>
              <w:rPr>
                <w:b/>
                <w:i/>
                <w:strike w:val="0"/>
                <w:color w:val="auto"/>
                <w:highlight w:val="none"/>
                <w:u w:val="none" w:color="auto"/>
                <w:vertAlign w:val="baseline"/>
              </w:rPr>
              <w:t>struktūra, kura var būt</w:t>
            </w:r>
            <w:r>
              <w:t xml:space="preserve"> ieguldījumu brokeru sabiedrība vai tirgus dalībnieks, kas vada uzņēmumu vai regulētu tirgu, </w:t>
            </w:r>
            <w:r>
              <w:rPr>
                <w:b/>
                <w:i/>
                <w:strike w:val="0"/>
                <w:color w:val="auto"/>
                <w:highlight w:val="none"/>
                <w:u w:val="none" w:color="auto"/>
                <w:vertAlign w:val="baseline"/>
              </w:rPr>
              <w:t>bet ne tikai minētie,</w:t>
            </w:r>
            <w:r>
              <w:t xml:space="preserve">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 xml:space="preserve"> vai jebkuriem citiem ES finanšu pakalpojumu tiesību aktiem, izņemot, ja kompetentā iestāde tai ir piešķīrusi vienu vai vairākus atbrīvojumus saskaņā ar šo regulu un Eiropas Parlamenta un Padomes (..) Direktīvu (ES) (..)/(..)</w:t>
            </w:r>
            <w:r>
              <w:rPr>
                <w:rStyle w:val="Sup"/>
              </w:rPr>
              <w:t>42</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Priekšlikums Eiropas Parlamenta un Padomes direktīvai, ar ko groza Direktīvas 2006/43/EK, 2009/65/EK, 2009/138/ES, 2011/61/ES, ES/2013/36, 2014/65/ES, (ES) 2015/2366 un ES/2016/2341 – COM(2020)596</w:t>
            </w:r>
          </w:p>
        </w:tc>
        <w:tc>
          <w:tcPr>
            <w:tcW w:w="4876" w:type="dxa"/>
            <w:vAlign w:val="top"/>
          </w:tcPr>
          <w:p>
            <w:pPr>
              <w:pStyle w:val="Normal6a"/>
            </w:pPr>
            <w:r>
              <w:rPr>
                <w:rStyle w:val="Sup"/>
              </w:rPr>
              <w:t>42</w:t>
            </w:r>
            <w:r>
              <w:t xml:space="preserve"> </w:t>
            </w:r>
            <w:r>
              <w:t>Priekšlikums Eiropas Parlamenta un Padomes direktīvai, ar ko groza Direktīvas 2006/43/EK, 2009/65/EK, 2009/138/ES, 2011/61/ES, ES/2013/36, 2014/65/ES, (ES) 2015/2366 un ES/2016/2341 – COM(2020)596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Gunnar Beck</w:t>
      </w:r>
      <w:r>
        <w:t xml:space="preserve">, </w:t>
      </w:r>
      <w:r>
        <w:t>Maximilian Krah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SVT DTS vajadzētu būt daudzpusējai tirdzniecības sistēmai, ko uztur ieguldījumu brokeru sabiedrība vai tirgus dalībnieks, kas vada uzņēmumu vai regulētu tirgu,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vai jebkuriem citiem ES finanšu pakalpojumu tiesību aktiem, izņemot, ja kompetentā iestāde tai ir piešķīrusi vienu vai vairākus atbrīvojumus saskaņā ar šo regulu un Eiropas Parlamenta un Padomes (..) Direktīvu (ES) (..)/(..)</w:t>
            </w:r>
            <w:r>
              <w:rPr>
                <w:rStyle w:val="Sup"/>
              </w:rPr>
              <w:t>42</w:t>
            </w:r>
            <w:r>
              <w:t>.</w:t>
            </w:r>
          </w:p>
        </w:tc>
        <w:tc>
          <w:tcPr>
            <w:tcW w:w="4876" w:type="dxa"/>
            <w:vAlign w:val="top"/>
          </w:tcPr>
          <w:p>
            <w:pPr>
              <w:pStyle w:val="Normal6a"/>
            </w:pPr>
            <w:r>
              <w:t>(8)</w:t>
            </w:r>
            <w:r>
              <w:tab/>
            </w:r>
            <w:r>
              <w:t>SVT DTS vajadzētu būt daudzpusējai tirdzniecības sistēmai, ko uztur ieguldījumu brokeru sabiedrība</w:t>
            </w:r>
            <w:r>
              <w:rPr>
                <w:b/>
                <w:i/>
                <w:strike w:val="0"/>
                <w:color w:val="auto"/>
                <w:highlight w:val="none"/>
                <w:u w:val="none" w:color="auto"/>
                <w:vertAlign w:val="baseline"/>
              </w:rPr>
              <w:t>, kriptoaktīvu emitents</w:t>
            </w:r>
            <w:r>
              <w:t xml:space="preserve"> vai tirgus dalībnieks, kas vada uzņēmumu vai regulētu tirgu,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 xml:space="preserve"> vai jebkuriem citiem ES finanšu pakalpojumu tiesību aktiem, izņemot, ja kompetentā iestāde tai ir piešķīrusi vienu vai vairākus atbrīvojumus saskaņā ar šo regulu un Eiropas Parlamenta un Padomes (..) Direktīvu (ES) (..)/(..)</w:t>
            </w:r>
            <w:r>
              <w:rPr>
                <w:rStyle w:val="Sup"/>
              </w:rPr>
              <w:t>42</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Priekšlikums Eiropas Parlamenta un Padomes direktīvai, ar ko groza Direktīvas 2006/43/EK, 2009/65/EK, 2009/138/ES, 2011/61/ES, ES/2013/36, 2014/65/ES, (ES) 2015/2366 un ES/2016/2341 – COM(2020)596</w:t>
            </w:r>
          </w:p>
        </w:tc>
        <w:tc>
          <w:tcPr>
            <w:tcW w:w="4876" w:type="dxa"/>
            <w:vAlign w:val="top"/>
          </w:tcPr>
          <w:p>
            <w:pPr>
              <w:pStyle w:val="Normal6a"/>
            </w:pPr>
            <w:r>
              <w:rPr>
                <w:rStyle w:val="Sup"/>
              </w:rPr>
              <w:t>42</w:t>
            </w:r>
            <w:r>
              <w:t xml:space="preserve"> </w:t>
            </w:r>
            <w:r>
              <w:t>Priekšlikums Eiropas Parlamenta un Padomes direktīvai, ar ko groza Direktīvas 2006/43/EK, 2009/65/EK, 2009/138/ES, 2011/61/ES, ES/2013/36, 2014/65/ES, (ES) 2015/2366 un ES/2016/2341 – COM(2020)596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SVT DTS vajadzētu būt daudzpusējai tirdzniecības sistēmai, ko uztur ieguldījumu brokeru sabiedrība vai tirgus dalībnieks, </w:t>
            </w:r>
            <w:r>
              <w:rPr>
                <w:b/>
                <w:i/>
                <w:strike w:val="0"/>
                <w:color w:val="auto"/>
                <w:highlight w:val="none"/>
                <w:u w:val="none" w:color="auto"/>
                <w:vertAlign w:val="baseline"/>
              </w:rPr>
              <w:t>kas vada uzņēmumu vai regulētu tirgu</w:t>
            </w:r>
            <w:r>
              <w:t xml:space="preserve">,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rPr>
                <w:b/>
                <w:i/>
                <w:strike w:val="0"/>
                <w:color w:val="auto"/>
                <w:highlight w:val="none"/>
                <w:u w:val="none" w:color="auto"/>
                <w:vertAlign w:val="baseline"/>
              </w:rPr>
              <w:t>vai</w:t>
            </w:r>
            <w:r>
              <w:t xml:space="preserve"> jebkuriem citiem </w:t>
            </w:r>
            <w:r>
              <w:rPr>
                <w:b/>
                <w:i/>
                <w:strike w:val="0"/>
                <w:color w:val="auto"/>
                <w:highlight w:val="none"/>
                <w:u w:val="none" w:color="auto"/>
                <w:vertAlign w:val="baseline"/>
              </w:rPr>
              <w:t>ES</w:t>
            </w:r>
            <w:r>
              <w:t xml:space="preserve"> finanšu pakalpojumu tiesību aktiem, izņemot, ja kompetentā iestāde tai ir piešķīrusi vienu vai vairākus atbrīvojumus saskaņā ar šo regulu un Eiropas Parlamenta un Padomes (..) Direktīvu (ES) (..)/(..)</w:t>
            </w:r>
            <w:r>
              <w:rPr>
                <w:rStyle w:val="Sup"/>
              </w:rPr>
              <w:t>42</w:t>
            </w:r>
            <w:r>
              <w:t>.</w:t>
            </w:r>
          </w:p>
        </w:tc>
        <w:tc>
          <w:tcPr>
            <w:tcW w:w="4876" w:type="dxa"/>
            <w:vAlign w:val="top"/>
          </w:tcPr>
          <w:p>
            <w:pPr>
              <w:pStyle w:val="Normal6a"/>
            </w:pPr>
            <w:r>
              <w:t>(8)</w:t>
            </w:r>
            <w:r>
              <w:tab/>
            </w:r>
            <w:r>
              <w:t xml:space="preserve">SVT DTS vajadzētu būt daudzpusējai tirdzniecības sistēmai, ko uztur ieguldījumu brokeru sabiedrība vai tirgus dalībnieks, </w:t>
            </w:r>
            <w:r>
              <w:rPr>
                <w:b/>
                <w:i/>
                <w:strike w:val="0"/>
                <w:color w:val="auto"/>
                <w:highlight w:val="none"/>
                <w:u w:val="none" w:color="auto"/>
                <w:vertAlign w:val="baseline"/>
              </w:rPr>
              <w:t>kurš veic regulēta tirgus darījumdarbību</w:t>
            </w:r>
            <w:r>
              <w:t xml:space="preserve">, — un, iespējams, pats regulētais tirgus, kas pilnvarots saskaņā ar Direktīvu 2014/65/ES (Finanšu instrumentu tirgu direktīva jeb FITD II) —, un kas ir saņēmis īpašu atļauju saskaņā ar šo regulu. Uz šādu SVT DTS būtu jāattiecas visām prasībām, kas piemērojamas daudzpusējai tirdzniecības sistēmai saskaņā ar Direktīvu 2014/65/ES (Finanšu instrumentu tirgu direktīva jeb FITD II), Eiropas Parlamenta un Padomes Regulu </w:t>
            </w:r>
            <w:r>
              <w:rPr>
                <w:b/>
                <w:i/>
                <w:strike w:val="0"/>
                <w:color w:val="auto"/>
                <w:highlight w:val="none"/>
                <w:u w:val="none" w:color="auto"/>
                <w:vertAlign w:val="baseline"/>
              </w:rPr>
              <w:t>(ES)</w:t>
            </w:r>
            <w:r>
              <w:t xml:space="preserve"> Nr. 600/2014 (Finanšu instrumentu tirgu regula jeb FITR)</w:t>
            </w:r>
            <w:r>
              <w:rPr>
                <w:rStyle w:val="Sup"/>
              </w:rPr>
              <w:t>41</w:t>
            </w:r>
            <w:r>
              <w:t xml:space="preserve"> </w:t>
            </w:r>
            <w:r>
              <w:rPr>
                <w:b/>
                <w:i/>
                <w:strike w:val="0"/>
                <w:color w:val="auto"/>
                <w:highlight w:val="none"/>
                <w:u w:val="none" w:color="auto"/>
                <w:vertAlign w:val="baseline"/>
              </w:rPr>
              <w:t>un</w:t>
            </w:r>
            <w:r>
              <w:t xml:space="preserve"> jebkuriem citiem </w:t>
            </w:r>
            <w:r>
              <w:rPr>
                <w:b/>
                <w:i/>
                <w:strike w:val="0"/>
                <w:color w:val="auto"/>
                <w:highlight w:val="none"/>
                <w:u w:val="none" w:color="auto"/>
                <w:vertAlign w:val="baseline"/>
              </w:rPr>
              <w:t>piemērojamiem Savienības</w:t>
            </w:r>
            <w:r>
              <w:t xml:space="preserve"> finanšu pakalpojumu tiesību aktiem, izņemot, ja kompetentā iestāde tai ir piešķīrusi vienu vai vairākus atbrīvojumus saskaņā ar šo regulu un Eiropas Parlamenta un Padomes (..) Direktīvu (ES) (..)/(..)</w:t>
            </w:r>
            <w:r>
              <w:rPr>
                <w:rStyle w:val="Sup"/>
              </w:rPr>
              <w:t>42</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c>
          <w:tcPr>
            <w:tcW w:w="4876" w:type="dxa"/>
            <w:vAlign w:val="top"/>
          </w:tcPr>
          <w:p>
            <w:pPr>
              <w:pStyle w:val="Normal6a"/>
            </w:pPr>
            <w:r>
              <w:rPr>
                <w:rStyle w:val="Sup"/>
              </w:rPr>
              <w:t>41</w:t>
            </w:r>
            <w:r>
              <w:t xml:space="preserve"> </w:t>
            </w:r>
            <w:r>
              <w:t>Eiropas Parlamenta un Padomes Regula (ES) Nr. 600/2014 (2014. gada 15. maijs) par finanšu instrumentu tirgiem un ar ko groza Regulu (ES) Nr. 648/2012 (OV L 173, 12.6.2014., 84.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Priekšlikums Eiropas Parlamenta un Padomes direktīvai, ar ko groza Direktīvas 2006/43/EK, 2009/65/EK, 2009/138/ES, 2011/61/ES, ES/2013/36, 2014/65/ES, (ES) 2015/2366 un ES/2016/2341 – COM(2020)596</w:t>
            </w:r>
          </w:p>
        </w:tc>
        <w:tc>
          <w:tcPr>
            <w:tcW w:w="4876" w:type="dxa"/>
            <w:vAlign w:val="top"/>
          </w:tcPr>
          <w:p>
            <w:pPr>
              <w:pStyle w:val="Normal6a"/>
            </w:pPr>
            <w:r>
              <w:rPr>
                <w:rStyle w:val="Sup"/>
              </w:rPr>
              <w:t>42</w:t>
            </w:r>
            <w:r>
              <w:t xml:space="preserve"> </w:t>
            </w:r>
            <w:r>
              <w:t>Priekšlikums Eiropas Parlamenta un Padomes direktīvai, ar ko groza Direktīvas 2006/43/EK, 2009/65/EK, 2009/138/ES, 2011/61/ES, ES/2013/36, 2014/65/ES, (ES) 2015/2366 un ES/2016/2341 – COM(2020)596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Struktūrām, kas nav pilnvarotas saskaņā ar Direktīvu 2014/65/ES, būtu saskaņā ar šo regulu jāatļauj pieteikties īpašai atļaujai uzturēt SVT DTS, ievērojot paātrinātu procedūru.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Paātrināta procedūra attiecībā uz jaunpienācējiem, kuri pieteikuma iesniegšanas brīdī nav pilnvaroti kā DTS.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169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Sadalītās virsgrāmatas tehnoloģijas izmantošana, visus darījumus iegrāmatojot decentralizētā </w:t>
            </w:r>
            <w:r>
              <w:rPr>
                <w:b/>
                <w:i/>
                <w:strike w:val="0"/>
                <w:color w:val="auto"/>
                <w:highlight w:val="none"/>
                <w:u w:val="none" w:color="auto"/>
                <w:vertAlign w:val="baseline"/>
              </w:rPr>
              <w:t>virsgrāmatā</w:t>
            </w:r>
            <w:r>
              <w:t xml:space="preserve">, var paātrināt un saīsināt tirdzniecību un norēķinus tiktāl, ka tie notiek gandrīz reāllaikā, un varētu ļaut apvienot tirdzniecības un pēctirdzniecības darbības. Tomēr pašreizējie noteikumi paredz tirdzniecības un norēķinu darbības, ko veic atsevišķas tirgus infrastruktūras. Saskaņā ar Eiropas Parlamenta un Padomes regulu (ES) Nr. 909/2014 (Vērtspapīru norēķinu un centrālo depozitāriju regula) finanšu instrumenti, kurus atļauts tirgot tirdzniecības vietā Direktīvas 2014/65/ES (Finanšu instrumentu tirgu direktīva jeb FITD II) nozīmē, ir jāiegrāmato centrālajā vērtspapīru depozitārijā (“CVD”), savukārt sadalīto virsgrāmatu var izmantot kā šāda depozitārija decentralizētu </w:t>
            </w:r>
            <w:r>
              <w:rPr>
                <w:b/>
                <w:i/>
                <w:strike w:val="0"/>
                <w:color w:val="auto"/>
                <w:highlight w:val="none"/>
                <w:u w:val="none" w:color="auto"/>
                <w:vertAlign w:val="baseline"/>
              </w:rPr>
              <w:t>versiju</w:t>
            </w:r>
            <w:r>
              <w:t xml:space="preserve">. Tāpēc būtu pamatoti ļaut SVT </w:t>
            </w:r>
            <w:r>
              <w:rPr>
                <w:b/>
                <w:i/>
                <w:strike w:val="0"/>
                <w:color w:val="auto"/>
                <w:highlight w:val="none"/>
                <w:u w:val="none" w:color="auto"/>
                <w:vertAlign w:val="baseline"/>
              </w:rPr>
              <w:t>DTS veikt</w:t>
            </w:r>
            <w:r>
              <w:t xml:space="preserve"> dažas darbības, ko parasti veic </w:t>
            </w:r>
            <w:r>
              <w:rPr>
                <w:b/>
                <w:i/>
                <w:strike w:val="0"/>
                <w:color w:val="auto"/>
                <w:highlight w:val="none"/>
                <w:u w:val="none" w:color="auto"/>
                <w:vertAlign w:val="baseline"/>
              </w:rPr>
              <w:t>CVD</w:t>
            </w:r>
            <w:r>
              <w:t xml:space="preserve">. Šā iemesla dēļ, ja ir piešķirts(-ti) attiecīgais(-ie) atbrīvojums(-i), būtu jāļauj SVT </w:t>
            </w:r>
            <w:r>
              <w:rPr>
                <w:b/>
                <w:i/>
                <w:strike w:val="0"/>
                <w:color w:val="auto"/>
                <w:highlight w:val="none"/>
                <w:u w:val="none" w:color="auto"/>
                <w:vertAlign w:val="baseline"/>
              </w:rPr>
              <w:t>DTS</w:t>
            </w:r>
            <w:r>
              <w:t xml:space="preserve"> nodrošināt SVT pārvedamo vērtspapīru sākotnējo iegrāmatošanu, norēķinus par darījumiem ar SVT pārvedamiem vērtspapīriem un SVT pārvedamo vērtspapīru glabāšanu.</w:t>
            </w:r>
          </w:p>
        </w:tc>
        <w:tc>
          <w:tcPr>
            <w:tcW w:w="4876" w:type="dxa"/>
            <w:vAlign w:val="top"/>
          </w:tcPr>
          <w:p>
            <w:pPr>
              <w:pStyle w:val="Normal6a"/>
            </w:pPr>
            <w:r>
              <w:t>(9)</w:t>
            </w:r>
            <w:r>
              <w:tab/>
            </w:r>
            <w:r>
              <w:t xml:space="preserve">Sadalītās virsgrāmatas tehnoloģijas izmantošana, visus darījumus iegrāmatojot decentralizētā </w:t>
            </w:r>
            <w:r>
              <w:rPr>
                <w:b/>
                <w:i/>
                <w:strike w:val="0"/>
                <w:color w:val="auto"/>
                <w:highlight w:val="none"/>
                <w:u w:val="none" w:color="auto"/>
                <w:vertAlign w:val="baseline"/>
              </w:rPr>
              <w:t>digitālā datubāzē</w:t>
            </w:r>
            <w:r>
              <w:t xml:space="preserve">, var paātrināt un saīsināt tirdzniecību un norēķinus tiktāl, ka tie notiek gandrīz reāllaikā, un varētu ļaut apvienot tirdzniecības un pēctirdzniecības darbības. Tomēr pašreizējie noteikumi paredz tirdzniecības un norēķinu darbības, ko veic atsevišķas tirgus infrastruktūras. Saskaņā ar Eiropas Parlamenta un Padomes regulu (ES) Nr. 909/2014 (Vērtspapīru norēķinu un centrālo depozitāriju regula) finanšu instrumenti, kurus atļauts tirgot tirdzniecības vietā Direktīvas 2014/65/ES (Finanšu instrumentu tirgu direktīva jeb FITD II) nozīmē, ir jāiegrāmato centrālajā vērtspapīru depozitārijā (“CVD”), savukārt sadalīto virsgrāmatu var izmantot kā šāda depozitārija decentralizētu </w:t>
            </w:r>
            <w:r>
              <w:rPr>
                <w:b/>
                <w:i/>
                <w:strike w:val="0"/>
                <w:color w:val="auto"/>
                <w:highlight w:val="none"/>
                <w:u w:val="none" w:color="auto"/>
                <w:vertAlign w:val="baseline"/>
              </w:rPr>
              <w:t>datubāzi</w:t>
            </w:r>
            <w:r>
              <w:t xml:space="preserve">. Tāpēc būtu pamatoti ļaut SVT </w:t>
            </w:r>
            <w:r>
              <w:rPr>
                <w:b/>
                <w:i/>
                <w:strike w:val="0"/>
                <w:color w:val="auto"/>
                <w:highlight w:val="none"/>
                <w:u w:val="none" w:color="auto"/>
                <w:vertAlign w:val="baseline"/>
              </w:rPr>
              <w:t>tirgus infrastruktūrai apvienot</w:t>
            </w:r>
            <w:r>
              <w:t xml:space="preserve"> dažas darbības, ko parasti veic </w:t>
            </w:r>
            <w:r>
              <w:rPr>
                <w:b/>
                <w:i/>
                <w:strike w:val="0"/>
                <w:color w:val="auto"/>
                <w:highlight w:val="none"/>
                <w:u w:val="none" w:color="auto"/>
                <w:vertAlign w:val="baseline"/>
              </w:rPr>
              <w:t>gan DTS, gan CVD sistēmas</w:t>
            </w:r>
            <w:r>
              <w:t xml:space="preserve">. Šā iemesla dēļ, ja ir piešķirts(-ti) attiecīgais(-ie) atbrīvojums(-i) </w:t>
            </w:r>
            <w:r>
              <w:rPr>
                <w:b/>
                <w:i/>
                <w:strike w:val="0"/>
                <w:color w:val="auto"/>
                <w:highlight w:val="none"/>
                <w:u w:val="none" w:color="auto"/>
                <w:vertAlign w:val="baseline"/>
              </w:rPr>
              <w:t>un no tiem izrietošā atļauja</w:t>
            </w:r>
            <w:r>
              <w:t xml:space="preserve">, būtu jāļauj SVT </w:t>
            </w:r>
            <w:r>
              <w:rPr>
                <w:b/>
                <w:i/>
                <w:strike w:val="0"/>
                <w:color w:val="auto"/>
                <w:highlight w:val="none"/>
                <w:u w:val="none" w:color="auto"/>
                <w:vertAlign w:val="baseline"/>
              </w:rPr>
              <w:t>tirgus infrastruktūrai</w:t>
            </w:r>
            <w:r>
              <w:t xml:space="preserve"> nodrošināt SVT pārvedamo vērtspapīru sākotnējo iegrāmatošanu </w:t>
            </w:r>
            <w:r>
              <w:rPr>
                <w:b/>
                <w:i/>
                <w:strike w:val="0"/>
                <w:color w:val="auto"/>
                <w:highlight w:val="none"/>
                <w:u w:val="none" w:color="auto"/>
                <w:vertAlign w:val="baseline"/>
              </w:rPr>
              <w:t>un tirdzniecību</w:t>
            </w:r>
            <w:r>
              <w:t>, norēķinus par darījumiem ar SVT pārvedamiem vērtspapīriem un SVT pārvedamo vērtspapīru glabāšanu</w:t>
            </w:r>
            <w:r>
              <w:rPr>
                <w:b/>
                <w:i/>
                <w:strike w:val="0"/>
                <w:color w:val="auto"/>
                <w:highlight w:val="none"/>
                <w:u w:val="none" w:color="auto"/>
                <w:vertAlign w:val="baseline"/>
              </w:rPr>
              <w:t>, izmantojot sadalītās virsgrāmatas tehnoloģiju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Sadalītās virsgrāmatas tehnoloģijas izmantošana, visus darījumus iegrāmatojot </w:t>
            </w:r>
            <w:r>
              <w:rPr>
                <w:b/>
                <w:i/>
                <w:strike w:val="0"/>
                <w:color w:val="auto"/>
                <w:highlight w:val="none"/>
                <w:u w:val="none" w:color="auto"/>
                <w:vertAlign w:val="baseline"/>
              </w:rPr>
              <w:t>decentralizētā</w:t>
            </w:r>
            <w:r>
              <w:t xml:space="preserve"> virsgrāmatā, var paātrināt un saīsināt tirdzniecību un norēķinus tiktāl, ka tie notiek gandrīz reāllaikā, un varētu ļaut apvienot tirdzniecības un pēctirdzniecības darbības. Tomēr pašreizējie noteikumi paredz tirdzniecības un norēķinu darbības, ko veic atsevišķas tirgus infrastruktūras. Saskaņā ar Eiropas Parlamenta un Padomes regulu (ES) Nr. 909/2014 (Vērtspapīru norēķinu un centrālo depozitāriju regula) finanšu instrumenti, kurus atļauts tirgot tirdzniecības vietā Direktīvas 2014/65/ES (Finanšu instrumentu tirgu direktīva jeb FITD II) nozīmē, ir jāiegrāmato centrālajā vērtspapīru depozitārijā (“CVD”), savukārt sadalīto virsgrāmatu var izmantot kā šāda depozitārija decentralizētu versiju. Tāpēc būtu pamatoti ļaut SVT DTS veikt dažas darbības, ko parasti veic CVD. Šā iemesla dēļ, ja ir piešķirts(-ti) attiecīgais(-ie) atbrīvojums(-i), būtu jāļauj SVT DTS nodrošināt SVT pārvedamo vērtspapīru sākotnējo iegrāmatošanu, norēķinus par darījumiem ar SVT pārvedamiem vērtspapīriem un SVT pārvedamo vērtspapīru glabāšanu.</w:t>
            </w:r>
          </w:p>
        </w:tc>
        <w:tc>
          <w:tcPr>
            <w:tcW w:w="4876" w:type="dxa"/>
            <w:vAlign w:val="top"/>
          </w:tcPr>
          <w:p>
            <w:pPr>
              <w:pStyle w:val="Normal6a"/>
            </w:pPr>
            <w:r>
              <w:t>(9)</w:t>
            </w:r>
            <w:r>
              <w:tab/>
            </w:r>
            <w:r>
              <w:t xml:space="preserve">Sadalītās virsgrāmatas tehnoloģijas izmantošana, visus darījumus iegrāmatojot </w:t>
            </w:r>
            <w:r>
              <w:rPr>
                <w:b/>
                <w:i/>
                <w:strike w:val="0"/>
                <w:color w:val="auto"/>
                <w:highlight w:val="none"/>
                <w:u w:val="none" w:color="auto"/>
                <w:vertAlign w:val="baseline"/>
              </w:rPr>
              <w:t>sadalītā</w:t>
            </w:r>
            <w:r>
              <w:t xml:space="preserve"> virsgrāmatā, var paātrināt un saīsināt tirdzniecību un norēķinus tiktāl, ka tie notiek gandrīz reāllaikā, un varētu ļaut apvienot tirdzniecības un pēctirdzniecības darbības. Tomēr pašreizējie noteikumi paredz tirdzniecības un norēķinu darbības, ko veic atsevišķas tirgus infrastruktūras. Saskaņā ar Eiropas Parlamenta un Padomes regulu (ES) Nr. 909/2014 (Vērtspapīru norēķinu un centrālo depozitāriju regula) finanšu instrumenti, kurus atļauts tirgot tirdzniecības vietā Direktīvas 2014/65/ES (Finanšu instrumentu tirgu direktīva jeb FITD II) nozīmē, ir jāiegrāmato centrālajā vērtspapīru depozitārijā (“CVD”), savukārt sadalīto virsgrāmatu var izmantot kā šāda depozitārija decentralizētu versiju. Tāpēc būtu pamatoti ļaut SVT DTS veikt dažas darbības, ko parasti veic CVD. Šā iemesla dēļ, ja ir piešķirts(-ti) attiecīgais(-ie) atbrīvojums(-i), būtu jāļauj SVT DTS nodrošināt SVT pārvedamo vērtspapīru sākotnējo iegrāmatošanu, norēķinus par darījumiem ar SVT pārvedamiem vērtspapīriem un SVT pārvedamo vērtspapīru glabāšanu.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SVT vērtspapīru norēķinu sistēmai vajadzētu būt vērtspapīru norēķinu sistēmai, ko uztur CVD, kas pilnvarots saskaņā ar Regulu (ES) Nr. 909/2014 (Vērtspapīru norēķinu un centrālo depozitāriju regula) un ir saņēmis īpašu atļauju saskaņā ar šo regulu. SVT vērtspapīru norēķinu sistēmai un CVD, kas to uztur, būtu jāpiemēro attiecīgās prasības, kas noteiktas Regulā (ES) Nr. 909/2014 (Vērtspapīru norēķinu un centrālo depozitāriju regula), izņemot</w:t>
            </w:r>
            <w:r>
              <w:rPr>
                <w:b/>
                <w:i/>
                <w:strike w:val="0"/>
                <w:color w:val="auto"/>
                <w:highlight w:val="none"/>
                <w:u w:val="none" w:color="auto"/>
                <w:vertAlign w:val="baseline"/>
              </w:rPr>
              <w:t>, ja valsts kompetentā iestāde</w:t>
            </w:r>
            <w:r>
              <w:t xml:space="preserve"> ir piešķīrusi SVT vērtspapīru norēķinu sistēmu uzturošajam CVD </w:t>
            </w:r>
            <w:r>
              <w:rPr>
                <w:b/>
                <w:i/>
                <w:strike w:val="0"/>
                <w:color w:val="auto"/>
                <w:highlight w:val="none"/>
                <w:u w:val="none" w:color="auto"/>
                <w:vertAlign w:val="baseline"/>
              </w:rPr>
              <w:t>vienu vai vairākus</w:t>
            </w:r>
            <w:r>
              <w:t xml:space="preserve"> atbrīvojumus saskaņā ar šo regulu.</w:t>
            </w:r>
          </w:p>
        </w:tc>
        <w:tc>
          <w:tcPr>
            <w:tcW w:w="4876" w:type="dxa"/>
            <w:vAlign w:val="top"/>
          </w:tcPr>
          <w:p>
            <w:pPr>
              <w:pStyle w:val="Normal6a"/>
            </w:pPr>
            <w:r>
              <w:t>(10)</w:t>
            </w:r>
            <w:r>
              <w:tab/>
            </w:r>
            <w:r>
              <w:t xml:space="preserve">SVT vērtspapīru norēķinu sistēmai vajadzētu būt vērtspapīru norēķinu sistēmai, ko uztur CVD, kas pilnvarots saskaņā ar Regulu (ES) Nr. 909/2014 (Vērtspapīru norēķinu un centrālo depozitāriju regula) un ir saņēmis īpašu atļauju saskaņā ar šo regulu. SVT vērtspapīru norēķinu sistēmai un CVD, kas to uztur, būtu jāpiemēro attiecīgās prasības, kas noteiktas Regulā (ES) Nr. 909/2014 (Vērtspapīru norēķinu un centrālo depozitāriju regula), izņemot </w:t>
            </w:r>
            <w:r>
              <w:rPr>
                <w:b/>
                <w:i/>
                <w:strike w:val="0"/>
                <w:color w:val="auto"/>
                <w:highlight w:val="none"/>
                <w:u w:val="none" w:color="auto"/>
                <w:vertAlign w:val="baseline"/>
              </w:rPr>
              <w:t>prasības, no kuru izpildes EVTI</w:t>
            </w:r>
            <w:r>
              <w:t xml:space="preserve"> ir piešķīrusi </w:t>
            </w:r>
            <w:r>
              <w:rPr>
                <w:b/>
                <w:i/>
                <w:strike w:val="0"/>
                <w:color w:val="auto"/>
                <w:highlight w:val="none"/>
                <w:u w:val="none" w:color="auto"/>
                <w:vertAlign w:val="baseline"/>
              </w:rPr>
              <w:t>atbrīvojumu</w:t>
            </w:r>
            <w:r>
              <w:t xml:space="preserve"> SVT vērtspapīru norēķinu sistēmu uzturošajam CVD </w:t>
            </w:r>
            <w:r>
              <w:rPr>
                <w:b/>
                <w:i/>
                <w:strike w:val="0"/>
                <w:color w:val="auto"/>
                <w:highlight w:val="none"/>
                <w:u w:val="none" w:color="auto"/>
                <w:vertAlign w:val="baseline"/>
              </w:rPr>
              <w:t>saskaņā ar šo regulu.</w:t>
            </w:r>
            <w:r>
              <w:t xml:space="preserve"> </w:t>
            </w:r>
            <w:r>
              <w:rPr>
                <w:b/>
                <w:i/>
                <w:strike w:val="0"/>
                <w:color w:val="auto"/>
                <w:highlight w:val="none"/>
                <w:u w:val="none" w:color="auto"/>
                <w:vertAlign w:val="baseline"/>
              </w:rPr>
              <w:t>Lai nodrošinātu konkurenci, vienlaikus saglabājot vienlīdzīgus konkurences apstākļus un augstus standartus attiecībā uz ieguldītāju aizsardzību, tirgus integritāti un finanšu stabilitāti, jaunpienācējiem vajadzētu būt iespējai piekļūt izmēģinājuma režīmam, ja vien tie atbilst prasībām, kas piemērojamas pilnvarotiem CVD saskaņā ar Regulu (ES) Nr. 909/2014 proporcionāli to darījumdarbības veidam, mērogam un riskiem, un citiem Savienības finanšu pakalpojumu tiesību aktiem, izņemot jebkādus</w:t>
            </w:r>
            <w:r>
              <w:t xml:space="preserve"> atbrīvojumus</w:t>
            </w:r>
            <w:r>
              <w:rPr>
                <w:b/>
                <w:i/>
                <w:strike w:val="0"/>
                <w:color w:val="auto"/>
                <w:highlight w:val="none"/>
                <w:u w:val="none" w:color="auto"/>
                <w:vertAlign w:val="baseline"/>
              </w:rPr>
              <w:t>, kas piešķirti</w:t>
            </w:r>
            <w:r>
              <w:t xml:space="preserve"> saskaņā ar šo regulu. </w:t>
            </w:r>
            <w:r>
              <w:rPr>
                <w:b/>
                <w:i/>
                <w:strike w:val="0"/>
                <w:color w:val="auto"/>
                <w:highlight w:val="none"/>
                <w:u w:val="none" w:color="auto"/>
                <w:vertAlign w:val="baseline"/>
              </w:rPr>
              <w:t>Lai nodrošinātu darbības nepārtrauktību, vienlaikus nodrošinot arī godīgu konkurenci, jaunpienācējiem būtu jāvienojas ar pilnvarotu CVD, kam būtu jāpiedāvā noslēgt šādas vienošanās nediskriminējošā veidā par samērīgu komerciālu maksu, kuras pamatā ir faktiskās izmaksas.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SVT vērtspapīru norēķinu sistēmai vajadzētu būt vērtspapīru norēķinu sistēmai, ko uztur CVD, kas pilnvarots saskaņā ar Regulu (ES) Nr. 909/2014 (Vērtspapīru norēķinu un centrālo depozitāriju regula) un ir saņēmis īpašu atļauju saskaņā ar šo regulu. SVT vērtspapīru norēķinu sistēmai un CVD, kas to uztur, būtu jāpiemēro attiecīgās prasības, kas noteiktas Regulā (ES) Nr. 909/2014 (Vērtspapīru norēķinu un centrālo depozitāriju regula), izņemot, ja valsts kompetentā iestāde ir piešķīrusi SVT vērtspapīru norēķinu sistēmu uzturošajam CVD vienu vai vairākus atbrīvojumus saskaņā ar šo regulu.</w:t>
            </w:r>
          </w:p>
        </w:tc>
        <w:tc>
          <w:tcPr>
            <w:tcW w:w="4876" w:type="dxa"/>
            <w:vAlign w:val="top"/>
          </w:tcPr>
          <w:p>
            <w:pPr>
              <w:pStyle w:val="Normal6a"/>
            </w:pPr>
            <w:r>
              <w:t>(10)</w:t>
            </w:r>
            <w:r>
              <w:tab/>
            </w:r>
            <w:r>
              <w:t xml:space="preserve">SVT vērtspapīru norēķinu sistēmai vajadzētu būt vērtspapīru norēķinu sistēmai, ko uztur CVD, kas pilnvarots saskaņā ar Regulu (ES) Nr. 909/2014 (Vērtspapīru norēķinu un centrālo depozitāriju regula) un ir saņēmis īpašu atļauju saskaņā ar šo regulu. SVT vērtspapīru norēķinu sistēmai un CVD, kas to uztur, būtu jāpiemēro attiecīgās prasības, kas noteiktas Regulā (ES) Nr. 909/2014 (Vērtspapīru norēķinu un centrālo depozitāriju regula) </w:t>
            </w:r>
            <w:r>
              <w:rPr>
                <w:b/>
                <w:i/>
                <w:strike w:val="0"/>
                <w:color w:val="auto"/>
                <w:highlight w:val="none"/>
                <w:u w:val="none" w:color="auto"/>
                <w:vertAlign w:val="baseline"/>
              </w:rPr>
              <w:t>un visos citos piemērojamos Savienības finanšu pakalpojumu tiesību aktos</w:t>
            </w:r>
            <w:r>
              <w:t>, izņemot, ja valsts kompetentā iestāde ir piešķīrusi SVT vērtspapīru norēķinu sistēmu uzturošajam CVD vienu vai vairākus atbrīvojumus saskaņā ar šo regulu.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SVT vērtspapīru norēķinu sistēmai vajadzētu būt vērtspapīru norēķinu </w:t>
            </w:r>
            <w:r>
              <w:rPr>
                <w:b/>
                <w:i/>
                <w:strike w:val="0"/>
                <w:color w:val="auto"/>
                <w:highlight w:val="none"/>
                <w:u w:val="none" w:color="auto"/>
                <w:vertAlign w:val="baseline"/>
              </w:rPr>
              <w:t>sistēmai,</w:t>
            </w:r>
            <w:r>
              <w:t xml:space="preserve"> ko uztur CVD, </w:t>
            </w:r>
            <w:r>
              <w:rPr>
                <w:b/>
                <w:i/>
                <w:strike w:val="0"/>
                <w:color w:val="auto"/>
                <w:highlight w:val="none"/>
                <w:u w:val="none" w:color="auto"/>
                <w:vertAlign w:val="baseline"/>
              </w:rPr>
              <w:t>kas</w:t>
            </w:r>
            <w:r>
              <w:t xml:space="preserve"> pilnvarots saskaņā ar Regulu (ES) Nr. 909/2014 (Vērtspapīru norēķinu un centrālo depozitāriju regula) un ir saņēmis īpašu atļauju saskaņā ar šo regulu. SVT vērtspapīru norēķinu sistēmai un </w:t>
            </w:r>
            <w:r>
              <w:rPr>
                <w:b/>
                <w:i/>
                <w:strike w:val="0"/>
                <w:color w:val="auto"/>
                <w:highlight w:val="none"/>
                <w:u w:val="none" w:color="auto"/>
                <w:vertAlign w:val="baseline"/>
              </w:rPr>
              <w:t>CVD</w:t>
            </w:r>
            <w:r>
              <w:t xml:space="preserve">, kas to uztur, būtu jāpiemēro attiecīgās prasības, kas noteiktas Regulā (ES) Nr. 909/2014 (Vērtspapīru norēķinu un centrālo depozitāriju regula), izņemot, ja valsts kompetentā iestāde ir piešķīrusi SVT vērtspapīru norēķinu sistēmu </w:t>
            </w:r>
            <w:r>
              <w:rPr>
                <w:b/>
                <w:i/>
                <w:strike w:val="0"/>
                <w:color w:val="auto"/>
                <w:highlight w:val="none"/>
                <w:u w:val="none" w:color="auto"/>
                <w:vertAlign w:val="baseline"/>
              </w:rPr>
              <w:t>uzturošajam CVD</w:t>
            </w:r>
            <w:r>
              <w:t xml:space="preserve"> vienu vai vairākus atbrīvojumus saskaņā ar šo regulu.</w:t>
            </w:r>
          </w:p>
        </w:tc>
        <w:tc>
          <w:tcPr>
            <w:tcW w:w="4876" w:type="dxa"/>
            <w:vAlign w:val="top"/>
          </w:tcPr>
          <w:p>
            <w:pPr>
              <w:pStyle w:val="Normal6a"/>
            </w:pPr>
            <w:r>
              <w:t>(10)</w:t>
            </w:r>
            <w:r>
              <w:tab/>
            </w:r>
            <w:r>
              <w:t xml:space="preserve">SVT vērtspapīru norēķinu sistēmai vajadzētu būt </w:t>
            </w:r>
            <w:r>
              <w:rPr>
                <w:b/>
                <w:i/>
                <w:strike w:val="0"/>
                <w:color w:val="auto"/>
                <w:highlight w:val="none"/>
                <w:u w:val="none" w:color="auto"/>
                <w:vertAlign w:val="baseline"/>
              </w:rPr>
              <w:t>struktūrai, kas var būt</w:t>
            </w:r>
            <w:r>
              <w:t xml:space="preserve"> vērtspapīru norēķinu </w:t>
            </w:r>
            <w:r>
              <w:rPr>
                <w:b/>
                <w:i/>
                <w:strike w:val="0"/>
                <w:color w:val="auto"/>
                <w:highlight w:val="none"/>
                <w:u w:val="none" w:color="auto"/>
                <w:vertAlign w:val="baseline"/>
              </w:rPr>
              <w:t>sistēma, bet ne tikai tā, un</w:t>
            </w:r>
            <w:r>
              <w:t xml:space="preserve"> ko uztur CVD, </w:t>
            </w:r>
            <w:r>
              <w:rPr>
                <w:b/>
                <w:i/>
                <w:strike w:val="0"/>
                <w:color w:val="auto"/>
                <w:highlight w:val="none"/>
                <w:u w:val="none" w:color="auto"/>
                <w:vertAlign w:val="baseline"/>
              </w:rPr>
              <w:t>kurš</w:t>
            </w:r>
            <w:r>
              <w:t xml:space="preserve"> pilnvarots saskaņā ar Regulu (ES) Nr. 909/2014 (Vērtspapīru norēķinu un centrālo depozitāriju regula) un ir saņēmis īpašu atļauju saskaņā ar šo regulu. SVT vērtspapīru norēķinu sistēmai un </w:t>
            </w:r>
            <w:r>
              <w:rPr>
                <w:b/>
                <w:i/>
                <w:strike w:val="0"/>
                <w:color w:val="auto"/>
                <w:highlight w:val="none"/>
                <w:u w:val="none" w:color="auto"/>
                <w:vertAlign w:val="baseline"/>
              </w:rPr>
              <w:t>struktūrai</w:t>
            </w:r>
            <w:r>
              <w:t xml:space="preserve">, kas to uztur, būtu jāpiemēro attiecīgās prasības, kas noteiktas Regulā (ES) Nr. 909/2014 (Vērtspapīru norēķinu un centrālo depozitāriju regula), izņemot, ja valsts kompetentā iestāde ir piešķīrusi SVT vērtspapīru norēķinu sistēmu </w:t>
            </w:r>
            <w:r>
              <w:rPr>
                <w:b/>
                <w:i/>
                <w:strike w:val="0"/>
                <w:color w:val="auto"/>
                <w:highlight w:val="none"/>
                <w:u w:val="none" w:color="auto"/>
                <w:vertAlign w:val="baseline"/>
              </w:rPr>
              <w:t>uzturošajai struktūrai</w:t>
            </w:r>
            <w:r>
              <w:t xml:space="preserve"> vienu vai vairākus atbrīvojumus saskaņā ar šo regulu.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SVT vērtspapīru norēķinu sistēmai vajadzētu būt vērtspapīru norēķinu sistēmai, ko uztur CVD, kas pilnvarots saskaņā ar Regulu (ES) Nr. 909/2014 (Vērtspapīru norēķinu un centrālo depozitāriju regula) un ir saņēmis īpašu atļauju saskaņā ar šo regulu. SVT vērtspapīru norēķinu sistēmai un CVD, kas to uztur, būtu jāpiemēro attiecīgās prasības, kas noteiktas Regulā (ES) Nr. 909/2014 (Vērtspapīru norēķinu un centrālo depozitāriju regula), izņemot, ja valsts kompetentā iestāde ir piešķīrusi SVT vērtspapīru norēķinu sistēmu uzturošajam CVD vienu vai vairākus atbrīvojumus saskaņā ar šo regulu.</w:t>
            </w:r>
          </w:p>
        </w:tc>
        <w:tc>
          <w:tcPr>
            <w:tcW w:w="4876" w:type="dxa"/>
            <w:vAlign w:val="top"/>
          </w:tcPr>
          <w:p>
            <w:pPr>
              <w:pStyle w:val="Normal6a"/>
            </w:pPr>
            <w:r>
              <w:t>(10)</w:t>
            </w:r>
            <w:r>
              <w:tab/>
            </w:r>
            <w:r>
              <w:t xml:space="preserve">SVT vērtspapīru norēķinu sistēmai vajadzētu būt vērtspapīru norēķinu sistēmai, ko uztur CVD, kas pilnvarots saskaņā ar Regulu (ES) Nr. 909/2014 (Vērtspapīru norēķinu un centrālo depozitāriju regula) un ir saņēmis īpašu atļauju saskaņā ar šo regulu. SVT vērtspapīru norēķinu sistēmai un CVD, kas to uztur, būtu jāpiemēro attiecīgās prasības, kas noteiktas Regulā (ES) Nr. 909/2014 (Vērtspapīru norēķinu un centrālo depozitāriju regula), izņemot, ja valsts kompetentā iestāde ir piešķīrusi SVT vērtspapīru norēķinu sistēmu uzturošajam CVD vienu vai vairākus atbrīvojumus saskaņā ar šo regulu. </w:t>
            </w:r>
            <w:r>
              <w:rPr>
                <w:b/>
                <w:i/>
                <w:strike w:val="0"/>
                <w:color w:val="auto"/>
                <w:highlight w:val="none"/>
                <w:u w:val="none" w:color="auto"/>
                <w:vertAlign w:val="baseline"/>
              </w:rPr>
              <w:t>Jauniem tirgus dalībniekiem vai regulētām struktūrām, piemēram, ieguldījumu brokeru sabiedrībām vai kredītiestādēm, kas vēlas uzturēt SVT VNS saskaņā ar šo regulu, būtu jāļauj piemērot vienpakāpes pieteikšanās procedūru, iesniedzot pieteikumu savas valsts kompetentajai iestādei, lai saņemtu atļauju saskaņā ar Regulu (ES) Nr. 909/2014 (CVDR), un vienlaikus norādot jebkuru atbrīvojumu, ko tie vēlas saņemt saskaņā ar šo regulu un Eiropas Parlamenta un Padomes Direktīvu (ES).../....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Dažas prasības ir piemērojamas tirgus infrastruktūras uzturētājam.</w:t>
      </w:r>
      <w:r>
        <w:t xml:space="preserve"> </w:t>
      </w:r>
      <w:r>
        <w:t>Turklāt ir ārkārtīgi svarīgi paredzēt vienpakāpes atļauju piešķiršanas procedūru jaunpienācējiem, kas vēlētos piedalīties izmēģinājuma režīmā, uzturot SVT VNS.</w:t>
      </w:r>
      <w:r>
        <w:t xml:space="preserve"> </w:t>
      </w:r>
      <w:r>
        <w:t>Mērķis ir izvairīties no resursu un laikietilpīgas divkāršas atļaujas piešķiršanas procedūras, kas radītu būtisku slogu jaunam tirgus dalībniekam.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SVT vērtspapīru norēķinu sistēmai vajadzētu būt vērtspapīru norēķinu sistēmai, ko uztur CVD, kas pilnvarots saskaņā ar Regulu (ES) Nr. 909/2014 (Vērtspapīru norēķinu un centrālo depozitāriju regula) un ir saņēmis īpašu atļauju saskaņā ar šo regulu. SVT vērtspapīru norēķinu sistēmai un CVD, kas to uztur, būtu jāpiemēro attiecīgās prasības, kas noteiktas Regulā (ES) Nr. 909/2014 (Vērtspapīru norēķinu un centrālo depozitāriju regula), izņemot, ja valsts kompetentā iestāde ir piešķīrusi SVT vērtspapīru norēķinu sistēmu uzturošajam CVD vienu vai vairākus atbrīvojumus saskaņā ar šo regulu.</w:t>
            </w:r>
          </w:p>
        </w:tc>
        <w:tc>
          <w:tcPr>
            <w:tcW w:w="4876" w:type="dxa"/>
            <w:vAlign w:val="top"/>
          </w:tcPr>
          <w:p>
            <w:pPr>
              <w:pStyle w:val="Normal6a"/>
            </w:pPr>
            <w:r>
              <w:t>(10)</w:t>
            </w:r>
            <w:r>
              <w:tab/>
            </w:r>
            <w:r>
              <w:t xml:space="preserve">SVT vērtspapīru norēķinu sistēmai vajadzētu būt vērtspapīru norēķinu sistēmai, ko uztur CVD, kas pilnvarots saskaņā ar Regulu (ES) Nr. 909/2014 (Vērtspapīru norēķinu un centrālo depozitāriju regula) un ir saņēmis īpašu atļauju saskaņā ar šo regulu. SVT vērtspapīru norēķinu sistēmai un CVD, kas to uztur, būtu jāpiemēro attiecīgās prasības, kas noteiktas Regulā (ES) Nr. 909/2014 (Vērtspapīru norēķinu un centrālo depozitāriju regula), izņemot, ja valsts kompetentā iestāde ir piešķīrusi SVT vērtspapīru norēķinu sistēmu uzturošajam CVD vienu vai vairākus atbrīvojumus saskaņā ar šo regulu. </w:t>
            </w:r>
            <w:r>
              <w:rPr>
                <w:b/>
                <w:i/>
                <w:strike w:val="0"/>
                <w:color w:val="auto"/>
                <w:highlight w:val="none"/>
                <w:u w:val="none" w:color="auto"/>
                <w:vertAlign w:val="baseline"/>
              </w:rPr>
              <w:t>Šādu atbrīvojumu var piešķirt tikai tad, ja SVT vērtspapīru norēķinu sistēma darbojas energoefektīvā veidā.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(10a)</w:t>
            </w:r>
            <w:r>
              <w:tab/>
            </w:r>
            <w:r>
              <w:rPr>
                <w:b/>
                <w:i/>
                <w:strike w:val="0"/>
                <w:color w:val="auto"/>
                <w:highlight w:val="none"/>
                <w:u w:val="none" w:color="auto"/>
                <w:vertAlign w:val="baseline"/>
              </w:rPr>
              <w:t>Struktūrām, kas nav pilnvarotas saskaņā ar Regulu (ES) Nr. 909/2014, būtu saskaņā ar šo regulu jāatļauj pieteikties īpašai atļaujai uzturēt SVT vērtspapīru norēķinu sistēmu, ievērojot paātrinātu procedūru.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Paātrināta procedūra attiecībā uz jaunpienācējiem, kuri pieteikuma iesniegšanas brīdī nav pilnvaroti kā CVD.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SVT DTS vai CVD, kas uztur SVT </w:t>
            </w:r>
            <w:r>
              <w:rPr>
                <w:b/>
                <w:i/>
                <w:strike w:val="0"/>
                <w:color w:val="auto"/>
                <w:highlight w:val="none"/>
                <w:u w:val="none" w:color="auto"/>
                <w:vertAlign w:val="baseline"/>
              </w:rPr>
              <w:t>vērtspapīru norēķinu sistēmu</w:t>
            </w:r>
            <w:r>
              <w:t xml:space="preserve">, būtu jāļauj tirgot vai iegrāmatot </w:t>
            </w:r>
            <w:r>
              <w:rPr>
                <w:b/>
                <w:i/>
                <w:strike w:val="0"/>
                <w:color w:val="auto"/>
                <w:highlight w:val="none"/>
                <w:u w:val="none" w:color="auto"/>
                <w:vertAlign w:val="baseline"/>
              </w:rPr>
              <w:t>savā sadalītajā</w:t>
            </w:r>
            <w:r>
              <w:t xml:space="preserve"> virsgrāmatā tikai SVT pārvedamos vērtspapīrus. SVT pārvedamajiem vērtspapīriem vajadzētu būt kriptoaktīviem, kurus var uzskatīt par “pārvedamiem vērtspapīriem” Direktīvas 2014/65/ES (Finanšu instrumentu tirgu direktīva jeb FITD II) nozīmē un kurus emitē, pārnes un glabā sadalītā virsgrāmatā.</w:t>
            </w:r>
          </w:p>
        </w:tc>
        <w:tc>
          <w:tcPr>
            <w:tcW w:w="4876" w:type="dxa"/>
            <w:vAlign w:val="top"/>
          </w:tcPr>
          <w:p>
            <w:pPr>
              <w:pStyle w:val="Normal6a"/>
            </w:pPr>
            <w:r>
              <w:t>(11)</w:t>
            </w:r>
            <w:r>
              <w:tab/>
            </w:r>
            <w:r>
              <w:t xml:space="preserve">SVT DTS vai CVD, kas uztur SVT </w:t>
            </w:r>
            <w:r>
              <w:rPr>
                <w:b/>
                <w:i/>
                <w:strike w:val="0"/>
                <w:color w:val="auto"/>
                <w:highlight w:val="none"/>
                <w:u w:val="none" w:color="auto"/>
                <w:vertAlign w:val="baseline"/>
              </w:rPr>
              <w:t>VNS</w:t>
            </w:r>
            <w:r>
              <w:t xml:space="preserve">, būtu jāļauj tirgot vai iegrāmatot </w:t>
            </w:r>
            <w:r>
              <w:rPr>
                <w:b/>
                <w:i/>
                <w:strike w:val="0"/>
                <w:color w:val="auto"/>
                <w:highlight w:val="none"/>
                <w:u w:val="none" w:color="auto"/>
                <w:vertAlign w:val="baseline"/>
              </w:rPr>
              <w:t>sadalītā</w:t>
            </w:r>
            <w:r>
              <w:t xml:space="preserve"> virsgrāmatā tikai SVT pārvedamos vērtspapīrus. SVT pārvedamajiem vērtspapīriem vajadzētu būt kriptoaktīviem, kurus var uzskatīt par “pārvedamiem vērtspapīriem” Direktīvas 2014/65/ES (Finanšu instrumentu tirgu direktīva jeb FITD II) nozīmē un kurus emitē, pārnes un glabā sadalītā virsgrāmatā. </w:t>
            </w:r>
            <w:r>
              <w:rPr>
                <w:b/>
                <w:i/>
                <w:strike w:val="0"/>
                <w:color w:val="auto"/>
                <w:highlight w:val="none"/>
                <w:u w:val="none" w:color="auto"/>
                <w:vertAlign w:val="baseline"/>
              </w:rPr>
              <w:t>Šajā regulā būtu jāprecizē SVT pārvedamie vērtspapīri, ko var tirgot vai iegrāmatot.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“SVT pārvedamu vērtspapīru” definīcija attiecas uz FITD II 4. panta 1. punkta 44. apakšpunkta a) un b) punktu, kas ietver vairāk, nekā paredzēts šīs regulas 3. panta 1. punktā.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SVT DTS vai CVD, kas uztur SVT vērtspapīru norēķinu sistēmu, būtu jāļauj tirgot vai iegrāmatot </w:t>
            </w:r>
            <w:r>
              <w:rPr>
                <w:b/>
                <w:i/>
                <w:strike w:val="0"/>
                <w:color w:val="auto"/>
                <w:highlight w:val="none"/>
                <w:u w:val="none" w:color="auto"/>
                <w:vertAlign w:val="baseline"/>
              </w:rPr>
              <w:t>savā sadalītajā</w:t>
            </w:r>
            <w:r>
              <w:t xml:space="preserve"> virsgrāmatā tikai SVT pārvedamos vērtspapīrus. SVT pārvedamajiem vērtspapīriem vajadzētu būt kriptoaktīviem, kurus var uzskatīt par “pārvedamiem vērtspapīriem” Direktīvas 2014/65/ES (Finanšu instrumentu tirgu direktīva jeb FITD II) nozīmē un kurus emitē, pārnes un glabā sadalītā virsgrāmatā.</w:t>
            </w:r>
          </w:p>
        </w:tc>
        <w:tc>
          <w:tcPr>
            <w:tcW w:w="4876" w:type="dxa"/>
            <w:vAlign w:val="top"/>
          </w:tcPr>
          <w:p>
            <w:pPr>
              <w:pStyle w:val="Normal6a"/>
            </w:pPr>
            <w:r>
              <w:t>(11)</w:t>
            </w:r>
            <w:r>
              <w:tab/>
            </w:r>
            <w:r>
              <w:t xml:space="preserve">SVT DTS vai CVD, kas uztur SVT vērtspapīru norēķinu sistēmu, būtu jāļauj tirgot vai iegrāmatot </w:t>
            </w:r>
            <w:r>
              <w:rPr>
                <w:b/>
                <w:i/>
                <w:strike w:val="0"/>
                <w:color w:val="auto"/>
                <w:highlight w:val="none"/>
                <w:u w:val="none" w:color="auto"/>
                <w:vertAlign w:val="baseline"/>
              </w:rPr>
              <w:t>sadalītā</w:t>
            </w:r>
            <w:r>
              <w:t xml:space="preserve"> virsgrāmatā tikai SVT pārvedamos vērtspapīrus. SVT pārvedamajiem vērtspapīriem vajadzētu būt kriptoaktīviem, kurus var uzskatīt par “pārvedamiem vērtspapīriem” Direktīvas 2014/65/ES (Finanšu instrumentu tirgu direktīva jeb FITD II) nozīmē un kurus emitē, pārnes un glabā sadalītā virsgrāmatā.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179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SVT DTS vai </w:t>
            </w:r>
            <w:r>
              <w:rPr>
                <w:b/>
                <w:i/>
                <w:strike w:val="0"/>
                <w:color w:val="auto"/>
                <w:highlight w:val="none"/>
                <w:u w:val="none" w:color="auto"/>
                <w:vertAlign w:val="baseline"/>
              </w:rPr>
              <w:t>CVD</w:t>
            </w:r>
            <w:r>
              <w:t>, kas uztur SVT vērtspapīru norēķinu sistēmu, būtu jāļauj tirgot vai iegrāmatot savā sadalītajā virsgrāmatā tikai SVT pārvedamos vērtspapīrus. SVT pārvedamajiem vērtspapīriem vajadzētu būt kriptoaktīviem, kurus var uzskatīt par “pārvedamiem vērtspapīriem” Direktīvas 2014/65/ES (Finanšu instrumentu tirgu direktīva jeb FITD II) nozīmē un kurus emitē, pārnes un glabā sadalītā virsgrāmatā.</w:t>
            </w:r>
          </w:p>
        </w:tc>
        <w:tc>
          <w:tcPr>
            <w:tcW w:w="4876" w:type="dxa"/>
            <w:vAlign w:val="top"/>
          </w:tcPr>
          <w:p>
            <w:pPr>
              <w:pStyle w:val="Normal6a"/>
            </w:pPr>
            <w:r>
              <w:t>(11)</w:t>
            </w:r>
            <w:r>
              <w:tab/>
            </w:r>
            <w:r>
              <w:t xml:space="preserve">SVT DTS vai </w:t>
            </w:r>
            <w:r>
              <w:rPr>
                <w:b/>
                <w:i/>
                <w:strike w:val="0"/>
                <w:color w:val="auto"/>
                <w:highlight w:val="none"/>
                <w:u w:val="none" w:color="auto"/>
                <w:vertAlign w:val="baseline"/>
              </w:rPr>
              <w:t>struktūrai</w:t>
            </w:r>
            <w:r>
              <w:t>, kas uztur SVT vērtspapīru norēķinu sistēmu, būtu jāļauj tirgot vai iegrāmatot savā sadalītajā virsgrāmatā tikai SVT pārvedamos vērtspapīrus. SVT pārvedamajiem vērtspapīriem vajadzētu būt kriptoaktīviem, kurus var uzskatīt par “pārvedamiem vērtspapīriem” Direktīvas 2014/65/ES (Finanšu instrumentu tirgu direktīva jeb FITD II) nozīmē un kurus emitē, pārnes un glabā sadalītā virsgrāmatā.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SVT DTS vai CVD, kas uztur SVT vērtspapīru norēķinu sistēmu, būtu jāļauj tirgot vai iegrāmatot savā sadalītajā virsgrāmatā tikai SVT pārvedamos vērtspapīrus. SVT pārvedamajiem vērtspapīriem vajadzētu būt kriptoaktīviem, kurus var uzskatīt par “pārvedamiem vērtspapīriem” Direktīvas 2014/65/ES (Finanšu instrumentu tirgu direktīva jeb FITD II) nozīmē un kurus emitē, pārnes un glabā sadalītā virsgrāmatā.</w:t>
            </w:r>
          </w:p>
        </w:tc>
        <w:tc>
          <w:tcPr>
            <w:tcW w:w="4876" w:type="dxa"/>
            <w:vAlign w:val="top"/>
          </w:tcPr>
          <w:p>
            <w:pPr>
              <w:pStyle w:val="Normal6a"/>
            </w:pPr>
            <w:r>
              <w:t>(11)</w:t>
            </w:r>
            <w:r>
              <w:tab/>
            </w:r>
            <w:r>
              <w:t>SVT DTS vai CVD, kas uztur SVT vērtspapīru norēķinu sistēmu, būtu jāļauj tirgot vai iegrāmatot savā sadalītajā virsgrāmatā tikai SVT pārvedamos vērtspapīrus. SVT pārvedamajiem vērtspapīriem vajadzētu būt kriptoaktīviem, kurus var uzskatīt par “pārvedamiem vērtspapīriem” Direktīvas 2014/65/ES (Finanšu instrumentu tirgu direktīva jeb FITD II) nozīmē un kurus emitē, pārnes un glabā sadalītā virsgrāmatā.</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SVT tirgus infrastruktūrām būtu jāuzņemas atbildība par riskiem, kas saistīti ar to uzturētās SVT darbību, jo īpaši par virsgrāmatas pārredzamības riskiem, kiberriskiem un darbības riskiem.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12.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Lai būtu iespējama inovācija un eksperimentēšana sakārtotā normatīvajā vidē, vienlaikus saglabājot finanšu stabilitāti, </w:t>
            </w:r>
            <w:r>
              <w:rPr>
                <w:b/>
                <w:i/>
                <w:strike w:val="0"/>
                <w:color w:val="auto"/>
                <w:highlight w:val="none"/>
                <w:u w:val="none" w:color="auto"/>
                <w:vertAlign w:val="baseline"/>
              </w:rPr>
              <w:t>tirdzniecībai SVT DTS vai iegrāmatošanai CVD, kas uztur SVT vērtspapīru norēķinu sistēmu, būtu jāatļauj tikai vērtspapīri, piemēram, akcijas un obligācijas, kas nav likvīdas</w:t>
            </w:r>
            <w:r>
              <w:t xml:space="preserve">. Lai noteiktu, vai akcija </w:t>
            </w:r>
            <w:r>
              <w:rPr>
                <w:b/>
                <w:i/>
                <w:strike w:val="0"/>
                <w:color w:val="auto"/>
                <w:highlight w:val="none"/>
                <w:u w:val="none" w:color="auto"/>
                <w:vertAlign w:val="baseline"/>
              </w:rPr>
              <w:t>vai obligācija</w:t>
            </w:r>
            <w:r>
              <w:t xml:space="preserve"> ir likvīda, šajā regulā būtu jānosaka dažas robežvērtības. Lai izvairītos no jebkāda riska radīšanas finanšu stabilitātei, būtu jāierobežo arī to SVT pārvedamo vērtspapīru kopējā tirgus vērtība, kurus iegrāmato CVD, kas uztur SVT </w:t>
            </w:r>
            <w:r>
              <w:rPr>
                <w:b/>
                <w:i/>
                <w:strike w:val="0"/>
                <w:color w:val="auto"/>
                <w:highlight w:val="none"/>
                <w:u w:val="none" w:color="auto"/>
                <w:vertAlign w:val="baseline"/>
              </w:rPr>
              <w:t>vērtspapīru norēķinu sistēmu</w:t>
            </w:r>
            <w:r>
              <w:t xml:space="preserve">, vai kurus atļāvusi tirgot SVT DTS. </w:t>
            </w:r>
            <w:r>
              <w:rPr>
                <w:b/>
                <w:i/>
                <w:strike w:val="0"/>
                <w:color w:val="auto"/>
                <w:highlight w:val="none"/>
                <w:u w:val="none" w:color="auto"/>
                <w:vertAlign w:val="baseline"/>
              </w:rPr>
              <w:t>Nedrīkstētu arī pieļaut, ka SVT tirgus infrastruktūras atļauj tirgot vai iegrāmatot sadalītajā virsgrāmatā valsts obligācijas.</w:t>
            </w:r>
            <w:r>
              <w:t xml:space="preserve"> Lai pārliecinātos, vai SVT pārvedamie vērtspapīri, ko tirgo SVT tirgus infrastruktūrā vai ko iegrāmato SVT tirgus infrastruktūra, atbilst šajā regulā paredzētajiem nosacījumiem, būtu jāļauj valsts kompetentajām iestādēm pieprasīt, lai šādas SVT tirgus infrastruktūras iesniedz ziņojumus.</w:t>
            </w:r>
          </w:p>
        </w:tc>
        <w:tc>
          <w:tcPr>
            <w:tcW w:w="4876" w:type="dxa"/>
            <w:vAlign w:val="top"/>
          </w:tcPr>
          <w:p>
            <w:pPr>
              <w:pStyle w:val="Normal6a"/>
            </w:pPr>
            <w:r>
              <w:t>(12)</w:t>
            </w:r>
            <w:r>
              <w:tab/>
            </w:r>
            <w:r>
              <w:t xml:space="preserve">Lai būtu iespējama inovācija un eksperimentēšana sakārtotā normatīvajā vidē, vienlaikus saglabājot finanšu stabilitāti, </w:t>
            </w:r>
            <w:r>
              <w:rPr>
                <w:b/>
                <w:i/>
                <w:strike w:val="0"/>
                <w:color w:val="auto"/>
                <w:highlight w:val="none"/>
                <w:u w:val="none" w:color="auto"/>
                <w:vertAlign w:val="baseline"/>
              </w:rPr>
              <w:t>būtu jāļauj SVT tirgus infrastruktūrai tirgot vai iegrāmatot tikai tādu veidu pārvedamus vērtspapīrus, piemēram, akcijas, obligācijas, tostarp valsts obligācijas, un biržā tirgotus fondus (BTF), kuru vērtība ir mazāka nekā šajā regulā noteiktās robežvērtības</w:t>
            </w:r>
            <w:r>
              <w:t>. Lai noteiktu, vai akcija</w:t>
            </w:r>
            <w:r>
              <w:rPr>
                <w:b/>
                <w:i/>
                <w:strike w:val="0"/>
                <w:color w:val="auto"/>
                <w:highlight w:val="none"/>
                <w:u w:val="none" w:color="auto"/>
                <w:vertAlign w:val="baseline"/>
              </w:rPr>
              <w:t>, obligācija, BTF, PVKIU vai AIF</w:t>
            </w:r>
            <w:r>
              <w:t xml:space="preserve"> ir likvīda, šajā regulā būtu jānosaka dažas robežvērtības. Lai izvairītos no jebkāda riska radīšanas finanšu stabilitātei, būtu jāierobežo arī to SVT pārvedamo vērtspapīru kopējā tirgus vērtība, kurus iegrāmato CVD, kas uztur SVT </w:t>
            </w:r>
            <w:r>
              <w:rPr>
                <w:b/>
                <w:i/>
                <w:strike w:val="0"/>
                <w:color w:val="auto"/>
                <w:highlight w:val="none"/>
                <w:u w:val="none" w:color="auto"/>
                <w:vertAlign w:val="baseline"/>
              </w:rPr>
              <w:t>VNS</w:t>
            </w:r>
            <w:r>
              <w:t xml:space="preserve">, vai kurus atļāvusi tirgot SVT DTS. Lai pārliecinātos, vai SVT pārvedamie vērtspapīri, ko tirgo SVT tirgus infrastruktūrā vai ko iegrāmato SVT tirgus infrastruktūra, atbilst šajā regulā paredzētajiem nosacījumiem </w:t>
            </w:r>
            <w:r>
              <w:rPr>
                <w:b/>
                <w:i/>
                <w:strike w:val="0"/>
                <w:color w:val="auto"/>
                <w:highlight w:val="none"/>
                <w:u w:val="none" w:color="auto"/>
                <w:vertAlign w:val="baseline"/>
              </w:rPr>
              <w:t>visā to atļautās dalības izmēģinājuma režīmā laikā</w:t>
            </w:r>
            <w:r>
              <w:t xml:space="preserve">, būtu jāļauj valsts kompetentajām iestādēm pieprasīt, lai šādas SVT tirgus infrastruktūras </w:t>
            </w:r>
            <w:r>
              <w:rPr>
                <w:b/>
                <w:i/>
                <w:strike w:val="0"/>
                <w:color w:val="auto"/>
                <w:highlight w:val="none"/>
                <w:u w:val="none" w:color="auto"/>
                <w:vertAlign w:val="baseline"/>
              </w:rPr>
              <w:t>regulāri</w:t>
            </w:r>
            <w:r>
              <w:t xml:space="preserve"> iesniedz ziņojumus</w:t>
            </w:r>
            <w:r>
              <w:rPr>
                <w:b/>
                <w:i/>
                <w:strike w:val="0"/>
                <w:color w:val="auto"/>
                <w:highlight w:val="none"/>
                <w:u w:val="none" w:color="auto"/>
                <w:vertAlign w:val="baseline"/>
              </w:rPr>
              <w:t>, kā paredzēts šajā regulā</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Tiek ierosināts paplašināt pieļaujamo pārvedamo vērtspapīru darbības jomu, lai iekļautu BTF, kas iegulda SVT pārvedamos vērtspapīros un/vai tiek tirgoti, par tiem tiek veikti norēķini vai tie tiek glabāti, izmantojot SVT, lai pieļautu plašāku eksperimentēšanas perimetru, ievērojot šeit noteiktās robežvērtības.</w:t>
      </w:r>
      <w:r>
        <w:t xml:space="preserve"> </w:t>
      </w:r>
      <w:r>
        <w:t>Visbeidzot, bet ne mazāk svarīgi ir skaidri noteikt, ka SVT tirgus infrastruktūrām ir pastāvīgi jāievēro minētās robežvērtības, ciktāl tās darbojas saskaņā ar šeit paredzēto atļauju.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12.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Lai būtu iespējama inovācija un eksperimentēšana sakārtotā normatīvajā vidē, vienlaikus saglabājot finanšu stabilitāti, tirdzniecībai SVT DTS vai iegrāmatošanai CVD, kas uztur SVT vērtspapīru norēķinu sistēmu, būtu jāatļauj tikai vērtspapīri, piemēram, akcijas un obligācijas, </w:t>
            </w:r>
            <w:r>
              <w:rPr>
                <w:b/>
                <w:i/>
                <w:strike w:val="0"/>
                <w:color w:val="auto"/>
                <w:highlight w:val="none"/>
                <w:u w:val="none" w:color="auto"/>
                <w:vertAlign w:val="baseline"/>
              </w:rPr>
              <w:t>kas nav likvīdas</w:t>
            </w:r>
            <w:r>
              <w:t>. Lai noteiktu, vai akcija vai obligācija ir likvīda, šajā regulā būtu jānosaka dažas robežvērtības. Lai izvairītos no jebkāda riska radīšanas finanšu stabilitātei, būtu jāierobežo arī to SVT pārvedamo vērtspapīru kopējā tirgus vērtība, kurus iegrāmato CVD, kas uztur SVT vērtspapīru norēķinu sistēmu, vai kurus atļāvusi tirgot SVT DTS. Nedrīkstētu arī pieļaut, ka SVT tirgus infrastruktūras atļauj tirgot vai iegrāmatot sadalītajā virsgrāmatā valsts obligācijas. Lai pārliecinātos, vai SVT pārvedamie vērtspapīri, ko tirgo SVT tirgus infrastruktūrā vai ko iegrāmato SVT tirgus infrastruktūra, atbilst šajā regulā paredzētajiem nosacījumiem, būtu jāļauj valsts kompetentajām iestādēm pieprasīt, lai šādas SVT tirgus infrastruktūras iesniedz ziņojumus.</w:t>
            </w:r>
          </w:p>
        </w:tc>
        <w:tc>
          <w:tcPr>
            <w:tcW w:w="4876" w:type="dxa"/>
            <w:vAlign w:val="top"/>
          </w:tcPr>
          <w:p>
            <w:pPr>
              <w:pStyle w:val="Normal6a"/>
            </w:pPr>
            <w:r>
              <w:t>(12)</w:t>
            </w:r>
            <w:r>
              <w:tab/>
            </w:r>
            <w:r>
              <w:t xml:space="preserve">Lai būtu iespējama inovācija un eksperimentēšana sakārtotā normatīvajā vidē, vienlaikus saglabājot finanšu stabilitāti, tirdzniecībai SVT DTS vai iegrāmatošanai CVD, kas uztur SVT vērtspapīru norēķinu sistēmu, būtu jāatļauj tikai vērtspapīri, piemēram, akcijas un obligācijas, </w:t>
            </w:r>
            <w:r>
              <w:rPr>
                <w:b/>
                <w:i/>
                <w:strike w:val="0"/>
                <w:color w:val="auto"/>
                <w:highlight w:val="none"/>
                <w:u w:val="none" w:color="auto"/>
                <w:vertAlign w:val="baseline"/>
              </w:rPr>
              <w:t>ņemot vērā šajā regulā noteiktās robežvērtības</w:t>
            </w:r>
            <w:r>
              <w:t>. Lai noteiktu, vai akcija vai obligācija ir likvīda, šajā regulā būtu jānosaka dažas robežvērtības. Lai izvairītos no jebkāda riska radīšanas finanšu stabilitātei, būtu jāierobežo arī to SVT pārvedamo vērtspapīru kopējā tirgus vērtība, kurus iegrāmato CVD, kas uztur SVT vērtspapīru norēķinu sistēmu, vai kurus atļāvusi tirgot SVT DTS. Nedrīkstētu arī pieļaut, ka SVT tirgus infrastruktūras atļauj tirgot vai iegrāmatot sadalītajā virsgrāmatā valsts obligācijas. Lai pārliecinātos, vai SVT pārvedamie vērtspapīri, ko tirgo SVT tirgus infrastruktūrā vai ko iegrāmato SVT tirgus infrastruktūra, atbilst šajā regulā paredzētajiem nosacījumiem, būtu jāļauj valsts kompetentajām iestādēm pieprasīt, lai šādas SVT tirgus infrastruktūras iesniedz ziņojumus.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12.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Lai būtu iespējama inovācija un eksperimentēšana sakārtotā normatīvajā vidē, vienlaikus saglabājot finanšu stabilitāti, tirdzniecībai SVT DTS vai iegrāmatošanai </w:t>
            </w:r>
            <w:r>
              <w:rPr>
                <w:b/>
                <w:i/>
                <w:strike w:val="0"/>
                <w:color w:val="auto"/>
                <w:highlight w:val="none"/>
                <w:u w:val="none" w:color="auto"/>
                <w:vertAlign w:val="baseline"/>
              </w:rPr>
              <w:t>CVD</w:t>
            </w:r>
            <w:r>
              <w:t xml:space="preserve">, kas uztur SVT vērtspapīru norēķinu sistēmu, būtu jāatļauj tikai vērtspapīri, piemēram, akcijas un obligācijas, kas nav likvīdas. Lai noteiktu, vai akcija vai obligācija ir likvīda, šajā regulā būtu jānosaka dažas robežvērtības. Lai izvairītos no jebkāda riska radīšanas finanšu stabilitātei, būtu jāierobežo arī to SVT pārvedamo vērtspapīru kopējā tirgus vērtība, kurus iegrāmato </w:t>
            </w:r>
            <w:r>
              <w:rPr>
                <w:b/>
                <w:i/>
                <w:strike w:val="0"/>
                <w:color w:val="auto"/>
                <w:highlight w:val="none"/>
                <w:u w:val="none" w:color="auto"/>
                <w:vertAlign w:val="baseline"/>
              </w:rPr>
              <w:t>CVD</w:t>
            </w:r>
            <w:r>
              <w:t>, kas uztur SVT vērtspapīru norēķinu sistēmu, vai kurus atļāvusi tirgot SVT DTS. Nedrīkstētu arī pieļaut, ka SVT tirgus infrastruktūras atļauj tirgot vai iegrāmatot sadalītajā virsgrāmatā valsts obligācijas. Lai pārliecinātos, vai SVT pārvedamie vērtspapīri, ko tirgo SVT tirgus infrastruktūrā vai ko iegrāmato SVT tirgus infrastruktūra, atbilst šajā regulā paredzētajiem nosacījumiem, būtu jāļauj valsts kompetentajām iestādēm pieprasīt, lai šādas SVT tirgus infrastruktūras iesniedz ziņojumus.</w:t>
            </w:r>
          </w:p>
        </w:tc>
        <w:tc>
          <w:tcPr>
            <w:tcW w:w="4876" w:type="dxa"/>
            <w:vAlign w:val="top"/>
          </w:tcPr>
          <w:p>
            <w:pPr>
              <w:pStyle w:val="Normal6a"/>
            </w:pPr>
            <w:r>
              <w:t>(12)</w:t>
            </w:r>
            <w:r>
              <w:tab/>
            </w:r>
            <w:r>
              <w:t xml:space="preserve">Lai būtu iespējama inovācija un eksperimentēšana sakārtotā normatīvajā vidē, vienlaikus saglabājot finanšu stabilitāti, tirdzniecībai SVT DTS vai iegrāmatošanai </w:t>
            </w:r>
            <w:r>
              <w:rPr>
                <w:b/>
                <w:i/>
                <w:strike w:val="0"/>
                <w:color w:val="auto"/>
                <w:highlight w:val="none"/>
                <w:u w:val="none" w:color="auto"/>
                <w:vertAlign w:val="baseline"/>
              </w:rPr>
              <w:t>struktūrā</w:t>
            </w:r>
            <w:r>
              <w:t xml:space="preserve">, kas uztur SVT vērtspapīru norēķinu sistēmu, būtu jāatļauj tikai vērtspapīri, piemēram, akcijas un obligācijas, kas nav likvīdas. Lai noteiktu, vai akcija vai obligācija ir likvīda, šajā regulā būtu jānosaka dažas robežvērtības. Lai izvairītos no jebkāda riska radīšanas finanšu stabilitātei, būtu jāierobežo arī to SVT pārvedamo vērtspapīru kopējā tirgus vērtība, kurus iegrāmato </w:t>
            </w:r>
            <w:r>
              <w:rPr>
                <w:b/>
                <w:i/>
                <w:strike w:val="0"/>
                <w:color w:val="auto"/>
                <w:highlight w:val="none"/>
                <w:u w:val="none" w:color="auto"/>
                <w:vertAlign w:val="baseline"/>
              </w:rPr>
              <w:t>struktūra</w:t>
            </w:r>
            <w:r>
              <w:t>, kas uztur SVT vērtspapīru norēķinu sistēmu, vai kurus atļāvusi tirgot SVT DTS. Nedrīkstētu arī pieļaut, ka SVT tirgus infrastruktūras atļauj tirgot vai iegrāmatot sadalītajā virsgrāmatā valsts obligācijas. Lai pārliecinātos, vai SVT pārvedamie vērtspapīri, ko tirgo SVT tirgus infrastruktūrā vai ko iegrāmato SVT tirgus infrastruktūra, atbilst šajā regulā paredzētajiem nosacījumiem, būtu jāļauj valsts kompetentajām iestādēm pieprasīt, lai šādas SVT tirgus infrastruktūras iesniedz ziņojumus.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Lai nodrošinātu tādus pašus konkurences apstākļus, kādi pastāv attiecībā uz pārvedamiem vērtspapīriem, ko atļauts tirgot tradicionālā tirdzniecības vietā Direktīvas 2014/65/ES (Finanšu instrumentu tirgu direktīva jeb FITD II) nozīmē, un augstu tirgus integritātes līmeni, uz SVT pārvedamiem vērtspapīriem, ko atļauts tirgot SVT DTS, vienmēr būtu jāattiecina Regulas (ES) Nr. 596/2014 (Tirgus ļaunprātīgas izmantošanas regula) noteikumi, kas aizliedz tirgus ļaunprātīgu izmantošanu.</w:t>
            </w:r>
          </w:p>
        </w:tc>
        <w:tc>
          <w:tcPr>
            <w:tcW w:w="4876" w:type="dxa"/>
            <w:vAlign w:val="top"/>
          </w:tcPr>
          <w:p>
            <w:pPr>
              <w:pStyle w:val="Normal6a"/>
            </w:pPr>
            <w:r>
              <w:t>(13)</w:t>
            </w:r>
            <w:r>
              <w:tab/>
            </w:r>
            <w:r>
              <w:t xml:space="preserve">Lai nodrošinātu tādus pašus konkurences apstākļus, kādi pastāv attiecībā uz pārvedamiem vērtspapīriem, ko atļauts tirgot tradicionālā tirdzniecības vietā Direktīvas 2014/65/ES (Finanšu instrumentu tirgu direktīva jeb FITD II) nozīmē, un </w:t>
            </w:r>
            <w:r>
              <w:rPr>
                <w:b/>
                <w:i/>
                <w:strike w:val="0"/>
                <w:color w:val="auto"/>
                <w:highlight w:val="none"/>
                <w:u w:val="none" w:color="auto"/>
                <w:vertAlign w:val="baseline"/>
              </w:rPr>
              <w:t>nodrošinātu</w:t>
            </w:r>
            <w:r>
              <w:t xml:space="preserve"> augstu tirgus integritātes</w:t>
            </w:r>
            <w:r>
              <w:rPr>
                <w:b/>
                <w:i/>
                <w:strike w:val="0"/>
                <w:color w:val="auto"/>
                <w:highlight w:val="none"/>
                <w:u w:val="none" w:color="auto"/>
                <w:vertAlign w:val="baseline"/>
              </w:rPr>
              <w:t>, ieguldītāju aizsardzības un finanšu stabilitātes</w:t>
            </w:r>
            <w:r>
              <w:t xml:space="preserve"> līmeni, uz SVT pārvedamiem vērtspapīriem, ko atļauts tirgot SVT DTS, vienmēr būtu jāattiecina Regulas (ES) Nr. 596/2014 (Tirgus ļaunprātīgas izmantošanas regula) noteikumi, kas aizliedz tirgus ļaunprātīgu izmantošanu.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Lai nodrošinātu tādus pašus konkurences apstākļus, kādi pastāv attiecībā uz pārvedamiem vērtspapīriem, ko atļauts tirgot tradicionālā tirdzniecības vietā Direktīvas 2014/65/ES (Finanšu instrumentu tirgu direktīva jeb FITD II) nozīmē, un augstu tirgus integritātes līmeni, uz SVT pārvedamiem vērtspapīriem, ko atļauts tirgot SVT DTS, vienmēr būtu jāattiecina Regulas (ES) Nr. 596/2014 (Tirgus ļaunprātīgas izmantošanas regula) noteikumi, kas aizliedz tirgus ļaunprātīgu izmantošanu.</w:t>
            </w:r>
          </w:p>
        </w:tc>
        <w:tc>
          <w:tcPr>
            <w:tcW w:w="4876" w:type="dxa"/>
            <w:vAlign w:val="top"/>
          </w:tcPr>
          <w:p>
            <w:pPr>
              <w:pStyle w:val="Normal6a"/>
            </w:pPr>
            <w:r>
              <w:t>(13)</w:t>
            </w:r>
            <w:r>
              <w:tab/>
            </w:r>
            <w:r>
              <w:t xml:space="preserve">Lai nodrošinātu tādus pašus konkurences apstākļus, kādi pastāv attiecībā uz pārvedamiem vērtspapīriem, ko atļauts tirgot tradicionālā tirdzniecības vietā Direktīvas 2014/65/ES (Finanšu instrumentu tirgu direktīva jeb FITD II) nozīmē, un </w:t>
            </w:r>
            <w:r>
              <w:rPr>
                <w:b/>
                <w:i/>
                <w:strike w:val="0"/>
                <w:color w:val="auto"/>
                <w:highlight w:val="none"/>
                <w:u w:val="none" w:color="auto"/>
                <w:vertAlign w:val="baseline"/>
              </w:rPr>
              <w:t>nodrošinātu</w:t>
            </w:r>
            <w:r>
              <w:t xml:space="preserve"> augstu tirgus integritātes</w:t>
            </w:r>
            <w:r>
              <w:rPr>
                <w:b/>
                <w:i/>
                <w:strike w:val="0"/>
                <w:color w:val="auto"/>
                <w:highlight w:val="none"/>
                <w:u w:val="none" w:color="auto"/>
                <w:vertAlign w:val="baseline"/>
              </w:rPr>
              <w:t>, ieguldītāju aizsardzības un finanšu stabilitātes</w:t>
            </w:r>
            <w:r>
              <w:t xml:space="preserve"> līmeni, uz SVT pārvedamiem vērtspapīriem, ko atļauts tirgot SVT DTS, vienmēr būtu jāattiecina Regulas (ES) Nr. 596/2014 (Tirgus ļaunprātīgas izmantošanas regula) noteikumi, kas aizliedz tirgus ļaunprātīgu izmantošanu.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SVT DTS vajadzētu būt iespējai pieprasīt vienu vai vairākus pagaidu atbrīvojumus, kas uzskaitīti šajā regulā un ko piešķir kompetentā iestāde, ja SVT DTS atbilst ar šādiem atbrīvojumiem saistītajiem nosacījumiem, kā arī papildu prasībām, kas noteiktas šajā regulā, lai pievērstos jauna veida riskiem, ko rada SVT izmantošana. SVT DTS būtu arī jāizpilda ikviens kompensējošs pasākums, ko noteikusi kompetentā iestāde, lai izpildītu tā noteikuma mērķus, attiecībā uz kuru pieprasīts atbrīvojums.</w:t>
            </w:r>
          </w:p>
        </w:tc>
        <w:tc>
          <w:tcPr>
            <w:tcW w:w="4876" w:type="dxa"/>
            <w:vAlign w:val="top"/>
          </w:tcPr>
          <w:p>
            <w:pPr>
              <w:pStyle w:val="Normal6a"/>
            </w:pPr>
            <w:r>
              <w:t>(14)</w:t>
            </w:r>
            <w:r>
              <w:tab/>
            </w:r>
            <w:r>
              <w:t xml:space="preserve">SVT DTS vajadzētu būt iespējai pieprasīt vienu vai vairākus pagaidu atbrīvojumus, kas uzskaitīti šajā regulā un ko piešķir kompetentā iestāde </w:t>
            </w:r>
            <w:r>
              <w:rPr>
                <w:b/>
                <w:i/>
                <w:strike w:val="0"/>
                <w:color w:val="auto"/>
                <w:highlight w:val="none"/>
                <w:u w:val="none" w:color="auto"/>
                <w:vertAlign w:val="baseline"/>
              </w:rPr>
              <w:t>pēc EVTI ieteikuma</w:t>
            </w:r>
            <w:r>
              <w:t xml:space="preserve">, ja SVT DTS atbilst ar šādiem atbrīvojumiem saistītajiem nosacījumiem, kā arī papildu prasībām, kas noteiktas šajā regulā, lai pievērstos jauna veida riskiem, ko rada SVT izmantošana. SVT DTS būtu arī jāizpilda ikviens kompensējošs </w:t>
            </w:r>
            <w:r>
              <w:rPr>
                <w:b/>
                <w:i/>
                <w:strike w:val="0"/>
                <w:color w:val="auto"/>
                <w:highlight w:val="none"/>
                <w:u w:val="none" w:color="auto"/>
                <w:vertAlign w:val="baseline"/>
              </w:rPr>
              <w:t>vai korektīvs</w:t>
            </w:r>
            <w:r>
              <w:t xml:space="preserve"> pasākums, ko noteikusi kompetentā iestāde </w:t>
            </w:r>
            <w:r>
              <w:rPr>
                <w:b/>
                <w:i/>
                <w:strike w:val="0"/>
                <w:color w:val="auto"/>
                <w:highlight w:val="none"/>
                <w:u w:val="none" w:color="auto"/>
                <w:vertAlign w:val="baseline"/>
              </w:rPr>
              <w:t>vai ieteikusi EVTI</w:t>
            </w:r>
            <w:r>
              <w:t>, lai izpildītu tā noteikuma mērķus, attiecībā uz kuru pieprasīts atbrīvojums.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Lai nodrošinātu uzraudzības konverģenci, konsekvenci un to atbrīvojumu samērīgumu, ko saskaņā ar šo regulu piešķīrušas dažādas VKI visā Savienībā, kurām var nebūt vienāds tehnoloģisko zināšanu līmenis, un tādējādi veicinātu vienlīdzīgus konkurences apstākļus un atturētu no regulējuma arbitrāžas, tiek ierosināts stiprināt EVTI lomu.</w:t>
      </w:r>
      <w:r>
        <w:t xml:space="preserve"> </w:t>
      </w:r>
      <w:r>
        <w:t>Saskaņā ar Komisijas jaunā kapitāla tirgus savienības rīcības plāna 16. darbību.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SVT DTS vajadzētu būt iespējai pieprasīt vienu vai vairākus pagaidu atbrīvojumus, kas uzskaitīti šajā regulā un ko piešķir kompetentā iestāde, ja SVT DTS atbilst ar šādiem atbrīvojumiem saistītajiem nosacījumiem, kā arī papildu prasībām, kas noteiktas šajā regulā, lai pievērstos jauna veida riskiem, ko rada SVT izmantošana. SVT DTS būtu arī jāizpilda ikviens kompensējošs pasākums, ko noteikusi kompetentā iestāde, lai izpildītu tā noteikuma mērķus, attiecībā uz kuru pieprasīts atbrīvojums.</w:t>
            </w:r>
          </w:p>
        </w:tc>
        <w:tc>
          <w:tcPr>
            <w:tcW w:w="4876" w:type="dxa"/>
            <w:vAlign w:val="top"/>
          </w:tcPr>
          <w:p>
            <w:pPr>
              <w:pStyle w:val="Normal6a"/>
            </w:pPr>
            <w:r>
              <w:t>(14)</w:t>
            </w:r>
            <w:r>
              <w:tab/>
            </w:r>
            <w:r>
              <w:t xml:space="preserve">SVT DTS vajadzētu būt iespējai pieprasīt vienu vai vairākus pagaidu atbrīvojumus, kas uzskaitīti šajā regulā un ko piešķir kompetentā iestāde </w:t>
            </w:r>
            <w:r>
              <w:rPr>
                <w:b/>
                <w:i/>
                <w:strike w:val="0"/>
                <w:color w:val="auto"/>
                <w:highlight w:val="none"/>
                <w:u w:val="none" w:color="auto"/>
                <w:vertAlign w:val="baseline"/>
              </w:rPr>
              <w:t>pēc tam, kad EVTI ir sniegusi savu ieteikumu</w:t>
            </w:r>
            <w:r>
              <w:t xml:space="preserve">, ja SVT DTS atbilst ar šādiem atbrīvojumiem saistītajiem nosacījumiem, kā arī papildu prasībām, kas noteiktas šajā regulā, lai pievērstos jauna veida riskiem, ko rada SVT izmantošana. SVT DTS būtu arī jāizpilda ikviens kompensējošs </w:t>
            </w:r>
            <w:r>
              <w:rPr>
                <w:b/>
                <w:i/>
                <w:strike w:val="0"/>
                <w:color w:val="auto"/>
                <w:highlight w:val="none"/>
                <w:u w:val="none" w:color="auto"/>
                <w:vertAlign w:val="baseline"/>
              </w:rPr>
              <w:t>vai korektīvs</w:t>
            </w:r>
            <w:r>
              <w:t xml:space="preserve"> pasākums, ko noteikusi kompetentā iestāde, lai izpildītu tā noteikuma mērķus, attiecībā uz kuru pieprasīts atbrīvojums.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SVT DTS vajadzētu būt iespējai pieprasīt vienu vai vairākus pagaidu atbrīvojumus, kas uzskaitīti šajā regulā un ko piešķir kompetentā iestāde, ja SVT DTS atbilst ar šādiem atbrīvojumiem saistītajiem nosacījumiem, kā arī papildu prasībām, kas noteiktas šajā regulā, lai pievērstos jauna veida riskiem, ko rada SVT izmantošana. SVT DTS būtu arī jāizpilda ikviens kompensējošs pasākums, ko noteikusi kompetentā iestāde, lai izpildītu tā noteikuma mērķus, attiecībā uz kuru pieprasīts atbrīvojums.</w:t>
            </w:r>
          </w:p>
        </w:tc>
        <w:tc>
          <w:tcPr>
            <w:tcW w:w="4876" w:type="dxa"/>
            <w:vAlign w:val="top"/>
          </w:tcPr>
          <w:p>
            <w:pPr>
              <w:pStyle w:val="Normal6a"/>
            </w:pPr>
            <w:r>
              <w:t>(14)</w:t>
            </w:r>
            <w:r>
              <w:tab/>
            </w:r>
            <w:r>
              <w:t xml:space="preserve">SVT DTS vajadzētu būt iespējai pieprasīt vienu vai vairākus pagaidu atbrīvojumus, kas uzskaitīti šajā regulā un ko piešķir kompetentā iestāde </w:t>
            </w:r>
            <w:r>
              <w:rPr>
                <w:b/>
                <w:i/>
                <w:strike w:val="0"/>
                <w:color w:val="auto"/>
                <w:highlight w:val="none"/>
                <w:u w:val="none" w:color="auto"/>
                <w:vertAlign w:val="baseline"/>
              </w:rPr>
              <w:t>pēc tam, kad EVTI ir sniegusi nesaistošu atzinumu</w:t>
            </w:r>
            <w:r>
              <w:t>, ja SVT DTS atbilst ar šādiem atbrīvojumiem saistītajiem nosacījumiem, kā arī papildu prasībām, kas noteiktas šajā regulā, lai pievērstos jauna veida riskiem, ko rada SVT izmantošana. SVT DTS būtu arī jāizpilda ikviens kompensējošs pasākums, ko noteikusi kompetentā iestāde, lai izpildītu tā noteikuma mērķus, attiecībā uz kuru pieprasīts atbrīvojums.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189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Ja finanšu instruments ir atļauts tirdzniecībai DTS, tas jāiegrāmato apstiprinātā centrālajā vērtspapīru depozitārijā saskaņā ar Regulu (ES) Nr. 909/2014 (</w:t>
            </w:r>
            <w:r>
              <w:rPr>
                <w:b/>
                <w:i/>
                <w:strike w:val="0"/>
                <w:color w:val="auto"/>
                <w:highlight w:val="none"/>
                <w:u w:val="none" w:color="auto"/>
                <w:vertAlign w:val="baseline"/>
              </w:rPr>
              <w:t>Vērtspapīru norēķinu un centrālo depozitāriju regula</w:t>
            </w:r>
            <w:r>
              <w:t xml:space="preserve">). Lai gan pārvedamus vērtspapīrus un saistītu darījumu norēķinus var iegrāmatot sadalītajā virsgrāmatā, Regula (ES) Nr. 909/2014 nosaka, ka ir vajadzīga CVD starpniecība, un paredz pienākumu iegrāmatojumu sadalītajā virsgrāmatā replicēt CVD līmenī, iespējams, radot funkcionāli lieku pārklāšanos ar tāda finanšu instrumenta tirdzniecības dzīves ciklu, ar kuru veic darbības SVT tirgus infrastruktūras, uz ko attiecas šī regula. Tāpēc SVT DTS vajadzētu būt iespējai pieprasīt atbrīvojumu no Regulā (ES) Nr. 909/2014 noteiktās prasības par uzskaiti grāmatojuma formā un iegrāmatojumu CVD, ja SVT DTS atbilst prasībām, kas ir līdzvērtīgas tām, kuras piemēro attiecībā uz CVD. SVT DTS būtu jāiegrāmato pārvedamie vērtspapīri </w:t>
            </w:r>
            <w:r>
              <w:rPr>
                <w:b/>
                <w:i/>
                <w:strike w:val="0"/>
                <w:color w:val="auto"/>
                <w:highlight w:val="none"/>
                <w:u w:val="none" w:color="auto"/>
                <w:vertAlign w:val="baseline"/>
              </w:rPr>
              <w:t>savā sadalītajā</w:t>
            </w:r>
            <w:r>
              <w:t xml:space="preserve"> virsgrāmatā, jānodrošina emisijas integritāte sadalītajā virsgrāmatā, jāievieš un jāuztur procedūras SVT pārvedamo vērtspapīru glabāšanas nodrošināšanai, jāveic darījumu norēķins un jānovērš norēķinu neizpilde.</w:t>
            </w:r>
          </w:p>
        </w:tc>
        <w:tc>
          <w:tcPr>
            <w:tcW w:w="4876" w:type="dxa"/>
            <w:vAlign w:val="top"/>
          </w:tcPr>
          <w:p>
            <w:pPr>
              <w:pStyle w:val="Normal6a"/>
            </w:pPr>
            <w:r>
              <w:t>(15)</w:t>
            </w:r>
            <w:r>
              <w:tab/>
            </w:r>
            <w:r>
              <w:t xml:space="preserve">Ja finanšu instruments ir atļauts tirdzniecībai DTS, tas jāiegrāmato apstiprinātā centrālajā vērtspapīru depozitārijā </w:t>
            </w:r>
            <w:r>
              <w:rPr>
                <w:b/>
                <w:i/>
                <w:strike w:val="0"/>
                <w:color w:val="auto"/>
                <w:highlight w:val="none"/>
                <w:u w:val="none" w:color="auto"/>
                <w:vertAlign w:val="baseline"/>
              </w:rPr>
              <w:t>(CVD)</w:t>
            </w:r>
            <w:r>
              <w:t xml:space="preserve"> saskaņā ar Regulu (ES) Nr. 909/2014 (</w:t>
            </w:r>
            <w:r>
              <w:rPr>
                <w:b/>
                <w:i/>
                <w:strike w:val="0"/>
                <w:color w:val="auto"/>
                <w:highlight w:val="none"/>
                <w:u w:val="none" w:color="auto"/>
                <w:vertAlign w:val="baseline"/>
              </w:rPr>
              <w:t>CVDR</w:t>
            </w:r>
            <w:r>
              <w:t xml:space="preserve">). Lai gan pārvedamus vērtspapīrus un saistītu darījumu norēķinus var iegrāmatot sadalītajā virsgrāmatā, Regula (ES) Nr. 909/2014 nosaka, ka ir vajadzīga CVD starpniecība, un paredz pienākumu iegrāmatojumu sadalītajā virsgrāmatā replicēt CVD līmenī, iespējams, radot funkcionāli lieku pārklāšanos ar tāda finanšu instrumenta tirdzniecības dzīves ciklu, ar kuru veic darbības SVT tirgus infrastruktūras, uz ko attiecas šī regula. Tāpēc SVT DTS vajadzētu būt iespējai pieprasīt atbrīvojumu no Regulā (ES) Nr. 909/2014 noteiktās prasības par uzskaiti grāmatojuma formā un iegrāmatojumu CVD, ja SVT DTS atbilst prasībām, kas ir līdzvērtīgas tām, kuras piemēro attiecībā uz CVD. SVT DTS būtu jāiegrāmato pārvedamie vērtspapīri </w:t>
            </w:r>
            <w:r>
              <w:rPr>
                <w:b/>
                <w:i/>
                <w:strike w:val="0"/>
                <w:color w:val="auto"/>
                <w:highlight w:val="none"/>
                <w:u w:val="none" w:color="auto"/>
                <w:vertAlign w:val="baseline"/>
              </w:rPr>
              <w:t>sadalītā</w:t>
            </w:r>
            <w:r>
              <w:t xml:space="preserve"> virsgrāmatā, jānodrošina emisijas integritāte sadalītajā virsgrāmatā, jāievieš un jāuztur procedūras SVT pārvedamo vērtspapīru glabāšanas nodrošināšanai, jāveic darījumu norēķins un jānovērš norēķinu neizpilde.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Iespēja izmantot publisku, atļautu vai konsorciju blokķēdi, kas jau ir izmantota Eiropas SVT projektos, ļautu izmēģinājuma režīma gaitā izmēģināt un izstrādāt jaunus modeļus/uzdevumus un panākt atbilstību nākotnes prasībām.</w:t>
      </w:r>
      <w:r>
        <w:t xml:space="preserve"> </w:t>
      </w:r>
      <w:r>
        <w:t>Attiecībā uz katru izvēlēto SVT veidu (publisku, konsorciju vai privātu) VKI un EVTI atļauju piešķiršanas procesā SVT DTS vai SVT VNS būtu jādokumentē un jānodrošina ieguldītāju aizsardzība, tirgus integritāte un finanšu stabilitāte.</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 xml:space="preserve">Ja finanšu instruments ir atļauts tirdzniecībai DTS, tas jāiegrāmato apstiprinātā centrālajā vērtspapīru depozitārijā saskaņā ar Regulu (ES) Nr. 909/2014 (Vērtspapīru norēķinu un centrālo depozitāriju regula). Lai gan pārvedamus vērtspapīrus un saistītu darījumu norēķinus var iegrāmatot sadalītajā virsgrāmatā, Regula (ES) Nr. 909/2014 nosaka, ka ir vajadzīga CVD starpniecība, un paredz pienākumu iegrāmatojumu sadalītajā virsgrāmatā replicēt CVD līmenī, iespējams, radot funkcionāli lieku pārklāšanos ar tāda finanšu instrumenta tirdzniecības dzīves ciklu, ar kuru veic darbības SVT tirgus infrastruktūras, uz ko attiecas šī regula. Tāpēc SVT DTS vajadzētu būt iespējai pieprasīt atbrīvojumu no Regulā (ES) Nr. 909/2014 noteiktās prasības par uzskaiti grāmatojuma formā un iegrāmatojumu CVD, ja SVT DTS atbilst prasībām, kas ir līdzvērtīgas tām, kuras piemēro attiecībā uz CVD. SVT DTS būtu jāiegrāmato pārvedamie vērtspapīri </w:t>
            </w:r>
            <w:r>
              <w:rPr>
                <w:b/>
                <w:i/>
                <w:strike w:val="0"/>
                <w:color w:val="auto"/>
                <w:highlight w:val="none"/>
                <w:u w:val="none" w:color="auto"/>
                <w:vertAlign w:val="baseline"/>
              </w:rPr>
              <w:t>savā sadalītajā</w:t>
            </w:r>
            <w:r>
              <w:t xml:space="preserve"> virsgrāmatā, jānodrošina emisijas integritāte sadalītajā virsgrāmatā, jāievieš un jāuztur procedūras SVT pārvedamo vērtspapīru glabāšanas nodrošināšanai, jāveic darījumu norēķins un jānovērš norēķinu neizpilde.</w:t>
            </w:r>
          </w:p>
        </w:tc>
        <w:tc>
          <w:tcPr>
            <w:tcW w:w="4876" w:type="dxa"/>
            <w:vAlign w:val="top"/>
          </w:tcPr>
          <w:p>
            <w:pPr>
              <w:pStyle w:val="Normal6a"/>
            </w:pPr>
            <w:r>
              <w:t>(15)</w:t>
            </w:r>
            <w:r>
              <w:tab/>
            </w:r>
            <w:r>
              <w:t xml:space="preserve">Ja finanšu instruments ir atļauts tirdzniecībai DTS, tas jāiegrāmato apstiprinātā centrālajā vērtspapīru depozitārijā saskaņā ar Regulu (ES) Nr. 909/2014 (Vērtspapīru norēķinu un centrālo depozitāriju regula). Lai gan pārvedamus vērtspapīrus un saistītu darījumu norēķinus var iegrāmatot sadalītajā virsgrāmatā, Regula (ES) Nr. 909/2014 nosaka, ka ir vajadzīga CVD starpniecība, un paredz pienākumu iegrāmatojumu sadalītajā virsgrāmatā replicēt CVD līmenī, iespējams, radot funkcionāli lieku pārklāšanos ar tāda finanšu instrumenta tirdzniecības dzīves ciklu, ar kuru veic darbības SVT tirgus infrastruktūras, uz ko attiecas šī regula. Tāpēc SVT DTS vajadzētu būt iespējai pieprasīt atbrīvojumu no Regulā (ES) Nr. 909/2014 noteiktās prasības par uzskaiti grāmatojuma formā un iegrāmatojumu CVD, ja SVT DTS atbilst prasībām, kas ir līdzvērtīgas tām, kuras piemēro attiecībā uz CVD. SVT DTS būtu jāiegrāmato pārvedamie vērtspapīri </w:t>
            </w:r>
            <w:r>
              <w:rPr>
                <w:b/>
                <w:i/>
                <w:strike w:val="0"/>
                <w:color w:val="auto"/>
                <w:highlight w:val="none"/>
                <w:u w:val="none" w:color="auto"/>
                <w:vertAlign w:val="baseline"/>
              </w:rPr>
              <w:t>sadalītā</w:t>
            </w:r>
            <w:r>
              <w:t xml:space="preserve"> virsgrāmatā, jānodrošina emisijas integritāte sadalītajā virsgrāmatā, jāievieš un jāuztur procedūras SVT pārvedamo vērtspapīru glabāšanas nodrošināšanai, jāveic darījumu norēķins un jānovērš norēķinu neizpilde.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16.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 xml:space="preserve">Veicot darījumu ar SVT pārvedamiem vērtspapīriem norēķinus, SVT DTS būtu jānodrošina, ka pircēja maksājums par SVT pārvedamiem vērtspapīriem notiek tajā pašā laikā, kad pārdevējs nodod SVT pārvedamos vērtspapīrus (piegāde pret maksājumu). Ja tas ir praktiski iespējams, </w:t>
            </w:r>
            <w:r>
              <w:rPr>
                <w:b/>
                <w:i/>
                <w:strike w:val="0"/>
                <w:color w:val="auto"/>
                <w:highlight w:val="none"/>
                <w:u w:val="none" w:color="auto"/>
                <w:vertAlign w:val="baseline"/>
              </w:rPr>
              <w:t>naudas</w:t>
            </w:r>
            <w:r>
              <w:t xml:space="preserve"> norēķini būtu jāveic, izmantojot centrālās bankas līdzekļus, </w:t>
            </w:r>
            <w:r>
              <w:rPr>
                <w:b/>
                <w:i/>
                <w:strike w:val="0"/>
                <w:color w:val="auto"/>
                <w:highlight w:val="none"/>
                <w:u w:val="none" w:color="auto"/>
                <w:vertAlign w:val="baseline"/>
              </w:rPr>
              <w:t>bet</w:t>
            </w:r>
            <w:r>
              <w:t xml:space="preserve">, ja tas nav iespējams vai ja šie līdzekļi nav pieejami, izmanto komercbankas līdzekļus. Lai izmēģinātu inovatīvus risinājumus un lai </w:t>
            </w:r>
            <w:r>
              <w:rPr>
                <w:b/>
                <w:i/>
                <w:strike w:val="0"/>
                <w:color w:val="auto"/>
                <w:highlight w:val="none"/>
                <w:u w:val="none" w:color="auto"/>
                <w:vertAlign w:val="baseline"/>
              </w:rPr>
              <w:t>būtu iespējams veikt naudas maksājumus</w:t>
            </w:r>
            <w:r>
              <w:t xml:space="preserve"> sadalītajā virsgrāmatā, SVT DTS būtu arī jābūt atļaujai izmantot tā dēvētās norēķinu monētas, proti, komercbankas līdzekļus tokenizētā veidā jeb e-naudas tokenus, kā definēts Regulā Nr. 2021/XX par kriptoaktīvu tirgiem</w:t>
            </w:r>
            <w:r>
              <w:rPr>
                <w:rStyle w:val="SupBoldItalic"/>
              </w:rPr>
              <w:t>43</w:t>
            </w:r>
            <w:r>
              <w:rPr>
                <w:b/>
                <w:i/>
                <w:strike w:val="0"/>
                <w:color w:val="auto"/>
                <w:highlight w:val="none"/>
                <w:u w:val="none" w:color="auto"/>
                <w:vertAlign w:val="baseline"/>
              </w:rPr>
              <w:t>. Ja naudas maksājumiem</w:t>
            </w:r>
            <w:r>
              <w:t xml:space="preserve"> izmanto komercbankas līdzekļus, SVT DTS būtu jāierobežo darījuma partnera risks, nodrošinot, ka kredītiestādes, ko izmanto naudas maksājumu norēķiniem, ievēro stingrus kritērijus, un uzraugot šo kritēriju ievērošanu, piemēram, attiecībā uz to regulējumu un uzraudzību, kredītspēju, kapitalizāciju, piekļuvi likviditātei un darbības uzticamību.</w:t>
            </w:r>
          </w:p>
        </w:tc>
        <w:tc>
          <w:tcPr>
            <w:tcW w:w="4876" w:type="dxa"/>
            <w:vAlign w:val="top"/>
          </w:tcPr>
          <w:p>
            <w:pPr>
              <w:pStyle w:val="Normal6a"/>
            </w:pPr>
            <w:r>
              <w:t>(16)</w:t>
            </w:r>
            <w:r>
              <w:tab/>
            </w:r>
            <w:r>
              <w:t xml:space="preserve">Veicot darījumu ar SVT pārvedamiem vērtspapīriem norēķinus, SVT DTS būtu jānodrošina, ka pircēja maksājums par SVT pārvedamiem vērtspapīriem notiek tajā pašā laikā, kad pārdevējs nodod SVT pārvedamos vērtspapīrus (piegāde pret maksājumu). Ja tas ir praktiski iespējams, </w:t>
            </w:r>
            <w:r>
              <w:rPr>
                <w:b/>
                <w:i/>
                <w:strike w:val="0"/>
                <w:color w:val="auto"/>
                <w:highlight w:val="none"/>
                <w:u w:val="none" w:color="auto"/>
                <w:vertAlign w:val="baseline"/>
              </w:rPr>
              <w:t>maksājuma pozīcijas</w:t>
            </w:r>
            <w:r>
              <w:t xml:space="preserve"> norēķini būtu jāveic, izmantojot centrālās bankas līdzekļus, </w:t>
            </w:r>
            <w:r>
              <w:rPr>
                <w:b/>
                <w:i/>
                <w:strike w:val="0"/>
                <w:color w:val="auto"/>
                <w:highlight w:val="none"/>
                <w:u w:val="none" w:color="auto"/>
                <w:vertAlign w:val="baseline"/>
              </w:rPr>
              <w:t>vai</w:t>
            </w:r>
            <w:r>
              <w:t xml:space="preserve">, ja tas nav iespējams vai ja šie līdzekļi nav pieejami, izmanto komercbankas līdzekļus. Lai izmēģinātu inovatīvus risinājumus un lai </w:t>
            </w:r>
            <w:r>
              <w:rPr>
                <w:b/>
                <w:i/>
                <w:strike w:val="0"/>
                <w:color w:val="auto"/>
                <w:highlight w:val="none"/>
                <w:u w:val="none" w:color="auto"/>
                <w:vertAlign w:val="baseline"/>
              </w:rPr>
              <w:t>maksājuma pozīcija būtu</w:t>
            </w:r>
            <w:r>
              <w:t xml:space="preserve"> sadalītajā virsgrāmatā, SVT DTS būtu arī jābūt atļaujai izmantot tā dēvētās norēķinu monētas, proti, komercbankas līdzekļus tokenizētā veidā jeb e-naudas tokenus, kā definēts Regulā Nr. 2021/XX par kriptoaktīvu tirgiem</w:t>
            </w:r>
            <w:r>
              <w:rPr>
                <w:b/>
                <w:i/>
                <w:strike w:val="0"/>
                <w:color w:val="auto"/>
                <w:highlight w:val="none"/>
                <w:u w:val="none" w:color="auto"/>
                <w:vertAlign w:val="baseline"/>
              </w:rPr>
              <w:t>.</w:t>
            </w:r>
            <w:r>
              <w:t xml:space="preserve"> </w:t>
            </w:r>
            <w:r>
              <w:rPr>
                <w:b/>
                <w:i/>
                <w:strike w:val="0"/>
                <w:color w:val="auto"/>
                <w:highlight w:val="none"/>
                <w:u w:val="none" w:color="auto"/>
                <w:vertAlign w:val="baseline"/>
              </w:rPr>
              <w:t>Ja maksājuma pozīcijai</w:t>
            </w:r>
            <w:r>
              <w:t xml:space="preserve"> izmanto komercbankas līdzekļus, SVT DTS būtu jāierobežo darījuma partnera risks, nodrošinot, ka kredītiestādes, ko izmanto naudas maksājumu norēķiniem, ievēro stingrus kritērijus, un uzraugot šo kritēriju ievērošanu, piemēram, attiecībā uz to regulējumu un uzraudzību, kredītspēju, kapitalizāciju, piekļuvi likviditātei un darbības uzticamību. </w:t>
            </w:r>
            <w:r>
              <w:rPr>
                <w:b/>
                <w:i/>
                <w:strike w:val="0"/>
                <w:color w:val="auto"/>
                <w:highlight w:val="none"/>
                <w:u w:val="none" w:color="auto"/>
                <w:vertAlign w:val="baseline"/>
              </w:rPr>
              <w:t>Izmantojot e-naudas tokenus maksājuma pozīcijai, SVT DTS dalībniekiem vajadzētu būt iespējai atvērt kontus tieši SVT DTS, lai veiktu maksājuma pozīcijas norēķinus e-naudas tokenos, vai arī SVT DTS un tās dalībniekiem vajadzētu būt iespējai atvērt kontu pie trešās personas, kas sniedz ar e-naudas tokeniem saistītus pakalpojumus.</w:t>
            </w:r>
            <w:r>
              <w:t xml:space="preserve"> </w:t>
            </w:r>
            <w:r>
              <w:rPr>
                <w:b/>
                <w:i/>
                <w:strike w:val="0"/>
                <w:color w:val="auto"/>
                <w:highlight w:val="none"/>
                <w:u w:val="none" w:color="auto"/>
                <w:vertAlign w:val="baseline"/>
              </w:rPr>
              <w:t>Šādos gadījumos SVT DTS vai trešajai personai vajadzētu būt e-naudas tokenu emitentam un nodrošināt, ka maksājuma pozīcijas norēķini notiek e-naudas tokenos.</w:t>
            </w:r>
            <w:r>
              <w:t xml:space="preserve"> </w:t>
            </w:r>
            <w:r>
              <w:rPr>
                <w:b/>
                <w:i/>
                <w:strike w:val="0"/>
                <w:color w:val="auto"/>
                <w:highlight w:val="none"/>
                <w:u w:val="none" w:color="auto"/>
                <w:vertAlign w:val="baseline"/>
              </w:rPr>
              <w:t>Tā kā e-naudas tokenus var emitēt tikai kredītiestādes vai e-naudas iestādes saskaņā ar Regulu Nr. 2021/XX par kriptoaktīvu tirgiem, šajā regulā paredzētais atbrīvojums attiecībā uz CVDR maksājumu norēķinu noteikumiem nav paredzēts, lai SVT DTS vai trešo personu, kas emitē e-naudas tokenus un veic vērtspapīru darījumu maksājuma pozīcijas norēķinus, izmantojot savus kontus, atbrīvotu no licencēšanas prasībām saskaņā ar Regulu Nr. 2021/XX par kriptoaktīvu tirgiem.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43</w:t>
            </w:r>
            <w:r>
              <w:t xml:space="preserve"> </w:t>
            </w:r>
            <w:r>
              <w:rPr>
                <w:b/>
                <w:i/>
                <w:strike w:val="0"/>
                <w:color w:val="auto"/>
                <w:highlight w:val="none"/>
                <w:u w:val="none" w:color="auto"/>
                <w:vertAlign w:val="baseline"/>
              </w:rPr>
              <w:t>Priekšlikums Eiropas Parlamenta un Padomes regulai par kriptoaktīvu tirgiem un ar ko groza Direktīvu (ES) 2019/1937 – COM(2020)593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Turklāt tiek ierosināts iekļaut ECB 28. aprīļa atzinuma par SVT izmēģinājuma režīmu 3.3.7. punktu attiecībā uz norēķiniem ar e-naudas tokeniem.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Lai varētu piešķirt atbrīvojumu saskaņā ar šo regulu, SVT DTS būtu jāpierāda, ka atbrīvojums ir samērīgs un aprobežojas ar SVT izmantošanu, kā aprakstīts tās darījumdarbības plānā, un ka pieprasītais atbrīvojums attiecas tikai uz SVT DTS un neskar nevienu citu DTS, ko uztur tā pati ieguldījumu brokeru sabiedrība vai tirgus dalībnieks.</w:t>
            </w:r>
          </w:p>
        </w:tc>
        <w:tc>
          <w:tcPr>
            <w:tcW w:w="4876" w:type="dxa"/>
            <w:vAlign w:val="top"/>
          </w:tcPr>
          <w:p>
            <w:pPr>
              <w:pStyle w:val="Normal6a"/>
            </w:pPr>
            <w:r>
              <w:t>(18)</w:t>
            </w:r>
            <w:r>
              <w:tab/>
            </w:r>
            <w:r>
              <w:t xml:space="preserve">Lai varētu piešķirt atbrīvojumu saskaņā ar šo regulu, SVT DTS būtu jāpierāda, ka </w:t>
            </w:r>
            <w:r>
              <w:rPr>
                <w:b/>
                <w:i/>
                <w:strike w:val="0"/>
                <w:color w:val="auto"/>
                <w:highlight w:val="none"/>
                <w:u w:val="none" w:color="auto"/>
                <w:vertAlign w:val="baseline"/>
              </w:rPr>
              <w:t>pieprasītais</w:t>
            </w:r>
            <w:r>
              <w:t xml:space="preserve"> atbrīvojums ir samērīgs un aprobežojas ar SVT izmantošanu, kā aprakstīts tās darījumdarbības plānā, un ka pieprasītais atbrīvojums attiecas tikai uz SVT DTS un neskar nevienu citu DTS, ko uztur tā pati ieguldījumu brokeru sabiedrība vai tirgus dalībnieks. </w:t>
            </w:r>
            <w:r>
              <w:rPr>
                <w:b/>
                <w:i/>
                <w:strike w:val="0"/>
                <w:color w:val="auto"/>
                <w:highlight w:val="none"/>
                <w:u w:val="none" w:color="auto"/>
                <w:vertAlign w:val="baseline"/>
              </w:rPr>
              <w:t>Turklāt, ja SVT DTS uzturētājs uztur kādu citu DTS, būtu jāpierāda, ka SVT DTS darbības nekādos apstākļos neietekmēs nevienas citas DTS darbības un noturību, piemēram, ja viena vai vairākas struktūras piedalās gan parastā DTS, gan SVT DTS, ko uztur tas pats uzturētājs.</w:t>
            </w:r>
            <w:r>
              <w:t xml:space="preserve"> </w:t>
            </w:r>
            <w:r>
              <w:rPr>
                <w:b/>
                <w:i/>
                <w:strike w:val="0"/>
                <w:color w:val="auto"/>
                <w:highlight w:val="none"/>
                <w:u w:val="none" w:color="auto"/>
                <w:vertAlign w:val="baseline"/>
              </w:rPr>
              <w:t>Šādos apstākļos SVT DTS uzturētājam būtu precīzi jāizskaidro maksātnespējas un norēķinu galīguma riski, kuriem ir pakļauti tā dalībnieki, kā arī visi pasākumi, ko tas ir ieviesis, lai mazinātu šādus riskus.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Turklāt tiek ierosināts iekļaut ECB 28. aprīļa atzinuma par SVT izmēģinājuma režīmu 3.4. punkta otro piezīmi, lai paredzētu SVT DTS “norobežošanu” gadījumā, ja to uzturētājs uztur arī citas DTS.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Lai varētu piešķirt atbrīvojumu saskaņā ar šo regulu, SVT DTS būtu jāpierāda, ka atbrīvojums ir samērīgs un aprobežojas ar SVT izmantošanu, kā aprakstīts tās darījumdarbības plānā, un ka pieprasītais atbrīvojums attiecas tikai uz SVT DTS un neskar nevienu citu DTS, ko uztur tā pati ieguldījumu brokeru sabiedrība vai tirgus dalībnieks.</w:t>
            </w:r>
          </w:p>
        </w:tc>
        <w:tc>
          <w:tcPr>
            <w:tcW w:w="4876" w:type="dxa"/>
            <w:vAlign w:val="top"/>
          </w:tcPr>
          <w:p>
            <w:pPr>
              <w:pStyle w:val="Normal6a"/>
            </w:pPr>
            <w:r>
              <w:t>(18)</w:t>
            </w:r>
            <w:r>
              <w:tab/>
            </w:r>
            <w:r>
              <w:t>Lai varētu piešķirt atbrīvojumu saskaņā ar šo regulu, SVT DTS būtu jāpierāda, ka atbrīvojums ir samērīgs un aprobežojas ar SVT izmantošanu, kā aprakstīts tās darījumdarbības plānā, un ka pieprasītais atbrīvojums attiecas tikai uz SVT DTS un</w:t>
            </w:r>
            <w:r>
              <w:rPr>
                <w:b/>
                <w:i/>
                <w:strike w:val="0"/>
                <w:color w:val="auto"/>
                <w:highlight w:val="none"/>
                <w:u w:val="none" w:color="auto"/>
                <w:vertAlign w:val="baseline"/>
              </w:rPr>
              <w:t>, ja struktūra, kas uztur SVT DTS, ir ieguldījumu brokeru sabiedrība vai tirgus dalībnieks,</w:t>
            </w:r>
            <w:r>
              <w:t xml:space="preserve"> neskar nevienu citu DTS, ko uztur tā pati ieguldījumu brokeru sabiedrība vai tirgus dalībnieks.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19.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CVD, kas uztur SVT </w:t>
            </w:r>
            <w:r>
              <w:rPr>
                <w:b/>
                <w:i/>
                <w:strike w:val="0"/>
                <w:color w:val="auto"/>
                <w:highlight w:val="none"/>
                <w:u w:val="none" w:color="auto"/>
                <w:vertAlign w:val="baseline"/>
              </w:rPr>
              <w:t>vērtspapīru norēķinu sistēmu</w:t>
            </w:r>
            <w:r>
              <w:t xml:space="preserve">, vajadzētu būt iespējai pieprasīt vienu vai vairākus pagaidu atbrīvojumus, kas uzskaitīti šajā regulā un ko kompetentā iestāde piešķir, ja CVD atbilst </w:t>
            </w:r>
            <w:r>
              <w:rPr>
                <w:b/>
                <w:i/>
                <w:strike w:val="0"/>
                <w:color w:val="auto"/>
                <w:highlight w:val="none"/>
                <w:u w:val="none" w:color="auto"/>
                <w:vertAlign w:val="baseline"/>
              </w:rPr>
              <w:t>šādu atbrīvojumu</w:t>
            </w:r>
            <w:r>
              <w:t xml:space="preserve"> nosacījumiem, kā arī papildu prasībām, </w:t>
            </w:r>
            <w:r>
              <w:rPr>
                <w:b/>
                <w:i/>
                <w:strike w:val="0"/>
                <w:color w:val="auto"/>
                <w:highlight w:val="none"/>
                <w:u w:val="none" w:color="auto"/>
                <w:vertAlign w:val="baseline"/>
              </w:rPr>
              <w:t>lai pievērstos</w:t>
            </w:r>
            <w:r>
              <w:t xml:space="preserve"> jauna veida riskiem, ko rada SVT izmantošana. CVD, kas uztur SVT </w:t>
            </w:r>
            <w:r>
              <w:rPr>
                <w:b/>
                <w:i/>
                <w:strike w:val="0"/>
                <w:color w:val="auto"/>
                <w:highlight w:val="none"/>
                <w:u w:val="none" w:color="auto"/>
                <w:vertAlign w:val="baseline"/>
              </w:rPr>
              <w:t>vērtspapīru norēķinu sistēmu, būtu</w:t>
            </w:r>
            <w:r>
              <w:t xml:space="preserve"> jāizpilda ikviens kompensējošs pasākums, ko noteikusi kompetentā iestāde, lai izpildītu tā noteikuma mērķus, attiecībā uz kuru pieprasīts atbrīvojums.</w:t>
            </w:r>
          </w:p>
        </w:tc>
        <w:tc>
          <w:tcPr>
            <w:tcW w:w="4876" w:type="dxa"/>
            <w:vAlign w:val="top"/>
          </w:tcPr>
          <w:p>
            <w:pPr>
              <w:pStyle w:val="Normal6a"/>
            </w:pPr>
            <w:r>
              <w:t>(19)</w:t>
            </w:r>
            <w:r>
              <w:tab/>
            </w:r>
            <w:r>
              <w:t xml:space="preserve">CVD, kas uztur SVT </w:t>
            </w:r>
            <w:r>
              <w:rPr>
                <w:b/>
                <w:i/>
                <w:strike w:val="0"/>
                <w:color w:val="auto"/>
                <w:highlight w:val="none"/>
                <w:u w:val="none" w:color="auto"/>
                <w:vertAlign w:val="baseline"/>
              </w:rPr>
              <w:t>VNS</w:t>
            </w:r>
            <w:r>
              <w:t xml:space="preserve">, vajadzētu būt iespējai pieprasīt vienu vai vairākus pagaidu atbrīvojumus, kas uzskaitīti šajā regulā un ko </w:t>
            </w:r>
            <w:r>
              <w:rPr>
                <w:b/>
                <w:i/>
                <w:strike w:val="0"/>
                <w:color w:val="auto"/>
                <w:highlight w:val="none"/>
                <w:u w:val="none" w:color="auto"/>
                <w:vertAlign w:val="baseline"/>
              </w:rPr>
              <w:t>attiecīgā</w:t>
            </w:r>
            <w:r>
              <w:t xml:space="preserve"> kompetentā iestāde piešķir</w:t>
            </w:r>
            <w:r>
              <w:rPr>
                <w:b/>
                <w:i/>
                <w:strike w:val="0"/>
                <w:color w:val="auto"/>
                <w:highlight w:val="none"/>
                <w:u w:val="none" w:color="auto"/>
                <w:vertAlign w:val="baseline"/>
              </w:rPr>
              <w:t> pēc EVTI ieteikuma</w:t>
            </w:r>
            <w:r>
              <w:t xml:space="preserve">, ja CVD atbilst </w:t>
            </w:r>
            <w:r>
              <w:rPr>
                <w:b/>
                <w:i/>
                <w:strike w:val="0"/>
                <w:color w:val="auto"/>
                <w:highlight w:val="none"/>
                <w:u w:val="none" w:color="auto"/>
                <w:vertAlign w:val="baseline"/>
              </w:rPr>
              <w:t>ar šādiem atbrīvojumiem saistītajiem</w:t>
            </w:r>
            <w:r>
              <w:t xml:space="preserve"> nosacījumiem, kā arī papildu prasībām, </w:t>
            </w:r>
            <w:r>
              <w:rPr>
                <w:b/>
                <w:i/>
                <w:strike w:val="0"/>
                <w:color w:val="auto"/>
                <w:highlight w:val="none"/>
                <w:u w:val="none" w:color="auto"/>
                <w:vertAlign w:val="baseline"/>
              </w:rPr>
              <w:t>kas noteiktas šajā regulā, attiecībā uz pievēršanos</w:t>
            </w:r>
            <w:r>
              <w:t xml:space="preserve"> jauna veida riskiem, ko rada SVT izmantošana. CVD, kas uztur SVT </w:t>
            </w:r>
            <w:r>
              <w:rPr>
                <w:b/>
                <w:i/>
                <w:strike w:val="0"/>
                <w:color w:val="auto"/>
                <w:highlight w:val="none"/>
                <w:u w:val="none" w:color="auto"/>
                <w:vertAlign w:val="baseline"/>
              </w:rPr>
              <w:t>VNS, būtu arī</w:t>
            </w:r>
            <w:r>
              <w:t xml:space="preserve"> jāizpilda ikviens kompensējošs </w:t>
            </w:r>
            <w:r>
              <w:rPr>
                <w:b/>
                <w:i/>
                <w:strike w:val="0"/>
                <w:color w:val="auto"/>
                <w:highlight w:val="none"/>
                <w:u w:val="none" w:color="auto"/>
                <w:vertAlign w:val="baseline"/>
              </w:rPr>
              <w:t>vai korektīvs</w:t>
            </w:r>
            <w:r>
              <w:t xml:space="preserve"> pasākums, ko noteikusi kompetentā iestāde </w:t>
            </w:r>
            <w:r>
              <w:rPr>
                <w:b/>
                <w:i/>
                <w:strike w:val="0"/>
                <w:color w:val="auto"/>
                <w:highlight w:val="none"/>
                <w:u w:val="none" w:color="auto"/>
                <w:vertAlign w:val="baseline"/>
              </w:rPr>
              <w:t>vai ieteikusi EVTI</w:t>
            </w:r>
            <w:r>
              <w:t>, lai izpildītu tā noteikuma mērķus, attiecībā uz kuru pieprasīts atbrīvojums.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19.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rPr>
                <w:b/>
                <w:i/>
                <w:strike w:val="0"/>
                <w:color w:val="auto"/>
                <w:highlight w:val="none"/>
                <w:u w:val="none" w:color="auto"/>
                <w:vertAlign w:val="baseline"/>
              </w:rPr>
              <w:t>CVD</w:t>
            </w:r>
            <w:r>
              <w:t xml:space="preserve">, kas uztur SVT vērtspapīru norēķinu sistēmu, vajadzētu būt iespējai pieprasīt vienu vai vairākus pagaidu atbrīvojumus, kas uzskaitīti šajā regulā un ko kompetentā iestāde piešķir, ja </w:t>
            </w:r>
            <w:r>
              <w:rPr>
                <w:b/>
                <w:i/>
                <w:strike w:val="0"/>
                <w:color w:val="auto"/>
                <w:highlight w:val="none"/>
                <w:u w:val="none" w:color="auto"/>
                <w:vertAlign w:val="baseline"/>
              </w:rPr>
              <w:t>CVD</w:t>
            </w:r>
            <w:r>
              <w:t xml:space="preserve"> atbilst šādu atbrīvojumu nosacījumiem, kā arī papildu prasībām, lai pievērstos jauna veida riskiem, ko rada SVT izmantošana. </w:t>
            </w:r>
            <w:r>
              <w:rPr>
                <w:b/>
                <w:i/>
                <w:strike w:val="0"/>
                <w:color w:val="auto"/>
                <w:highlight w:val="none"/>
                <w:u w:val="none" w:color="auto"/>
                <w:vertAlign w:val="baseline"/>
              </w:rPr>
              <w:t>CVD</w:t>
            </w:r>
            <w:r>
              <w:t>, kas uztur SVT vērtspapīru norēķinu sistēmu, būtu jāizpilda ikviens kompensējošs pasākums, ko noteikusi kompetentā iestāde, lai izpildītu tā noteikuma mērķus, attiecībā uz kuru pieprasīts atbrīvojums.</w:t>
            </w:r>
          </w:p>
        </w:tc>
        <w:tc>
          <w:tcPr>
            <w:tcW w:w="4876" w:type="dxa"/>
            <w:vAlign w:val="top"/>
          </w:tcPr>
          <w:p>
            <w:pPr>
              <w:pStyle w:val="Normal6a"/>
            </w:pPr>
            <w:r>
              <w:t>(19)</w:t>
            </w:r>
            <w:r>
              <w:tab/>
            </w:r>
            <w:r>
              <w:rPr>
                <w:b/>
                <w:i/>
                <w:strike w:val="0"/>
                <w:color w:val="auto"/>
                <w:highlight w:val="none"/>
                <w:u w:val="none" w:color="auto"/>
                <w:vertAlign w:val="baseline"/>
              </w:rPr>
              <w:t>Struktūrai</w:t>
            </w:r>
            <w:r>
              <w:t xml:space="preserve">, kas uztur SVT vērtspapīru norēķinu sistēmu, vajadzētu būt iespējai pieprasīt vienu vai vairākus pagaidu atbrīvojumus, kas uzskaitīti šajā regulā un ko kompetentā iestāde piešķir, ja </w:t>
            </w:r>
            <w:r>
              <w:rPr>
                <w:b/>
                <w:i/>
                <w:strike w:val="0"/>
                <w:color w:val="auto"/>
                <w:highlight w:val="none"/>
                <w:u w:val="none" w:color="auto"/>
                <w:vertAlign w:val="baseline"/>
              </w:rPr>
              <w:t>struktūra</w:t>
            </w:r>
            <w:r>
              <w:t xml:space="preserve"> atbilst šādu atbrīvojumu nosacījumiem, kā arī papildu prasībām, lai pievērstos jauna veida riskiem, ko rada SVT izmantošana. </w:t>
            </w:r>
            <w:r>
              <w:rPr>
                <w:b/>
                <w:i/>
                <w:strike w:val="0"/>
                <w:color w:val="auto"/>
                <w:highlight w:val="none"/>
                <w:u w:val="none" w:color="auto"/>
                <w:vertAlign w:val="baseline"/>
              </w:rPr>
              <w:t>Struktūrai</w:t>
            </w:r>
            <w:r>
              <w:t>, kas uztur SVT vērtspapīru norēķinu sistēmu, būtu jāizpilda ikviens kompensējošs pasākums, ko noteikusi kompetentā iestāde, lai izpildītu tā noteikuma mērķus, attiecībā uz kuru pieprasīts atbrīvojums.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 xml:space="preserve">CVD, kas uztur </w:t>
            </w:r>
            <w:r>
              <w:rPr>
                <w:b/>
                <w:i/>
                <w:strike w:val="0"/>
                <w:color w:val="auto"/>
                <w:highlight w:val="none"/>
                <w:u w:val="none" w:color="auto"/>
                <w:vertAlign w:val="baseline"/>
              </w:rPr>
              <w:t>vērtspapīru norēķinu sistēmu</w:t>
            </w:r>
            <w:r>
              <w:t xml:space="preserve">, vajadzētu būt iespējai pieprasīt atbrīvojumus no atšķirīgiem noteikumiem, kas varētu radīt regulatīvus šķēršļus vērtspapīru norēķinu sistēmu attīstīšanai attiecībā uz pārvedamiem vērtspapīriem. Piemēram, CVD vajadzētu būt iespējai pieprasīt atbrīvojumu no dažām Regulā (ES) 909/2014 (Vērtspapīru norēķinu un centrālo depozitāriju regula) ietvertajām definīcijām, piemēram, jēdzieniem “dematerializēta forma”, “vērtspapīru konts”, “pārveduma rīkojumi”, kā arī atbrīvojumus no noteikumiem, kuros ir atsauce uz jēdzienu “vērtspapīru konts”, piemēram, noteikumiem par vērtspapīru iegrāmatošanu, emisijas integritāti vai kontu nošķiršanu. CVD uztur </w:t>
            </w:r>
            <w:r>
              <w:rPr>
                <w:b/>
                <w:i/>
                <w:strike w:val="0"/>
                <w:color w:val="auto"/>
                <w:highlight w:val="none"/>
                <w:u w:val="none" w:color="auto"/>
                <w:vertAlign w:val="baseline"/>
              </w:rPr>
              <w:t>vērtspapīru norēķinu sistēmu</w:t>
            </w:r>
            <w:r>
              <w:t xml:space="preserve">, kreditējot un debetējot savu dalībnieku vērtspapīru kontus. Tomēr ne vienmēr SVT sistēmā var būt divkāršā ieraksta (vai vairākkārtējā ieraksta) uzskaites vērtspapīru konti. Tāpēc CVD, kas uztur SVT </w:t>
            </w:r>
            <w:r>
              <w:rPr>
                <w:b/>
                <w:i/>
                <w:strike w:val="0"/>
                <w:color w:val="auto"/>
                <w:highlight w:val="none"/>
                <w:u w:val="none" w:color="auto"/>
                <w:vertAlign w:val="baseline"/>
              </w:rPr>
              <w:t>vērtspapīru norēķinu sistēmu</w:t>
            </w:r>
            <w:r>
              <w:t>, vajadzētu būt iespējai pieprasīt atbrīvojumu no noteikumiem, kuros ir atsauce uz “vērtspapīru kontu” vai “grāmatojuma formu”, ja ir nepieciešams atļaut SVT pārvedamo vērtspapīru iegrāmatošanu sadalītajā virsgrāmatā</w:t>
            </w:r>
            <w:r>
              <w:rPr>
                <w:b/>
                <w:i/>
                <w:strike w:val="0"/>
                <w:color w:val="auto"/>
                <w:highlight w:val="none"/>
                <w:u w:val="none" w:color="auto"/>
                <w:vertAlign w:val="baseline"/>
              </w:rPr>
              <w:t>, lai nodrošinātu</w:t>
            </w:r>
            <w:r>
              <w:t xml:space="preserve"> SVT pārvedamo vērtspapīru emisijas integritāti sadalītajā virsgrāmatā un dažādiem dalībniekiem piederošo SVT pārvedamo vērtspapīru nošķiršanu.</w:t>
            </w:r>
          </w:p>
        </w:tc>
        <w:tc>
          <w:tcPr>
            <w:tcW w:w="4876" w:type="dxa"/>
            <w:vAlign w:val="top"/>
          </w:tcPr>
          <w:p>
            <w:pPr>
              <w:pStyle w:val="Normal6a"/>
            </w:pPr>
            <w:r>
              <w:t>(20)</w:t>
            </w:r>
            <w:r>
              <w:tab/>
            </w:r>
            <w:r>
              <w:t xml:space="preserve">CVD, kas uztur </w:t>
            </w:r>
            <w:r>
              <w:rPr>
                <w:b/>
                <w:i/>
                <w:strike w:val="0"/>
                <w:color w:val="auto"/>
                <w:highlight w:val="none"/>
                <w:u w:val="none" w:color="auto"/>
                <w:vertAlign w:val="baseline"/>
              </w:rPr>
              <w:t>VNS</w:t>
            </w:r>
            <w:r>
              <w:t xml:space="preserve">, vajadzētu būt iespējai pieprasīt atbrīvojumus no atšķirīgiem noteikumiem, kas varētu radīt regulatīvus šķēršļus vērtspapīru norēķinu sistēmu attīstīšanai attiecībā uz pārvedamiem vērtspapīriem. Piemēram, CVD vajadzētu būt iespējai pieprasīt atbrīvojumu no dažām Regulā (ES) 909/2014 (Vērtspapīru norēķinu un centrālo depozitāriju regula) ietvertajām definīcijām, piemēram, jēdzieniem “dematerializēta forma”, “vērtspapīru konts”, “pārveduma rīkojumi”, kā arī atbrīvojumus no noteikumiem, kuros ir atsauce uz jēdzienu “vērtspapīru konts”, piemēram, noteikumiem par vērtspapīru iegrāmatošanu, emisijas integritāti vai kontu nošķiršanu. CVD uztur </w:t>
            </w:r>
            <w:r>
              <w:rPr>
                <w:b/>
                <w:i/>
                <w:strike w:val="0"/>
                <w:color w:val="auto"/>
                <w:highlight w:val="none"/>
                <w:u w:val="none" w:color="auto"/>
                <w:vertAlign w:val="baseline"/>
              </w:rPr>
              <w:t>VNS</w:t>
            </w:r>
            <w:r>
              <w:t xml:space="preserve">, kreditējot un debetējot savu dalībnieku vērtspapīru kontus. Tomēr ne vienmēr SVT sistēmā var būt divkāršā ieraksta (vai vairākkārtējā ieraksta) uzskaites vērtspapīru konti. Tāpēc CVD, kas uztur SVT </w:t>
            </w:r>
            <w:r>
              <w:rPr>
                <w:b/>
                <w:i/>
                <w:strike w:val="0"/>
                <w:color w:val="auto"/>
                <w:highlight w:val="none"/>
                <w:u w:val="none" w:color="auto"/>
                <w:vertAlign w:val="baseline"/>
              </w:rPr>
              <w:t>VNS</w:t>
            </w:r>
            <w:r>
              <w:t>, vajadzētu būt iespējai pieprasīt atbrīvojumu no noteikumiem, kuros ir atsauce uz “vērtspapīru kontu” vai “grāmatojuma formu”, ja ir nepieciešams atļaut SVT pārvedamo vērtspapīru iegrāmatošanu sadalītajā virsgrāmatā</w:t>
            </w:r>
            <w:r>
              <w:rPr>
                <w:b/>
                <w:i/>
                <w:strike w:val="0"/>
                <w:color w:val="auto"/>
                <w:highlight w:val="none"/>
                <w:u w:val="none" w:color="auto"/>
                <w:vertAlign w:val="baseline"/>
              </w:rPr>
              <w:t>.</w:t>
            </w:r>
            <w:r>
              <w:t xml:space="preserve"> </w:t>
            </w:r>
            <w:r>
              <w:rPr>
                <w:b/>
                <w:i/>
                <w:strike w:val="0"/>
                <w:color w:val="auto"/>
                <w:highlight w:val="none"/>
                <w:u w:val="none" w:color="auto"/>
                <w:vertAlign w:val="baseline"/>
              </w:rPr>
              <w:t>Tomēr jebkuram CVD, kas uztur SVT VNS, joprojām būtu jāprasa nodrošināt</w:t>
            </w:r>
            <w:r>
              <w:t xml:space="preserve"> SVT pārvedamo vērtspapīru emisijas integritāti sadalītajā virsgrāmatā un dažādiem dalībniekiem piederošo SVT pārvedamo vērtspapīru nošķiršanu.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Jānodrošina, ka tie CVD, kas uztur SVT VNS, ir pilnvaroti nodrošināt SVT pārvedamo vērtspapīru emisijas integritāti ar jebkādiem citiem līdzekļiem, ja tie neizmanto vērtspapīru kontus, kā tas ir prasīts attiecībā uz DTS.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 xml:space="preserve">CVD, kas uztur vērtspapīru norēķinu sistēmu, vajadzētu būt iespējai pieprasīt atbrīvojumus no </w:t>
            </w:r>
            <w:r>
              <w:rPr>
                <w:b/>
                <w:i/>
                <w:strike w:val="0"/>
                <w:color w:val="auto"/>
                <w:highlight w:val="none"/>
                <w:u w:val="none" w:color="auto"/>
                <w:vertAlign w:val="baseline"/>
              </w:rPr>
              <w:t>atšķirīgiem</w:t>
            </w:r>
            <w:r>
              <w:t xml:space="preserve"> noteikumiem, kas varētu radīt regulatīvus šķēršļus vērtspapīru norēķinu sistēmu attīstīšanai attiecībā uz pārvedamiem vērtspapīriem. Piemēram, CVD vajadzētu būt iespējai pieprasīt atbrīvojumu no dažām Regulā (ES) 909/2014 (Vērtspapīru norēķinu un centrālo depozitāriju regula) ietvertajām definīcijām, piemēram, jēdzieniem “dematerializēta forma”, “vērtspapīru konts”, “pārveduma rīkojumi”, kā arī atbrīvojumus no noteikumiem, kuros ir atsauce uz jēdzienu “vērtspapīru konts”, piemēram, noteikumiem par vērtspapīru iegrāmatošanu, emisijas integritāti vai kontu nošķiršanu. CVD uztur vērtspapīru norēķinu sistēmu, kreditējot un debetējot savu dalībnieku vērtspapīru kontus. Tomēr ne vienmēr SVT sistēmā var būt divkāršā ieraksta (vai vairākkārtējā ieraksta) uzskaites vērtspapīru konti. Tāpēc CVD, kas uztur SVT vērtspapīru norēķinu sistēmu, vajadzētu būt iespējai pieprasīt atbrīvojumu no noteikumiem, kuros ir atsauce uz “vērtspapīru kontu” vai “grāmatojuma formu”, ja ir nepieciešams atļaut SVT pārvedamo vērtspapīru iegrāmatošanu sadalītajā virsgrāmatā, lai nodrošinātu SVT pārvedamo vērtspapīru emisijas integritāti sadalītajā virsgrāmatā un dažādiem dalībniekiem piederošo SVT pārvedamo vērtspapīru nošķiršanu.</w:t>
            </w:r>
          </w:p>
        </w:tc>
        <w:tc>
          <w:tcPr>
            <w:tcW w:w="4876" w:type="dxa"/>
            <w:vAlign w:val="top"/>
          </w:tcPr>
          <w:p>
            <w:pPr>
              <w:pStyle w:val="Normal6a"/>
            </w:pPr>
            <w:r>
              <w:t>(20)</w:t>
            </w:r>
            <w:r>
              <w:tab/>
            </w:r>
            <w:r>
              <w:t xml:space="preserve">CVD, kas uztur vērtspapīru norēķinu sistēmu, vajadzētu būt iespējai pieprasīt atbrīvojumus no </w:t>
            </w:r>
            <w:r>
              <w:rPr>
                <w:b/>
                <w:i/>
                <w:strike w:val="0"/>
                <w:color w:val="auto"/>
                <w:highlight w:val="none"/>
                <w:u w:val="none" w:color="auto"/>
                <w:vertAlign w:val="baseline"/>
              </w:rPr>
              <w:t>dažiem</w:t>
            </w:r>
            <w:r>
              <w:t xml:space="preserve"> noteikumiem, kas varētu radīt regulatīvus šķēršļus vērtspapīru norēķinu sistēmu attīstīšanai attiecībā uz pārvedamiem vērtspapīriem. Piemēram, CVD vajadzētu būt iespējai pieprasīt atbrīvojumu no dažām Regulā (ES) 909/2014 (Vērtspapīru norēķinu un centrālo depozitāriju regula) ietvertajām definīcijām, piemēram, jēdzieniem “dematerializēta forma”, “vērtspapīru konts”, “pārveduma rīkojumi”, kā arī atbrīvojumus no noteikumiem, kuros ir atsauce uz jēdzienu “vērtspapīru konts”, piemēram, noteikumiem par vērtspapīru iegrāmatošanu, emisijas integritāti vai kontu nošķiršanu. CVD uztur vērtspapīru norēķinu sistēmu, kreditējot un debetējot savu dalībnieku vērtspapīru kontus. Tomēr ne vienmēr SVT sistēmā var būt divkāršā ieraksta (vai vairākkārtējā ieraksta) uzskaites vērtspapīru konti. Tāpēc CVD, kas uztur SVT vērtspapīru norēķinu sistēmu, vajadzētu būt iespējai pieprasīt atbrīvojumu no noteikumiem, kuros ir atsauce uz “vērtspapīru kontu” vai “grāmatojuma formu”, ja ir nepieciešams atļaut SVT pārvedamo vērtspapīru iegrāmatošanu sadalītajā virsgrāmatā, lai nodrošinātu SVT pārvedamo vērtspapīru emisijas integritāti sadalītajā virsgrāmatā un dažādiem dalībniekiem piederošo SVT pārvedamo vērtspapīru nošķiršanu.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Saskaņā ar Regulu (ES) Nr. 909/2014 (</w:t>
            </w:r>
            <w:r>
              <w:rPr>
                <w:b/>
                <w:i/>
                <w:strike w:val="0"/>
                <w:color w:val="auto"/>
                <w:highlight w:val="none"/>
                <w:u w:val="none" w:color="auto"/>
                <w:vertAlign w:val="baseline"/>
              </w:rPr>
              <w:t>Vērtspapīru norēķinu un centrālo depozitāriju regula</w:t>
            </w:r>
            <w:r>
              <w:t xml:space="preserve">) CVD var nodot vienu no savām pamatdarbībām ārpakalpojumu sniedzējiem tikai pēc tam, kad ir saņemta atļauja no kompetentās iestādes. CVD ir arī jāievēro vairāki nosacījumi, lai ārpakalpojumu izmantošana neizraisītu tā atbildības deleģēšanu vai CVD pienākumu pret tā dalībniekiem vai emitentiem izmainīšanu. Atkarībā no sava darījumdarbības plāna CVD, kas uztur SVT </w:t>
            </w:r>
            <w:r>
              <w:rPr>
                <w:b/>
                <w:i/>
                <w:strike w:val="0"/>
                <w:color w:val="auto"/>
                <w:highlight w:val="none"/>
                <w:u w:val="none" w:color="auto"/>
                <w:vertAlign w:val="baseline"/>
              </w:rPr>
              <w:t>vērtspapīru norēķinu sistēmu</w:t>
            </w:r>
            <w:r>
              <w:t xml:space="preserve">, var vēlēties atbildību par savas sadalītās virsgrāmatas, kurā iegrāmato pārvedamus vērtspapīrus, </w:t>
            </w:r>
            <w:r>
              <w:rPr>
                <w:b/>
                <w:i/>
                <w:strike w:val="0"/>
                <w:color w:val="auto"/>
                <w:highlight w:val="none"/>
                <w:u w:val="none" w:color="auto"/>
                <w:vertAlign w:val="baseline"/>
              </w:rPr>
              <w:t>uzturēšanu</w:t>
            </w:r>
            <w:r>
              <w:t xml:space="preserve"> dalīt ar citām struktūrām, tostarp saviem dalībniekiem. </w:t>
            </w:r>
            <w:r>
              <w:rPr>
                <w:b/>
                <w:i/>
                <w:strike w:val="0"/>
                <w:color w:val="auto"/>
                <w:highlight w:val="none"/>
                <w:u w:val="none" w:color="auto"/>
                <w:vertAlign w:val="baseline"/>
              </w:rPr>
              <w:t>SVT vērtspapīru norēķinu sistēmai</w:t>
            </w:r>
            <w:r>
              <w:t xml:space="preserve"> vajadzētu būt iespējai pieprasīt atbrīvojumu no ārpakalpojumu izmantošanas prasībām, lai attīstītu šādus inovatīvus darījumdarbības modeļus. Šādā gadījumā tai būtu jāpierāda, ka noteikumi par ārpakalpojumu izmantošanu nav saderīgi ar SVT izmantošanu, kā paredzēts tās darījumdarbības plānā, un jāpierāda, ka ir izpildītas dažas minimālās prasības par ārpakalpojumu izmantošanu.</w:t>
            </w:r>
          </w:p>
        </w:tc>
        <w:tc>
          <w:tcPr>
            <w:tcW w:w="4876" w:type="dxa"/>
            <w:vAlign w:val="top"/>
          </w:tcPr>
          <w:p>
            <w:pPr>
              <w:pStyle w:val="Normal6a"/>
            </w:pPr>
            <w:r>
              <w:t>(21)</w:t>
            </w:r>
            <w:r>
              <w:tab/>
            </w:r>
            <w:r>
              <w:t>Saskaņā ar Regulu (ES) Nr. 909/2014 (</w:t>
            </w:r>
            <w:r>
              <w:rPr>
                <w:b/>
                <w:i/>
                <w:strike w:val="0"/>
                <w:color w:val="auto"/>
                <w:highlight w:val="none"/>
                <w:u w:val="none" w:color="auto"/>
                <w:vertAlign w:val="baseline"/>
              </w:rPr>
              <w:t>CVDR</w:t>
            </w:r>
            <w:r>
              <w:t xml:space="preserve">) CVD var nodot vienu no savām pamatdarbībām ārpakalpojumu sniedzējiem tikai pēc tam, kad ir saņemta atļauja no kompetentās iestādes. CVD ir arī jāievēro vairāki nosacījumi, lai ārpakalpojumu izmantošana neizraisītu tā atbildības deleģēšanu vai CVD pienākumu pret tā dalībniekiem vai emitentiem izmainīšanu. Atkarībā no sava darījumdarbības plāna CVD, kas uztur SVT </w:t>
            </w:r>
            <w:r>
              <w:rPr>
                <w:b/>
                <w:i/>
                <w:strike w:val="0"/>
                <w:color w:val="auto"/>
                <w:highlight w:val="none"/>
                <w:u w:val="none" w:color="auto"/>
                <w:vertAlign w:val="baseline"/>
              </w:rPr>
              <w:t>VNS</w:t>
            </w:r>
            <w:r>
              <w:t xml:space="preserve">, var vēlēties atbildību par </w:t>
            </w:r>
            <w:r>
              <w:rPr>
                <w:b/>
                <w:i/>
                <w:strike w:val="0"/>
                <w:color w:val="auto"/>
                <w:highlight w:val="none"/>
                <w:u w:val="none" w:color="auto"/>
                <w:vertAlign w:val="baseline"/>
              </w:rPr>
              <w:t>tās</w:t>
            </w:r>
            <w:r>
              <w:t xml:space="preserve"> savas sadalītās virsgrāmatas </w:t>
            </w:r>
            <w:r>
              <w:rPr>
                <w:b/>
                <w:i/>
                <w:strike w:val="0"/>
                <w:color w:val="auto"/>
                <w:highlight w:val="none"/>
                <w:u w:val="none" w:color="auto"/>
                <w:vertAlign w:val="baseline"/>
              </w:rPr>
              <w:t>uzturēšanu</w:t>
            </w:r>
            <w:r>
              <w:t xml:space="preserve">, kurā iegrāmato pārvedamus vērtspapīrus, dalīt ar citām struktūrām, tostarp saviem dalībniekiem. </w:t>
            </w:r>
            <w:r>
              <w:rPr>
                <w:b/>
                <w:i/>
                <w:strike w:val="0"/>
                <w:color w:val="auto"/>
                <w:highlight w:val="none"/>
                <w:u w:val="none" w:color="auto"/>
                <w:vertAlign w:val="baseline"/>
              </w:rPr>
              <w:t>CVD, kas uztur SVT VNS,</w:t>
            </w:r>
            <w:r>
              <w:t xml:space="preserve"> vajadzētu būt iespējai pieprasīt atbrīvojumu no ārpakalpojumu izmantošanas prasībām, lai attīstītu šādus inovatīvus darījumdarbības modeļus. Šādā gadījumā tai būtu jāpierāda, ka noteikumi par ārpakalpojumu izmantošanu nav saderīgi ar SVT izmantošanu, kā paredzēts tās darījumdarbības plānā, un jāpierāda, ka ir izpildītas dažas minimālās prasības par ārpakalpojumu izmantošanu.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199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Saskaņā ar Regulu (ES) Nr. 909/2014 (Vērtspapīru norēķinu un centrālo depozitāriju regula) CVD var nodot vienu no savām pamatdarbībām ārpakalpojumu sniedzējiem tikai pēc tam, kad ir saņemta atļauja no kompetentās iestādes. CVD ir arī jāievēro vairāki nosacījumi, lai ārpakalpojumu izmantošana neizraisītu tā atbildības deleģēšanu vai CVD pienākumu pret tā dalībniekiem vai emitentiem izmainīšanu. Atkarībā no sava darījumdarbības plāna </w:t>
            </w:r>
            <w:r>
              <w:rPr>
                <w:b/>
                <w:i/>
                <w:strike w:val="0"/>
                <w:color w:val="auto"/>
                <w:highlight w:val="none"/>
                <w:u w:val="none" w:color="auto"/>
                <w:vertAlign w:val="baseline"/>
              </w:rPr>
              <w:t>CVD</w:t>
            </w:r>
            <w:r>
              <w:t xml:space="preserve">, kas uztur SVT vērtspapīru norēķinu sistēmu, var vēlēties atbildību par </w:t>
            </w:r>
            <w:r>
              <w:rPr>
                <w:b/>
                <w:i/>
                <w:strike w:val="0"/>
                <w:color w:val="auto"/>
                <w:highlight w:val="none"/>
                <w:u w:val="none" w:color="auto"/>
                <w:vertAlign w:val="baseline"/>
              </w:rPr>
              <w:t>savas</w:t>
            </w:r>
            <w:r>
              <w:t xml:space="preserve"> sadalītās virsgrāmatas, kurā iegrāmato pārvedamus vērtspapīrus, </w:t>
            </w:r>
            <w:r>
              <w:rPr>
                <w:b/>
                <w:i/>
                <w:strike w:val="0"/>
                <w:color w:val="auto"/>
                <w:highlight w:val="none"/>
                <w:u w:val="none" w:color="auto"/>
                <w:vertAlign w:val="baseline"/>
              </w:rPr>
              <w:t>uzturēšanu</w:t>
            </w:r>
            <w:r>
              <w:t xml:space="preserve"> dalīt ar citām struktūrām, tostarp saviem dalībniekiem. SVT vērtspapīru norēķinu sistēmai vajadzētu būt iespējai pieprasīt atbrīvojumu no ārpakalpojumu izmantošanas prasībām, lai attīstītu šādus inovatīvus darījumdarbības modeļus. Šādā gadījumā tai būtu jāpierāda, ka noteikumi par ārpakalpojumu izmantošanu nav saderīgi ar SVT izmantošanu, kā paredzēts tās darījumdarbības plānā, un jāpierāda, ka ir izpildītas dažas minimālās prasības par ārpakalpojumu izmantošanu.</w:t>
            </w:r>
          </w:p>
        </w:tc>
        <w:tc>
          <w:tcPr>
            <w:tcW w:w="4876" w:type="dxa"/>
            <w:vAlign w:val="top"/>
          </w:tcPr>
          <w:p>
            <w:pPr>
              <w:pStyle w:val="Normal6a"/>
            </w:pPr>
            <w:r>
              <w:t>(21)</w:t>
            </w:r>
            <w:r>
              <w:tab/>
            </w:r>
            <w:r>
              <w:t xml:space="preserve">Saskaņā ar Regulu (ES) Nr. 909/2014 (Vērtspapīru norēķinu un centrālo depozitāriju regula) CVD var nodot vienu no savām pamatdarbībām ārpakalpojumu sniedzējiem tikai pēc tam, kad ir saņemta atļauja no kompetentās iestādes. CVD ir arī jāievēro vairāki nosacījumi, lai ārpakalpojumu izmantošana neizraisītu tā atbildības deleģēšanu vai CVD pienākumu pret tā dalībniekiem vai emitentiem izmainīšanu. Atkarībā no sava darījumdarbības plāna </w:t>
            </w:r>
            <w:r>
              <w:rPr>
                <w:b/>
                <w:i/>
                <w:strike w:val="0"/>
                <w:color w:val="auto"/>
                <w:highlight w:val="none"/>
                <w:u w:val="none" w:color="auto"/>
                <w:vertAlign w:val="baseline"/>
              </w:rPr>
              <w:t>struktūra</w:t>
            </w:r>
            <w:r>
              <w:t xml:space="preserve">, kas uztur SVT vērtspapīru norēķinu sistēmu, var vēlēties atbildību par </w:t>
            </w:r>
            <w:r>
              <w:rPr>
                <w:b/>
                <w:i/>
                <w:strike w:val="0"/>
                <w:color w:val="auto"/>
                <w:highlight w:val="none"/>
                <w:u w:val="none" w:color="auto"/>
                <w:vertAlign w:val="baseline"/>
              </w:rPr>
              <w:t>tās</w:t>
            </w:r>
            <w:r>
              <w:t xml:space="preserve"> sadalītās virsgrāmatas </w:t>
            </w:r>
            <w:r>
              <w:rPr>
                <w:b/>
                <w:i/>
                <w:strike w:val="0"/>
                <w:color w:val="auto"/>
                <w:highlight w:val="none"/>
                <w:u w:val="none" w:color="auto"/>
                <w:vertAlign w:val="baseline"/>
              </w:rPr>
              <w:t>uzturēšanu</w:t>
            </w:r>
            <w:r>
              <w:t>, kurā iegrāmato pārvedamus vērtspapīrus, dalīt ar citām struktūrām, tostarp saviem dalībniekiem. SVT vērtspapīru norēķinu sistēmai vajadzētu būt iespējai pieprasīt atbrīvojumu no ārpakalpojumu izmantošanas prasībām, lai attīstītu šādus inovatīvus darījumdarbības modeļus. Šādā gadījumā tai būtu jāpierāda, ka noteikumi par ārpakalpojumu izmantošanu nav saderīgi ar SVT izmantošanu, kā paredzēts tās darījumdarbības plānā, un jāpierāda, ka ir izpildītas dažas minimālās prasības par ārpakalpojumu izmantošanu.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 un tehnoloģiskā neitralitāte attiecībā uz SVT, kas aizsargātas ar īpašumtiesībām, un publiskām SVT.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Saskaņā ar Regulu (ES) Nr. 909/2014 (Vērtspapīru norēķinu un centrālo depozitāriju regula) CVD var nodot vienu no savām pamatdarbībām ārpakalpojumu sniedzējiem tikai pēc tam, kad ir saņemta atļauja no kompetentās iestādes. CVD ir arī jāievēro vairāki nosacījumi, lai ārpakalpojumu izmantošana neizraisītu tā atbildības deleģēšanu vai CVD pienākumu pret tā dalībniekiem vai emitentiem izmainīšanu. Atkarībā no sava darījumdarbības plāna CVD, kas uztur SVT vērtspapīru norēķinu sistēmu, var vēlēties atbildību par </w:t>
            </w:r>
            <w:r>
              <w:rPr>
                <w:b/>
                <w:i/>
                <w:strike w:val="0"/>
                <w:color w:val="auto"/>
                <w:highlight w:val="none"/>
                <w:u w:val="none" w:color="auto"/>
                <w:vertAlign w:val="baseline"/>
              </w:rPr>
              <w:t>savas</w:t>
            </w:r>
            <w:r>
              <w:t xml:space="preserve"> sadalītās virsgrāmatas, kurā iegrāmato pārvedamus vērtspapīrus, </w:t>
            </w:r>
            <w:r>
              <w:rPr>
                <w:b/>
                <w:i/>
                <w:strike w:val="0"/>
                <w:color w:val="auto"/>
                <w:highlight w:val="none"/>
                <w:u w:val="none" w:color="auto"/>
                <w:vertAlign w:val="baseline"/>
              </w:rPr>
              <w:t>uzturēšanu</w:t>
            </w:r>
            <w:r>
              <w:t xml:space="preserve"> dalīt ar citām struktūrām, tostarp saviem dalībniekiem. SVT vērtspapīru norēķinu sistēmai vajadzētu būt iespējai pieprasīt atbrīvojumu no ārpakalpojumu izmantošanas prasībām, lai attīstītu šādus inovatīvus darījumdarbības modeļus. Šādā gadījumā tai būtu jāpierāda, ka noteikumi par ārpakalpojumu izmantošanu nav saderīgi ar SVT izmantošanu, kā paredzēts tās darījumdarbības plānā, un jāpierāda, ka ir izpildītas dažas minimālās prasības par ārpakalpojumu izmantošanu.</w:t>
            </w:r>
          </w:p>
        </w:tc>
        <w:tc>
          <w:tcPr>
            <w:tcW w:w="4876" w:type="dxa"/>
            <w:vAlign w:val="top"/>
          </w:tcPr>
          <w:p>
            <w:pPr>
              <w:pStyle w:val="Normal6a"/>
            </w:pPr>
            <w:r>
              <w:t>(21)</w:t>
            </w:r>
            <w:r>
              <w:tab/>
            </w:r>
            <w:r>
              <w:t xml:space="preserve">Saskaņā ar Regulu (ES) Nr. 909/2014 (Vērtspapīru norēķinu un centrālo depozitāriju regula) CVD var nodot vienu no savām pamatdarbībām ārpakalpojumu sniedzējiem tikai pēc tam, kad ir saņemta atļauja no kompetentās iestādes. CVD ir arī jāievēro vairāki nosacījumi, lai ārpakalpojumu izmantošana neizraisītu tā atbildības deleģēšanu vai CVD pienākumu pret tā dalībniekiem vai emitentiem izmainīšanu. Atkarībā no sava darījumdarbības plāna CVD, kas uztur SVT vērtspapīru norēķinu sistēmu, var vēlēties atbildību par </w:t>
            </w:r>
            <w:r>
              <w:rPr>
                <w:b/>
                <w:i/>
                <w:strike w:val="0"/>
                <w:color w:val="auto"/>
                <w:highlight w:val="none"/>
                <w:u w:val="none" w:color="auto"/>
                <w:vertAlign w:val="baseline"/>
              </w:rPr>
              <w:t>tās</w:t>
            </w:r>
            <w:r>
              <w:t xml:space="preserve"> sadalītās virsgrāmatas </w:t>
            </w:r>
            <w:r>
              <w:rPr>
                <w:b/>
                <w:i/>
                <w:strike w:val="0"/>
                <w:color w:val="auto"/>
                <w:highlight w:val="none"/>
                <w:u w:val="none" w:color="auto"/>
                <w:vertAlign w:val="baseline"/>
              </w:rPr>
              <w:t>uzturēšanu</w:t>
            </w:r>
            <w:r>
              <w:t>, kurā iegrāmato pārvedamus vērtspapīrus, dalīt ar citām struktūrām, tostarp saviem dalībniekiem. SVT vērtspapīru norēķinu sistēmai vajadzētu būt iespējai pieprasīt atbrīvojumu no ārpakalpojumu izmantošanas prasībām, lai attīstītu šādus inovatīvus darījumdarbības modeļus. Šādā gadījumā tai būtu jāpierāda, ka noteikumi par ārpakalpojumu izmantošanu nav saderīgi ar SVT izmantošanu, kā paredzēts tās darījumdarbības plānā, un jāpierāda, ka ir izpildītas dažas minimālās prasības par ārpakalpojumu izmantošanu.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22.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 xml:space="preserve">Pienākums izmantot kredītiestādes vai ieguldījumu brokeru sabiedrības starpniecību, lai privātie ieguldītāji nevarētu iegūt tiešu piekļuvi CVD uzturētajām norēķinu un piegādes sistēmām, varētu radīt regulatīvu šķērsli tādu uz SVT balstītu alternatīvu norēķinu modeļu attīstīšanai, kuri atļauj tiešu piekļuvi privātajiem klientiem. Tāpēc CVD, kas uztur SVT </w:t>
            </w:r>
            <w:r>
              <w:rPr>
                <w:b/>
                <w:i/>
                <w:strike w:val="0"/>
                <w:color w:val="auto"/>
                <w:highlight w:val="none"/>
                <w:u w:val="none" w:color="auto"/>
                <w:vertAlign w:val="baseline"/>
              </w:rPr>
              <w:t>vērtspapīru norēķinu sistēmu</w:t>
            </w:r>
            <w:r>
              <w:t>, vajadzētu būt iespējai pieprasīt atbrīvojumu no jēdziena “dalībnieks”, kā noteikts Regulā (ES) Nr. 909/2014 (</w:t>
            </w:r>
            <w:r>
              <w:rPr>
                <w:b/>
                <w:i/>
                <w:strike w:val="0"/>
                <w:color w:val="auto"/>
                <w:highlight w:val="none"/>
                <w:u w:val="none" w:color="auto"/>
                <w:vertAlign w:val="baseline"/>
              </w:rPr>
              <w:t>Vērtspapīru norēķinu un centrālo depozitāriju regula</w:t>
            </w:r>
            <w:r>
              <w:t>). Prasot atbrīvojumu no starpniecības pienākuma, kas noteikts Regulā (ES) Nr. 909/2014 (</w:t>
            </w:r>
            <w:r>
              <w:rPr>
                <w:b/>
                <w:i/>
                <w:strike w:val="0"/>
                <w:color w:val="auto"/>
                <w:highlight w:val="none"/>
                <w:u w:val="none" w:color="auto"/>
                <w:vertAlign w:val="baseline"/>
              </w:rPr>
              <w:t>Vērtspapīru norēķinu un centrālo depozitāriju regula</w:t>
            </w:r>
            <w:r>
              <w:t xml:space="preserve">), CVD, kas uztur </w:t>
            </w:r>
            <w:r>
              <w:rPr>
                <w:b/>
                <w:i/>
                <w:strike w:val="0"/>
                <w:color w:val="auto"/>
                <w:highlight w:val="none"/>
                <w:u w:val="none" w:color="auto"/>
                <w:vertAlign w:val="baseline"/>
              </w:rPr>
              <w:t>vērtspapīru norēķinu sistēmu</w:t>
            </w:r>
            <w:r>
              <w:t xml:space="preserve">, būtu jānodrošina, ka šīm personām ir pietiekami laba reputācija un ka tās ir piemērotas un atbilstošas nelikumīgi iegūtu līdzekļu legalizācijas un terorisma finansēšanas apkarošanas mērķim. CVD, kas uztur </w:t>
            </w:r>
            <w:r>
              <w:rPr>
                <w:b/>
                <w:i/>
                <w:strike w:val="0"/>
                <w:color w:val="auto"/>
                <w:highlight w:val="none"/>
                <w:u w:val="none" w:color="auto"/>
                <w:vertAlign w:val="baseline"/>
              </w:rPr>
              <w:t>vērtspapīru norēķinu sistēmu</w:t>
            </w:r>
            <w:r>
              <w:t>, būtu arī jānodrošina, ka šiem dalībniekiem ir pietiekams spēju, kompetences, pieredzes un zināšanu līmenis saistībā ar pēctirdzniecību un SVT darbību.</w:t>
            </w:r>
          </w:p>
        </w:tc>
        <w:tc>
          <w:tcPr>
            <w:tcW w:w="4876" w:type="dxa"/>
            <w:vAlign w:val="top"/>
          </w:tcPr>
          <w:p>
            <w:pPr>
              <w:pStyle w:val="Normal6a"/>
            </w:pPr>
            <w:r>
              <w:t>(22)</w:t>
            </w:r>
            <w:r>
              <w:tab/>
            </w:r>
            <w:r>
              <w:t>Pienākums izmantot kredītiestādes vai ieguldījumu brokeru sabiedrības starpniecību, lai privātie ieguldītāji nevarētu iegūt tiešu piekļuvi CVD uzturētajām norēķinu un piegādes sistēmām, varētu radīt regulatīvu šķērsli tādu uz SVT balstītu alternatīvu norēķinu modeļu attīstīšanai, kuri atļauj tiešu piekļuvi privātajiem klientiem. Tāpēc CVD, kas uztur SVT </w:t>
            </w:r>
            <w:r>
              <w:rPr>
                <w:b/>
                <w:i/>
                <w:strike w:val="0"/>
                <w:color w:val="auto"/>
                <w:highlight w:val="none"/>
                <w:u w:val="none" w:color="auto"/>
                <w:vertAlign w:val="baseline"/>
              </w:rPr>
              <w:t>VNS</w:t>
            </w:r>
            <w:r>
              <w:t>, vajadzētu būt iespējai pieprasīt atbrīvojumu no jēdziena “dalībnieks”, kā noteikts Regulā (ES) Nr. 909/2014 (</w:t>
            </w:r>
            <w:r>
              <w:rPr>
                <w:b/>
                <w:i/>
                <w:strike w:val="0"/>
                <w:color w:val="auto"/>
                <w:highlight w:val="none"/>
                <w:u w:val="none" w:color="auto"/>
                <w:vertAlign w:val="baseline"/>
              </w:rPr>
              <w:t>CVDR</w:t>
            </w:r>
            <w:r>
              <w:t>). Prasot atbrīvojumu no starpniecības pienākuma, kas noteikts Regulā (ES) Nr. 909/2014 (</w:t>
            </w:r>
            <w:r>
              <w:rPr>
                <w:b/>
                <w:i/>
                <w:strike w:val="0"/>
                <w:color w:val="auto"/>
                <w:highlight w:val="none"/>
                <w:u w:val="none" w:color="auto"/>
                <w:vertAlign w:val="baseline"/>
              </w:rPr>
              <w:t>CVDR</w:t>
            </w:r>
            <w:r>
              <w:t xml:space="preserve">), CVD, kas uztur </w:t>
            </w:r>
            <w:r>
              <w:rPr>
                <w:b/>
                <w:i/>
                <w:strike w:val="0"/>
                <w:color w:val="auto"/>
                <w:highlight w:val="none"/>
                <w:u w:val="none" w:color="auto"/>
                <w:vertAlign w:val="baseline"/>
              </w:rPr>
              <w:t>VNS</w:t>
            </w:r>
            <w:r>
              <w:t xml:space="preserve">, būtu jānodrošina, ka šīm personām ir pietiekami laba reputācija un ka tās ir piemērotas un atbilstošas nelikumīgi iegūtu līdzekļu legalizācijas un terorisma finansēšanas apkarošanas mērķim. CVD, kas uztur </w:t>
            </w:r>
            <w:r>
              <w:rPr>
                <w:b/>
                <w:i/>
                <w:strike w:val="0"/>
                <w:color w:val="auto"/>
                <w:highlight w:val="none"/>
                <w:u w:val="none" w:color="auto"/>
                <w:vertAlign w:val="baseline"/>
              </w:rPr>
              <w:t>VNS</w:t>
            </w:r>
            <w:r>
              <w:t>, būtu arī jānodrošina, ka šiem dalībniekiem ir pietiekams spēju, kompetences, pieredzes un zināšanu līmenis saistībā ar pēctirdzniecību un SVT darbību.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Struktūras, kas ir tiesīgas piedalīties CVD, uz kuru attiecas Regula (ES) Nr. 909/2014 (</w:t>
            </w:r>
            <w:r>
              <w:rPr>
                <w:b/>
                <w:i/>
                <w:strike w:val="0"/>
                <w:color w:val="auto"/>
                <w:highlight w:val="none"/>
                <w:u w:val="none" w:color="auto"/>
                <w:vertAlign w:val="baseline"/>
              </w:rPr>
              <w:t>Vērtspapīru norēķinu un centrālo depozitāriju regula</w:t>
            </w:r>
            <w:r>
              <w:t xml:space="preserve">), ir balstītas uz struktūrām, kas ir tiesīgas piedalīties </w:t>
            </w:r>
            <w:r>
              <w:rPr>
                <w:b/>
                <w:i/>
                <w:strike w:val="0"/>
                <w:color w:val="auto"/>
                <w:highlight w:val="none"/>
                <w:u w:val="none" w:color="auto"/>
                <w:vertAlign w:val="baseline"/>
              </w:rPr>
              <w:t>vērtspapīru norēķinu sistēmā</w:t>
            </w:r>
            <w:r>
              <w:t>, kura ir norīkota un par kuru ir paziņots saskaņā ar Direktīvu 98/26/EK (Norēķinu galīguma direktīva), jo Regula (ES) Nr. 909/2014 (</w:t>
            </w:r>
            <w:r>
              <w:rPr>
                <w:b/>
                <w:i/>
                <w:strike w:val="0"/>
                <w:color w:val="auto"/>
                <w:highlight w:val="none"/>
                <w:u w:val="none" w:color="auto"/>
                <w:vertAlign w:val="baseline"/>
              </w:rPr>
              <w:t>Vērtspapīru norēķinu un centrālo depozitāriju regula</w:t>
            </w:r>
            <w:r>
              <w:t xml:space="preserve">) nosaka, ka vērtspapīru norēķinu sistēmas, ko uztur CVD, ir jānorīko un par tām jāpaziņo saskaņā ar Direktīvu 98/26/EK. SVT </w:t>
            </w:r>
            <w:r>
              <w:rPr>
                <w:b/>
                <w:i/>
                <w:strike w:val="0"/>
                <w:color w:val="auto"/>
                <w:highlight w:val="none"/>
                <w:u w:val="none" w:color="auto"/>
                <w:vertAlign w:val="baseline"/>
              </w:rPr>
              <w:t>vērtspapīru norēķinu sistēma</w:t>
            </w:r>
            <w:r>
              <w:t>, kas piesakās atbrīvojumam no Regulā (ES) Nr. 909/2014 (</w:t>
            </w:r>
            <w:r>
              <w:rPr>
                <w:b/>
                <w:i/>
                <w:strike w:val="0"/>
                <w:color w:val="auto"/>
                <w:highlight w:val="none"/>
                <w:u w:val="none" w:color="auto"/>
                <w:vertAlign w:val="baseline"/>
              </w:rPr>
              <w:t>Vērtspapīru norēķinu un centrālo depozitāriju regula</w:t>
            </w:r>
            <w:r>
              <w:t xml:space="preserve">) noteiktajām dalības prasībām, nebūtu atbilstoša Direktīvā 98/26/EK noteiktajām dalības prasībām. Attiecīgi šādu SVT </w:t>
            </w:r>
            <w:r>
              <w:rPr>
                <w:b/>
                <w:i/>
                <w:strike w:val="0"/>
                <w:color w:val="auto"/>
                <w:highlight w:val="none"/>
                <w:u w:val="none" w:color="auto"/>
                <w:vertAlign w:val="baseline"/>
              </w:rPr>
              <w:t>vērtspapīru norēķinu sistēmu</w:t>
            </w:r>
            <w:r>
              <w:t xml:space="preserve"> nevarētu norīkot un par to paziņot atbilstoši minētajai direktīvai. Tomēr tas neliegtu šādi norīkot un paziņot par SVT </w:t>
            </w:r>
            <w:r>
              <w:rPr>
                <w:b/>
                <w:i/>
                <w:strike w:val="0"/>
                <w:color w:val="auto"/>
                <w:highlight w:val="none"/>
                <w:u w:val="none" w:color="auto"/>
                <w:vertAlign w:val="baseline"/>
              </w:rPr>
              <w:t>vērtspapīru norēķinu sistēmu</w:t>
            </w:r>
            <w:r>
              <w:t>, kas atbilst visām Direktīvā 98/26/EK noteiktajām prasībām.</w:t>
            </w:r>
          </w:p>
        </w:tc>
        <w:tc>
          <w:tcPr>
            <w:tcW w:w="4876" w:type="dxa"/>
            <w:vAlign w:val="top"/>
          </w:tcPr>
          <w:p>
            <w:pPr>
              <w:pStyle w:val="Normal6a"/>
            </w:pPr>
            <w:r>
              <w:t>(23)</w:t>
            </w:r>
            <w:r>
              <w:tab/>
            </w:r>
            <w:r>
              <w:t>Struktūras, kas ir tiesīgas piedalīties CVD, uz kuru attiecas Regula (ES) Nr. 909/2014 (</w:t>
            </w:r>
            <w:r>
              <w:rPr>
                <w:b/>
                <w:i/>
                <w:strike w:val="0"/>
                <w:color w:val="auto"/>
                <w:highlight w:val="none"/>
                <w:u w:val="none" w:color="auto"/>
                <w:vertAlign w:val="baseline"/>
              </w:rPr>
              <w:t>CVDR</w:t>
            </w:r>
            <w:r>
              <w:t xml:space="preserve">), ir balstītas uz struktūrām, kas ir tiesīgas piedalīties </w:t>
            </w:r>
            <w:r>
              <w:rPr>
                <w:b/>
                <w:i/>
                <w:strike w:val="0"/>
                <w:color w:val="auto"/>
                <w:highlight w:val="none"/>
                <w:u w:val="none" w:color="auto"/>
                <w:vertAlign w:val="baseline"/>
              </w:rPr>
              <w:t>VNS</w:t>
            </w:r>
            <w:r>
              <w:t>, kura ir norīkota un par kuru ir paziņots saskaņā ar Direktīvu 98/26/EK (Norēķinu galīguma direktīva</w:t>
            </w:r>
            <w:r>
              <w:rPr>
                <w:b/>
                <w:i/>
                <w:strike w:val="0"/>
                <w:color w:val="auto"/>
                <w:highlight w:val="none"/>
                <w:u w:val="none" w:color="auto"/>
                <w:vertAlign w:val="baseline"/>
              </w:rPr>
              <w:t>, NGD</w:t>
            </w:r>
            <w:r>
              <w:t>), jo Regula (ES) Nr. 909/2014 (</w:t>
            </w:r>
            <w:r>
              <w:rPr>
                <w:b/>
                <w:i/>
                <w:strike w:val="0"/>
                <w:color w:val="auto"/>
                <w:highlight w:val="none"/>
                <w:u w:val="none" w:color="auto"/>
                <w:vertAlign w:val="baseline"/>
              </w:rPr>
              <w:t>CVDR</w:t>
            </w:r>
            <w:r>
              <w:t xml:space="preserve">) nosaka, ka vērtspapīru norēķinu sistēmas, ko uztur CVD, ir jānorīko un par tām jāpaziņo saskaņā ar Direktīvu 98/26/EK. SVT </w:t>
            </w:r>
            <w:r>
              <w:rPr>
                <w:b/>
                <w:i/>
                <w:strike w:val="0"/>
                <w:color w:val="auto"/>
                <w:highlight w:val="none"/>
                <w:u w:val="none" w:color="auto"/>
                <w:vertAlign w:val="baseline"/>
              </w:rPr>
              <w:t>VNS</w:t>
            </w:r>
            <w:r>
              <w:t>, kas piesakās atbrīvojumam no Regulā (ES) Nr. 909/2014 (</w:t>
            </w:r>
            <w:r>
              <w:rPr>
                <w:b/>
                <w:i/>
                <w:strike w:val="0"/>
                <w:color w:val="auto"/>
                <w:highlight w:val="none"/>
                <w:u w:val="none" w:color="auto"/>
                <w:vertAlign w:val="baseline"/>
              </w:rPr>
              <w:t>CVDR</w:t>
            </w:r>
            <w:r>
              <w:t xml:space="preserve">) noteiktajām dalības prasībām, nebūtu atbilstoša Direktīvā 98/26/EK noteiktajām dalības prasībām. Attiecīgi šādu SVT </w:t>
            </w:r>
            <w:r>
              <w:rPr>
                <w:b/>
                <w:i/>
                <w:strike w:val="0"/>
                <w:color w:val="auto"/>
                <w:highlight w:val="none"/>
                <w:u w:val="none" w:color="auto"/>
                <w:vertAlign w:val="baseline"/>
              </w:rPr>
              <w:t>VNS</w:t>
            </w:r>
            <w:r>
              <w:t xml:space="preserve"> nevarētu norīkot un par to paziņot atbilstoši minētajai direktīvai. Tomēr tas neliegtu šādi norīkot un paziņot par SVT </w:t>
            </w:r>
            <w:r>
              <w:rPr>
                <w:b/>
                <w:i/>
                <w:strike w:val="0"/>
                <w:color w:val="auto"/>
                <w:highlight w:val="none"/>
                <w:u w:val="none" w:color="auto"/>
                <w:vertAlign w:val="baseline"/>
              </w:rPr>
              <w:t>VNS</w:t>
            </w:r>
            <w:r>
              <w:t xml:space="preserve">, kas atbilst visām Direktīvā 98/26/EK noteiktajām prasībām. </w:t>
            </w:r>
            <w:r>
              <w:rPr>
                <w:b/>
                <w:i/>
                <w:strike w:val="0"/>
                <w:color w:val="auto"/>
                <w:highlight w:val="none"/>
                <w:u w:val="none" w:color="auto"/>
                <w:vertAlign w:val="baseline"/>
              </w:rPr>
              <w:t>Turklāt, ja SVT VNS nav līdzvērtīga tās “sistēmas” darbībai, kāda noteikta Norēķinu galīguma direktīvā, jo īpaši tāpēc, ka fiziskas personas ir tiesīgas piedalīties SVT VNS, ar to nodrošināto aizsardzību maksātnespējas gadījumā nedrīkstētu piemērot pašai SVT VNS.</w:t>
            </w:r>
            <w:r>
              <w:t xml:space="preserve"> </w:t>
            </w:r>
            <w:r>
              <w:rPr>
                <w:b/>
                <w:i/>
                <w:strike w:val="0"/>
                <w:color w:val="auto"/>
                <w:highlight w:val="none"/>
                <w:u w:val="none" w:color="auto"/>
                <w:vertAlign w:val="baseline"/>
              </w:rPr>
              <w:t>Turklāt, ja SVT VNS uzturētājs uztur kādu citu CVD, būtu jāpierāda, ka konkrētās SVT VNS darbības nekādos apstākļos neietekmēs neviena cita CVD darbības un noturību, piemēram, ja viena vai vairākas struktūras piedalās gan parastā VNS, gan SVT VNS, ko uztur tas pats CVD.</w:t>
            </w:r>
            <w:r>
              <w:t xml:space="preserve"> </w:t>
            </w:r>
            <w:r>
              <w:rPr>
                <w:b/>
                <w:i/>
                <w:strike w:val="0"/>
                <w:color w:val="auto"/>
                <w:highlight w:val="none"/>
                <w:u w:val="none" w:color="auto"/>
                <w:vertAlign w:val="baseline"/>
              </w:rPr>
              <w:t>Šādos apstākļos CVD, kas uztur SVT VNS, būtu precīzi jāizskaidro maksātnespējas un norēķinu galīguma riski, kuriem ir pakļauti tā dalībnieki, kā arī pasākumi, kas ir ieviesti, lai mazinātu šādus riskus.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Turklāt tiek ierosināts iekļaut ECB 28. aprīļa atzinuma par SVT izmēģinājuma režīmu 3.4. punktā minēto kontekstu, lai paredzētu SVT VNS “norobežošanu” gadījumā, ja to uzturētājs uztur arī citus CVD.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Regulā (ES) Nr. 909/2014 (</w:t>
            </w:r>
            <w:r>
              <w:rPr>
                <w:b/>
                <w:i/>
                <w:strike w:val="0"/>
                <w:color w:val="auto"/>
                <w:highlight w:val="none"/>
                <w:u w:val="none" w:color="auto"/>
                <w:vertAlign w:val="baseline"/>
              </w:rPr>
              <w:t>Vērtspapīru norēķinu un centrālo depozitāriju regula</w:t>
            </w:r>
            <w:r>
              <w:t xml:space="preserve">) ir pausts aicinājums darījumu norēķinus veikt ar centrālās bankas līdzekļiem. Ja </w:t>
            </w:r>
            <w:r>
              <w:rPr>
                <w:b/>
                <w:i/>
                <w:strike w:val="0"/>
                <w:color w:val="auto"/>
                <w:highlight w:val="none"/>
                <w:u w:val="none" w:color="auto"/>
                <w:vertAlign w:val="baseline"/>
              </w:rPr>
              <w:t>naudas maksājumu</w:t>
            </w:r>
            <w:r>
              <w:t xml:space="preserve"> norēķini centrālās bankas līdzekļos nav pieejami un to nav praktiski iespējams izdarīt, norēķinus var veikt, izmantojot komercbankas līdzekļus. Šo noteikumu var būt grūti piemērot attiecībā uz CVD, kas uztur SVT </w:t>
            </w:r>
            <w:r>
              <w:rPr>
                <w:b/>
                <w:i/>
                <w:strike w:val="0"/>
                <w:color w:val="auto"/>
                <w:highlight w:val="none"/>
                <w:u w:val="none" w:color="auto"/>
                <w:vertAlign w:val="baseline"/>
              </w:rPr>
              <w:t>vērtspapīru norēķinu sistēmu</w:t>
            </w:r>
            <w:r>
              <w:t xml:space="preserve">, jo šādam CVD būtu jāveic darbības naudas kontos tajā pašā laikā, kad notiek vērtspapīru nodošana </w:t>
            </w:r>
            <w:r>
              <w:rPr>
                <w:b/>
                <w:i/>
                <w:strike w:val="0"/>
                <w:color w:val="auto"/>
                <w:highlight w:val="none"/>
                <w:u w:val="none" w:color="auto"/>
                <w:vertAlign w:val="baseline"/>
              </w:rPr>
              <w:t>SVT</w:t>
            </w:r>
            <w:r>
              <w:t xml:space="preserve">. CVD, kas uztur SVT </w:t>
            </w:r>
            <w:r>
              <w:rPr>
                <w:b/>
                <w:i/>
                <w:strike w:val="0"/>
                <w:color w:val="auto"/>
                <w:highlight w:val="none"/>
                <w:u w:val="none" w:color="auto"/>
                <w:vertAlign w:val="baseline"/>
              </w:rPr>
              <w:t>vērtspapīru norēķinu sistēmu</w:t>
            </w:r>
            <w:r>
              <w:t>, vajadzētu būt iespējai pieprasīt atbrīvojumu no Regulas (ES) Nr. 909/2014 (Vērtspapīru norēķinu un centrālo depozitāriju regula) noteikumiem par norēķiniem naudā, lai attīstītu inovatīvus risinājumus, piemēram, Regulā Nr. 2021/XX par kriptoaktīvu tirgiem</w:t>
            </w:r>
            <w:r>
              <w:rPr>
                <w:rStyle w:val="SupBoldItalic"/>
              </w:rPr>
              <w:t>45</w:t>
            </w:r>
            <w:r>
              <w:t>definēto norēķinu monētu jeb “e-naudas tokenu” izmantošanu.</w:t>
            </w:r>
          </w:p>
        </w:tc>
        <w:tc>
          <w:tcPr>
            <w:tcW w:w="4876" w:type="dxa"/>
            <w:vAlign w:val="top"/>
          </w:tcPr>
          <w:p>
            <w:pPr>
              <w:pStyle w:val="Normal6a"/>
            </w:pPr>
            <w:r>
              <w:t>(24)</w:t>
            </w:r>
            <w:r>
              <w:tab/>
            </w:r>
            <w:r>
              <w:t>Regulā (ES) Nr. 909/2014 (</w:t>
            </w:r>
            <w:r>
              <w:rPr>
                <w:b/>
                <w:i/>
                <w:strike w:val="0"/>
                <w:color w:val="auto"/>
                <w:highlight w:val="none"/>
                <w:u w:val="none" w:color="auto"/>
                <w:vertAlign w:val="baseline"/>
              </w:rPr>
              <w:t>CVDR</w:t>
            </w:r>
            <w:r>
              <w:t xml:space="preserve">) ir pausts aicinājums darījumu norēķinus veikt ar centrālās bankas līdzekļiem. Ja </w:t>
            </w:r>
            <w:r>
              <w:rPr>
                <w:b/>
                <w:i/>
                <w:strike w:val="0"/>
                <w:color w:val="auto"/>
                <w:highlight w:val="none"/>
                <w:u w:val="none" w:color="auto"/>
                <w:vertAlign w:val="baseline"/>
              </w:rPr>
              <w:t>maksājuma pozīcijas</w:t>
            </w:r>
            <w:r>
              <w:t xml:space="preserve"> norēķini centrālās bankas līdzekļos nav pieejami un to nav praktiski iespējams izdarīt, norēķinus var veikt, izmantojot komercbankas līdzekļus. Šo noteikumu var būt grūti piemērot attiecībā uz CVD, kas uztur SVT </w:t>
            </w:r>
            <w:r>
              <w:rPr>
                <w:b/>
                <w:i/>
                <w:strike w:val="0"/>
                <w:color w:val="auto"/>
                <w:highlight w:val="none"/>
                <w:u w:val="none" w:color="auto"/>
                <w:vertAlign w:val="baseline"/>
              </w:rPr>
              <w:t>VNS</w:t>
            </w:r>
            <w:r>
              <w:t xml:space="preserve">, jo šādam CVD būtu jāveic darbības naudas kontos tajā pašā laikā, kad notiek vērtspapīru nodošana </w:t>
            </w:r>
            <w:r>
              <w:rPr>
                <w:b/>
                <w:i/>
                <w:strike w:val="0"/>
                <w:color w:val="auto"/>
                <w:highlight w:val="none"/>
                <w:u w:val="none" w:color="auto"/>
                <w:vertAlign w:val="baseline"/>
              </w:rPr>
              <w:t>sadalītajā virsgrāmatā</w:t>
            </w:r>
            <w:r>
              <w:t xml:space="preserve">. CVD, kas uztur SVT </w:t>
            </w:r>
            <w:r>
              <w:rPr>
                <w:b/>
                <w:i/>
                <w:strike w:val="0"/>
                <w:color w:val="auto"/>
                <w:highlight w:val="none"/>
                <w:u w:val="none" w:color="auto"/>
                <w:vertAlign w:val="baseline"/>
              </w:rPr>
              <w:t>VNS</w:t>
            </w:r>
            <w:r>
              <w:t xml:space="preserve">, vajadzētu būt iespējai pieprasīt atbrīvojumu no Regulas (ES) Nr. 909/2014 (Vērtspapīru norēķinu un centrālo depozitāriju regula) noteikumiem par norēķiniem naudā, lai attīstītu inovatīvus risinājumus, piemēram, Regulā Nr. 2021/XX par kriptoaktīvu tirgiem definēto norēķinu monētu jeb “e-naudas tokenu” izmantošanu. </w:t>
            </w:r>
            <w:r>
              <w:rPr>
                <w:b/>
                <w:i/>
                <w:strike w:val="0"/>
                <w:color w:val="auto"/>
                <w:highlight w:val="none"/>
                <w:u w:val="none" w:color="auto"/>
                <w:vertAlign w:val="baseline"/>
              </w:rPr>
              <w:t>Izmantojot e-naudas tokenus maksājuma pozīcijai, SVT VNS dalībniekiem vajadzētu būt iespējai atvērt kontus.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45</w:t>
            </w:r>
            <w:r>
              <w:t xml:space="preserve"> </w:t>
            </w:r>
            <w:r>
              <w:rPr>
                <w:b/>
                <w:i/>
                <w:strike w:val="0"/>
                <w:color w:val="auto"/>
                <w:highlight w:val="none"/>
                <w:u w:val="none" w:color="auto"/>
                <w:vertAlign w:val="baseline"/>
              </w:rPr>
              <w:t>Priekšlikums Eiropas Parlamenta un Padomes regulai par kriptoaktīvu tirgiem un ar ko groza Direktīvu (ES) 2019/1937 – COM(2020)593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Turklāt tiek ierosināts iekļaut ECB 28. aprīļa atzinuma par SVT izmēģinājuma režīmu 3.3.7. punktu attiecībā uz norēķiniem ar e-naudas tokeniem.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24.a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Fiziskas personas varētu tieši piedalīties SVT tirgus infrastruktūrās un, ja SVT pārvedamu vērtspapīru maksājuma pozīcija būtu tādas personas grāmatvedībā, kas nav licencēta kredītiestāde, tas nozīmētu, ka naudas kontus turētu fiziskas personas, kā arī juridiskas personas, piemēram, mikrouzņēmumi, mazie un vidējie uzņēmumi, pie tam SVT tirgus infrastruktūras negūtu labumu no noguldījumu garantiju sistēmas aizsardzības saskaņā ar Eiropas Parlamenta un Padomes Direktīvu 2014/49/ES (Direktīva par noguldījumu garantiju sistēmām, DNGS) un no priekšrokas došanas noguldītājiem saskaņā ar Eiropas Parlamenta un Padomes Direktīvu 2014/59/ES (BAND).</w:t>
            </w:r>
            <w:r>
              <w:t xml:space="preserve"> </w:t>
            </w:r>
            <w:r>
              <w:rPr>
                <w:b/>
                <w:i/>
                <w:strike w:val="0"/>
                <w:color w:val="auto"/>
                <w:highlight w:val="none"/>
                <w:u w:val="none" w:color="auto"/>
                <w:vertAlign w:val="baseline"/>
              </w:rPr>
              <w:t>DNGS un priekšrokas došana noguldītājiem saskaņā ar BAND attiecas tikai uz noguldījumiem kredīta atlikuma veidā, kas rodas no kontā atlikušajiem līdzekļiem vai no pagaidu situācijām, kuras izriet no parastajiem banku darījumiem, un kas kredītiestādei ir jāatmaksā.</w:t>
            </w:r>
            <w:r>
              <w:t xml:space="preserve"> </w:t>
            </w:r>
            <w:r>
              <w:rPr>
                <w:b/>
                <w:i/>
                <w:strike w:val="0"/>
                <w:color w:val="auto"/>
                <w:highlight w:val="none"/>
                <w:u w:val="none" w:color="auto"/>
                <w:vertAlign w:val="baseline"/>
              </w:rPr>
              <w:t>Šādos apstākļos SVT tirgus infrastruktūrām būtu skaidri jāatklāj saviem dalībniekiem, ka tie nav aizsargāti saskaņā ar attiecīgajiem DNGS un BAND noteikumiem.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Pamatojoties uz ECB 28. aprīļa atzinuma par SVT 3.3.9. punktu, ir ārkārtīgi svarīgi ieguldītāju pastiprinātas aizsardzības, tirgus integritātes un finanšu stabilitātes noteikumu garā skaidri noteikt SVT tirgus infrastruktūrām pienākumu atklāt visus gadījumus, kad noguldījumu garantiju sistēmas var nebūt spēkā.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(25)</w:t>
            </w:r>
            <w:r>
              <w:tab/>
            </w:r>
            <w:r>
              <w:t>Regulā (ES) Nr. 909/2014 (</w:t>
            </w:r>
            <w:r>
              <w:rPr>
                <w:b/>
                <w:i/>
                <w:strike w:val="0"/>
                <w:color w:val="auto"/>
                <w:highlight w:val="none"/>
                <w:u w:val="none" w:color="auto"/>
                <w:vertAlign w:val="baseline"/>
              </w:rPr>
              <w:t>Vērtspapīru norēķinu un centrālo depozitāriju regula</w:t>
            </w:r>
            <w:r>
              <w:t xml:space="preserve">) ir noteikts, ka CVD ir jāsniedz piekļuve citam CVD vai citām tirgus infrastruktūrām. Piekļuvi CVD, kas uztur </w:t>
            </w:r>
            <w:r>
              <w:rPr>
                <w:b/>
                <w:i/>
                <w:strike w:val="0"/>
                <w:color w:val="auto"/>
                <w:highlight w:val="none"/>
                <w:u w:val="none" w:color="auto"/>
                <w:vertAlign w:val="baseline"/>
              </w:rPr>
              <w:t>vērtspapīru norēķinu sistēmu</w:t>
            </w:r>
            <w:r>
              <w:t xml:space="preserve">, var būt </w:t>
            </w:r>
            <w:r>
              <w:rPr>
                <w:b/>
                <w:i/>
                <w:strike w:val="0"/>
                <w:color w:val="auto"/>
                <w:highlight w:val="none"/>
                <w:u w:val="none" w:color="auto"/>
                <w:vertAlign w:val="baseline"/>
              </w:rPr>
              <w:t>grūti vai sarežģīti</w:t>
            </w:r>
            <w:r>
              <w:t xml:space="preserve"> nodrošināt, jo mantoto sistēmu sadarbspēja ar SVT vēl nav pārbaudīta. Arī SVT </w:t>
            </w:r>
            <w:r>
              <w:rPr>
                <w:b/>
                <w:i/>
                <w:strike w:val="0"/>
                <w:color w:val="auto"/>
                <w:highlight w:val="none"/>
                <w:u w:val="none" w:color="auto"/>
                <w:vertAlign w:val="baseline"/>
              </w:rPr>
              <w:t>vērtspapīru norēķinu sistēmai</w:t>
            </w:r>
            <w:r>
              <w:t xml:space="preserve"> vajadzētu būt iespējai pieprasīt atbrīvojumu no šādiem noteikumiem, ja tā var pierādīt, ka šādu noteikumu piemērošana ir nesaderīga ar SVT </w:t>
            </w:r>
            <w:r>
              <w:rPr>
                <w:b/>
                <w:i/>
                <w:strike w:val="0"/>
                <w:color w:val="auto"/>
                <w:highlight w:val="none"/>
                <w:u w:val="none" w:color="auto"/>
                <w:vertAlign w:val="baseline"/>
              </w:rPr>
              <w:t>vērtspapīru norēķinu sistēmas</w:t>
            </w:r>
            <w:r>
              <w:t xml:space="preserve"> lielumu.</w:t>
            </w:r>
          </w:p>
        </w:tc>
        <w:tc>
          <w:tcPr>
            <w:tcW w:w="4876" w:type="dxa"/>
            <w:vAlign w:val="top"/>
          </w:tcPr>
          <w:p>
            <w:pPr>
              <w:pStyle w:val="Normal6a"/>
            </w:pPr>
            <w:r>
              <w:t>(25)</w:t>
            </w:r>
            <w:r>
              <w:tab/>
            </w:r>
            <w:r>
              <w:t>Regulā (ES) Nr. 909/2014 (</w:t>
            </w:r>
            <w:r>
              <w:rPr>
                <w:b/>
                <w:i/>
                <w:strike w:val="0"/>
                <w:color w:val="auto"/>
                <w:highlight w:val="none"/>
                <w:u w:val="none" w:color="auto"/>
                <w:vertAlign w:val="baseline"/>
              </w:rPr>
              <w:t>CVDR</w:t>
            </w:r>
            <w:r>
              <w:t xml:space="preserve">) ir noteikts, ka CVD ir jāsniedz piekļuve citam CVD vai citām tirgus infrastruktūrām. Piekļuvi CVD, kas uztur </w:t>
            </w:r>
            <w:r>
              <w:rPr>
                <w:b/>
                <w:i/>
                <w:strike w:val="0"/>
                <w:color w:val="auto"/>
                <w:highlight w:val="none"/>
                <w:u w:val="none" w:color="auto"/>
                <w:vertAlign w:val="baseline"/>
              </w:rPr>
              <w:t>SVT VNS</w:t>
            </w:r>
            <w:r>
              <w:t xml:space="preserve">, var būt </w:t>
            </w:r>
            <w:r>
              <w:rPr>
                <w:b/>
                <w:i/>
                <w:strike w:val="0"/>
                <w:color w:val="auto"/>
                <w:highlight w:val="none"/>
                <w:u w:val="none" w:color="auto"/>
                <w:vertAlign w:val="baseline"/>
              </w:rPr>
              <w:t>tehniski sarežģītāk, apgrūtinošāk vai grūtāk</w:t>
            </w:r>
            <w:r>
              <w:t xml:space="preserve"> nodrošināt, jo mantoto sistēmu sadarbspēja ar SVT vēl nav pārbaudīta. Arī SVT </w:t>
            </w:r>
            <w:r>
              <w:rPr>
                <w:b/>
                <w:i/>
                <w:strike w:val="0"/>
                <w:color w:val="auto"/>
                <w:highlight w:val="none"/>
                <w:u w:val="none" w:color="auto"/>
                <w:vertAlign w:val="baseline"/>
              </w:rPr>
              <w:t>VNS</w:t>
            </w:r>
            <w:r>
              <w:t xml:space="preserve"> vajadzētu būt iespējai pieprasīt atbrīvojumu no šādiem noteikumiem, ja tā var pierādīt, ka šādu noteikumu piemērošana ir nesaderīga ar SVT </w:t>
            </w:r>
            <w:r>
              <w:rPr>
                <w:b/>
                <w:i/>
                <w:strike w:val="0"/>
                <w:color w:val="auto"/>
                <w:highlight w:val="none"/>
                <w:u w:val="none" w:color="auto"/>
                <w:vertAlign w:val="baseline"/>
              </w:rPr>
              <w:t>VNS</w:t>
            </w:r>
            <w:r>
              <w:t xml:space="preserve"> lielumu.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Turklāt tiek ierosināts apsvērt iespēju standartizēt datu definīcijas vai ziņojumapmaiņas protokolus, kas vajadzīgi, lai atvieglotu piekļuvi dažādām sistēmām un veicinātu sadarbspēju.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26.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Neatkarīgi no noteikuma, par kuru tiek prasīts atbrīvojums, CVD, kas uztur SVT </w:t>
            </w:r>
            <w:r>
              <w:rPr>
                <w:b/>
                <w:i/>
                <w:strike w:val="0"/>
                <w:color w:val="auto"/>
                <w:highlight w:val="none"/>
                <w:u w:val="none" w:color="auto"/>
                <w:vertAlign w:val="baseline"/>
              </w:rPr>
              <w:t>vērtspapīru norēķinu sistēmu</w:t>
            </w:r>
            <w:r>
              <w:t xml:space="preserve">, būtu jāpierāda, ka pieprasītais atbrīvojums ir samērīgs un pamatots ar SVT izmantošanu. Atbrīvojumam arī būtu jāaprobežojas tikai ar SVT </w:t>
            </w:r>
            <w:r>
              <w:rPr>
                <w:b/>
                <w:i/>
                <w:strike w:val="0"/>
                <w:color w:val="auto"/>
                <w:highlight w:val="none"/>
                <w:u w:val="none" w:color="auto"/>
                <w:vertAlign w:val="baseline"/>
              </w:rPr>
              <w:t>vērtspapīru norēķinu sistēmu</w:t>
            </w:r>
            <w:r>
              <w:t xml:space="preserve">, un tam nebūtu jāattiecas uz citām </w:t>
            </w:r>
            <w:r>
              <w:rPr>
                <w:b/>
                <w:i/>
                <w:strike w:val="0"/>
                <w:color w:val="auto"/>
                <w:highlight w:val="none"/>
                <w:u w:val="none" w:color="auto"/>
                <w:vertAlign w:val="baseline"/>
              </w:rPr>
              <w:t>vērtspapīru norēķinu sistēmām</w:t>
            </w:r>
            <w:r>
              <w:t>, ko uztur tas pats CVD.</w:t>
            </w:r>
          </w:p>
        </w:tc>
        <w:tc>
          <w:tcPr>
            <w:tcW w:w="4876" w:type="dxa"/>
            <w:vAlign w:val="top"/>
          </w:tcPr>
          <w:p>
            <w:pPr>
              <w:pStyle w:val="Normal6a"/>
            </w:pPr>
            <w:r>
              <w:t>(26)</w:t>
            </w:r>
            <w:r>
              <w:tab/>
            </w:r>
            <w:r>
              <w:t xml:space="preserve">Neatkarīgi no noteikuma, par kuru tiek prasīts atbrīvojums, CVD, kas uztur SVT </w:t>
            </w:r>
            <w:r>
              <w:rPr>
                <w:b/>
                <w:i/>
                <w:strike w:val="0"/>
                <w:color w:val="auto"/>
                <w:highlight w:val="none"/>
                <w:u w:val="none" w:color="auto"/>
                <w:vertAlign w:val="baseline"/>
              </w:rPr>
              <w:t>VNS</w:t>
            </w:r>
            <w:r>
              <w:t xml:space="preserve">, būtu jāpierāda, ka pieprasītais atbrīvojums ir samērīgs un pamatots ar SVT izmantošanu. Atbrīvojumam arī būtu jāaprobežojas tikai ar SVT </w:t>
            </w:r>
            <w:r>
              <w:rPr>
                <w:b/>
                <w:i/>
                <w:strike w:val="0"/>
                <w:color w:val="auto"/>
                <w:highlight w:val="none"/>
                <w:u w:val="none" w:color="auto"/>
                <w:vertAlign w:val="baseline"/>
              </w:rPr>
              <w:t>VNS</w:t>
            </w:r>
            <w:r>
              <w:t xml:space="preserve">, un tam nebūtu jāattiecas uz citām </w:t>
            </w:r>
            <w:r>
              <w:rPr>
                <w:b/>
                <w:i/>
                <w:strike w:val="0"/>
                <w:color w:val="auto"/>
                <w:highlight w:val="none"/>
                <w:u w:val="none" w:color="auto"/>
                <w:vertAlign w:val="baseline"/>
              </w:rPr>
              <w:t>VNS</w:t>
            </w:r>
            <w:r>
              <w:t>, ko uztur tas pats CVD.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27.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SVT tirgus infrastruktūrām arī būtu jāpiemēro papildu prasības salīdzinājumā ar tradicionālajām tirgus infrastruktūrām. Šādas prasības ir nepieciešamas, lai izvairītos no riskiem, ko rada SVT izmantošana vai jaunais veids, kā SVT tirgus infrastruktūra veic savas darbības. Tāpēc SVT tirgus </w:t>
            </w:r>
            <w:r>
              <w:rPr>
                <w:b/>
                <w:i/>
                <w:strike w:val="0"/>
                <w:color w:val="auto"/>
                <w:highlight w:val="none"/>
                <w:u w:val="none" w:color="auto"/>
                <w:vertAlign w:val="baseline"/>
              </w:rPr>
              <w:t>infrastruktūrai</w:t>
            </w:r>
            <w:r>
              <w:t xml:space="preserve"> būtu jāizveido skaidrs darījumdarbības plāns, kurā sīki izklāsta, kā tiks izmantota SVT, un ieviestos juridiskos pasākumus.</w:t>
            </w:r>
          </w:p>
        </w:tc>
        <w:tc>
          <w:tcPr>
            <w:tcW w:w="4876" w:type="dxa"/>
            <w:vAlign w:val="top"/>
          </w:tcPr>
          <w:p>
            <w:pPr>
              <w:pStyle w:val="Normal6a"/>
            </w:pPr>
            <w:r>
              <w:t>(27)</w:t>
            </w:r>
            <w:r>
              <w:tab/>
            </w:r>
            <w:r>
              <w:t xml:space="preserve">SVT tirgus infrastruktūrām </w:t>
            </w:r>
            <w:r>
              <w:rPr>
                <w:b/>
                <w:i/>
                <w:strike w:val="0"/>
                <w:color w:val="auto"/>
                <w:highlight w:val="none"/>
                <w:u w:val="none" w:color="auto"/>
                <w:vertAlign w:val="baseline"/>
              </w:rPr>
              <w:t>un to uzturētājiem</w:t>
            </w:r>
            <w:r>
              <w:t xml:space="preserve"> arī būtu jāpiemēro papildu prasības salīdzinājumā ar tradicionālajām tirgus infrastruktūrām. Šādas prasības ir nepieciešamas, lai izvairītos no riskiem, ko rada SVT izmantošana vai jaunais veids, kā SVT tirgus infrastruktūra veic savas darbības. Tāpēc SVT tirgus </w:t>
            </w:r>
            <w:r>
              <w:rPr>
                <w:b/>
                <w:i/>
                <w:strike w:val="0"/>
                <w:color w:val="auto"/>
                <w:highlight w:val="none"/>
                <w:u w:val="none" w:color="auto"/>
                <w:vertAlign w:val="baseline"/>
              </w:rPr>
              <w:t>infrastruktūrām un to uzturētājiem</w:t>
            </w:r>
            <w:r>
              <w:t xml:space="preserve"> būtu jāizveido skaidrs darījumdarbības plāns, kurā sīki izklāsta, kā tiks izmantota SVT, un ieviestos juridiskos pasākumus.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Dažas prasības ir piemērojamas SVT tirgus infrastruktūras uzturētājam.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27.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SVT tirgus infrastruktūrām arī būtu jāpiemēro papildu prasības salīdzinājumā ar tradicionālajām tirgus infrastruktūrām. Šādas prasības ir nepieciešamas, lai izvairītos no riskiem, </w:t>
            </w:r>
            <w:r>
              <w:rPr>
                <w:b/>
                <w:i/>
                <w:strike w:val="0"/>
                <w:color w:val="auto"/>
                <w:highlight w:val="none"/>
                <w:u w:val="none" w:color="auto"/>
                <w:vertAlign w:val="baseline"/>
              </w:rPr>
              <w:t>ko rada SVT izmantošana vai jaunais veids</w:t>
            </w:r>
            <w:r>
              <w:t>, kā SVT tirgus infrastruktūra veic savas darbības. Tāpēc SVT tirgus infrastruktūrai būtu jāizveido skaidrs darījumdarbības plāns, kurā sīki izklāsta, kā tiks izmantota SVT, un ieviestos juridiskos pasākumus.</w:t>
            </w:r>
          </w:p>
        </w:tc>
        <w:tc>
          <w:tcPr>
            <w:tcW w:w="4876" w:type="dxa"/>
            <w:vAlign w:val="top"/>
          </w:tcPr>
          <w:p>
            <w:pPr>
              <w:pStyle w:val="Normal6a"/>
            </w:pPr>
            <w:r>
              <w:t>(27)</w:t>
            </w:r>
            <w:r>
              <w:tab/>
            </w:r>
            <w:r>
              <w:t xml:space="preserve">SVT tirgus infrastruktūrām arī būtu jāpiemēro papildu prasības salīdzinājumā ar tradicionālajām tirgus infrastruktūrām. Šādas prasības ir nepieciešamas, lai izvairītos no riskiem, </w:t>
            </w:r>
            <w:r>
              <w:rPr>
                <w:b/>
                <w:i/>
                <w:strike w:val="0"/>
                <w:color w:val="auto"/>
                <w:highlight w:val="none"/>
                <w:u w:val="none" w:color="auto"/>
                <w:vertAlign w:val="baseline"/>
              </w:rPr>
              <w:t>kas saistīti ar SVT izmantošanu vai jauno veidu</w:t>
            </w:r>
            <w:r>
              <w:t>, kā SVT tirgus infrastruktūra veic savas darbības. Tāpēc SVT tirgus infrastruktūrai būtu jāizveido skaidrs darījumdarbības plāns, kurā sīki izklāsta, kā tiks izmantota SVT, un ieviestos juridiskos pasākumus.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209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rPr>
                <w:b/>
                <w:i/>
                <w:strike w:val="0"/>
                <w:color w:val="auto"/>
                <w:highlight w:val="none"/>
                <w:u w:val="none" w:color="auto"/>
                <w:vertAlign w:val="baseline"/>
              </w:rPr>
              <w:t>CVD</w:t>
            </w:r>
            <w:r>
              <w:t xml:space="preserve">, kas uztur SVT vērtspapīru norēķinu sistēmu, vai SVT DTS, ja </w:t>
            </w:r>
            <w:r>
              <w:rPr>
                <w:b/>
                <w:i/>
                <w:strike w:val="0"/>
                <w:color w:val="auto"/>
                <w:highlight w:val="none"/>
                <w:u w:val="none" w:color="auto"/>
                <w:vertAlign w:val="baseline"/>
              </w:rPr>
              <w:t>tai</w:t>
            </w:r>
            <w:r>
              <w:t xml:space="preserve"> ir atļauts veikt darījumus ar SVT pārvedamiem vērtspapīriem, būtu </w:t>
            </w:r>
            <w:r>
              <w:rPr>
                <w:b/>
                <w:i/>
                <w:strike w:val="0"/>
                <w:color w:val="auto"/>
                <w:highlight w:val="none"/>
                <w:u w:val="none" w:color="auto"/>
                <w:vertAlign w:val="baseline"/>
              </w:rPr>
              <w:t>jānosaka</w:t>
            </w:r>
            <w:r>
              <w:t xml:space="preserve"> noteikumi par to uzturētās ar īpašumtiesībām aizsargātās SVT darbību, tostarp noteikumi par piekļuvi un pielaidi SVT, noteikumi iesaistītajiem mezgliem, un noteikumi, ar ko risina iespējamos interešu konfliktus, kā arī riska pārvaldības pasākumi.</w:t>
            </w:r>
          </w:p>
        </w:tc>
        <w:tc>
          <w:tcPr>
            <w:tcW w:w="4876" w:type="dxa"/>
            <w:vAlign w:val="top"/>
          </w:tcPr>
          <w:p>
            <w:pPr>
              <w:pStyle w:val="Normal6a"/>
            </w:pPr>
            <w:r>
              <w:t>(28)</w:t>
            </w:r>
            <w:r>
              <w:tab/>
            </w:r>
            <w:r>
              <w:rPr>
                <w:b/>
                <w:i/>
                <w:strike w:val="0"/>
                <w:color w:val="auto"/>
                <w:highlight w:val="none"/>
                <w:u w:val="none" w:color="auto"/>
                <w:vertAlign w:val="baseline"/>
              </w:rPr>
              <w:t>Izmantojot ar īpašumtiesībām aizsargātu SVT, struktūrai</w:t>
            </w:r>
            <w:r>
              <w:t xml:space="preserve">, kas uztur SVT vērtspapīru norēķinu sistēmu, vai SVT DTS, ja </w:t>
            </w:r>
            <w:r>
              <w:rPr>
                <w:b/>
                <w:i/>
                <w:strike w:val="0"/>
                <w:color w:val="auto"/>
                <w:highlight w:val="none"/>
                <w:u w:val="none" w:color="auto"/>
                <w:vertAlign w:val="baseline"/>
              </w:rPr>
              <w:t>tām</w:t>
            </w:r>
            <w:r>
              <w:t xml:space="preserve"> ir atļauts veikt darījumus ar SVT pārvedamiem vērtspapīriem, būtu </w:t>
            </w:r>
            <w:r>
              <w:rPr>
                <w:b/>
                <w:i/>
                <w:strike w:val="0"/>
                <w:color w:val="auto"/>
                <w:highlight w:val="none"/>
                <w:u w:val="none" w:color="auto"/>
                <w:vertAlign w:val="baseline"/>
              </w:rPr>
              <w:t>jāparedz</w:t>
            </w:r>
            <w:r>
              <w:t xml:space="preserve"> noteikumi par to uzturētās ar īpašumtiesībām aizsargātās SVT darbību, tostarp noteikumi par piekļuvi un pielaidi SVT, noteikumi iesaistītajiem mezgliem, un noteikumi, ar ko risina iespējamos interešu konfliktus, kā arī riska pārvaldības pasākumi.</w:t>
            </w:r>
            <w:r>
              <w:br/>
            </w:r>
            <w:r>
              <w:br/>
            </w:r>
            <w:r>
              <w:rPr>
                <w:b/>
                <w:i/>
                <w:strike w:val="0"/>
                <w:color w:val="auto"/>
                <w:highlight w:val="none"/>
                <w:u w:val="none" w:color="auto"/>
                <w:vertAlign w:val="baseline"/>
              </w:rPr>
              <w:t>Izmantojot publisku SVT, struktūrai, kas uztur SVT vērtspapīru norēķinu sistēmu, vai SVT DTS, ja tām ir atļauts veikt darījumus ar SVT pārvedamiem vērtspapīriem, būtu kompetentajai iestādei jāsniedz pienācīgs apraksts par to izmantotās SVT darbību, veidu, kā tās risina iespējamos interešu konfliktus, kā arī riska pārvaldības pasākumiem.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 un tehnoloģiskā neitralitāte attiecībā uz SVT, kas aizsargātas ar īpašumtiesībām, un publiskām SVT.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CVD, kas uztur SVT </w:t>
            </w:r>
            <w:r>
              <w:rPr>
                <w:b/>
                <w:i/>
                <w:strike w:val="0"/>
                <w:color w:val="auto"/>
                <w:highlight w:val="none"/>
                <w:u w:val="none" w:color="auto"/>
                <w:vertAlign w:val="baseline"/>
              </w:rPr>
              <w:t>vērtspapīru norēķinu sistēmu</w:t>
            </w:r>
            <w:r>
              <w:t xml:space="preserve">, vai SVT DTS, ja </w:t>
            </w:r>
            <w:r>
              <w:rPr>
                <w:b/>
                <w:i/>
                <w:strike w:val="0"/>
                <w:color w:val="auto"/>
                <w:highlight w:val="none"/>
                <w:u w:val="none" w:color="auto"/>
                <w:vertAlign w:val="baseline"/>
              </w:rPr>
              <w:t>tai</w:t>
            </w:r>
            <w:r>
              <w:t xml:space="preserve"> ir atļauts veikt darījumus ar SVT pārvedamiem vērtspapīriem, būtu </w:t>
            </w:r>
            <w:r>
              <w:rPr>
                <w:b/>
                <w:i/>
                <w:strike w:val="0"/>
                <w:color w:val="auto"/>
                <w:highlight w:val="none"/>
                <w:u w:val="none" w:color="auto"/>
                <w:vertAlign w:val="baseline"/>
              </w:rPr>
              <w:t>jānosaka</w:t>
            </w:r>
            <w:r>
              <w:t xml:space="preserve"> noteikumi par to uzturētās ar īpašumtiesībām aizsargātās </w:t>
            </w:r>
            <w:r>
              <w:rPr>
                <w:b/>
                <w:i/>
                <w:strike w:val="0"/>
                <w:color w:val="auto"/>
                <w:highlight w:val="none"/>
                <w:u w:val="none" w:color="auto"/>
                <w:vertAlign w:val="baseline"/>
              </w:rPr>
              <w:t>SVT</w:t>
            </w:r>
            <w:r>
              <w:t xml:space="preserve"> darbību, tostarp noteikumi par piekļuvi un pielaidi </w:t>
            </w:r>
            <w:r>
              <w:rPr>
                <w:b/>
                <w:i/>
                <w:strike w:val="0"/>
                <w:color w:val="auto"/>
                <w:highlight w:val="none"/>
                <w:u w:val="none" w:color="auto"/>
                <w:vertAlign w:val="baseline"/>
              </w:rPr>
              <w:t>SVT</w:t>
            </w:r>
            <w:r>
              <w:t>, noteikumi iesaistītajiem mezgliem, un noteikumi, ar ko risina iespējamos interešu konfliktus, kā arī riska pārvaldības pasākumi.</w:t>
            </w:r>
          </w:p>
        </w:tc>
        <w:tc>
          <w:tcPr>
            <w:tcW w:w="4876" w:type="dxa"/>
            <w:vAlign w:val="top"/>
          </w:tcPr>
          <w:p>
            <w:pPr>
              <w:pStyle w:val="Normal6a"/>
            </w:pPr>
            <w:r>
              <w:t>(28)</w:t>
            </w:r>
            <w:r>
              <w:tab/>
            </w:r>
            <w:r>
              <w:t xml:space="preserve">CVD, kas uztur SVT </w:t>
            </w:r>
            <w:r>
              <w:rPr>
                <w:b/>
                <w:i/>
                <w:strike w:val="0"/>
                <w:color w:val="auto"/>
                <w:highlight w:val="none"/>
                <w:u w:val="none" w:color="auto"/>
                <w:vertAlign w:val="baseline"/>
              </w:rPr>
              <w:t>VNS</w:t>
            </w:r>
            <w:r>
              <w:t xml:space="preserve">, vai SVT DTS, ja </w:t>
            </w:r>
            <w:r>
              <w:rPr>
                <w:b/>
                <w:i/>
                <w:strike w:val="0"/>
                <w:color w:val="auto"/>
                <w:highlight w:val="none"/>
                <w:u w:val="none" w:color="auto"/>
                <w:vertAlign w:val="baseline"/>
              </w:rPr>
              <w:t>tām</w:t>
            </w:r>
            <w:r>
              <w:t xml:space="preserve"> ir atļauts veikt darījumus ar SVT pārvedamiem vērtspapīriem, būtu </w:t>
            </w:r>
            <w:r>
              <w:rPr>
                <w:b/>
                <w:i/>
                <w:strike w:val="0"/>
                <w:color w:val="auto"/>
                <w:highlight w:val="none"/>
                <w:u w:val="none" w:color="auto"/>
                <w:vertAlign w:val="baseline"/>
              </w:rPr>
              <w:t>jāparedz vai jādokumentē</w:t>
            </w:r>
            <w:r>
              <w:t xml:space="preserve"> noteikumi par to uzturētās ar īpašumtiesībām aizsargātās </w:t>
            </w:r>
            <w:r>
              <w:rPr>
                <w:b/>
                <w:i/>
                <w:strike w:val="0"/>
                <w:color w:val="auto"/>
                <w:highlight w:val="none"/>
                <w:u w:val="none" w:color="auto"/>
                <w:vertAlign w:val="baseline"/>
              </w:rPr>
              <w:t>sadalītās virsgrāmatas</w:t>
            </w:r>
            <w:r>
              <w:t xml:space="preserve"> darbību, tostarp noteikumi par piekļuvi un pielaidi </w:t>
            </w:r>
            <w:r>
              <w:rPr>
                <w:b/>
                <w:i/>
                <w:strike w:val="0"/>
                <w:color w:val="auto"/>
                <w:highlight w:val="none"/>
                <w:u w:val="none" w:color="auto"/>
                <w:vertAlign w:val="baseline"/>
              </w:rPr>
              <w:t>sadalītajai virsgrāmatai</w:t>
            </w:r>
            <w:r>
              <w:t>, noteikumi iesaistītajiem mezgliem, un noteikumi, ar ko risina iespējamos interešu konfliktus, kā arī riska pārvaldības pasākumi.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Būtu jāievēro tehnoloģiju neitralitātes princips, lai varētu testēt dažādus SVT modeļus.</w:t>
      </w:r>
      <w:r>
        <w:t xml:space="preserve"> </w:t>
      </w:r>
      <w:r>
        <w:t>Jebkuras tirgus infrastruktūras pienācīga pārvaldība ir svarīga tās drošuma un efektivitātes nodrošināšanai.</w:t>
      </w:r>
      <w:r>
        <w:t xml:space="preserve"> </w:t>
      </w:r>
      <w:r>
        <w:t>Jānodrošina, ka atbildība par datu apstrādi ir skaidra un ka var pieņemt tādu kibernoturības satvaru, ar ko nodrošina visu iesaistīto personu pilnīgu atbalstu.</w:t>
      </w:r>
      <w:r>
        <w:t xml:space="preserve"> </w:t>
      </w:r>
      <w:r>
        <w:t>Atbildībai par izmantotās SVT darbību būtu jāpaliek SVT tirgus infrastruktūras ziņā neatkarīgi no SVT veida.</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CVD, kas uztur SVT vērtspapīru norēķinu sistēmu, vai SVT DTS, ja </w:t>
            </w:r>
            <w:r>
              <w:rPr>
                <w:b/>
                <w:i/>
                <w:strike w:val="0"/>
                <w:color w:val="auto"/>
                <w:highlight w:val="none"/>
                <w:u w:val="none" w:color="auto"/>
                <w:vertAlign w:val="baseline"/>
              </w:rPr>
              <w:t>tai</w:t>
            </w:r>
            <w:r>
              <w:t xml:space="preserve"> ir atļauts veikt darījumus ar SVT pārvedamiem vērtspapīriem, būtu </w:t>
            </w:r>
            <w:r>
              <w:rPr>
                <w:b/>
                <w:i/>
                <w:strike w:val="0"/>
                <w:color w:val="auto"/>
                <w:highlight w:val="none"/>
                <w:u w:val="none" w:color="auto"/>
                <w:vertAlign w:val="baseline"/>
              </w:rPr>
              <w:t>jānosaka noteikumi par to uzturētās ar īpašumtiesībām aizsargātās</w:t>
            </w:r>
            <w:r>
              <w:t xml:space="preserve"> SVT darbību, tostarp noteikumi par piekļuvi un pielaidi SVT, noteikumi iesaistītajiem mezgliem, un noteikumi, ar ko risina iespējamos interešu konfliktus, kā arī riska pārvaldības pasākumi.</w:t>
            </w:r>
          </w:p>
        </w:tc>
        <w:tc>
          <w:tcPr>
            <w:tcW w:w="4876" w:type="dxa"/>
            <w:vAlign w:val="top"/>
          </w:tcPr>
          <w:p>
            <w:pPr>
              <w:pStyle w:val="Normal6a"/>
            </w:pPr>
            <w:r>
              <w:t>(28)</w:t>
            </w:r>
            <w:r>
              <w:tab/>
            </w:r>
            <w:r>
              <w:t xml:space="preserve">CVD, kas uztur SVT vērtspapīru norēķinu sistēmu, vai SVT DTS, ja </w:t>
            </w:r>
            <w:r>
              <w:rPr>
                <w:b/>
                <w:i/>
                <w:strike w:val="0"/>
                <w:color w:val="auto"/>
                <w:highlight w:val="none"/>
                <w:u w:val="none" w:color="auto"/>
                <w:vertAlign w:val="baseline"/>
              </w:rPr>
              <w:t>tām</w:t>
            </w:r>
            <w:r>
              <w:t xml:space="preserve"> ir atļauts veikt darījumus ar SVT pārvedamiem vērtspapīriem, būtu </w:t>
            </w:r>
            <w:r>
              <w:rPr>
                <w:b/>
                <w:i/>
                <w:strike w:val="0"/>
                <w:color w:val="auto"/>
                <w:highlight w:val="none"/>
                <w:u w:val="none" w:color="auto"/>
                <w:vertAlign w:val="baseline"/>
              </w:rPr>
              <w:t>attiecīgā gadījumā jāparedz vai jādokumentē noteikumi par to izmantotās</w:t>
            </w:r>
            <w:r>
              <w:t xml:space="preserve"> SVT darbību, tostarp noteikumi par piekļuvi un pielaidi SVT, noteikumi iesaistītajiem mezgliem, un noteikumi, ar ko risina iespējamos interešu konfliktus, kā arī riska pārvaldības pasākumi.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29.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 xml:space="preserve">SVT tirgus infrastruktūrai būtu jānosaka prasība informēt locekļus, dalībniekus, emitentus un klientus par to, kā tā plāno veikt savas darbības un kā SVT izmantošana radīs novirzes salīdzinājumā ar to, kā šo pakalpojumu parasti sniedz tradicionāla DTS vai CVD, kas uztur </w:t>
            </w:r>
            <w:r>
              <w:rPr>
                <w:b/>
                <w:i/>
                <w:strike w:val="0"/>
                <w:color w:val="auto"/>
                <w:highlight w:val="none"/>
                <w:u w:val="none" w:color="auto"/>
                <w:vertAlign w:val="baseline"/>
              </w:rPr>
              <w:t>vērtspapīru norēķinu sistēmu</w:t>
            </w:r>
            <w:r>
              <w:t>.</w:t>
            </w:r>
          </w:p>
        </w:tc>
        <w:tc>
          <w:tcPr>
            <w:tcW w:w="4876" w:type="dxa"/>
            <w:vAlign w:val="top"/>
          </w:tcPr>
          <w:p>
            <w:pPr>
              <w:pStyle w:val="Normal6a"/>
            </w:pPr>
            <w:r>
              <w:t>(29)</w:t>
            </w:r>
            <w:r>
              <w:tab/>
            </w:r>
            <w:r>
              <w:t xml:space="preserve">SVT tirgus infrastruktūrai būtu jānosaka prasība informēt locekļus, dalībniekus, emitentus un klientus par to, kā tā plāno veikt savas darbības un kā SVT izmantošana radīs novirzes salīdzinājumā ar to, kā šo pakalpojumu parasti sniedz tradicionāla DTS vai CVD, kas uztur </w:t>
            </w:r>
            <w:r>
              <w:rPr>
                <w:b/>
                <w:i/>
                <w:strike w:val="0"/>
                <w:color w:val="auto"/>
                <w:highlight w:val="none"/>
                <w:u w:val="none" w:color="auto"/>
                <w:vertAlign w:val="baseline"/>
              </w:rPr>
              <w:t>VNS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SVT tirgus infrastruktūrai vajadzētu būt ieviestiem īpašiem un stingriem IT pasākumiem un kiberpasākumiem, kas saistīti ar SVT izmantošanu. </w:t>
            </w:r>
            <w:r>
              <w:rPr>
                <w:b/>
                <w:i/>
                <w:strike w:val="0"/>
                <w:color w:val="auto"/>
                <w:highlight w:val="none"/>
                <w:u w:val="none" w:color="auto"/>
                <w:vertAlign w:val="baseline"/>
              </w:rPr>
              <w:t>Šiem pasākumiem vajadzētu būt samērīgiem</w:t>
            </w:r>
            <w:r>
              <w:t xml:space="preserve"> attiecībā pret SVT tirgus infrastruktūras darījumdarbības plāna veidu, mērogu un sarežģītību. Pasākumiem arī būtu jānodrošina pastāvīga sniegto pakalpojumu uzticamība, nepārtrauktība un drošība, tostarp potenciāli izmantoto viedlīgumu uzticamība. SVT tirgus infrastruktūrām būtu arī jānodrošina SVT glabāto datu integritāte, drošība, konfidencialitāte, pieejamība un piekļūstamība tiem. </w:t>
            </w:r>
            <w:r>
              <w:rPr>
                <w:b/>
                <w:i/>
                <w:strike w:val="0"/>
                <w:color w:val="auto"/>
                <w:highlight w:val="none"/>
                <w:u w:val="none" w:color="auto"/>
                <w:vertAlign w:val="baseline"/>
              </w:rPr>
              <w:t>SVT tirgus infrastruktūras kompetentajai iestādei vajadzētu būt iespējai pieprasīt revīziju, lai nodrošinātu, ka vispārējie IT pasākumi un kiberpasākumi ir atbilstoši mērķim. Šādas revīzijas izmaksas būtu jāsedz SVT tirgus infrastruktūrai.</w:t>
            </w:r>
          </w:p>
        </w:tc>
        <w:tc>
          <w:tcPr>
            <w:tcW w:w="4876" w:type="dxa"/>
            <w:vAlign w:val="top"/>
          </w:tcPr>
          <w:p>
            <w:pPr>
              <w:pStyle w:val="Normal6a"/>
            </w:pPr>
            <w:r>
              <w:t>(30)</w:t>
            </w:r>
            <w:r>
              <w:tab/>
            </w:r>
            <w:r>
              <w:t xml:space="preserve">SVT tirgus infrastruktūrai vajadzētu būt ieviestiem īpašiem un stingriem IT pasākumiem un kiberpasākumiem, kas saistīti ar SVT izmantošanu. </w:t>
            </w:r>
            <w:r>
              <w:rPr>
                <w:b/>
                <w:i/>
                <w:strike w:val="0"/>
                <w:color w:val="auto"/>
                <w:highlight w:val="none"/>
                <w:u w:val="none" w:color="auto"/>
                <w:vertAlign w:val="baseline"/>
              </w:rPr>
              <w:t>Kompetentajai iestādei šie pasākumi pirms jebkāda atbrīvojuma piešķiršanas būtu jārevidē, lai pārbaudītu, vai tie atbilst mērķim un vai tie ir samērīgi</w:t>
            </w:r>
            <w:r>
              <w:t xml:space="preserve"> attiecībā pret SVT tirgus infrastruktūras darījumdarbības plāna veidu, mērogu un sarežģītību. </w:t>
            </w:r>
            <w:r>
              <w:rPr>
                <w:b/>
                <w:i/>
                <w:strike w:val="0"/>
                <w:color w:val="auto"/>
                <w:highlight w:val="none"/>
                <w:u w:val="none" w:color="auto"/>
                <w:vertAlign w:val="baseline"/>
              </w:rPr>
              <w:t>Šādas revīzijas izmaksas būtu jāsedz SVT tirgus infrastruktūrai.</w:t>
            </w:r>
            <w:r>
              <w:t xml:space="preserve"> Pasākumiem arī būtu jānodrošina pastāvīga sniegto pakalpojumu uzticamība, nepārtrauktība un drošība, tostarp potenciāli izmantoto viedlīgumu uzticamība. SVT tirgus infrastruktūrām būtu arī jānodrošina SVT glabāto datu integritāte, drošība, konfidencialitāte, pieejamība un piekļūstamība tiem.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t xml:space="preserve">, </w:t>
      </w:r>
      <w:r>
        <w:t>Gunnar Beck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SVT tirgus infrastruktūrai vajadzētu būt ieviestiem īpašiem un stingriem IT pasākumiem un kiberpasākumiem, kas saistīti ar SVT izmantošanu. Šiem pasākumiem vajadzētu būt samērīgiem attiecībā pret SVT tirgus infrastruktūras darījumdarbības plāna veidu, mērogu un sarežģītību. Pasākumiem arī būtu jānodrošina pastāvīga sniegto pakalpojumu uzticamība, nepārtrauktība un drošība, tostarp potenciāli izmantoto viedlīgumu uzticamība. SVT tirgus infrastruktūrām būtu arī jānodrošina SVT glabāto datu integritāte, drošība, konfidencialitāte, pieejamība un piekļūstamība tiem. SVT tirgus infrastruktūras kompetentajai iestādei vajadzētu būt iespējai pieprasīt revīziju, lai nodrošinātu, ka vispārējie IT pasākumi un kiberpasākumi ir atbilstoši mērķim. Šādas revīzijas izmaksas būtu jāsedz SVT tirgus infrastruktūrai.</w:t>
            </w:r>
          </w:p>
        </w:tc>
        <w:tc>
          <w:tcPr>
            <w:tcW w:w="4876" w:type="dxa"/>
            <w:vAlign w:val="top"/>
          </w:tcPr>
          <w:p>
            <w:pPr>
              <w:pStyle w:val="Normal6a"/>
            </w:pPr>
            <w:r>
              <w:t>(30)</w:t>
            </w:r>
            <w:r>
              <w:tab/>
            </w:r>
            <w:r>
              <w:t xml:space="preserve">SVT tirgus infrastruktūrai vajadzētu būt ieviestiem īpašiem un stingriem IT pasākumiem un kiberpasākumiem, kas saistīti ar SVT izmantošanu. Šiem pasākumiem vajadzētu būt samērīgiem attiecībā pret SVT tirgus infrastruktūras darījumdarbības plāna veidu, mērogu un sarežģītību. Pasākumiem arī būtu jānodrošina pastāvīga sniegto pakalpojumu uzticamība, nepārtrauktība un drošība, tostarp potenciāli izmantoto viedlīgumu uzticamība. SVT tirgus infrastruktūrām būtu arī jānodrošina SVT glabāto datu integritāte, drošība, konfidencialitāte, pieejamība un piekļūstamība tiem. </w:t>
            </w:r>
            <w:r>
              <w:rPr>
                <w:b/>
                <w:i/>
                <w:strike w:val="0"/>
                <w:color w:val="auto"/>
                <w:highlight w:val="none"/>
                <w:u w:val="none" w:color="auto"/>
                <w:vertAlign w:val="baseline"/>
              </w:rPr>
              <w:t>Šiem pasākumiem būtu jāatbilst Regulas (ES) 2016/679 (“Vispārīgā datu aizsardzības regula”) 32. pantā noteiktajiem pienākumiem attiecībā uz tādu tehnisku un organizatorisku drošības pasākumu īstenošanu, ar kuriem var nodrošināt riskam atbilstīgu drošības līmeni.</w:t>
            </w:r>
            <w:r>
              <w:t xml:space="preserve"> </w:t>
            </w:r>
            <w:r>
              <w:rPr>
                <w:b/>
                <w:i/>
                <w:strike w:val="0"/>
                <w:color w:val="auto"/>
                <w:highlight w:val="none"/>
                <w:u w:val="none" w:color="auto"/>
                <w:vertAlign w:val="baseline"/>
              </w:rPr>
              <w:t>Attiecībā uz viedlīgumiem būtu jāpiemēro Vispārīgās datu aizsardzības regulas 22. panta 1. punkts, saskaņā ar kuru datu subjektam ir tiesības nebūt tāda lēmuma subjektam, kura pamatā ir tikai automatizēta apstrāde, tostarp profilēšana, kas rada juridiskas sekas attiecībā uz datu subjektu vai kas līdzīgā veidā viņu būtiski ietekmē.</w:t>
            </w:r>
            <w:r>
              <w:t xml:space="preserve"> SVT tirgus infrastruktūras kompetentajai iestādei vajadzētu būt iespējai pieprasīt revīziju, lai nodrošinātu, ka vispārējie IT pasākumi un kiberpasākumi ir atbilstoši mērķim. Šādas revīzijas izmaksas būtu jāsedz SVT tirgus infrastruktūrai.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SVT tirgus infrastruktūrai vajadzētu būt ieviestiem īpašiem un stingriem IT pasākumiem un kiberpasākumiem, kas saistīti ar SVT izmantošanu. Šiem pasākumiem vajadzētu būt samērīgiem attiecībā pret SVT tirgus infrastruktūras darījumdarbības plāna veidu, mērogu un sarežģītību. Pasākumiem arī būtu jānodrošina pastāvīga sniegto pakalpojumu uzticamība, nepārtrauktība un drošība, tostarp potenciāli izmantoto viedlīgumu uzticamība. SVT tirgus infrastruktūrām būtu arī jānodrošina SVT glabāto datu integritāte, drošība, konfidencialitāte, pieejamība un piekļūstamība tiem. SVT tirgus infrastruktūras kompetentajai iestādei vajadzētu būt iespējai pieprasīt revīziju, lai nodrošinātu, ka vispārējie IT pasākumi un kiberpasākumi ir atbilstoši mērķim. Šādas revīzijas izmaksas būtu jāsedz SVT tirgus infrastruktūrai.</w:t>
            </w:r>
          </w:p>
        </w:tc>
        <w:tc>
          <w:tcPr>
            <w:tcW w:w="4876" w:type="dxa"/>
            <w:vAlign w:val="top"/>
          </w:tcPr>
          <w:p>
            <w:pPr>
              <w:pStyle w:val="Normal6a"/>
            </w:pPr>
            <w:r>
              <w:t>(30)</w:t>
            </w:r>
            <w:r>
              <w:tab/>
            </w:r>
            <w:r>
              <w:t xml:space="preserve">SVT tirgus infrastruktūrai vajadzētu būt ieviestiem īpašiem un stingriem IT pasākumiem un kiberpasākumiem, kas saistīti ar SVT izmantošanu. Šiem pasākumiem vajadzētu būt samērīgiem attiecībā pret SVT tirgus infrastruktūras darījumdarbības plāna veidu, mērogu un sarežģītību. Pasākumiem arī būtu jānodrošina pastāvīga sniegto pakalpojumu uzticamība, nepārtrauktība un drošība, tostarp </w:t>
            </w:r>
            <w:r>
              <w:rPr>
                <w:b/>
                <w:i/>
                <w:strike w:val="0"/>
                <w:color w:val="auto"/>
                <w:highlight w:val="none"/>
                <w:u w:val="none" w:color="auto"/>
                <w:vertAlign w:val="baseline"/>
              </w:rPr>
              <w:t>to</w:t>
            </w:r>
            <w:r>
              <w:t xml:space="preserve"> potenciāli izmantoto viedlīgumu uzticamība</w:t>
            </w:r>
            <w:r>
              <w:rPr>
                <w:b/>
                <w:i/>
                <w:strike w:val="0"/>
                <w:color w:val="auto"/>
                <w:highlight w:val="none"/>
                <w:u w:val="none" w:color="auto"/>
                <w:vertAlign w:val="baseline"/>
              </w:rPr>
              <w:t>, ko radījusi vai nu pati SVT tirgus infrastruktūra, vai trešā persona saskaņā ar ārpakalpojumu līgumu slēgšanas procedūrām</w:t>
            </w:r>
            <w:r>
              <w:t xml:space="preserve">. SVT tirgus infrastruktūrām būtu arī jānodrošina SVT glabāto datu integritāte, drošība, konfidencialitāte, pieejamība un piekļūstamība tiem. SVT tirgus infrastruktūras kompetentajai iestādei vajadzētu būt iespējai pieprasīt </w:t>
            </w:r>
            <w:r>
              <w:rPr>
                <w:b/>
                <w:i/>
                <w:strike w:val="0"/>
                <w:color w:val="auto"/>
                <w:highlight w:val="none"/>
                <w:u w:val="none" w:color="auto"/>
                <w:vertAlign w:val="baseline"/>
              </w:rPr>
              <w:t>atbilstību noteiktiem standartiem, kas ir piemēroti SVT darbībām, vai</w:t>
            </w:r>
            <w:r>
              <w:t xml:space="preserve"> revīziju, lai nodrošinātu, ka vispārējie IT pasākumi un kiberpasākumi ir atbilstoši mērķim. </w:t>
            </w:r>
            <w:r>
              <w:rPr>
                <w:b/>
                <w:i/>
                <w:strike w:val="0"/>
                <w:color w:val="auto"/>
                <w:highlight w:val="none"/>
                <w:u w:val="none" w:color="auto"/>
                <w:vertAlign w:val="baseline"/>
              </w:rPr>
              <w:t>Šādas atbilstības standartiem vai</w:t>
            </w:r>
            <w:r>
              <w:t xml:space="preserve"> šādas revīzijas izmaksas būtu jāsedz SVT tirgus infrastruktūrai.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Ir jānodrošina, ka atbildība, kas izriet no SVT tirgus infrastruktūras izmantotā viedlīguma, tai paliek neatkarīgi no tā, vai šo viedlīgumu ir radījusi pati SVT tirgus infrastruktūra vai trešā persona saskaņā ar ārpakalpojumu līgumu slēgšanas procedūrām.</w:t>
      </w:r>
      <w:r>
        <w:t xml:space="preserve"> </w:t>
      </w:r>
      <w:r>
        <w:t>Turklāt tiek ierosināts paredzēt atbilstību noteiktiem standartiem, piemēram, SOC2 vai ISO27001, kas ir piemēroti SVT darbībām.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t xml:space="preserve">, </w:t>
      </w:r>
      <w:r>
        <w:t>Gunnar Beck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30.a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(30a)</w:t>
            </w:r>
            <w:r>
              <w:tab/>
            </w:r>
            <w:r>
              <w:rPr>
                <w:b/>
                <w:i/>
                <w:strike w:val="0"/>
                <w:color w:val="auto"/>
                <w:highlight w:val="none"/>
                <w:u w:val="none" w:color="auto"/>
                <w:vertAlign w:val="baseline"/>
              </w:rPr>
              <w:t>Personas datu aizsardzības pārkāpuma gadījumā SVT tirgus infrastruktūras uzturētājam būtu saskaņā ar Vispārīgo datu aizsardzības regulu jāinformē arī attiecīgā datu aizsardzības uzraudzības iestāde.</w:t>
            </w:r>
            <w:r>
              <w:t xml:space="preserve"> </w:t>
            </w:r>
            <w:r>
              <w:rPr>
                <w:b/>
                <w:i/>
                <w:strike w:val="0"/>
                <w:color w:val="auto"/>
                <w:highlight w:val="none"/>
                <w:u w:val="none" w:color="auto"/>
                <w:vertAlign w:val="baseline"/>
              </w:rPr>
              <w:t>Paziņojums, kas minēts 9. panta 1. punkta b) apakšpunktā, nebūtu jāuzskata par alternatīvu minētās regulas 33. pantā minētajam paziņojumam vai tā aizstājēju.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t xml:space="preserve">Ja SVT tirgus infrastruktūras darījumdarbības plāns ietver klientu līdzekļu, piemēram, naudas vai naudas ekvivalentu, vai SVT pārvedamu vērtspapīru, vai līdzekļu, ko izmanto piekļuvei šādiem SVT pārvedamiem vērtspapīriem, tostarp šifrēšanas atslēgu veidā, glabāšanu, SVT tirgus infrastruktūrai vajadzētu būt ieviestiem atbilstošiem pasākumiem, lai aizsargātu tās klientu aktīvus. </w:t>
            </w:r>
            <w:r>
              <w:rPr>
                <w:b/>
                <w:i/>
                <w:strike w:val="0"/>
                <w:color w:val="auto"/>
                <w:highlight w:val="none"/>
                <w:u w:val="none" w:color="auto"/>
                <w:vertAlign w:val="baseline"/>
              </w:rPr>
              <w:t>Tā</w:t>
            </w:r>
            <w:r>
              <w:t xml:space="preserve"> nedrīkstētu </w:t>
            </w:r>
            <w:r>
              <w:rPr>
                <w:b/>
                <w:i/>
                <w:strike w:val="0"/>
                <w:color w:val="auto"/>
                <w:highlight w:val="none"/>
                <w:u w:val="none" w:color="auto"/>
                <w:vertAlign w:val="baseline"/>
              </w:rPr>
              <w:t>pati</w:t>
            </w:r>
            <w:r>
              <w:t xml:space="preserve"> izmantot klientu aktīvus, izņemot, ja tas notiek ar klientu skaidru atļauju. SVT tirgus infrastruktūrai klientu līdzekļi vai SVT pārvedamie vērtspapīri, vai līdzekļi piekļūšanai šādiem aktīviem būtu jānošķir no saviem vai citu klientu aktīviem. SVT tirgus infrastruktūru vispārējiem IT pasākumiem un kiberpasākumiem būtu jānodrošina, ka klientu aktīvi ir pasargāti no krāpšanas, kiberdraudiem vai citiem darbības traucējumiem.</w:t>
            </w:r>
          </w:p>
        </w:tc>
        <w:tc>
          <w:tcPr>
            <w:tcW w:w="4876" w:type="dxa"/>
            <w:vAlign w:val="top"/>
          </w:tcPr>
          <w:p>
            <w:pPr>
              <w:pStyle w:val="Normal6a"/>
            </w:pPr>
            <w:r>
              <w:t>(31)</w:t>
            </w:r>
            <w:r>
              <w:tab/>
            </w:r>
            <w:r>
              <w:t xml:space="preserve">Ja SVT tirgus infrastruktūras darījumdarbības plāns ietver klientu līdzekļu, piemēram, naudas vai naudas ekvivalentu, vai SVT pārvedamu vērtspapīru, vai līdzekļu, ko izmanto piekļuvei šādiem SVT pārvedamiem vērtspapīriem, tostarp šifrēšanas atslēgu veidā, glabāšanu, SVT tirgus infrastruktūrai vajadzētu būt ieviestiem atbilstošiem pasākumiem, lai aizsargātu tās klientu aktīvus. </w:t>
            </w:r>
            <w:r>
              <w:rPr>
                <w:b/>
                <w:i/>
                <w:strike w:val="0"/>
                <w:color w:val="auto"/>
                <w:highlight w:val="none"/>
                <w:u w:val="none" w:color="auto"/>
                <w:vertAlign w:val="baseline"/>
              </w:rPr>
              <w:t>Minētie pasākumi līdz minimumam samazina risku, ka krāpšanas, kiberdraudu vai nolaidības dēļ var tikt zaudēti klientu līdzekļi, piemēram, nauda vai naudas ekvivalenti, SVT pārvedami vērtspapīri vai ar tiem saistītās tiesības, vai arī līdzekļi, ko izmanto piekļuvei šādiem SVT pārvedamiem vērtspapīriem.</w:t>
            </w:r>
            <w:r>
              <w:t xml:space="preserve"> </w:t>
            </w:r>
            <w:r>
              <w:rPr>
                <w:b/>
                <w:i/>
                <w:strike w:val="0"/>
                <w:color w:val="auto"/>
                <w:highlight w:val="none"/>
                <w:u w:val="none" w:color="auto"/>
                <w:vertAlign w:val="baseline"/>
              </w:rPr>
              <w:t>SVT tirgus infrastruktūras</w:t>
            </w:r>
            <w:r>
              <w:t xml:space="preserve"> nedrīkstētu </w:t>
            </w:r>
            <w:r>
              <w:rPr>
                <w:b/>
                <w:i/>
                <w:strike w:val="0"/>
                <w:color w:val="auto"/>
                <w:highlight w:val="none"/>
                <w:u w:val="none" w:color="auto"/>
                <w:vertAlign w:val="baseline"/>
              </w:rPr>
              <w:t>pašas</w:t>
            </w:r>
            <w:r>
              <w:t xml:space="preserve"> izmantot klientu aktīvus, izņemot, ja tas notiek ar klientu skaidru atļauju. SVT tirgus infrastruktūrai klientu līdzekļi vai SVT pārvedamie vērtspapīri, vai līdzekļi piekļūšanai šādiem aktīviem būtu jānošķir no saviem vai citu klientu aktīviem. SVT tirgus infrastruktūru vispārējiem IT pasākumiem un kiberpasākumiem būtu jānodrošina, ka klientu aktīvi ir pasargāti no krāpšanas, kiberdraudiem vai citiem darbības traucējumiem.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Ir jānodrošina, ka minētie pasākumi līdz minimumam samazina risku, ka krāpšanas, kiberdraudu vai nolaidības dēļ var tikt zaudēti klientu līdzekļi, piemēram, nauda vai naudas ekvivalenti, vai SVT pārvedami vērtspapīri vai ar tiem saistītās tiesības, vai arī līdzekļi, ko izmanto piekļuvei šādiem SVT pārvedamiem vērtspapīriem.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31.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t>Ja SVT tirgus infrastruktūras darījumdarbības plāns ietver klientu līdzekļu, piemēram, naudas vai naudas ekvivalentu, vai SVT pārvedamu vērtspapīru, vai līdzekļu, ko izmanto piekļuvei šādiem SVT pārvedamiem vērtspapīriem, tostarp šifrēšanas atslēgu veidā, glabāšanu, SVT tirgus infrastruktūrai vajadzētu būt ieviestiem atbilstošiem pasākumiem, lai aizsargātu tās klientu aktīvus. Tā nedrīkstētu pati izmantot klientu aktīvus, izņemot, ja tas notiek ar klientu skaidru atļauju. SVT tirgus infrastruktūrai klientu līdzekļi vai SVT pārvedamie vērtspapīri, vai līdzekļi piekļūšanai šādiem aktīviem būtu jānošķir no saviem vai citu klientu aktīviem. SVT tirgus infrastruktūru vispārējiem IT pasākumiem un kiberpasākumiem būtu jānodrošina, ka klientu aktīvi ir pasargāti no krāpšanas, kiberdraudiem vai citiem darbības traucējumiem.</w:t>
            </w:r>
          </w:p>
        </w:tc>
        <w:tc>
          <w:tcPr>
            <w:tcW w:w="4876" w:type="dxa"/>
            <w:vAlign w:val="top"/>
          </w:tcPr>
          <w:p>
            <w:pPr>
              <w:pStyle w:val="Normal6a"/>
            </w:pPr>
            <w:r>
              <w:t>(31)</w:t>
            </w:r>
            <w:r>
              <w:tab/>
            </w:r>
            <w:r>
              <w:t>Ja SVT tirgus infrastruktūras darījumdarbības plāns ietver klientu līdzekļu, piemēram, naudas vai naudas ekvivalentu, vai SVT pārvedamu vērtspapīru, vai līdzekļu, ko izmanto piekļuvei šādiem SVT pārvedamiem vērtspapīriem, tostarp šifrēšanas atslēgu veidā, glabāšanu, SVT tirgus infrastruktūrai vajadzētu būt ieviestiem atbilstošiem pasākumiem, lai aizsargātu tās klientu aktīvus</w:t>
            </w:r>
            <w:r>
              <w:rPr>
                <w:b/>
                <w:i/>
                <w:strike w:val="0"/>
                <w:color w:val="auto"/>
                <w:highlight w:val="none"/>
                <w:u w:val="none" w:color="auto"/>
                <w:vertAlign w:val="baseline"/>
              </w:rPr>
              <w:t>, un šiem pasākumiem jābūt kompetentās iestādes apstiprinātiem, pirms tiek piešķirts jebkāds atbrīvojums</w:t>
            </w:r>
            <w:r>
              <w:t>. Tā nedrīkstētu pati izmantot klientu aktīvus, izņemot, ja tas notiek ar klientu skaidru atļauju. SVT tirgus infrastruktūrai klientu līdzekļi vai SVT pārvedamie vērtspapīri, vai līdzekļi piekļūšanai šādiem aktīviem būtu jānošķir no saviem vai citu klientu aktīviem. SVT tirgus infrastruktūru vispārējiem IT pasākumiem un kiberpasākumiem būtu jānodrošina, ka klientu aktīvi ir pasargāti no krāpšanas, kiberdraudiem vai citiem darbības traucējumiem.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219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32.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 xml:space="preserve">Brīdī, kad tiek piešķirta īpašā atļauja, SVT tirgus </w:t>
            </w:r>
            <w:r>
              <w:rPr>
                <w:b/>
                <w:i/>
                <w:strike w:val="0"/>
                <w:color w:val="auto"/>
                <w:highlight w:val="none"/>
                <w:u w:val="none" w:color="auto"/>
                <w:vertAlign w:val="baseline"/>
              </w:rPr>
              <w:t>infrastruktūrai</w:t>
            </w:r>
            <w:r>
              <w:t xml:space="preserve"> vajadzētu būt arī ieviestai ticamai </w:t>
            </w:r>
            <w:r>
              <w:rPr>
                <w:b/>
                <w:i/>
                <w:strike w:val="0"/>
                <w:color w:val="auto"/>
                <w:highlight w:val="none"/>
                <w:u w:val="none" w:color="auto"/>
                <w:vertAlign w:val="baseline"/>
              </w:rPr>
              <w:t>izejas</w:t>
            </w:r>
            <w:r>
              <w:t xml:space="preserve"> stratēģijai </w:t>
            </w:r>
            <w:r>
              <w:rPr>
                <w:b/>
                <w:i/>
                <w:strike w:val="0"/>
                <w:color w:val="auto"/>
                <w:highlight w:val="none"/>
                <w:u w:val="none" w:color="auto"/>
                <w:vertAlign w:val="baseline"/>
              </w:rPr>
              <w:t>gadījumā</w:t>
            </w:r>
            <w:r>
              <w:t>, ja ar SVT tirgus infrastruktūrām saistītais režīms tiek izbeigts vai ja īpašā atļauja vai daži no piešķirtajiem atbrīvojumiem tiek atsaukti.</w:t>
            </w:r>
          </w:p>
        </w:tc>
        <w:tc>
          <w:tcPr>
            <w:tcW w:w="4876" w:type="dxa"/>
            <w:vAlign w:val="top"/>
          </w:tcPr>
          <w:p>
            <w:pPr>
              <w:pStyle w:val="Normal6a"/>
            </w:pPr>
            <w:r>
              <w:t>(32)</w:t>
            </w:r>
            <w:r>
              <w:tab/>
            </w:r>
            <w:r>
              <w:t xml:space="preserve">Brīdī, kad tiek piešķirta īpašā atļauja, SVT tirgus </w:t>
            </w:r>
            <w:r>
              <w:rPr>
                <w:b/>
                <w:i/>
                <w:strike w:val="0"/>
                <w:color w:val="auto"/>
                <w:highlight w:val="none"/>
                <w:u w:val="none" w:color="auto"/>
                <w:vertAlign w:val="baseline"/>
              </w:rPr>
              <w:t>infrastruktūrām</w:t>
            </w:r>
            <w:r>
              <w:t xml:space="preserve"> vajadzētu būt arī ieviestai ticamai </w:t>
            </w:r>
            <w:r>
              <w:rPr>
                <w:b/>
                <w:i/>
                <w:strike w:val="0"/>
                <w:color w:val="auto"/>
                <w:highlight w:val="none"/>
                <w:u w:val="none" w:color="auto"/>
                <w:vertAlign w:val="baseline"/>
              </w:rPr>
              <w:t>režīma izbeigšanas</w:t>
            </w:r>
            <w:r>
              <w:t xml:space="preserve"> stratēģijai</w:t>
            </w:r>
            <w:r>
              <w:rPr>
                <w:b/>
                <w:i/>
                <w:strike w:val="0"/>
                <w:color w:val="auto"/>
                <w:highlight w:val="none"/>
                <w:u w:val="none" w:color="auto"/>
                <w:vertAlign w:val="baseline"/>
              </w:rPr>
              <w:t>, tostarp to SVT darbību pārejai vai novirzīšanai uz tradicionālajām infrastruktūrām</w:t>
            </w:r>
            <w:r>
              <w:t>, ja ar SVT tirgus infrastruktūrām saistītais režīms tiek izbeigts vai ja īpašā atļauja vai daži no piešķirtajiem atbrīvojumiem tiek atsaukti</w:t>
            </w:r>
            <w:r>
              <w:rPr>
                <w:b/>
                <w:i/>
                <w:strike w:val="0"/>
                <w:color w:val="auto"/>
                <w:highlight w:val="none"/>
                <w:u w:val="none" w:color="auto"/>
                <w:vertAlign w:val="baseline"/>
              </w:rPr>
              <w:t>, vai arī ir sasniegtas šajā regulā paredzētās robežvērtības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Jebkurā gadījumā SVT tirgus infrastruktūrām ir jāspēj atgriezties pie tradicionālajām tirgus infrastruktūrām, ievērojot skaidru režīma izbeigšanas un darbību novirzīšanas/pārejas stratēģiju.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Īpašajai atļaujai, ko piešķir SVT tirgus infrastruktūrai, būtu jāatbilst tām pašām procedūrām, kādas ievēro, pilnvarojot tradicionālu DTS </w:t>
            </w:r>
            <w:r>
              <w:rPr>
                <w:b/>
                <w:i/>
                <w:strike w:val="0"/>
                <w:color w:val="auto"/>
                <w:highlight w:val="none"/>
                <w:u w:val="none" w:color="auto"/>
                <w:vertAlign w:val="baseline"/>
              </w:rPr>
              <w:t>vai CVD, ja šāds CVD vēlas uzturēt jaunu vērtspapīru norēķinu sistēmu. Tomēr, piesakoties atļaujas saņemšanai, pieteikuma iesniedzējai SVT infrastruktūrai būtu jānorāda atbrīvojumi, ko tā pieprasīs. Kompetentajai iestādei pirms atļaujas piešķiršanas SVT</w:t>
            </w:r>
            <w:r>
              <w:t xml:space="preserve"> tirgus </w:t>
            </w:r>
            <w:r>
              <w:rPr>
                <w:b/>
                <w:i/>
                <w:strike w:val="0"/>
                <w:color w:val="auto"/>
                <w:highlight w:val="none"/>
                <w:u w:val="none" w:color="auto"/>
                <w:vertAlign w:val="baseline"/>
              </w:rPr>
              <w:t>infrastruktūrai būtu jāapspriežas ar EVTI. EVTI būtu jāsniedz nesaistošs atzinums un ieteikumi par pieteikumu vai prasītajiem atbrīvojumiem. EVTI būtu arī jāapriežas ar pārējo dalībvalstu</w:t>
            </w:r>
            <w:r>
              <w:t xml:space="preserve"> kompetentajām iestādēm</w:t>
            </w:r>
            <w:r>
              <w:rPr>
                <w:b/>
                <w:i/>
                <w:strike w:val="0"/>
                <w:color w:val="auto"/>
                <w:highlight w:val="none"/>
                <w:u w:val="none" w:color="auto"/>
                <w:vertAlign w:val="baseline"/>
              </w:rPr>
              <w:t>. Sniedzot nesaistošu atzinumu, EVTI būtu jātiecas nodrošināt finanšu stabilitāti, tirgus integritāti un ieguldītāju aizsardzību. Lai nodrošinātu vienlīdzīgus konkurences apstākļus un godīgu konkurenci visā vienotajā tirgū, EVTI nesaistošajam atzinumam arī vajadzētu būt vērstam uz to, lai nodrošinātu to atbrīvojumu konsekvenci un samērīgumu, kurus piešķīrušas dažādas kompetentās iestādes visā Savienībā</w:t>
            </w:r>
            <w:r>
              <w:t>.</w:t>
            </w:r>
          </w:p>
        </w:tc>
        <w:tc>
          <w:tcPr>
            <w:tcW w:w="4876" w:type="dxa"/>
            <w:vAlign w:val="top"/>
          </w:tcPr>
          <w:p>
            <w:pPr>
              <w:pStyle w:val="Normal6a"/>
            </w:pPr>
            <w:r>
              <w:t>(33)</w:t>
            </w:r>
            <w:r>
              <w:tab/>
            </w:r>
            <w:r>
              <w:t>Īpašajai atļaujai, ko piešķir SVT tirgus infrastruktūrai, būtu jāatbilst tām pašām procedūrām, kādas ievēro, pilnvarojot tradicionālu DTS</w:t>
            </w:r>
            <w:r>
              <w:rPr>
                <w:b/>
                <w:i/>
                <w:strike w:val="0"/>
                <w:color w:val="auto"/>
                <w:highlight w:val="none"/>
                <w:u w:val="none" w:color="auto"/>
                <w:vertAlign w:val="baseline"/>
              </w:rPr>
              <w:t>, ja struktūra, kas uztur SVT DTS, ir ieguldījumu brokeru sabiedrība vai</w:t>
            </w:r>
            <w:r>
              <w:t xml:space="preserve"> tirgus </w:t>
            </w:r>
            <w:r>
              <w:rPr>
                <w:b/>
                <w:i/>
                <w:strike w:val="0"/>
                <w:color w:val="auto"/>
                <w:highlight w:val="none"/>
                <w:u w:val="none" w:color="auto"/>
                <w:vertAlign w:val="baseline"/>
              </w:rPr>
              <w:t>dalībnieks, vai pilnvarojot CVD, ja šāds CVD vēlas uzturēt jaunu vērtspapīru norēķinu sistēmu.</w:t>
            </w:r>
            <w:r>
              <w:t xml:space="preserve"> </w:t>
            </w:r>
            <w:r>
              <w:rPr>
                <w:b/>
                <w:i/>
                <w:strike w:val="0"/>
                <w:color w:val="auto"/>
                <w:highlight w:val="none"/>
                <w:u w:val="none" w:color="auto"/>
                <w:vertAlign w:val="baseline"/>
              </w:rPr>
              <w:t>Tomēr</w:t>
            </w:r>
            <w:r>
              <w:t xml:space="preserve"> kompetentajām iestādēm </w:t>
            </w:r>
            <w:r>
              <w:rPr>
                <w:b/>
                <w:i/>
                <w:strike w:val="0"/>
                <w:color w:val="auto"/>
                <w:highlight w:val="none"/>
                <w:u w:val="none" w:color="auto"/>
                <w:vertAlign w:val="baseline"/>
              </w:rPr>
              <w:t>būtu jāievieš paātrinātas procedūras attiecībā uz struktūrām, kas nav pilnvarotas kā DTS vai CVD laikā, kad tās iesniedz pieteikumu īpašas atļaujas saņemšanai saskaņā ar šo regulu.</w:t>
            </w:r>
            <w:r>
              <w:t xml:space="preserve"> </w:t>
            </w:r>
            <w:r>
              <w:rPr>
                <w:b/>
                <w:i/>
                <w:strike w:val="0"/>
                <w:color w:val="auto"/>
                <w:highlight w:val="none"/>
                <w:u w:val="none" w:color="auto"/>
                <w:vertAlign w:val="baseline"/>
              </w:rPr>
              <w:t>Piesakoties atļaujas saņemšanai, pieteikuma iesniedzējai SVT infrastruktūrai būtu jānorāda atbrīvojumi, ko tā pieprasīs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Paātrināta procedūra attiecībā uz jaunpienācējiem, kuri pieteikuma iesniegšanas brīdī nav pilnvaroti kā DTS vai CVD.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Īpašajai atļaujai, ko piešķir SVT tirgus infrastruktūrai, būtu jāatbilst tām pašām procedūrām, kādas ievēro, pilnvarojot tradicionālu DTS vai CVD, ja šāds CVD vēlas uzturēt jaunu vērtspapīru norēķinu sistēmu. Tomēr, piesakoties atļaujas saņemšanai, pieteikuma iesniedzējai SVT infrastruktūrai būtu jānorāda atbrīvojumi, ko tā pieprasīs. </w:t>
            </w:r>
            <w:r>
              <w:rPr>
                <w:b/>
                <w:i/>
                <w:strike w:val="0"/>
                <w:color w:val="auto"/>
                <w:highlight w:val="none"/>
                <w:u w:val="none" w:color="auto"/>
                <w:vertAlign w:val="baseline"/>
              </w:rPr>
              <w:t>Kompetentajai iestādei pirms atļaujas piešķiršanas SVT tirgus infrastruktūrai būtu jāapspriežas ar EVTI. EVTI būtu jāsniedz nesaistošs atzinums un ieteikumi par pieteikumu vai prasītajiem atbrīvojumiem. EVTI būtu arī jāapriežas ar pārējo dalībvalstu kompetentajām iestādēm. Sniedzot nesaistošu atzinumu</w:t>
            </w:r>
            <w:r>
              <w:t xml:space="preserve">, EVTI būtu </w:t>
            </w:r>
            <w:r>
              <w:rPr>
                <w:b/>
                <w:i/>
                <w:strike w:val="0"/>
                <w:color w:val="auto"/>
                <w:highlight w:val="none"/>
                <w:u w:val="none" w:color="auto"/>
                <w:vertAlign w:val="baseline"/>
              </w:rPr>
              <w:t>jātiecas nodrošināt finanšu stabilitāti, tirgus integritāti un ieguldītāju aizsardzību. Lai nodrošinātu vienlīdzīgus konkurences apstākļus un godīgu konkurenci visā vienotajā tirgū, EVTI nesaistošajam atzinumam arī vajadzētu būt vērstam uz to, lai nodrošinātu to atbrīvojumu konsekvenci un samērīgumu, kurus piešķīrušas dažādas kompetentās iestādes visā Savienībā</w:t>
            </w:r>
            <w:r>
              <w:t>.</w:t>
            </w:r>
          </w:p>
        </w:tc>
        <w:tc>
          <w:tcPr>
            <w:tcW w:w="4876" w:type="dxa"/>
            <w:vAlign w:val="top"/>
          </w:tcPr>
          <w:p>
            <w:pPr>
              <w:pStyle w:val="Normal6a"/>
            </w:pPr>
            <w:r>
              <w:t>(33)</w:t>
            </w:r>
            <w:r>
              <w:tab/>
            </w:r>
            <w:r>
              <w:t xml:space="preserve">Īpašajai atļaujai, ko piešķir SVT tirgus infrastruktūrai, būtu jāatbilst tām pašām procedūrām, kādas ievēro, pilnvarojot tradicionālu DTS vai CVD, ja šāds CVD vēlas uzturēt jaunu vērtspapīru norēķinu sistēmu. Tomēr, piesakoties atļaujas saņemšanai, pieteikuma iesniedzējai SVT infrastruktūrai būtu jānorāda atbrīvojumi, ko tā pieprasīs. </w:t>
            </w:r>
            <w:r>
              <w:rPr>
                <w:b/>
                <w:i/>
                <w:strike w:val="0"/>
                <w:color w:val="auto"/>
                <w:highlight w:val="none"/>
                <w:u w:val="none" w:color="auto"/>
                <w:vertAlign w:val="baseline"/>
              </w:rPr>
              <w:t>Saskaņā ar Savienības mērķi virzīties uz patiesu kapitāla tirgu savienību un nolūkā nodrošināt izmēģinājuma režīma konsekventu un vienveidīgu piemērošanu, vienlaikus novēršot uzraudzības sadrumstalotību, EVTI vajadzētu būt tiešām uzraudzības pilnvarām, lai piešķirtu atļauju SVT tirgus infrastruktūrai un jebkādus atbrīvojumus saskaņā ar šo regulu.</w:t>
            </w:r>
            <w:r>
              <w:t xml:space="preserve"> </w:t>
            </w:r>
            <w:r>
              <w:rPr>
                <w:b/>
                <w:i/>
                <w:strike w:val="0"/>
                <w:color w:val="auto"/>
                <w:highlight w:val="none"/>
                <w:u w:val="none" w:color="auto"/>
                <w:vertAlign w:val="baseline"/>
              </w:rPr>
              <w:t>Lai nodrošinātu efektīvu sadarbību un attiecīgās informācijas apmaiņu</w:t>
            </w:r>
            <w:r>
              <w:t xml:space="preserve">, EVTI būtu </w:t>
            </w:r>
            <w:r>
              <w:rPr>
                <w:b/>
                <w:i/>
                <w:strike w:val="0"/>
                <w:color w:val="auto"/>
                <w:highlight w:val="none"/>
                <w:u w:val="none" w:color="auto"/>
                <w:vertAlign w:val="baseline"/>
              </w:rPr>
              <w:t>jāapspriežas ar valstu kompetentajām iestādēm un attiecīgā gadījumā ar citām attiecīgajām iestādēm par to dalībvalstīs pilnvarotajiem SVT tirgus infrastruktūru uzturētājiem.</w:t>
            </w:r>
            <w:r>
              <w:t xml:space="preserve"> </w:t>
            </w:r>
            <w:r>
              <w:rPr>
                <w:b/>
                <w:i/>
                <w:strike w:val="0"/>
                <w:color w:val="auto"/>
                <w:highlight w:val="none"/>
                <w:u w:val="none" w:color="auto"/>
                <w:vertAlign w:val="baseline"/>
              </w:rPr>
              <w:t>Izvērtējot pieteikumu un pieprasītos atbrīvojumus, EVTI būtu jātiecas nodrošināt finanšu stabilitāti, tirgus integritāti un ieguldītāju aizsardzību, kā arī vienlīdzīgus konkurences apstākļus un godīgu konkurenci visā vienotajā tirgū</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Īpašajai atļaujai, ko piešķir SVT tirgus infrastruktūrai, būtu jāatbilst tām pašām procedūrām, kādas ievēro, pilnvarojot tradicionālu DTS vai CVD, ja šāds CVD vēlas uzturēt jaunu </w:t>
            </w:r>
            <w:r>
              <w:rPr>
                <w:b/>
                <w:i/>
                <w:strike w:val="0"/>
                <w:color w:val="auto"/>
                <w:highlight w:val="none"/>
                <w:u w:val="none" w:color="auto"/>
                <w:vertAlign w:val="baseline"/>
              </w:rPr>
              <w:t>vērtspapīru norēķinu sistēmu</w:t>
            </w:r>
            <w:r>
              <w:t xml:space="preserve">. Tomēr, piesakoties atļaujas saņemšanai, pieteikuma iesniedzējai SVT infrastruktūrai būtu jānorāda atbrīvojumi, ko tā </w:t>
            </w:r>
            <w:r>
              <w:rPr>
                <w:b/>
                <w:i/>
                <w:strike w:val="0"/>
                <w:color w:val="auto"/>
                <w:highlight w:val="none"/>
                <w:u w:val="none" w:color="auto"/>
                <w:vertAlign w:val="baseline"/>
              </w:rPr>
              <w:t>pieprasīs</w:t>
            </w:r>
            <w:r>
              <w:t xml:space="preserve">. Kompetentajai iestādei pirms atļaujas piešķiršanas SVT tirgus infrastruktūrai būtu jāapspriežas ar EVTI. EVTI būtu jāsniedz </w:t>
            </w:r>
            <w:r>
              <w:rPr>
                <w:b/>
                <w:i/>
                <w:strike w:val="0"/>
                <w:color w:val="auto"/>
                <w:highlight w:val="none"/>
                <w:u w:val="none" w:color="auto"/>
                <w:vertAlign w:val="baseline"/>
              </w:rPr>
              <w:t>nesaistošs atzinums un ieteikumi</w:t>
            </w:r>
            <w:r>
              <w:t xml:space="preserve"> par pieteikumu vai prasītajiem atbrīvojumiem. EVTI būtu arī </w:t>
            </w:r>
            <w:r>
              <w:rPr>
                <w:b/>
                <w:i/>
                <w:strike w:val="0"/>
                <w:color w:val="auto"/>
                <w:highlight w:val="none"/>
                <w:u w:val="none" w:color="auto"/>
                <w:vertAlign w:val="baseline"/>
              </w:rPr>
              <w:t>jāapriežas</w:t>
            </w:r>
            <w:r>
              <w:t xml:space="preserve"> ar pārējo dalībvalstu kompetentajām iestādēm. Sniedzot </w:t>
            </w:r>
            <w:r>
              <w:rPr>
                <w:b/>
                <w:i/>
                <w:strike w:val="0"/>
                <w:color w:val="auto"/>
                <w:highlight w:val="none"/>
                <w:u w:val="none" w:color="auto"/>
                <w:vertAlign w:val="baseline"/>
              </w:rPr>
              <w:t>nesaistošu atzinumu</w:t>
            </w:r>
            <w:r>
              <w:t xml:space="preserve">, EVTI būtu jātiecas nodrošināt finanšu stabilitāti, tirgus integritāti un ieguldītāju aizsardzību. Lai nodrošinātu vienlīdzīgus konkurences apstākļus un godīgu konkurenci visā vienotajā tirgū, EVTI </w:t>
            </w:r>
            <w:r>
              <w:rPr>
                <w:b/>
                <w:i/>
                <w:strike w:val="0"/>
                <w:color w:val="auto"/>
                <w:highlight w:val="none"/>
                <w:u w:val="none" w:color="auto"/>
                <w:vertAlign w:val="baseline"/>
              </w:rPr>
              <w:t>nesaistošajam atzinumam</w:t>
            </w:r>
            <w:r>
              <w:t xml:space="preserve"> arī vajadzētu būt vērstam uz to, lai nodrošinātu </w:t>
            </w:r>
            <w:r>
              <w:rPr>
                <w:b/>
                <w:i/>
                <w:strike w:val="0"/>
                <w:color w:val="auto"/>
                <w:highlight w:val="none"/>
                <w:u w:val="none" w:color="auto"/>
                <w:vertAlign w:val="baseline"/>
              </w:rPr>
              <w:t>to atbrīvojumu</w:t>
            </w:r>
            <w:r>
              <w:t xml:space="preserve"> konsekvenci un samērīgumu, kurus piešķīrušas dažādas kompetentās iestādes visā Savienībā.</w:t>
            </w:r>
          </w:p>
        </w:tc>
        <w:tc>
          <w:tcPr>
            <w:tcW w:w="4876" w:type="dxa"/>
            <w:vAlign w:val="top"/>
          </w:tcPr>
          <w:p>
            <w:pPr>
              <w:pStyle w:val="Normal6a"/>
            </w:pPr>
            <w:r>
              <w:t>(33)</w:t>
            </w:r>
            <w:r>
              <w:tab/>
            </w:r>
            <w:r>
              <w:t xml:space="preserve">Īpašajai atļaujai, ko piešķir SVT tirgus infrastruktūrai, būtu jāatbilst tām pašām procedūrām, kādas ievēro, pilnvarojot tradicionālu DTS vai CVD, ja šāds CVD vēlas uzturēt jaunu </w:t>
            </w:r>
            <w:r>
              <w:rPr>
                <w:b/>
                <w:i/>
                <w:strike w:val="0"/>
                <w:color w:val="auto"/>
                <w:highlight w:val="none"/>
                <w:u w:val="none" w:color="auto"/>
                <w:vertAlign w:val="baseline"/>
              </w:rPr>
              <w:t>VNS</w:t>
            </w:r>
            <w:r>
              <w:t xml:space="preserve">. Tomēr, piesakoties atļaujas saņemšanai, pieteikuma iesniedzējai SVT </w:t>
            </w:r>
            <w:r>
              <w:rPr>
                <w:b/>
                <w:i/>
                <w:strike w:val="0"/>
                <w:color w:val="auto"/>
                <w:highlight w:val="none"/>
                <w:u w:val="none" w:color="auto"/>
                <w:vertAlign w:val="baseline"/>
              </w:rPr>
              <w:t>tirgus</w:t>
            </w:r>
            <w:r>
              <w:t xml:space="preserve"> infrastruktūrai būtu </w:t>
            </w:r>
            <w:r>
              <w:rPr>
                <w:b/>
                <w:i/>
                <w:strike w:val="0"/>
                <w:color w:val="auto"/>
                <w:highlight w:val="none"/>
                <w:u w:val="none" w:color="auto"/>
                <w:vertAlign w:val="baseline"/>
              </w:rPr>
              <w:t>arī</w:t>
            </w:r>
            <w:r>
              <w:t xml:space="preserve"> jānorāda atbrīvojumi, ko tā </w:t>
            </w:r>
            <w:r>
              <w:rPr>
                <w:b/>
                <w:i/>
                <w:strike w:val="0"/>
                <w:color w:val="auto"/>
                <w:highlight w:val="none"/>
                <w:u w:val="none" w:color="auto"/>
                <w:vertAlign w:val="baseline"/>
              </w:rPr>
              <w:t>plāno pieprasīt</w:t>
            </w:r>
            <w:r>
              <w:t xml:space="preserve">. Kompetentajai iestādei pirms atļaujas piešķiršanas SVT tirgus infrastruktūrai būtu jāapspriežas ar EVTI. EVTI būtu jāsniedz </w:t>
            </w:r>
            <w:r>
              <w:rPr>
                <w:b/>
                <w:i/>
                <w:strike w:val="0"/>
                <w:color w:val="auto"/>
                <w:highlight w:val="none"/>
                <w:u w:val="none" w:color="auto"/>
                <w:vertAlign w:val="baseline"/>
              </w:rPr>
              <w:t>ieteikums</w:t>
            </w:r>
            <w:r>
              <w:t xml:space="preserve"> par pieteikumu vai prasītajiem atbrīvojumiem. EVTI būtu arī </w:t>
            </w:r>
            <w:r>
              <w:rPr>
                <w:b/>
                <w:i/>
                <w:strike w:val="0"/>
                <w:color w:val="auto"/>
                <w:highlight w:val="none"/>
                <w:u w:val="none" w:color="auto"/>
                <w:vertAlign w:val="baseline"/>
              </w:rPr>
              <w:t>jāapspriežas</w:t>
            </w:r>
            <w:r>
              <w:t xml:space="preserve"> ar pārējo dalībvalstu kompetentajām iestādēm. Sniedzot </w:t>
            </w:r>
            <w:r>
              <w:rPr>
                <w:b/>
                <w:i/>
                <w:strike w:val="0"/>
                <w:color w:val="auto"/>
                <w:highlight w:val="none"/>
                <w:u w:val="none" w:color="auto"/>
                <w:vertAlign w:val="baseline"/>
              </w:rPr>
              <w:t>ieteikumu</w:t>
            </w:r>
            <w:r>
              <w:t xml:space="preserve">, EVTI būtu jātiecas nodrošināt finanšu stabilitāti, tirgus integritāti un ieguldītāju aizsardzību. Lai nodrošinātu vienlīdzīgus konkurences apstākļus un godīgu konkurenci visā vienotajā tirgū, EVTI </w:t>
            </w:r>
            <w:r>
              <w:rPr>
                <w:b/>
                <w:i/>
                <w:strike w:val="0"/>
                <w:color w:val="auto"/>
                <w:highlight w:val="none"/>
                <w:u w:val="none" w:color="auto"/>
                <w:vertAlign w:val="baseline"/>
              </w:rPr>
              <w:t>ieteikumam</w:t>
            </w:r>
            <w:r>
              <w:t xml:space="preserve"> arī vajadzētu būt vērstam uz to, lai nodrošinātu </w:t>
            </w:r>
            <w:r>
              <w:rPr>
                <w:b/>
                <w:i/>
                <w:strike w:val="0"/>
                <w:color w:val="auto"/>
                <w:highlight w:val="none"/>
                <w:u w:val="none" w:color="auto"/>
                <w:vertAlign w:val="baseline"/>
              </w:rPr>
              <w:t>uzraudzības konverģenci,</w:t>
            </w:r>
            <w:r>
              <w:t xml:space="preserve"> konsekvenci un samērīgumu, kurus piešķīrušas dažādas kompetentās iestādes visā Savienībā.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Ir jāpastiprina EVTI loma, lai izvairītos no regulējuma arbitrāžas un nodrošinātu uzraudzības konverģenci un vienādu piemērošanu/izpildi visā ES.</w:t>
      </w:r>
      <w:r>
        <w:t xml:space="preserve"> </w:t>
      </w:r>
      <w:r>
        <w:t>Šajā sakarībā ir ārkārtīgi svarīgi paredzēt, ka EVTI sniedz ieteikumu (princips “ievēro vai paskaidro”), nevis nesaistošu atzinumu.</w:t>
      </w:r>
      <w:r>
        <w:t xml:space="preserve"> </w:t>
      </w:r>
      <w:r>
        <w:t>Tas ir svarīgāk, ņemot vērā to, ka ne visām dalībvalstīm/VKI ir vienāds tehnoloģiju lietotprasmes līmenis, kā jau paskaidrots 14. apsvērumā.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33.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Īpašajai atļaujai, ko piešķir SVT tirgus infrastruktūrai, būtu jāatbilst tām pašām procedūrām, kādas ievēro, pilnvarojot tradicionālu DTS vai CVD, ja šāds CVD vēlas uzturēt jaunu vērtspapīru norēķinu sistēmu. Tomēr, piesakoties atļaujas saņemšanai, pieteikuma iesniedzējai SVT infrastruktūrai būtu jānorāda atbrīvojumi, ko tā pieprasīs. Kompetentajai iestādei pirms atļaujas piešķiršanas SVT tirgus infrastruktūrai būtu jāapspriežas ar EVTI. EVTI būtu jāsniedz nesaistošs atzinums un ieteikumi par pieteikumu vai prasītajiem atbrīvojumiem. EVTI būtu arī </w:t>
            </w:r>
            <w:r>
              <w:rPr>
                <w:b/>
                <w:i/>
                <w:strike w:val="0"/>
                <w:color w:val="auto"/>
                <w:highlight w:val="none"/>
                <w:u w:val="none" w:color="auto"/>
                <w:vertAlign w:val="baseline"/>
              </w:rPr>
              <w:t>jāapriežas</w:t>
            </w:r>
            <w:r>
              <w:t xml:space="preserve"> ar pārējo dalībvalstu kompetentajām iestādēm. Sniedzot nesaistošu atzinumu, EVTI būtu jātiecas nodrošināt finanšu stabilitāti, tirgus integritāti un ieguldītāju aizsardzību. Lai nodrošinātu vienlīdzīgus konkurences apstākļus un godīgu konkurenci visā vienotajā tirgū, EVTI nesaistošajam atzinumam arī vajadzētu būt vērstam uz to, lai nodrošinātu to atbrīvojumu konsekvenci un samērīgumu, kurus piešķīrušas dažādas kompetentās iestādes visā Savienībā.</w:t>
            </w:r>
          </w:p>
        </w:tc>
        <w:tc>
          <w:tcPr>
            <w:tcW w:w="4876" w:type="dxa"/>
            <w:vAlign w:val="top"/>
          </w:tcPr>
          <w:p>
            <w:pPr>
              <w:pStyle w:val="Normal6a"/>
            </w:pPr>
            <w:r>
              <w:t>(33)</w:t>
            </w:r>
            <w:r>
              <w:tab/>
            </w:r>
            <w:r>
              <w:t xml:space="preserve">Īpašajai atļaujai, ko piešķir SVT tirgus infrastruktūrai, būtu jāatbilst tām pašām procedūrām, kādas ievēro, pilnvarojot tradicionālu DTS vai CVD, ja šāds CVD vēlas uzturēt jaunu vērtspapīru norēķinu sistēmu. Tomēr, piesakoties atļaujas saņemšanai, pieteikuma iesniedzējai SVT infrastruktūrai būtu jānorāda atbrīvojumi, ko tā pieprasīs. Kompetentajai iestādei pirms atļaujas piešķiršanas SVT tirgus infrastruktūrai būtu jāapspriežas ar EVTI. EVTI būtu jāsniedz nesaistošs atzinums un </w:t>
            </w:r>
            <w:r>
              <w:rPr>
                <w:b/>
                <w:i/>
                <w:strike w:val="0"/>
                <w:color w:val="auto"/>
                <w:highlight w:val="none"/>
                <w:u w:val="none" w:color="auto"/>
                <w:vertAlign w:val="baseline"/>
              </w:rPr>
              <w:t>nesaistoši</w:t>
            </w:r>
            <w:r>
              <w:t xml:space="preserve"> ieteikumi par pieteikumu vai prasītajiem atbrīvojumiem. EVTI būtu arī </w:t>
            </w:r>
            <w:r>
              <w:rPr>
                <w:b/>
                <w:i/>
                <w:strike w:val="0"/>
                <w:color w:val="auto"/>
                <w:highlight w:val="none"/>
                <w:u w:val="none" w:color="auto"/>
                <w:vertAlign w:val="baseline"/>
              </w:rPr>
              <w:t>jāapspriežas</w:t>
            </w:r>
            <w:r>
              <w:t xml:space="preserve"> ar pārējo dalībvalstu kompetentajām iestādēm. Sniedzot nesaistošu atzinumu, EVTI būtu jātiecas nodrošināt finanšu stabilitāti, tirgus integritāti un ieguldītāju aizsardzību. Lai nodrošinātu vienlīdzīgus konkurences apstākļus un godīgu konkurenci visā vienotajā tirgū, EVTI nesaistošajam atzinumam arī vajadzētu būt vērstam uz to, lai nodrošinātu to atbrīvojumu konsekvenci un samērīgumu, kurus piešķīrušas dažādas kompetentās iestādes visā Savienībā.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33.a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(33a)</w:t>
            </w:r>
            <w:r>
              <w:tab/>
            </w:r>
            <w:r>
              <w:rPr>
                <w:b/>
                <w:i/>
                <w:strike w:val="0"/>
                <w:color w:val="auto"/>
                <w:highlight w:val="none"/>
                <w:u w:val="none" w:color="auto"/>
                <w:vertAlign w:val="baseline"/>
              </w:rPr>
              <w:t>Kompetentajai iestādei, pirms tā piešķir atļauju SVT tirgus infrastruktūrai, būtu jāapspriežas ar EVTI.</w:t>
            </w:r>
            <w:r>
              <w:t xml:space="preserve"> </w:t>
            </w:r>
            <w:r>
              <w:rPr>
                <w:b/>
                <w:i/>
                <w:strike w:val="0"/>
                <w:color w:val="auto"/>
                <w:highlight w:val="none"/>
                <w:u w:val="none" w:color="auto"/>
                <w:vertAlign w:val="baseline"/>
              </w:rPr>
              <w:t>EVTI būtu jāsniedz nesaistošs atzinums un jebkādi vajadzīgie ieteikumi par pieteikumu vai prasītajiem atbrīvojumiem.</w:t>
            </w:r>
            <w:r>
              <w:t xml:space="preserve"> </w:t>
            </w:r>
            <w:r>
              <w:rPr>
                <w:b/>
                <w:i/>
                <w:strike w:val="0"/>
                <w:color w:val="auto"/>
                <w:highlight w:val="none"/>
                <w:u w:val="none" w:color="auto"/>
                <w:vertAlign w:val="baseline"/>
              </w:rPr>
              <w:t>EVTI būtu arī jāapspriežas ar pārējo dalībvalstu kompetentajām iestādēm.</w:t>
            </w:r>
            <w:r>
              <w:t xml:space="preserve"> </w:t>
            </w:r>
            <w:r>
              <w:rPr>
                <w:b/>
                <w:i/>
                <w:strike w:val="0"/>
                <w:color w:val="auto"/>
                <w:highlight w:val="none"/>
                <w:u w:val="none" w:color="auto"/>
                <w:vertAlign w:val="baseline"/>
              </w:rPr>
              <w:t>Sniedzot nesaistošu atzinumu, EVTI būtu jātiecas nodrošināt finanšu stabilitāti, tirgus integritāti un ieguldītāju aizsardzību.</w:t>
            </w:r>
            <w:r>
              <w:t xml:space="preserve"> </w:t>
            </w:r>
            <w:r>
              <w:rPr>
                <w:b/>
                <w:i/>
                <w:strike w:val="0"/>
                <w:color w:val="auto"/>
                <w:highlight w:val="none"/>
                <w:u w:val="none" w:color="auto"/>
                <w:vertAlign w:val="baseline"/>
              </w:rPr>
              <w:t>Lai nodrošinātu vienlīdzīgus konkurences apstākļus un godīgu konkurenci visā iekšējā tirgū, EVTI nesaistošajam atzinumam arī vajadzētu būt vērstam uz to, lai nodrošinātu to atbrīvojumu konsekvenci un samērīgumu, kurus piešķīrušas dažādas kompetentās iestādes visā Savienībā.</w:t>
            </w:r>
            <w:r>
              <w:t xml:space="preserve"> </w:t>
            </w:r>
            <w:r>
              <w:rPr>
                <w:b/>
                <w:i/>
                <w:strike w:val="0"/>
                <w:color w:val="auto"/>
                <w:highlight w:val="none"/>
                <w:u w:val="none" w:color="auto"/>
                <w:vertAlign w:val="baseline"/>
              </w:rPr>
              <w:t>EVTI var pieņemt pamatnostādnes, lai sīkāk precizētu nosacījumus atbrīvojumu piešķiršanai un kompensācijas pasākumu pieprasīšanai, pamatojoties uz kompetento iestāžu attiecīgo pieredzi un saviem nesaistošajiem atzinumiem.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Jauns apsvērums precizēšanas nolūkā.</w:t>
      </w:r>
      <w:r>
        <w:t xml:space="preserve"> </w:t>
      </w:r>
      <w:r>
        <w:t>Papildus nesaistošiem atzinumiem EVTI var vēlēties sniegt papildu norādījumus pamatnostādņu veidā, ja izmēģinājuma režīms netiek piemērots vienādi, vienoti un konsekventi visā Savienībā.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33.a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(33a)</w:t>
            </w:r>
            <w:r>
              <w:tab/>
            </w:r>
            <w:r>
              <w:rPr>
                <w:b/>
                <w:i/>
                <w:strike w:val="0"/>
                <w:color w:val="auto"/>
                <w:highlight w:val="none"/>
                <w:u w:val="none" w:color="auto"/>
                <w:vertAlign w:val="baseline"/>
              </w:rPr>
              <w:t>Piekļuve izmēģinājuma režīmam nebūtu jāattiecina tikai uz vēsturiskajiem uzņēmumiem, jo tam vajadzētu būt pieejamam arī jaunpienācējiem.</w:t>
            </w:r>
            <w:r>
              <w:t xml:space="preserve"> </w:t>
            </w:r>
            <w:r>
              <w:rPr>
                <w:b/>
                <w:i/>
                <w:strike w:val="0"/>
                <w:color w:val="auto"/>
                <w:highlight w:val="none"/>
                <w:u w:val="none" w:color="auto"/>
                <w:vertAlign w:val="baseline"/>
              </w:rPr>
              <w:t>Tādējādi, ja struktūra, kas nav pilnvarota saskaņā ar FITD II vai Centrālo vērtspapīru depozitāriju regulu, iesniedz pieteikumu atļaujas saņemšanai saskaņā ar minētajiem tiesību aktiem un vienlaikus iesniedz pieteikumu īpašas atļaujas saņemšanai saskaņā ar šo regulu, kompetentajai iestādei, izvērtējot pieteikumu atļaujas saņemšanai saskaņā ar FITD II vai saskaņā ar Centrālo vērtspapīru depozitāriju regulu, būtu jāpārbauda atbilstība tikai tām prasībām, kuru sakarā izmēģinājuma režīmā nav pieprasīts un piešķirts atbrīvojums.</w:t>
            </w:r>
            <w:r>
              <w:t xml:space="preserve"> </w:t>
            </w:r>
            <w:r>
              <w:rPr>
                <w:b/>
                <w:i/>
                <w:strike w:val="0"/>
                <w:color w:val="auto"/>
                <w:highlight w:val="none"/>
                <w:u w:val="none" w:color="auto"/>
                <w:vertAlign w:val="baseline"/>
              </w:rPr>
              <w:t>Šādos gadījumos atļauja saskaņā ar FITD II vai saskaņā ar Centrālo vērtspapīru depozitāriju regulu būtu jāpiešķir tikai attiecībā uz SVT tirgus infrastruktūras uzturēšanu saskaņā ar šo regulu.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 xml:space="preserve">Kompetentajai iestādei, kas izskata pieteikumu, kuru iesniegusi potenciāla SVT tirgus infrastruktūra, vajadzētu </w:t>
            </w:r>
            <w:r>
              <w:rPr>
                <w:b/>
                <w:i/>
                <w:strike w:val="0"/>
                <w:color w:val="auto"/>
                <w:highlight w:val="none"/>
                <w:u w:val="none" w:color="auto"/>
                <w:vertAlign w:val="baseline"/>
              </w:rPr>
              <w:t>būt iespējai</w:t>
            </w:r>
            <w:r>
              <w:t xml:space="preserve"> atteikt atļauju, ja ir iemesli uzskatīt, ka SVT tirgus infrastruktūra radītu draudus finanšu stabilitātei, ieguldītāju aizsardzībai vai tirgus integritātei vai ka ar pieteikumu tiek mēģināts apiet esošās prasības.</w:t>
            </w:r>
          </w:p>
        </w:tc>
        <w:tc>
          <w:tcPr>
            <w:tcW w:w="4876" w:type="dxa"/>
            <w:vAlign w:val="top"/>
          </w:tcPr>
          <w:p>
            <w:pPr>
              <w:pStyle w:val="Normal6a"/>
            </w:pPr>
            <w:r>
              <w:t>(34)</w:t>
            </w:r>
            <w:r>
              <w:tab/>
            </w:r>
            <w:r>
              <w:t>Kompetentajai iestādei, kas izskata pieteikumu, kuru iesniegusi potenciāla SVT tirgus infrastruktūra, vajadzētu atteikt atļauju, ja ir iemesli uzskatīt, ka SVT tirgus infrastruktūra radītu draudus finanšu stabilitātei, ieguldītāju aizsardzībai vai tirgus integritātei vai ka ar pieteikumu tiek mēģināts apiet esošās prasības.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34.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 xml:space="preserve">Kompetentajai iestādei, kas </w:t>
            </w:r>
            <w:r>
              <w:rPr>
                <w:b/>
                <w:i/>
                <w:strike w:val="0"/>
                <w:color w:val="auto"/>
                <w:highlight w:val="none"/>
                <w:u w:val="none" w:color="auto"/>
                <w:vertAlign w:val="baseline"/>
              </w:rPr>
              <w:t>izskata</w:t>
            </w:r>
            <w:r>
              <w:t xml:space="preserve"> pieteikumu, kuru iesniegusi potenciāla SVT tirgus infrastruktūra, vajadzētu būt iespējai atteikt atļauju, ja ir iemesli uzskatīt, ka SVT tirgus infrastruktūra radītu draudus finanšu stabilitātei, ieguldītāju aizsardzībai vai tirgus integritātei vai ka ar pieteikumu tiek mēģināts apiet esošās prasības.</w:t>
            </w:r>
          </w:p>
        </w:tc>
        <w:tc>
          <w:tcPr>
            <w:tcW w:w="4876" w:type="dxa"/>
            <w:vAlign w:val="top"/>
          </w:tcPr>
          <w:p>
            <w:pPr>
              <w:pStyle w:val="Normal6a"/>
            </w:pPr>
            <w:r>
              <w:t>(34)</w:t>
            </w:r>
            <w:r>
              <w:tab/>
            </w:r>
            <w:r>
              <w:t xml:space="preserve">Kompetentajai iestādei, kas </w:t>
            </w:r>
            <w:r>
              <w:rPr>
                <w:b/>
                <w:i/>
                <w:strike w:val="0"/>
                <w:color w:val="auto"/>
                <w:highlight w:val="none"/>
                <w:u w:val="none" w:color="auto"/>
                <w:vertAlign w:val="baseline"/>
              </w:rPr>
              <w:t>izskatīs</w:t>
            </w:r>
            <w:r>
              <w:t xml:space="preserve"> pieteikumu, kuru iesniegusi potenciāla SVT tirgus infrastruktūra, vajadzētu būt iespējai atteikt atļauju, ja ir iemesli uzskatīt, ka SVT tirgus infrastruktūra radītu draudus finanšu stabilitātei, ieguldītāju aizsardzībai vai tirgus integritātei vai ka ar pieteikumu tiek mēģināts apiet esošās prasības.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35.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Īpašajā atļaujā, ko kompetentā iestāde piešķir konkrētai SVT tirgus infrastruktūra, būtu jānorāda atbrīvojumi, kas piešķirti attiecīgajai SVT tirgus infrastruktūrai. Šādai atļaujai vajadzētu būt derīgai visā Savienībā. EVTI būtu jāpublicē savā tīmekļa vietnē SVT tirgus infrastruktūru saraksts un katrai no tām piešķirto atbrīvojumu saraksts.</w:t>
            </w:r>
          </w:p>
        </w:tc>
        <w:tc>
          <w:tcPr>
            <w:tcW w:w="4876" w:type="dxa"/>
            <w:vAlign w:val="top"/>
          </w:tcPr>
          <w:p>
            <w:pPr>
              <w:pStyle w:val="Normal6a"/>
            </w:pPr>
            <w:r>
              <w:t>(35)</w:t>
            </w:r>
            <w:r>
              <w:tab/>
            </w:r>
            <w:r>
              <w:t xml:space="preserve">Īpašajā atļaujā, ko kompetentā iestāde piešķir konkrētai SVT tirgus infrastruktūra, būtu jānorāda atbrīvojumi, kas piešķirti attiecīgajai SVT tirgus infrastruktūrai. Šādai atļaujai vajadzētu būt derīgai visā Savienībā </w:t>
            </w:r>
            <w:r>
              <w:rPr>
                <w:b/>
                <w:i/>
                <w:strike w:val="0"/>
                <w:color w:val="auto"/>
                <w:highlight w:val="none"/>
                <w:u w:val="none" w:color="auto"/>
                <w:vertAlign w:val="baseline"/>
              </w:rPr>
              <w:t>un tikai uz laikposmu, kurā darbojas SVT izmēģinājuma režīms</w:t>
            </w:r>
            <w:r>
              <w:t>. EVTI būtu jāpublicē savā tīmekļa vietnē SVT tirgus infrastruktūru saraksts un katrai no tām piešķirto atbrīvojumu saraksts.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Būtu skaidri jānosaka, ka atļauja ir atkarīga no izmēģinājuma režīma darbības perioda, neskarot 36. apsvērumā aprakstīto agrīnas režīma izbeigšanas novērtējumu.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229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36.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t>Īpašā atļauja un atbrīvojumi, ko piešķir kompetentās iestādes, būtu jāpiešķir uz laiku līdz sešiem gadiem no īpašās atļaujas piešķiršanas dienas</w:t>
            </w:r>
            <w:r>
              <w:rPr>
                <w:b/>
                <w:i/>
                <w:strike w:val="0"/>
                <w:color w:val="auto"/>
                <w:highlight w:val="none"/>
                <w:u w:val="none" w:color="auto"/>
                <w:vertAlign w:val="baseline"/>
              </w:rPr>
              <w:t>.</w:t>
            </w:r>
            <w:r>
              <w:t xml:space="preserve"> Piecus gadus pēc regulas stāšanās spēkā EVTI un Komisijai jāveic novērtējums par </w:t>
            </w:r>
            <w:r>
              <w:rPr>
                <w:b/>
                <w:i/>
                <w:strike w:val="0"/>
                <w:color w:val="auto"/>
                <w:highlight w:val="none"/>
                <w:u w:val="none" w:color="auto"/>
                <w:vertAlign w:val="baseline"/>
              </w:rPr>
              <w:t>šo</w:t>
            </w:r>
            <w:r>
              <w:t xml:space="preserve"> izmēģinājuma </w:t>
            </w:r>
            <w:r>
              <w:rPr>
                <w:b/>
                <w:i/>
                <w:strike w:val="0"/>
                <w:color w:val="auto"/>
                <w:highlight w:val="none"/>
                <w:u w:val="none" w:color="auto"/>
                <w:vertAlign w:val="baseline"/>
              </w:rPr>
              <w:t>režīmu tirgus infrastruktūrām, kas balstītas uz digitālās virsgrāmatas tehnoloģiju</w:t>
            </w:r>
            <w:r>
              <w:t>. Minētais sešu gadu periods nodrošina SVT tirgus infrastruktūrām pietiekamu laiku, lai tās pielāgotu savus darbības modeļus jebkādiem šā režīma pārveidojumiem un varētu darboties izmēģinājuma režīmā komerciāli dzīvotspējīgā veidā. Tas ļautu EVTI un Komisijai apkopot noderīgu datu kopumu, kas aptver aptuveni trīs kalendāros izmēģinājuma režīma darbības gadus pēc īpašo atļauju kritiskās masas un saistīto atbrīvojumu piešķiršanas, un ziņot par to. Tas arī nodrošinātu SVT tirgus infrastruktūrām pietiekamu laiku nepieciešamo pasākumu veikšanai, lai tās vai nu izbeigtu savu darbību, vai pārietu uz jaunu tiesisko regulējumu atbilstoši EVTI un Komisijas ziņojumiem.</w:t>
            </w:r>
          </w:p>
        </w:tc>
        <w:tc>
          <w:tcPr>
            <w:tcW w:w="4876" w:type="dxa"/>
            <w:vAlign w:val="top"/>
          </w:tcPr>
          <w:p>
            <w:pPr>
              <w:pStyle w:val="Normal6a"/>
            </w:pPr>
            <w:r>
              <w:t>(36)</w:t>
            </w:r>
            <w:r>
              <w:tab/>
            </w:r>
            <w:r>
              <w:t xml:space="preserve">Īpašā atļauja un atbrīvojumi, ko </w:t>
            </w:r>
            <w:r>
              <w:rPr>
                <w:b/>
                <w:i/>
                <w:strike w:val="0"/>
                <w:color w:val="auto"/>
                <w:highlight w:val="none"/>
                <w:u w:val="none" w:color="auto"/>
                <w:vertAlign w:val="baseline"/>
              </w:rPr>
              <w:t>pēc EVTI ieteikuma</w:t>
            </w:r>
            <w:r>
              <w:t xml:space="preserve"> piešķir </w:t>
            </w:r>
            <w:r>
              <w:rPr>
                <w:b/>
                <w:i/>
                <w:strike w:val="0"/>
                <w:color w:val="auto"/>
                <w:highlight w:val="none"/>
                <w:u w:val="none" w:color="auto"/>
                <w:vertAlign w:val="baseline"/>
              </w:rPr>
              <w:t>valstu</w:t>
            </w:r>
            <w:r>
              <w:t xml:space="preserve"> kompetentās iestādes, būtu jāpiešķir uz laiku līdz sešiem gadiem no īpašās atļaujas piešķiršanas dienas</w:t>
            </w:r>
            <w:r>
              <w:rPr>
                <w:b/>
                <w:i/>
                <w:strike w:val="0"/>
                <w:color w:val="auto"/>
                <w:highlight w:val="none"/>
                <w:u w:val="none" w:color="auto"/>
                <w:vertAlign w:val="baseline"/>
              </w:rPr>
              <w:t>, un tiem vajadzētu būt derīgiem tikai SVT izmēģinājuma režīma darbības laikā, ņemot vērā EVTI un Komisijas plānotos novērtējumus.</w:t>
            </w:r>
            <w:r>
              <w:t xml:space="preserve"> </w:t>
            </w:r>
            <w:r>
              <w:rPr>
                <w:b/>
                <w:i/>
                <w:strike w:val="0"/>
                <w:color w:val="auto"/>
                <w:highlight w:val="none"/>
                <w:u w:val="none" w:color="auto"/>
                <w:vertAlign w:val="baseline"/>
              </w:rPr>
              <w:t>Trīs gadus un</w:t>
            </w:r>
            <w:r>
              <w:t xml:space="preserve"> piecus gadus pēc </w:t>
            </w:r>
            <w:r>
              <w:rPr>
                <w:b/>
                <w:i/>
                <w:strike w:val="0"/>
                <w:color w:val="auto"/>
                <w:highlight w:val="none"/>
                <w:u w:val="none" w:color="auto"/>
                <w:vertAlign w:val="baseline"/>
              </w:rPr>
              <w:t>šīs</w:t>
            </w:r>
            <w:r>
              <w:t xml:space="preserve"> regulas stāšanās spēkā </w:t>
            </w:r>
            <w:r>
              <w:rPr>
                <w:b/>
                <w:i/>
                <w:strike w:val="0"/>
                <w:color w:val="auto"/>
                <w:highlight w:val="none"/>
                <w:u w:val="none" w:color="auto"/>
                <w:vertAlign w:val="baseline"/>
              </w:rPr>
              <w:t>dienas</w:t>
            </w:r>
            <w:r>
              <w:t xml:space="preserve"> EVTI un Komisijai jāveic </w:t>
            </w:r>
            <w:r>
              <w:rPr>
                <w:b/>
                <w:i/>
                <w:strike w:val="0"/>
                <w:color w:val="auto"/>
                <w:highlight w:val="none"/>
                <w:u w:val="none" w:color="auto"/>
                <w:vertAlign w:val="baseline"/>
              </w:rPr>
              <w:t>attiecīgi</w:t>
            </w:r>
            <w:r>
              <w:t xml:space="preserve"> novērtējums par </w:t>
            </w:r>
            <w:r>
              <w:rPr>
                <w:b/>
                <w:i/>
                <w:strike w:val="0"/>
                <w:color w:val="auto"/>
                <w:highlight w:val="none"/>
                <w:u w:val="none" w:color="auto"/>
                <w:vertAlign w:val="baseline"/>
              </w:rPr>
              <w:t>SVT izmēģinājuma režīma agrīnu izbeigšanu un galīgais SVT</w:t>
            </w:r>
            <w:r>
              <w:t xml:space="preserve"> izmēģinājuma </w:t>
            </w:r>
            <w:r>
              <w:rPr>
                <w:b/>
                <w:i/>
                <w:strike w:val="0"/>
                <w:color w:val="auto"/>
                <w:highlight w:val="none"/>
                <w:u w:val="none" w:color="auto"/>
                <w:vertAlign w:val="baseline"/>
              </w:rPr>
              <w:t>režīma novērtējums.</w:t>
            </w:r>
            <w:r>
              <w:t xml:space="preserve"> </w:t>
            </w:r>
            <w:r>
              <w:rPr>
                <w:b/>
                <w:i/>
                <w:strike w:val="0"/>
                <w:color w:val="auto"/>
                <w:highlight w:val="none"/>
                <w:u w:val="none" w:color="auto"/>
                <w:vertAlign w:val="baseline"/>
              </w:rPr>
              <w:t>Trīs gadu periods attiecībā uz agrīnas režīma izbeigšanas novērtējumu būtu jāaprēķina no šīs regulas spēkā stāšanās dienas, tādējādi ietverot 12 mēnešu laikposmu, kas vajadzīgs, lai sagatavotu regulatīvo tehnisko standartu projektu, kā paredzēts šajā regulā</w:t>
            </w:r>
            <w:r>
              <w:t>. Minētais sešu gadu periods nodrošina SVT tirgus infrastruktūrām pietiekamu laiku, lai tās pielāgotu savus darbības modeļus jebkādiem šā režīma pārveidojumiem un varētu darboties izmēģinājuma režīmā komerciāli dzīvotspējīgā veidā. Tas ļautu EVTI un Komisijai apkopot noderīgu datu kopumu, kas aptver aptuveni trīs kalendāros izmēģinājuma režīma darbības gadus pēc īpašo atļauju kritiskās masas un saistīto atbrīvojumu piešķiršanas, un ziņot par to. Tas arī nodrošinātu SVT tirgus infrastruktūrām pietiekamu laiku nepieciešamo pasākumu veikšanai, lai tās vai nu izbeigtu savu darbību, vai pārietu uz jaunu tiesisko regulējumu</w:t>
            </w:r>
            <w:r>
              <w:rPr>
                <w:b/>
                <w:i/>
                <w:strike w:val="0"/>
                <w:color w:val="auto"/>
                <w:highlight w:val="none"/>
                <w:u w:val="none" w:color="auto"/>
                <w:vertAlign w:val="baseline"/>
              </w:rPr>
              <w:t>, kurā cita starpā būtu jāparedz procedūra pastāvīgo atļauju pielāgošanai jaunajam tiesiskajam regulējumam,</w:t>
            </w:r>
            <w:r>
              <w:t xml:space="preserve"> atbilstoši EVTI un Komisijas ziņojumiem.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Ņemot vērā tehnoloģiju straujo attīstību un mērķi neatpalikt no attīstības un izveidot nākotnes prasībām atbilstošu tiesisko regulējumu, mēs uzskatām, ka būtu lietderīgi ieviest EVTI veiktu novērtējumu par režīma agrīnu izbeigšanu, kas kalpotu informācijas un padoma sniegšanai Komisijai, un iesniegt Eiropas Parlamentam un Padomei sākotnēju novērtējumu par SVT izmēģinājuma režīma iespējamu pielāgošanu vai pārtraukšanu pēc trim gadiem.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37.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(37)</w:t>
            </w:r>
            <w:r>
              <w:tab/>
            </w:r>
            <w:r>
              <w:t>Neskarot attiecīgos Direktīvas 2014/65/ES (</w:t>
            </w:r>
            <w:r>
              <w:rPr>
                <w:b/>
                <w:i/>
                <w:strike w:val="0"/>
                <w:color w:val="auto"/>
                <w:highlight w:val="none"/>
                <w:u w:val="none" w:color="auto"/>
                <w:vertAlign w:val="baseline"/>
              </w:rPr>
              <w:t>Finanšu instrumentu tirgu direktīva jeb</w:t>
            </w:r>
            <w:r>
              <w:t xml:space="preserve"> FITD II) vai Regulas (ES) Nr. 909/2014 (</w:t>
            </w:r>
            <w:r>
              <w:rPr>
                <w:b/>
                <w:i/>
                <w:strike w:val="0"/>
                <w:color w:val="auto"/>
                <w:highlight w:val="none"/>
                <w:u w:val="none" w:color="auto"/>
                <w:vertAlign w:val="baseline"/>
              </w:rPr>
              <w:t>Vērtspapīru norēķinu un centrālo depozitāriju regula</w:t>
            </w:r>
            <w:r>
              <w:t>) noteikumus, kompetentajām iestādēm vajadzētu būt pilnvarām atsaukt īpašo atļauju vai jebkurus SVT tirgus infrastruktūrai piešķirtos atbrīvojumus, ja ir atklāta pamatā esošās tehnoloģijas vai SVT tirgus infrastruktūras sniegto pakalpojumu vai veikto darbību nepilnība, un ar nosacījumu, ka šāda nepilnība ir lielāka nekā konkrētā pakalpojuma radītie ieguvumi, vai ja SVT tirgus infrastruktūra ir pārkāpusi jebkurus nosacījumus, kas saistīti ar atbrīvojumiem, kurus noteikusi kompetentā iestāde īpašās atļaujas piešķiršanas laikā, vai ja SVT tirgus infrastruktūra ir iegrāmatojusi finanšu instrumentus, kas neatbilst SVT pārvedamo vērtspapīru nosacījumiem saskaņā ar šo regulu. SVT tirgus infrastruktūrai tās darbības gaitā vajadzētu būt iespējai pieprasīt vēl citus atbrīvojumus papildus tiem, kas pieprasīti atļaujas piešķiršanas laikā. Šādā gadījumā minētie papildu atbrīvojumi</w:t>
            </w:r>
            <w:r>
              <w:rPr>
                <w:b/>
                <w:i/>
                <w:strike w:val="0"/>
                <w:color w:val="auto"/>
                <w:highlight w:val="none"/>
                <w:u w:val="none" w:color="auto"/>
                <w:vertAlign w:val="baseline"/>
              </w:rPr>
              <w:t>, ko pieprasa SVT tirgus infrastruktūras, būtu jāpiešķir ar kompetento iestāžu īpašu atļauju</w:t>
            </w:r>
            <w:r>
              <w:t xml:space="preserve"> tādā pašā veidā kā atbrīvojumi, ko piešķir SVT tirgus infrastruktūras sākotnējās atļaujas piešķiršanas laikā.</w:t>
            </w:r>
          </w:p>
        </w:tc>
        <w:tc>
          <w:tcPr>
            <w:tcW w:w="4876" w:type="dxa"/>
            <w:vAlign w:val="top"/>
          </w:tcPr>
          <w:p>
            <w:pPr>
              <w:pStyle w:val="Normal6a"/>
            </w:pPr>
            <w:r>
              <w:t>(37)</w:t>
            </w:r>
            <w:r>
              <w:tab/>
            </w:r>
            <w:r>
              <w:t>Neskarot attiecīgos Direktīvas 2014/65/ES (FITD II) vai Regulas (ES) Nr. 909/2014 (</w:t>
            </w:r>
            <w:r>
              <w:rPr>
                <w:b/>
                <w:i/>
                <w:strike w:val="0"/>
                <w:color w:val="auto"/>
                <w:highlight w:val="none"/>
                <w:u w:val="none" w:color="auto"/>
                <w:vertAlign w:val="baseline"/>
              </w:rPr>
              <w:t>CVDR</w:t>
            </w:r>
            <w:r>
              <w:t xml:space="preserve">) noteikumus, kompetentajām iestādēm vajadzētu būt pilnvarām atsaukt īpašo atļauju vai jebkurus SVT tirgus infrastruktūrai piešķirtos atbrīvojumus, ja ir atklāta pamatā esošās tehnoloģijas vai SVT tirgus infrastruktūras sniegto pakalpojumu vai veikto darbību nepilnība, un ar nosacījumu, ka šāda nepilnība ir lielāka nekā konkrētā pakalpojuma radītie ieguvumi, vai ja SVT tirgus infrastruktūra ir pārkāpusi jebkurus nosacījumus, kas saistīti ar atbrīvojumiem, kurus noteikusi kompetentā iestāde īpašās atļaujas piešķiršanas laikā, vai ja SVT tirgus infrastruktūra ir iegrāmatojusi finanšu instrumentus, kas </w:t>
            </w:r>
            <w:r>
              <w:rPr>
                <w:b/>
                <w:i/>
                <w:strike w:val="0"/>
                <w:color w:val="auto"/>
                <w:highlight w:val="none"/>
                <w:u w:val="none" w:color="auto"/>
                <w:vertAlign w:val="baseline"/>
              </w:rPr>
              <w:t>pārsniedz robežvērtības vai</w:t>
            </w:r>
            <w:r>
              <w:t xml:space="preserve"> neatbilst SVT pārvedamo vērtspapīru nosacījumiem saskaņā ar šo regulu. SVT tirgus infrastruktūrai tās darbības gaitā vajadzētu būt iespējai pieprasīt vēl citus atbrīvojumus papildus tiem, kas pieprasīti </w:t>
            </w:r>
            <w:r>
              <w:rPr>
                <w:b/>
                <w:i/>
                <w:strike w:val="0"/>
                <w:color w:val="auto"/>
                <w:highlight w:val="none"/>
                <w:u w:val="none" w:color="auto"/>
                <w:vertAlign w:val="baseline"/>
              </w:rPr>
              <w:t>sākotnējās</w:t>
            </w:r>
            <w:r>
              <w:t xml:space="preserve"> atļaujas piešķiršanas laikā. Šādā gadījumā minētie papildu atbrīvojumi </w:t>
            </w:r>
            <w:r>
              <w:rPr>
                <w:b/>
                <w:i/>
                <w:strike w:val="0"/>
                <w:color w:val="auto"/>
                <w:highlight w:val="none"/>
                <w:u w:val="none" w:color="auto"/>
                <w:vertAlign w:val="baseline"/>
              </w:rPr>
              <w:t>būtu kompetentajām iestādēm jāpieprasa</w:t>
            </w:r>
            <w:r>
              <w:t xml:space="preserve"> tādā pašā veidā kā atbrīvojumi, ko piešķir SVT tirgus infrastruktūras sākotnējās atļaujas piešķiršanas laikā.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t xml:space="preserve">Tā kā SVT tirgus infrastruktūras var saņemt pagaidu atbrīvojumus no esošajiem Savienības tiesību aktiem, tām būtu cieši jāsadarbojas ar kompetentajām iestādēm un Eiropas Vērtspapīru un tirgu iestādi (EVTI) to īpašās atļaujas piešķiršanas laikā. SVT tirgus infrastruktūrām būtu jāinformē kompetentās iestādes un EVTI par visām būtiskajām izmaiņām to darījumdarbības plānā un to kritiski svarīgajiem darbiniekiem, pierādījumiem par kiberdraudiem vai uzbrukumiem, krāpšanu vai citu nopietnu ļaunprātīgu praksi, izmaiņām informācijā, kas ietverta sākotnējā atļaujas pieteikumā, tehniskām grūtībām, jo īpaši tādām, kas saistītas ar SVT izmantošanu, un par visiem jaunajiem riskiem ieguldītāju aizsardzībai, tirgus integritātei vai finanšu stabilitātei, kas netika paredzēti, kad tika piešķirta īpašā atļauja. Saņemot informāciju par šādām būtiskām izmaiņām, kompetentajai iestādei būtu jāpieprasa, lai SVT tirgus infrastruktūra iesniedz pieteikumu par jaunu atļauju vai atbrīvojumu, vai arī tai būtu jāveic jebkādi korektīvi pasākumi, ko tā uzskata par piemērotiem. SVT tirgus infrastruktūrām būtu arī pēc pieprasījuma jāsniedz kompetentajām iestādēm un EVTI visi būtiskie dati. </w:t>
            </w:r>
            <w:r>
              <w:rPr>
                <w:b/>
                <w:i/>
                <w:strike w:val="0"/>
                <w:color w:val="auto"/>
                <w:highlight w:val="none"/>
                <w:u w:val="none" w:color="auto"/>
                <w:vertAlign w:val="baseline"/>
              </w:rPr>
              <w:t>Lai nodrošinātu</w:t>
            </w:r>
            <w:r>
              <w:t xml:space="preserve"> ieguldītāju </w:t>
            </w:r>
            <w:r>
              <w:rPr>
                <w:b/>
                <w:i/>
                <w:strike w:val="0"/>
                <w:color w:val="auto"/>
                <w:highlight w:val="none"/>
                <w:u w:val="none" w:color="auto"/>
                <w:vertAlign w:val="baseline"/>
              </w:rPr>
              <w:t>aizsardzību</w:t>
            </w:r>
            <w:r>
              <w:t xml:space="preserve">, tirgus </w:t>
            </w:r>
            <w:r>
              <w:rPr>
                <w:b/>
                <w:i/>
                <w:strike w:val="0"/>
                <w:color w:val="auto"/>
                <w:highlight w:val="none"/>
                <w:u w:val="none" w:color="auto"/>
                <w:vertAlign w:val="baseline"/>
              </w:rPr>
              <w:t>integritāti</w:t>
            </w:r>
            <w:r>
              <w:t xml:space="preserve"> un finanšu </w:t>
            </w:r>
            <w:r>
              <w:rPr>
                <w:b/>
                <w:i/>
                <w:strike w:val="0"/>
                <w:color w:val="auto"/>
                <w:highlight w:val="none"/>
                <w:u w:val="none" w:color="auto"/>
                <w:vertAlign w:val="baseline"/>
              </w:rPr>
              <w:t>stabilitāti,</w:t>
            </w:r>
            <w:r>
              <w:t xml:space="preserve"> kompetentajai iestādei, kas piešķīrusi īpašo atļauju SVT tirgus infrastruktūrai, </w:t>
            </w:r>
            <w:r>
              <w:rPr>
                <w:b/>
                <w:i/>
                <w:strike w:val="0"/>
                <w:color w:val="auto"/>
                <w:highlight w:val="none"/>
                <w:u w:val="none" w:color="auto"/>
                <w:vertAlign w:val="baseline"/>
              </w:rPr>
              <w:t>vajadzētu būt iespējai pēc apspriešanās ar EVTI</w:t>
            </w:r>
            <w:r>
              <w:t xml:space="preserve"> ieteikt jebkādus korektīvus pasākumus.</w:t>
            </w:r>
          </w:p>
        </w:tc>
        <w:tc>
          <w:tcPr>
            <w:tcW w:w="4876" w:type="dxa"/>
            <w:vAlign w:val="top"/>
          </w:tcPr>
          <w:p>
            <w:pPr>
              <w:pStyle w:val="Normal6a"/>
            </w:pPr>
            <w:r>
              <w:t>(38)</w:t>
            </w:r>
            <w:r>
              <w:tab/>
            </w:r>
            <w:r>
              <w:t xml:space="preserve">Tā kā SVT tirgus infrastruktūras var saņemt pagaidu atbrīvojumus no esošajiem Savienības tiesību aktiem, tām būtu cieši jāsadarbojas ar kompetentajām iestādēm un Eiropas Vērtspapīru un tirgu iestādi (EVTI) to īpašās atļaujas piešķiršanas laikā. SVT tirgus infrastruktūrām būtu jāinformē kompetentās iestādes un EVTI par visām būtiskajām izmaiņām to darījumdarbības plānā un to kritiski svarīgajiem darbiniekiem, pierādījumiem par kiberdraudiem vai uzbrukumiem, krāpšanu vai citu nopietnu ļaunprātīgu praksi, izmaiņām informācijā, kas ietverta sākotnējā atļaujas pieteikumā, tehniskām grūtībām, jo īpaši tādām, kas saistītas ar SVT izmantošanu, un par visiem jaunajiem riskiem ieguldītāju aizsardzībai, tirgus integritātei vai finanšu stabilitātei, kas netika paredzēti, kad tika piešķirta īpašā atļauja. Saņemot informāciju par šādām būtiskām izmaiņām, kompetentajai iestādei būtu jāpieprasa, lai SVT tirgus infrastruktūra iesniedz pieteikumu par jaunu atļauju vai atbrīvojumu, vai arī tai būtu jāveic jebkādi korektīvi pasākumi, ko tā uzskata par piemērotiem. SVT tirgus infrastruktūrām būtu arī pēc pieprasījuma jāsniedz kompetentajām iestādēm un EVTI visi būtiskie dati. </w:t>
            </w:r>
            <w:r>
              <w:rPr>
                <w:b/>
                <w:i/>
                <w:strike w:val="0"/>
                <w:color w:val="auto"/>
                <w:highlight w:val="none"/>
                <w:u w:val="none" w:color="auto"/>
                <w:vertAlign w:val="baseline"/>
              </w:rPr>
              <w:t>Saņemot informāciju par šādām būtiskām izmaiņām, kompetentajai iestādei</w:t>
            </w:r>
            <w:r>
              <w:t xml:space="preserve"> ieguldītāju </w:t>
            </w:r>
            <w:r>
              <w:rPr>
                <w:b/>
                <w:i/>
                <w:strike w:val="0"/>
                <w:color w:val="auto"/>
                <w:highlight w:val="none"/>
                <w:u w:val="none" w:color="auto"/>
                <w:vertAlign w:val="baseline"/>
              </w:rPr>
              <w:t>aizsardzības</w:t>
            </w:r>
            <w:r>
              <w:t xml:space="preserve">, tirgus </w:t>
            </w:r>
            <w:r>
              <w:rPr>
                <w:b/>
                <w:i/>
                <w:strike w:val="0"/>
                <w:color w:val="auto"/>
                <w:highlight w:val="none"/>
                <w:u w:val="none" w:color="auto"/>
                <w:vertAlign w:val="baseline"/>
              </w:rPr>
              <w:t>integritātes</w:t>
            </w:r>
            <w:r>
              <w:t xml:space="preserve"> un finanšu </w:t>
            </w:r>
            <w:r>
              <w:rPr>
                <w:b/>
                <w:i/>
                <w:strike w:val="0"/>
                <w:color w:val="auto"/>
                <w:highlight w:val="none"/>
                <w:u w:val="none" w:color="auto"/>
                <w:vertAlign w:val="baseline"/>
              </w:rPr>
              <w:t>stabilitātes nodrošināšanas nolūkā būtu jāprasa EVTI sniegt ieteikumu un, pamatojoties uz to, jāprasa SVT tirgus infrastruktūrai, lai tā iesniedz pieteikumu jaunas atļaujas vai atbrīvojuma saņemšanai vai arī veic jebkādus korektīvus pasākumus, ko EVTI uzskata par piemērotiem.</w:t>
            </w:r>
            <w:r>
              <w:t xml:space="preserve"> </w:t>
            </w:r>
            <w:r>
              <w:rPr>
                <w:b/>
                <w:i/>
                <w:strike w:val="0"/>
                <w:color w:val="auto"/>
                <w:highlight w:val="none"/>
                <w:u w:val="none" w:color="auto"/>
                <w:vertAlign w:val="baseline"/>
              </w:rPr>
              <w:t>SVT tirgus infrastruktūrām būtu arī pēc pieprasījuma jāsniedz kompetentajām iestādēm un EVTI visi būtiskie dati.</w:t>
            </w:r>
            <w:r>
              <w:t xml:space="preserve"> Kompetentajai iestādei, kas piešķīrusi īpašo atļauju SVT tirgus infrastruktūrai, </w:t>
            </w:r>
            <w:r>
              <w:rPr>
                <w:b/>
                <w:i/>
                <w:strike w:val="0"/>
                <w:color w:val="auto"/>
                <w:highlight w:val="none"/>
                <w:u w:val="none" w:color="auto"/>
                <w:vertAlign w:val="baseline"/>
              </w:rPr>
              <w:t>pēc tam, kad EVTI ir sniegusi savu ieteikumu, vajadzētu būt iespējai</w:t>
            </w:r>
            <w:r>
              <w:t xml:space="preserve"> ieteikt jebkādus korektīvus pasākumus.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38.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(38)</w:t>
            </w:r>
            <w:r>
              <w:tab/>
            </w:r>
            <w:r>
              <w:t xml:space="preserve">Tā kā SVT tirgus infrastruktūras var saņemt pagaidu atbrīvojumus no esošajiem Savienības tiesību aktiem, tām būtu cieši jāsadarbojas ar kompetentajām iestādēm un Eiropas Vērtspapīru un tirgu iestādi (EVTI) to īpašās atļaujas </w:t>
            </w:r>
            <w:r>
              <w:rPr>
                <w:b/>
                <w:i/>
                <w:strike w:val="0"/>
                <w:color w:val="auto"/>
                <w:highlight w:val="none"/>
                <w:u w:val="none" w:color="auto"/>
                <w:vertAlign w:val="baseline"/>
              </w:rPr>
              <w:t>piešķiršanas</w:t>
            </w:r>
            <w:r>
              <w:t xml:space="preserve"> laikā. SVT tirgus infrastruktūrām būtu jāinformē kompetentās iestādes un EVTI par visām būtiskajām izmaiņām to darījumdarbības plānā un to kritiski svarīgajiem darbiniekiem, pierādījumiem par kiberdraudiem vai uzbrukumiem, krāpšanu vai citu nopietnu ļaunprātīgu praksi, izmaiņām informācijā, kas ietverta sākotnējā atļaujas pieteikumā, tehniskām grūtībām, jo īpaši tādām, kas saistītas ar SVT izmantošanu, un par visiem jaunajiem riskiem ieguldītāju aizsardzībai, tirgus integritātei vai finanšu stabilitātei, kas netika paredzēti, kad tika </w:t>
            </w:r>
            <w:r>
              <w:rPr>
                <w:b/>
                <w:i/>
                <w:strike w:val="0"/>
                <w:color w:val="auto"/>
                <w:highlight w:val="none"/>
                <w:u w:val="none" w:color="auto"/>
                <w:vertAlign w:val="baseline"/>
              </w:rPr>
              <w:t>piešķirta īpašā atļauja</w:t>
            </w:r>
            <w:r>
              <w:t xml:space="preserve">. Saņemot informāciju par šādām būtiskām izmaiņām, kompetentajai iestādei </w:t>
            </w:r>
            <w:r>
              <w:rPr>
                <w:b/>
                <w:i/>
                <w:strike w:val="0"/>
                <w:color w:val="auto"/>
                <w:highlight w:val="none"/>
                <w:u w:val="none" w:color="auto"/>
                <w:vertAlign w:val="baseline"/>
              </w:rPr>
              <w:t>būtu</w:t>
            </w:r>
            <w:r>
              <w:t xml:space="preserve"> jāpieprasa, lai SVT tirgus infrastruktūra iesniedz pieteikumu </w:t>
            </w:r>
            <w:r>
              <w:rPr>
                <w:b/>
                <w:i/>
                <w:strike w:val="0"/>
                <w:color w:val="auto"/>
                <w:highlight w:val="none"/>
                <w:u w:val="none" w:color="auto"/>
                <w:vertAlign w:val="baseline"/>
              </w:rPr>
              <w:t>par jaunu atļauju vai atbrīvojumu</w:t>
            </w:r>
            <w:r>
              <w:t xml:space="preserve">, vai arī </w:t>
            </w:r>
            <w:r>
              <w:rPr>
                <w:b/>
                <w:i/>
                <w:strike w:val="0"/>
                <w:color w:val="auto"/>
                <w:highlight w:val="none"/>
                <w:u w:val="none" w:color="auto"/>
                <w:vertAlign w:val="baseline"/>
              </w:rPr>
              <w:t>tai būtu jāveic jebkādi korektīvi pasākumi, ko tā uzskata par piemērotiem</w:t>
            </w:r>
            <w:r>
              <w:t xml:space="preserve">. SVT tirgus infrastruktūrām būtu arī pēc pieprasījuma jāsniedz kompetentajām iestādēm un EVTI visi būtiskie dati. </w:t>
            </w:r>
            <w:r>
              <w:rPr>
                <w:b/>
                <w:i/>
                <w:strike w:val="0"/>
                <w:color w:val="auto"/>
                <w:highlight w:val="none"/>
                <w:u w:val="none" w:color="auto"/>
                <w:vertAlign w:val="baseline"/>
              </w:rPr>
              <w:t>Lai nodrošinātu ieguldītāju aizsardzību, tirgus integritāti un finanšu stabilitāti,</w:t>
            </w:r>
            <w:r>
              <w:t xml:space="preserve"> kompetentajai iestādei, kas piešķīrusi īpašo atļauju SVT tirgus infrastruktūrai, vajadzētu būt iespējai </w:t>
            </w:r>
            <w:r>
              <w:rPr>
                <w:b/>
                <w:i/>
                <w:strike w:val="0"/>
                <w:color w:val="auto"/>
                <w:highlight w:val="none"/>
                <w:u w:val="none" w:color="auto"/>
                <w:vertAlign w:val="baseline"/>
              </w:rPr>
              <w:t>pēc apspriešanās ar EVTI ieteikt jebkādus korektīvus pasākumus</w:t>
            </w:r>
            <w:r>
              <w:t>.</w:t>
            </w:r>
          </w:p>
        </w:tc>
        <w:tc>
          <w:tcPr>
            <w:tcW w:w="4876" w:type="dxa"/>
            <w:vAlign w:val="top"/>
          </w:tcPr>
          <w:p>
            <w:pPr>
              <w:pStyle w:val="Normal6a"/>
            </w:pPr>
            <w:r>
              <w:t>(38)</w:t>
            </w:r>
            <w:r>
              <w:tab/>
            </w:r>
            <w:r>
              <w:t xml:space="preserve">Tā kā SVT tirgus infrastruktūras var saņemt pagaidu atbrīvojumus no esošajiem Savienības tiesību aktiem, tām būtu cieši jāsadarbojas ar kompetentajām iestādēm un Eiropas Vērtspapīru un tirgu iestādi (EVTI) to īpašās atļaujas </w:t>
            </w:r>
            <w:r>
              <w:rPr>
                <w:b/>
                <w:i/>
                <w:strike w:val="0"/>
                <w:color w:val="auto"/>
                <w:highlight w:val="none"/>
                <w:u w:val="none" w:color="auto"/>
                <w:vertAlign w:val="baseline"/>
              </w:rPr>
              <w:t>derīguma</w:t>
            </w:r>
            <w:r>
              <w:t xml:space="preserve"> laikā. SVT tirgus infrastruktūrām būtu jāinformē kompetentās iestādes un EVTI par visām būtiskajām izmaiņām to darījumdarbības plānā un to kritiski svarīgajiem darbiniekiem, pierādījumiem par kiberdraudiem vai uzbrukumiem, krāpšanu vai citu nopietnu ļaunprātīgu praksi, izmaiņām informācijā, kas ietverta sākotnējā atļaujas pieteikumā, tehniskām grūtībām, jo īpaši tādām, kas saistītas ar SVT izmantošanu, un par visiem jaunajiem riskiem ieguldītāju aizsardzībai, tirgus integritātei vai finanšu stabilitātei, kas netika paredzēti, kad tika </w:t>
            </w:r>
            <w:r>
              <w:rPr>
                <w:b/>
                <w:i/>
                <w:strike w:val="0"/>
                <w:color w:val="auto"/>
                <w:highlight w:val="none"/>
                <w:u w:val="none" w:color="auto"/>
                <w:vertAlign w:val="baseline"/>
              </w:rPr>
              <w:t>piešķirtas īpašās atļaujas</w:t>
            </w:r>
            <w:r>
              <w:t xml:space="preserve">. Saņemot informāciju par šādām būtiskām izmaiņām, kompetentajai iestādei </w:t>
            </w:r>
            <w:r>
              <w:rPr>
                <w:b/>
                <w:i/>
                <w:strike w:val="0"/>
                <w:color w:val="auto"/>
                <w:highlight w:val="none"/>
                <w:u w:val="none" w:color="auto"/>
                <w:vertAlign w:val="baseline"/>
              </w:rPr>
              <w:t>ieguldītāju aizsardzības, tirgus integritātes un finanšu stabilitātes nodrošināšanas nolūkā būtu jāinformē to dalībvalstu kompetentās iestādes, kurās darbojas attiecīgā SVT tirgus infrastruktūra, un jāpieprasa EVTI sniegt ieteikumu un, pamatojoties uz to,</w:t>
            </w:r>
            <w:r>
              <w:t xml:space="preserve"> jāpieprasa, lai SVT tirgus infrastruktūra </w:t>
            </w:r>
            <w:r>
              <w:rPr>
                <w:b/>
                <w:i/>
                <w:strike w:val="0"/>
                <w:color w:val="auto"/>
                <w:highlight w:val="none"/>
                <w:u w:val="none" w:color="auto"/>
                <w:vertAlign w:val="baseline"/>
              </w:rPr>
              <w:t>vai nu</w:t>
            </w:r>
            <w:r>
              <w:t xml:space="preserve"> iesniedz pieteikumu </w:t>
            </w:r>
            <w:r>
              <w:rPr>
                <w:b/>
                <w:i/>
                <w:strike w:val="0"/>
                <w:color w:val="auto"/>
                <w:highlight w:val="none"/>
                <w:u w:val="none" w:color="auto"/>
                <w:vertAlign w:val="baseline"/>
              </w:rPr>
              <w:t>jaunas atļaujas vai atbrīvojuma saņemšanai</w:t>
            </w:r>
            <w:r>
              <w:t xml:space="preserve">, vai arī </w:t>
            </w:r>
            <w:r>
              <w:rPr>
                <w:b/>
                <w:i/>
                <w:strike w:val="0"/>
                <w:color w:val="auto"/>
                <w:highlight w:val="none"/>
                <w:u w:val="none" w:color="auto"/>
                <w:vertAlign w:val="baseline"/>
              </w:rPr>
              <w:t>veic jebkādus korektīvus pasākumus saskaņā ar EVTI ieteikumu</w:t>
            </w:r>
            <w:r>
              <w:t xml:space="preserve">. SVT tirgus infrastruktūrām būtu arī pēc pieprasījuma jāsniedz kompetentajām iestādēm un EVTI visi būtiskie dati. </w:t>
            </w:r>
            <w:r>
              <w:rPr>
                <w:b/>
                <w:i/>
                <w:strike w:val="0"/>
                <w:color w:val="auto"/>
                <w:highlight w:val="none"/>
                <w:u w:val="none" w:color="auto"/>
                <w:vertAlign w:val="baseline"/>
              </w:rPr>
              <w:t>Pēc apspriešanās ar EVTI</w:t>
            </w:r>
            <w:r>
              <w:t xml:space="preserve"> kompetentajai iestādei, kas piešķīrusi īpašo atļauju SVT tirgus infrastruktūrai, vajadzētu būt iespējai </w:t>
            </w:r>
            <w:r>
              <w:rPr>
                <w:b/>
                <w:i/>
                <w:strike w:val="0"/>
                <w:color w:val="auto"/>
                <w:highlight w:val="none"/>
                <w:u w:val="none" w:color="auto"/>
                <w:vertAlign w:val="baseline"/>
              </w:rPr>
              <w:t>pieprasīt SVT tirgus infrastruktūrai veikt pagaidu korektīvu pasākumu līdz brīdim, kad EVTI sniedz ieteikumu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komentāri un paskaidrojumi.</w:t>
      </w:r>
      <w:r>
        <w:t xml:space="preserve"> </w:t>
      </w:r>
      <w:r>
        <w:t>Turklāt tādu būtisku izmaiņu gadījumā, kādas šeit aprakstītas, būtu jāinformē uzņēmēju dalībvalstu kompetentās iestādes un jāvēršas pie EVTI, lai tā sniegtu ieteikumu.</w:t>
      </w:r>
      <w:r>
        <w:t xml:space="preserve"> </w:t>
      </w:r>
      <w:r>
        <w:t>Vajadzības gadījumā kompetentajām iestādēm, ja var tikt ietekmēta ieguldītāju aizsardzība, tirgus integritāte un finanšu stabilitāte, vajadzētu būt iespējai pieprasīt, nevis vienkārši ieteikt, lai SVT tirgus infrastruktūra veiktu jebkādus pagaidu pasākumus, līdz EVTI sniedz ieteikumu.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38.a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(38a)</w:t>
            </w:r>
            <w:r>
              <w:tab/>
            </w:r>
            <w:r>
              <w:rPr>
                <w:b/>
                <w:i/>
                <w:strike w:val="0"/>
                <w:color w:val="auto"/>
                <w:highlight w:val="none"/>
                <w:u w:val="none" w:color="auto"/>
                <w:vertAlign w:val="baseline"/>
              </w:rPr>
              <w:t>EVTI būtu jāizveido ad hoc konsultatīva komiteja, kas darbotos kā ieinteresēto personu grupa un kas uz ierobežotu laiku, kurš atbilst izmēģinājuma režīma darbības ilgumam, apvieno gan publisko, gan privāto ieinteresēto personu pārstāvjus.</w:t>
            </w:r>
            <w:r>
              <w:t xml:space="preserve"> </w:t>
            </w:r>
            <w:r>
              <w:rPr>
                <w:b/>
                <w:i/>
                <w:strike w:val="0"/>
                <w:color w:val="auto"/>
                <w:highlight w:val="none"/>
                <w:u w:val="none" w:color="auto"/>
                <w:vertAlign w:val="baseline"/>
              </w:rPr>
              <w:t>Šāda ad hoc konsultatīvā komiteja būtu pilnvarota veikt sagatavošanas un konsultatīvo darbu, kas vajadzīgs, lai palīdzētu EVTI sniegt šajā regulā paredzētos ieteikumus, nosūtot EVTI rakstisku paziņojumu, kurā izklāstīti iemesli atbrīvojuma atteikumam, vai tam, kāpēc komiteja atļauju uzskata par nepietiekami pamatotu vai nepiemērotu šīs regulas prasībām.</w:t>
            </w:r>
            <w:r>
              <w:t xml:space="preserve"> </w:t>
            </w:r>
            <w:r>
              <w:rPr>
                <w:b/>
                <w:i/>
                <w:strike w:val="0"/>
                <w:color w:val="auto"/>
                <w:highlight w:val="none"/>
                <w:u w:val="none" w:color="auto"/>
                <w:vertAlign w:val="baseline"/>
              </w:rPr>
              <w:t>Turklāt šādai ad hoc konsultatīvajai komitejai būtu jāizskata sūdzības, kas iesniegtas tieši EVTI gadījumos, kad pieteikuma iesniedzējs uzskata, ka attiecīgā valsts kompetentā iestāde ir nepamatoti noraidījusi pieteikumu saņemt atbrīvojumu vai atļauju piedalīties izmēģinājuma režīmā.</w:t>
            </w:r>
            <w:r>
              <w:t xml:space="preserve"> </w:t>
            </w:r>
            <w:r>
              <w:rPr>
                <w:b/>
                <w:i/>
                <w:strike w:val="0"/>
                <w:color w:val="auto"/>
                <w:highlight w:val="none"/>
                <w:u w:val="none" w:color="auto"/>
                <w:vertAlign w:val="baseline"/>
              </w:rPr>
              <w:t>Tomēr, lai nepieļautu, ka pieteikumu iesniedzēji iesniedz EVTI ļaunprātīgas sūdzības, būtu jāpieņem īpaša procedūra, kura analizētu tikai pilnīgas un labi dokumentētas sūdzības, kas nosūtītas konsultatīvajai komitejai.</w:t>
            </w:r>
            <w:r>
              <w:t xml:space="preserve"> </w:t>
            </w:r>
            <w:r>
              <w:rPr>
                <w:b/>
                <w:i/>
                <w:strike w:val="0"/>
                <w:color w:val="auto"/>
                <w:highlight w:val="none"/>
                <w:u w:val="none" w:color="auto"/>
                <w:vertAlign w:val="baseline"/>
              </w:rPr>
              <w:t>Minētajā procedūrā būtu jāparedz, ka konsultatīvā komiteja var pieprasīt saīsinātu nosūtīšanas termiņu pēc attiecīgās VKI atbildes saņemšanas, un jānosaka dokumentu kopums, kurš jānosūta konsultatīvajai komitejai un kurā jo īpaši būtu iekļauts pieteikuma iesniedzēja darbību kopsavilkums un pieprasītais atbrīvojums(-i).</w:t>
            </w:r>
            <w:r>
              <w:t xml:space="preserve"> </w:t>
            </w:r>
            <w:r>
              <w:rPr>
                <w:b/>
                <w:i/>
                <w:strike w:val="0"/>
                <w:color w:val="auto"/>
                <w:highlight w:val="none"/>
                <w:u w:val="none" w:color="auto"/>
                <w:vertAlign w:val="baseline"/>
              </w:rPr>
              <w:t>Attiecīgajiem dokumentiem, ko iesniedz, kā arī VKI lēmumam, ar ko noraida pieprasītos atbrīvojumus un/vai atļaujas, vajadzētu būt tulkotiem angļu valodā.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Lai nodrošinātu uzraudzības konverģenci, konsekvenci un to atbrīvojumu samērīgumu, ko saskaņā ar šo regulu piešķīrušas dažādas VKI visā Savienībā, kurām var nebūt vienāds tehnoloģisko zināšanu līmenis, un tādējādi veicinātu vienlīdzīgus konkurences apstākļus un atturētu no regulējuma arbitrāžas, tiek ierosināts stiprināt EVTI lomu.</w:t>
      </w:r>
      <w:r>
        <w:t xml:space="preserve"> </w:t>
      </w:r>
      <w:r>
        <w:t>Saskaņā ar Komisijas jaunā kapitāla tirgus savienības rīcības plāna 16. darbību.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39.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(39)</w:t>
            </w:r>
            <w:r>
              <w:tab/>
            </w:r>
            <w:r>
              <w:t xml:space="preserve">SVT tirgus infrastruktūrai arī būtu jāsniedz regulāri ziņojumi savām kompetentajām iestādēm un EVTI. </w:t>
            </w:r>
            <w:r>
              <w:rPr>
                <w:b/>
                <w:i/>
                <w:strike w:val="0"/>
                <w:color w:val="auto"/>
                <w:highlight w:val="none"/>
                <w:u w:val="none" w:color="auto"/>
                <w:vertAlign w:val="baseline"/>
              </w:rPr>
              <w:t>EVTI būru</w:t>
            </w:r>
            <w:r>
              <w:t xml:space="preserve"> jāorganizē apspriedes par šiem ziņojumiem, lai visas kompetentās iestādes visā Savienībā gūtu pieredzi par SVT izmantošanas ietekmi un Savienības finanšu pakalpojumu tiesību aktu pielāgojumiem, kas var būt nepieciešami, lai SVT varētu izmantot plašākā mērogā.</w:t>
            </w:r>
          </w:p>
        </w:tc>
        <w:tc>
          <w:tcPr>
            <w:tcW w:w="4876" w:type="dxa"/>
            <w:vAlign w:val="top"/>
          </w:tcPr>
          <w:p>
            <w:pPr>
              <w:pStyle w:val="Normal6a"/>
            </w:pPr>
            <w:r>
              <w:t>(39)</w:t>
            </w:r>
            <w:r>
              <w:tab/>
            </w:r>
            <w:r>
              <w:t xml:space="preserve">SVT tirgus infrastruktūrai arī būtu jāsniedz regulāri ziņojumi savām kompetentajām iestādēm un EVTI. </w:t>
            </w:r>
            <w:r>
              <w:rPr>
                <w:b/>
                <w:i/>
                <w:strike w:val="0"/>
                <w:color w:val="auto"/>
                <w:highlight w:val="none"/>
                <w:u w:val="none" w:color="auto"/>
                <w:vertAlign w:val="baseline"/>
              </w:rPr>
              <w:t>Valstu kompetentajām iestādēm, kas izveidojušas inovācijas centru vai “regulatīvo smilškasti”, būtu jāorganizē diskusijas starp to kompetentajām struktūrvienībām, lai gūtu izpratni un izplatītu iegūtās zināšanas.</w:t>
            </w:r>
            <w:r>
              <w:t xml:space="preserve"> </w:t>
            </w:r>
            <w:r>
              <w:rPr>
                <w:b/>
                <w:i/>
                <w:strike w:val="0"/>
                <w:color w:val="auto"/>
                <w:highlight w:val="none"/>
                <w:u w:val="none" w:color="auto"/>
                <w:vertAlign w:val="baseline"/>
              </w:rPr>
              <w:t>Turklāt valstu kompetentajām iestādēm, piedaloties Eiropas inovācijas veicinātāju forumā (EFIF), vajadzētu būt iespējai apspriest konkrētus gadījumus nolūkā apmainīties ar zināšanām un izstrādāt paraugpraksi.</w:t>
            </w:r>
            <w:r>
              <w:t xml:space="preserve"> </w:t>
            </w:r>
            <w:r>
              <w:rPr>
                <w:b/>
                <w:i/>
                <w:strike w:val="0"/>
                <w:color w:val="auto"/>
                <w:highlight w:val="none"/>
                <w:u w:val="none" w:color="auto"/>
                <w:vertAlign w:val="baseline"/>
              </w:rPr>
              <w:t>EVTI būtu</w:t>
            </w:r>
            <w:r>
              <w:t xml:space="preserve"> jāorganizē apspriedes par šiem ziņojumiem, lai visas kompetentās iestādes visā Savienībā gūtu pieredzi par SVT izmantošanas ietekmi </w:t>
            </w:r>
            <w:r>
              <w:rPr>
                <w:b/>
                <w:i/>
                <w:strike w:val="0"/>
                <w:color w:val="auto"/>
                <w:highlight w:val="none"/>
                <w:u w:val="none" w:color="auto"/>
                <w:vertAlign w:val="baseline"/>
              </w:rPr>
              <w:t>finanšu tirgos</w:t>
            </w:r>
            <w:r>
              <w:t xml:space="preserve"> un Savienības finanšu pakalpojumu tiesību aktu pielāgojumiem, kas var būt nepieciešami, lai SVT varētu izmantot plašākā mērogā.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Tiek ierosināts izmantot inovācijas veicinātājus (inovāciju centrus un “regulatīvās smilškastes”), ko izveidojušas valstu kompetentās iestādes, kā arī EFIF, ko Komisija izveidojusi sadarbībā ar trim EUI, lai veicinātu kopīgu izpratni, zināšanu apmaiņu un tehnoloģiju nodošanu starp VKI un EUI nolūkā ātri pielāgoties ES finanšu pakalpojumu regulai.</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rPr>
                <w:b/>
                <w:i/>
                <w:strike w:val="0"/>
                <w:color w:val="auto"/>
                <w:highlight w:val="none"/>
                <w:u w:val="none" w:color="auto"/>
                <w:vertAlign w:val="baseline"/>
              </w:rPr>
              <w:t>Piecus gadus pēc</w:t>
            </w:r>
            <w:r>
              <w:t xml:space="preserve"> šīs regulas piemērošanas </w:t>
            </w:r>
            <w:r>
              <w:rPr>
                <w:b/>
                <w:i/>
                <w:strike w:val="0"/>
                <w:color w:val="auto"/>
                <w:highlight w:val="none"/>
                <w:u w:val="none" w:color="auto"/>
                <w:vertAlign w:val="baseline"/>
              </w:rPr>
              <w:t>sākšanas</w:t>
            </w:r>
            <w:r>
              <w:t xml:space="preserve"> EVTI būtu </w:t>
            </w:r>
            <w:r>
              <w:rPr>
                <w:b/>
                <w:i/>
                <w:strike w:val="0"/>
                <w:color w:val="auto"/>
                <w:highlight w:val="none"/>
                <w:u w:val="none" w:color="auto"/>
                <w:vertAlign w:val="baseline"/>
              </w:rPr>
              <w:t>jāziņo</w:t>
            </w:r>
            <w:r>
              <w:t xml:space="preserve"> Komisijai </w:t>
            </w:r>
            <w:r>
              <w:rPr>
                <w:b/>
                <w:i/>
                <w:strike w:val="0"/>
                <w:color w:val="auto"/>
                <w:highlight w:val="none"/>
                <w:u w:val="none" w:color="auto"/>
                <w:vertAlign w:val="baseline"/>
              </w:rPr>
              <w:t>par</w:t>
            </w:r>
            <w:r>
              <w:t xml:space="preserve"> šo izmēģinājuma režīmu attiecībā uz SVT tirgus infrastruktūrām</w:t>
            </w:r>
            <w:r>
              <w:rPr>
                <w:b/>
                <w:i/>
                <w:strike w:val="0"/>
                <w:color w:val="auto"/>
                <w:highlight w:val="none"/>
                <w:u w:val="none" w:color="auto"/>
                <w:vertAlign w:val="baseline"/>
              </w:rPr>
              <w:t>, kā arī</w:t>
            </w:r>
            <w:r>
              <w:t xml:space="preserve"> par potenciālajiem ieguvumiem, kas saistīti ar SVT izmantošanu, izrietošajiem riskiem un tehniskajām grūtībām. Pamatojoties uz </w:t>
            </w:r>
            <w:r>
              <w:rPr>
                <w:b/>
                <w:i/>
                <w:strike w:val="0"/>
                <w:color w:val="auto"/>
                <w:highlight w:val="none"/>
                <w:u w:val="none" w:color="auto"/>
                <w:vertAlign w:val="baseline"/>
              </w:rPr>
              <w:t>EVTI ziņojumu,</w:t>
            </w:r>
            <w:r>
              <w:t xml:space="preserve"> Komisijai būtu </w:t>
            </w:r>
            <w:r>
              <w:rPr>
                <w:b/>
                <w:i/>
                <w:strike w:val="0"/>
                <w:color w:val="auto"/>
                <w:highlight w:val="none"/>
                <w:u w:val="none" w:color="auto"/>
                <w:vertAlign w:val="baseline"/>
              </w:rPr>
              <w:t>jāziņo</w:t>
            </w:r>
            <w:r>
              <w:t xml:space="preserve"> Padomei </w:t>
            </w:r>
            <w:r>
              <w:rPr>
                <w:b/>
                <w:i/>
                <w:strike w:val="0"/>
                <w:color w:val="auto"/>
                <w:highlight w:val="none"/>
                <w:u w:val="none" w:color="auto"/>
                <w:vertAlign w:val="baseline"/>
              </w:rPr>
              <w:t>un Eiropas Parlamentam.</w:t>
            </w:r>
            <w:r>
              <w:t xml:space="preserve"> Komisijas ziņojumā būtu jānovērtē izmaksas un ieguvumi, ko radītu šā </w:t>
            </w:r>
            <w:r>
              <w:rPr>
                <w:b/>
                <w:i/>
                <w:strike w:val="0"/>
                <w:color w:val="auto"/>
                <w:highlight w:val="none"/>
                <w:u w:val="none" w:color="auto"/>
                <w:vertAlign w:val="baseline"/>
              </w:rPr>
              <w:t>SVT</w:t>
            </w:r>
            <w:r>
              <w:t xml:space="preserve"> tirgus infrastruktūru režīma pagarināšana uz </w:t>
            </w:r>
            <w:r>
              <w:rPr>
                <w:b/>
                <w:i/>
                <w:strike w:val="0"/>
                <w:color w:val="auto"/>
                <w:highlight w:val="none"/>
                <w:u w:val="none" w:color="auto"/>
                <w:vertAlign w:val="baseline"/>
              </w:rPr>
              <w:t>vēl vienu termiņu</w:t>
            </w:r>
            <w:r>
              <w:t xml:space="preserve">, šā režīma paplašināšana, aptverot </w:t>
            </w:r>
            <w:r>
              <w:rPr>
                <w:b/>
                <w:i/>
                <w:strike w:val="0"/>
                <w:color w:val="auto"/>
                <w:highlight w:val="none"/>
                <w:u w:val="none" w:color="auto"/>
                <w:vertAlign w:val="baseline"/>
              </w:rPr>
              <w:t>jauna veida finanšu instrumentus</w:t>
            </w:r>
            <w:r>
              <w:t>, šā režīma pārveidošana par pastāvīgu režīmu ar izmaiņām vai bez tām, izmaiņu ieviešana Savienības finanšu pakalpojumu tiesību aktos vai šā režīma izbeigšana.</w:t>
            </w:r>
          </w:p>
        </w:tc>
        <w:tc>
          <w:tcPr>
            <w:tcW w:w="4876" w:type="dxa"/>
            <w:vAlign w:val="top"/>
          </w:tcPr>
          <w:p>
            <w:pPr>
              <w:pStyle w:val="Normal6a"/>
            </w:pPr>
            <w:r>
              <w:t>(40)</w:t>
            </w:r>
            <w:r>
              <w:tab/>
            </w:r>
            <w:r>
              <w:rPr>
                <w:b/>
                <w:i/>
                <w:strike w:val="0"/>
                <w:color w:val="auto"/>
                <w:highlight w:val="none"/>
                <w:u w:val="none" w:color="auto"/>
                <w:vertAlign w:val="baseline"/>
              </w:rPr>
              <w:t>Līdz ... [36 mēneši no</w:t>
            </w:r>
            <w:r>
              <w:t xml:space="preserve"> šīs regulas piemērošanas </w:t>
            </w:r>
            <w:r>
              <w:rPr>
                <w:b/>
                <w:i/>
                <w:strike w:val="0"/>
                <w:color w:val="auto"/>
                <w:highlight w:val="none"/>
                <w:u w:val="none" w:color="auto"/>
                <w:vertAlign w:val="baseline"/>
              </w:rPr>
              <w:t>dienas]</w:t>
            </w:r>
            <w:r>
              <w:t xml:space="preserve"> EVTI būtu </w:t>
            </w:r>
            <w:r>
              <w:rPr>
                <w:b/>
                <w:i/>
                <w:strike w:val="0"/>
                <w:color w:val="auto"/>
                <w:highlight w:val="none"/>
                <w:u w:val="none" w:color="auto"/>
                <w:vertAlign w:val="baseline"/>
              </w:rPr>
              <w:t>jāiesniedz</w:t>
            </w:r>
            <w:r>
              <w:t xml:space="preserve"> Komisijai </w:t>
            </w:r>
            <w:r>
              <w:rPr>
                <w:b/>
                <w:i/>
                <w:strike w:val="0"/>
                <w:color w:val="auto"/>
                <w:highlight w:val="none"/>
                <w:u w:val="none" w:color="auto"/>
                <w:vertAlign w:val="baseline"/>
              </w:rPr>
              <w:t>agrīnas režīma izbeigšanas novērtējuma ziņojums, lai Komisija varētu lemt, vai pagarināt</w:t>
            </w:r>
            <w:r>
              <w:t xml:space="preserve"> šo izmēģinājuma režīmu attiecībā uz SVT tirgus infrastruktūrām </w:t>
            </w:r>
            <w:r>
              <w:rPr>
                <w:b/>
                <w:i/>
                <w:strike w:val="0"/>
                <w:color w:val="auto"/>
                <w:highlight w:val="none"/>
                <w:u w:val="none" w:color="auto"/>
                <w:vertAlign w:val="baseline"/>
              </w:rPr>
              <w:t>līdz ... [pieci gadi no šīs regulas piemērošanas dienas].</w:t>
            </w:r>
            <w:r>
              <w:t xml:space="preserve"> </w:t>
            </w:r>
            <w:r>
              <w:rPr>
                <w:b/>
                <w:i/>
                <w:strike w:val="0"/>
                <w:color w:val="auto"/>
                <w:highlight w:val="none"/>
                <w:u w:val="none" w:color="auto"/>
                <w:vertAlign w:val="baseline"/>
              </w:rPr>
              <w:t>Agrīnas režīma izbeigšanas novērtējuma ziņojumā būtu jāiekļauj informācija</w:t>
            </w:r>
            <w:r>
              <w:t xml:space="preserve"> par potenciālajiem ieguvumiem, kas saistīti ar SVT izmantošanu, izrietošajiem riskiem un </w:t>
            </w:r>
            <w:r>
              <w:rPr>
                <w:b/>
                <w:i/>
                <w:strike w:val="0"/>
                <w:color w:val="auto"/>
                <w:highlight w:val="none"/>
                <w:u w:val="none" w:color="auto"/>
                <w:vertAlign w:val="baseline"/>
              </w:rPr>
              <w:t>jebkādām konstatētajām</w:t>
            </w:r>
            <w:r>
              <w:t xml:space="preserve"> tehniskajām grūtībām. </w:t>
            </w:r>
            <w:r>
              <w:rPr>
                <w:b/>
                <w:i/>
                <w:strike w:val="0"/>
                <w:color w:val="auto"/>
                <w:highlight w:val="none"/>
                <w:u w:val="none" w:color="auto"/>
                <w:vertAlign w:val="baseline"/>
              </w:rPr>
              <w:t>Agrīnas režīma izbeigšanas novērtējuma ziņojums būtu jāsagatavo,</w:t>
            </w:r>
            <w:r>
              <w:t xml:space="preserve"> pamatojoties uz </w:t>
            </w:r>
            <w:r>
              <w:rPr>
                <w:b/>
                <w:i/>
                <w:strike w:val="0"/>
                <w:color w:val="auto"/>
                <w:highlight w:val="none"/>
                <w:u w:val="none" w:color="auto"/>
                <w:vertAlign w:val="baseline"/>
              </w:rPr>
              <w:t>ikgadējiem starpposma ziņojumiem, no kuriem pirmais jāsagatavo 12 mēnešus pēc šajā regulā paredzēto regulatīvo tehnisko standartu publicēšanas.</w:t>
            </w:r>
            <w:r>
              <w:t xml:space="preserve"> </w:t>
            </w:r>
            <w:r>
              <w:rPr>
                <w:b/>
                <w:i/>
                <w:strike w:val="0"/>
                <w:color w:val="auto"/>
                <w:highlight w:val="none"/>
                <w:u w:val="none" w:color="auto"/>
                <w:vertAlign w:val="baseline"/>
              </w:rPr>
              <w:t>Agrīnas režīma izbeigšanas novērtējuma ziņojumam būtu jāsniedz iespēja veikt izvērtējumu un sniegt skaidrojošus paziņojumus, kas uzlabotu juridisko noteiktību un regulatīvo skaidrību, pamatojoties uz informāciju, kas cita starpā apkopota par tirgus lielumu, gūto pieredzi un SVT tehnoloģiju attīstību.</w:t>
            </w:r>
            <w:r>
              <w:t xml:space="preserve"> </w:t>
            </w:r>
            <w:r>
              <w:rPr>
                <w:b/>
                <w:i/>
                <w:strike w:val="0"/>
                <w:color w:val="auto"/>
                <w:highlight w:val="none"/>
                <w:u w:val="none" w:color="auto"/>
                <w:vertAlign w:val="baseline"/>
              </w:rPr>
              <w:t>Ja Komisija izmēģinājuma režīma piemērošanas termiņu pagarina, EVTI būtu līdz ... [pieci gadi no šīs regulas piemērošanas dienas] jāiesniedz Komisijai galīgais ziņojums par SVT izmēģinājuma režīmu.</w:t>
            </w:r>
            <w:r>
              <w:t xml:space="preserve"> </w:t>
            </w:r>
            <w:r>
              <w:rPr>
                <w:b/>
                <w:i/>
                <w:strike w:val="0"/>
                <w:color w:val="auto"/>
                <w:highlight w:val="none"/>
                <w:u w:val="none" w:color="auto"/>
                <w:vertAlign w:val="baseline"/>
              </w:rPr>
              <w:t>Galīgais ziņojums būtu jāsagatavo saskaņā ar tādiem pašiem principiem, kādi tika izmantoti agrīnas izbeigšanas novērtējuma ziņojuma izstrādē.</w:t>
            </w:r>
            <w:r>
              <w:t xml:space="preserve"> Komisijai būtu </w:t>
            </w:r>
            <w:r>
              <w:rPr>
                <w:b/>
                <w:i/>
                <w:strike w:val="0"/>
                <w:color w:val="auto"/>
                <w:highlight w:val="none"/>
                <w:u w:val="none" w:color="auto"/>
                <w:vertAlign w:val="baseline"/>
              </w:rPr>
              <w:t>jāiesniedz ziņojums Eiropas Parlamentam un</w:t>
            </w:r>
            <w:r>
              <w:t xml:space="preserve"> Padomei</w:t>
            </w:r>
            <w:r>
              <w:rPr>
                <w:b/>
                <w:i/>
                <w:strike w:val="0"/>
                <w:color w:val="auto"/>
                <w:highlight w:val="none"/>
                <w:u w:val="none" w:color="auto"/>
                <w:vertAlign w:val="baseline"/>
              </w:rPr>
              <w:t>, pamatojoties uz EVTI sniegto agrīnas režīma izbeigšanas novērtējuma ziņojumu, un pēc tam attiecīgā gadījumā ziņojums, kura pamatā ir EVTI galīgais ziņojums.</w:t>
            </w:r>
            <w:r>
              <w:t xml:space="preserve"> </w:t>
            </w:r>
            <w:r>
              <w:rPr>
                <w:b/>
                <w:i/>
                <w:strike w:val="0"/>
                <w:color w:val="auto"/>
                <w:highlight w:val="none"/>
                <w:u w:val="none" w:color="auto"/>
                <w:vertAlign w:val="baseline"/>
              </w:rPr>
              <w:t>Katrā</w:t>
            </w:r>
            <w:r>
              <w:t xml:space="preserve"> Komisijas ziņojumā būtu jānovērtē izmaksas un ieguvumi, ko radītu šā tirgus infrastruktūru režīma pagarināšana uz </w:t>
            </w:r>
            <w:r>
              <w:rPr>
                <w:b/>
                <w:i/>
                <w:strike w:val="0"/>
                <w:color w:val="auto"/>
                <w:highlight w:val="none"/>
                <w:u w:val="none" w:color="auto"/>
                <w:vertAlign w:val="baseline"/>
              </w:rPr>
              <w:t>papildu laikposmu</w:t>
            </w:r>
            <w:r>
              <w:t xml:space="preserve">, šā režīma paplašināšana, aptverot </w:t>
            </w:r>
            <w:r>
              <w:rPr>
                <w:b/>
                <w:i/>
                <w:strike w:val="0"/>
                <w:color w:val="auto"/>
                <w:highlight w:val="none"/>
                <w:u w:val="none" w:color="auto"/>
                <w:vertAlign w:val="baseline"/>
              </w:rPr>
              <w:t>jaunus finanšu instrumentu veidus</w:t>
            </w:r>
            <w:r>
              <w:t xml:space="preserve">, šā režīma pārveidošana par pastāvīgu režīmu ar izmaiņām vai bez tām, izmaiņu ieviešana Savienības finanšu pakalpojumu tiesību aktos vai šā režīma izbeigšana. </w:t>
            </w:r>
            <w:r>
              <w:rPr>
                <w:b/>
                <w:i/>
                <w:strike w:val="0"/>
                <w:color w:val="auto"/>
                <w:highlight w:val="none"/>
                <w:u w:val="none" w:color="auto"/>
                <w:vertAlign w:val="baseline"/>
              </w:rPr>
              <w:t>Turklāt vai nu agrīnas režīma izbeigšanas novērtējumā, vai galīgajā novērtējumā būtu jāprecizē, kā būtu jānotiek pārejai no izmēģinājuma režīma uz pilnībā saskaņotu SVT vērtspapīru regulatīvo režīmu, kā būtu jāmazina riski, kā būtu jārīkojas attiecībā uz instrumentiem, kuru termiņš ir pēc pārejas perioda beigām, un kā pēc izmēģinājuma režīma beigām būtu jāveic to DTS nodalīšana, kas nodrošina vairākas patlaban nodalītas funkcijas.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Ņemot vērā straujo tehnoloģiju un finanšu jauninājumu attīstību, tiek ierosināts paredzēt, ka EVTI pēc trim gadiem jāiesniedz Komisijai detalizēts agrīnas režīma izbeigšanas novērtējums, kurā tā iesaka veikt potenciālas izmēģinājuma režīma izmaiņas vai arī to pārtraukt.</w:t>
      </w:r>
      <w:r>
        <w:t xml:space="preserve"> </w:t>
      </w:r>
      <w:r>
        <w:t>Komisijai, ņemot vērā šo EVTI agrīnas režīma izbeigšanas ziņojumu, būtu jāiesniedz pašai savs ziņojums Eiropas Parlamentam un Padomei.</w:t>
      </w:r>
      <w:r>
        <w:t xml:space="preserve"> </w:t>
      </w:r>
      <w:r>
        <w:t>Ja izmēģinājuma režīms netiek izbeigts, tad EVTI un Komisijas otrais novērtējuma ziņojums būtu jāsniedz pēc pieciem gadiem.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The Left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rPr>
                <w:b/>
                <w:i/>
                <w:strike w:val="0"/>
                <w:color w:val="auto"/>
                <w:highlight w:val="none"/>
                <w:u w:val="none" w:color="auto"/>
                <w:vertAlign w:val="baseline"/>
              </w:rPr>
              <w:t>Piecus</w:t>
            </w:r>
            <w:r>
              <w:t xml:space="preserve"> gadus pēc šīs regulas piemērošanas sākšanas EVTI būtu jāziņo Komisijai par šo izmēģinājuma režīmu attiecībā uz SVT tirgus infrastruktūrām, kā arī par potenciālajiem ieguvumiem, kas saistīti ar SVT izmantošanu, izrietošajiem riskiem un tehniskajām grūtībām. Pamatojoties uz EVTI ziņojumu, Komisijai būtu jāziņo Padomei un Eiropas Parlamentam. </w:t>
            </w:r>
            <w:r>
              <w:rPr>
                <w:b/>
                <w:i/>
                <w:strike w:val="0"/>
                <w:color w:val="auto"/>
                <w:highlight w:val="none"/>
                <w:u w:val="none" w:color="auto"/>
                <w:vertAlign w:val="baseline"/>
              </w:rPr>
              <w:t>Komisijas</w:t>
            </w:r>
            <w:r>
              <w:t xml:space="preserve"> ziņojumā būtu </w:t>
            </w:r>
            <w:r>
              <w:rPr>
                <w:b/>
                <w:i/>
                <w:strike w:val="0"/>
                <w:color w:val="auto"/>
                <w:highlight w:val="none"/>
                <w:u w:val="none" w:color="auto"/>
                <w:vertAlign w:val="baseline"/>
              </w:rPr>
              <w:t>jānovērtē izmaksas un ieguvumi, ko radītu šā SVT tirgus infrastruktūru režīma pagarināšana uz vēl vienu termiņu, šā režīma paplašināšana, aptverot jauna veida finanšu instrumentus, šā režīma pārveidošana par pastāvīgu režīmu ar izmaiņām vai bez tām, izmaiņu ieviešana Savienības finanšu pakalpojumu</w:t>
            </w:r>
            <w:r>
              <w:t xml:space="preserve"> tiesību aktos </w:t>
            </w:r>
            <w:r>
              <w:rPr>
                <w:b/>
                <w:i/>
                <w:strike w:val="0"/>
                <w:color w:val="auto"/>
                <w:highlight w:val="none"/>
                <w:u w:val="none" w:color="auto"/>
                <w:vertAlign w:val="baseline"/>
              </w:rPr>
              <w:t>vai šā režīma izbeigšana</w:t>
            </w:r>
            <w:r>
              <w:t>.</w:t>
            </w:r>
          </w:p>
        </w:tc>
        <w:tc>
          <w:tcPr>
            <w:tcW w:w="4876" w:type="dxa"/>
            <w:vAlign w:val="top"/>
          </w:tcPr>
          <w:p>
            <w:pPr>
              <w:pStyle w:val="Normal6a"/>
            </w:pPr>
            <w:r>
              <w:t>(40)</w:t>
            </w:r>
            <w:r>
              <w:tab/>
            </w:r>
            <w:r>
              <w:rPr>
                <w:b/>
                <w:i/>
                <w:strike w:val="0"/>
                <w:color w:val="auto"/>
                <w:highlight w:val="none"/>
                <w:u w:val="none" w:color="auto"/>
                <w:vertAlign w:val="baseline"/>
              </w:rPr>
              <w:t>Divus</w:t>
            </w:r>
            <w:r>
              <w:t xml:space="preserve"> gadus pēc šīs regulas piemērošanas sākšanas EVTI būtu jāziņo Komisijai par šo izmēģinājuma režīmu attiecībā uz SVT tirgus infrastruktūrām, kā arī par potenciālajiem ieguvumiem, kas saistīti ar SVT izmantošanu, izrietošajiem riskiem un tehniskajām grūtībām. Pamatojoties uz EVTI ziņojumu, Komisijai būtu jāziņo Padomei un Eiropas Parlamentam. </w:t>
            </w:r>
            <w:r>
              <w:rPr>
                <w:b/>
                <w:i/>
                <w:strike w:val="0"/>
                <w:color w:val="auto"/>
                <w:highlight w:val="none"/>
                <w:u w:val="none" w:color="auto"/>
                <w:vertAlign w:val="baseline"/>
              </w:rPr>
              <w:t>Šajā</w:t>
            </w:r>
            <w:r>
              <w:t xml:space="preserve"> ziņojumā būtu </w:t>
            </w:r>
            <w:r>
              <w:rPr>
                <w:b/>
                <w:i/>
                <w:strike w:val="0"/>
                <w:color w:val="auto"/>
                <w:highlight w:val="none"/>
                <w:u w:val="none" w:color="auto"/>
                <w:vertAlign w:val="baseline"/>
              </w:rPr>
              <w:t>jāparāda, kā tā plāno gūto pieredzi iestrādāt spēkā esošajos</w:t>
            </w:r>
            <w:r>
              <w:t xml:space="preserve"> tiesību aktos.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40.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Piecus gadus pēc šīs regulas piemērošanas sākšanas EVTI būtu jāziņo Komisijai par šo izmēģinājuma režīmu attiecībā uz SVT tirgus infrastruktūrām, kā arī par potenciālajiem ieguvumiem, kas saistīti ar SVT izmantošanu, izrietošajiem riskiem un tehniskajām grūtībām. Pamatojoties uz EVTI ziņojumu, Komisijai būtu jāziņo Padomei un Eiropas Parlamentam. Komisijas ziņojumā būtu jānovērtē izmaksas un ieguvumi, ko radītu šā SVT tirgus infrastruktūru režīma pagarināšana uz vēl vienu termiņu, šā režīma paplašināšana, aptverot jauna veida finanšu instrumentus, šā režīma pārveidošana par pastāvīgu režīmu ar izmaiņām vai bez tām, izmaiņu ieviešana Savienības finanšu pakalpojumu tiesību aktos vai šā režīma izbeigšana.</w:t>
            </w:r>
          </w:p>
        </w:tc>
        <w:tc>
          <w:tcPr>
            <w:tcW w:w="4876" w:type="dxa"/>
            <w:vAlign w:val="top"/>
          </w:tcPr>
          <w:p>
            <w:pPr>
              <w:pStyle w:val="Normal6a"/>
            </w:pPr>
            <w:r>
              <w:t>(40)</w:t>
            </w:r>
            <w:r>
              <w:tab/>
            </w:r>
            <w:r>
              <w:t xml:space="preserve">Piecus gadus pēc šīs regulas piemērošanas sākšanas </w:t>
            </w:r>
            <w:r>
              <w:rPr>
                <w:b/>
                <w:i/>
                <w:strike w:val="0"/>
                <w:color w:val="auto"/>
                <w:highlight w:val="none"/>
                <w:u w:val="none" w:color="auto"/>
                <w:vertAlign w:val="baseline"/>
              </w:rPr>
              <w:t>un pēc apspriešanās ar valstu kompetentajām iestādēm</w:t>
            </w:r>
            <w:r>
              <w:t xml:space="preserve"> EVTI būtu jāziņo Komisijai par šo izmēģinājuma režīmu attiecībā uz SVT tirgus infrastruktūrām, kā arī par potenciālajiem ieguvumiem, kas saistīti ar SVT izmantošanu, izrietošajiem riskiem un tehniskajām grūtībām. Pamatojoties uz EVTI ziņojumu, Komisijai būtu jāziņo Padomei un Eiropas Parlamentam. Komisijas ziņojumā būtu jānovērtē izmaksas un ieguvumi, ko radītu šā SVT tirgus infrastruktūru režīma pagarināšana uz vēl vienu termiņu, šā režīma paplašināšana, aptverot jauna veida finanšu instrumentus, šā režīma pārveidošana par pastāvīgu režīmu ar izmaiņām vai bez tām, izmaiņu ieviešana Savienības finanšu pakalpojumu tiesību aktos vai šā režīma izbeigšana.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40.a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(40a)</w:t>
            </w:r>
            <w:r>
              <w:tab/>
            </w:r>
            <w:r>
              <w:rPr>
                <w:b/>
                <w:i/>
                <w:strike w:val="0"/>
                <w:color w:val="auto"/>
                <w:highlight w:val="none"/>
                <w:u w:val="none" w:color="auto"/>
                <w:vertAlign w:val="baseline"/>
              </w:rPr>
              <w:t>EVTI būtu jāpublicē gada ziņojumi, lai tirgus dalībniekiem sniegtu labāku izpratni par tirgu darbību un attīstību un sniegtu precizējumus par izmēģinājuma režīma piemērošanu.</w:t>
            </w:r>
            <w:r>
              <w:t xml:space="preserve"> </w:t>
            </w:r>
            <w:r>
              <w:rPr>
                <w:b/>
                <w:i/>
                <w:strike w:val="0"/>
                <w:color w:val="auto"/>
                <w:highlight w:val="none"/>
                <w:u w:val="none" w:color="auto"/>
                <w:vertAlign w:val="baseline"/>
              </w:rPr>
              <w:t>Minētajos ziņojumos iekļauj arī atjauninātus datus par izmēģinājuma režīmā sasniegto attiecībā uz tendencēm un jauniem riskiem, un tos iesniedz Eiropas Parlamentam, Padomei un Komisijai.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239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40.a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(40a)</w:t>
            </w:r>
            <w:r>
              <w:tab/>
            </w:r>
            <w:r>
              <w:rPr>
                <w:b/>
                <w:i/>
                <w:strike w:val="0"/>
                <w:color w:val="auto"/>
                <w:highlight w:val="none"/>
                <w:u w:val="none" w:color="auto"/>
                <w:vertAlign w:val="baseline"/>
              </w:rPr>
              <w:t>Nebūtu vēlams ieviest divus paralēlus režīmus, proti, attiecībā uz SVT balstītām un SVT nebalstītām tirgus infrastruktūrām.</w:t>
            </w:r>
            <w:r>
              <w:t xml:space="preserve"> </w:t>
            </w:r>
            <w:r>
              <w:rPr>
                <w:b/>
                <w:i/>
                <w:strike w:val="0"/>
                <w:color w:val="auto"/>
                <w:highlight w:val="none"/>
                <w:u w:val="none" w:color="auto"/>
                <w:vertAlign w:val="baseline"/>
              </w:rPr>
              <w:t>Ja šajā regulā paredzētais izmēģinājuma režīms būs sekmīgs, to varētu padarīt par pastāvīgu, grozot attiecīgos Savienības tiesību aktus finanšu pakalpojumu jomā tā, lai izveidotu vienotu un saskaņotu satvaru.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40.b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(40b)</w:t>
            </w:r>
            <w:r>
              <w:tab/>
            </w:r>
            <w:r>
              <w:rPr>
                <w:b/>
                <w:i/>
                <w:strike w:val="0"/>
                <w:color w:val="auto"/>
                <w:highlight w:val="none"/>
                <w:u w:val="none" w:color="auto"/>
                <w:vertAlign w:val="baseline"/>
              </w:rPr>
              <w:t>Lai uzraudzītu izmēģinājuma režīma progresu, EVTI būtu jāsniedz Komisijai, Eiropas Parlamentam un Padomei gada ziņojums par svarīgākajām tendencēm, riskiem un neaizsargātību saistībā ar izmēģinājuma režīmu.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44.a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(44a)</w:t>
            </w:r>
            <w:r>
              <w:tab/>
            </w:r>
            <w:r>
              <w:rPr>
                <w:b/>
                <w:i/>
                <w:strike w:val="0"/>
                <w:color w:val="auto"/>
                <w:highlight w:val="none"/>
                <w:u w:val="none" w:color="auto"/>
                <w:vertAlign w:val="baseline"/>
              </w:rPr>
              <w:t>SVT tirgus infrastruktūru darbība varētu ietvert personas datu apstrādi.</w:t>
            </w:r>
            <w:r>
              <w:t xml:space="preserve"> </w:t>
            </w:r>
            <w:r>
              <w:rPr>
                <w:b/>
                <w:i/>
                <w:strike w:val="0"/>
                <w:color w:val="auto"/>
                <w:highlight w:val="none"/>
                <w:u w:val="none" w:color="auto"/>
                <w:vertAlign w:val="baseline"/>
              </w:rPr>
              <w:t>Jebkāda personas datu apstrāde saskaņā ar šo regulu būtu jāveic, ievērojot piemērojamos Savienības tiesību aktus par personas datu aizsardzību.</w:t>
            </w:r>
            <w:r>
              <w:t xml:space="preserve"> </w:t>
            </w:r>
            <w:r>
              <w:rPr>
                <w:b/>
                <w:i/>
                <w:strike w:val="0"/>
                <w:color w:val="auto"/>
                <w:highlight w:val="none"/>
                <w:u w:val="none" w:color="auto"/>
                <w:vertAlign w:val="baseline"/>
              </w:rPr>
              <w:t>Šī regula neskar tiesības un pienākumus, kas noteikti Regulā (ES) 2016/679</w:t>
            </w:r>
            <w:r>
              <w:rPr>
                <w:rStyle w:val="SupBoldItalic"/>
              </w:rPr>
              <w:t>1a</w:t>
            </w:r>
            <w:r>
              <w:t xml:space="preserve"> </w:t>
            </w:r>
            <w:r>
              <w:rPr>
                <w:b/>
                <w:i/>
                <w:strike w:val="0"/>
                <w:color w:val="auto"/>
                <w:highlight w:val="none"/>
                <w:u w:val="none" w:color="auto"/>
                <w:vertAlign w:val="baseline"/>
              </w:rPr>
              <w:t>un Regulā (ES) 2018/1725</w:t>
            </w:r>
            <w:r>
              <w:rPr>
                <w:rStyle w:val="SupBoldItalic"/>
              </w:rPr>
              <w:t>1b</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Eiropas Parlamenta un Padomes Regula (ES) 2016/679 (2016. gada 27. aprīlis) par fizisku personu aizsardzību attiecībā uz personas datu apstrādi un šādu datu brīvu apriti un ar ko atceļ Direktīvu 95/46/EK (Vispārīgā datu aizsardzības regula) (OV L 119, 4.5.2016., 1. lpp.).</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1b</w:t>
            </w:r>
            <w:r>
              <w:t xml:space="preserve"> </w:t>
            </w:r>
            <w:r>
              <w:rPr>
                <w:b/>
                <w:i/>
                <w:strike w:val="0"/>
                <w:color w:val="auto"/>
                <w:highlight w:val="none"/>
                <w:u w:val="none" w:color="auto"/>
                <w:vertAlign w:val="baseline"/>
              </w:rPr>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 (OV L 295, 21.11.2018., 39. lpp.).</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Šā grozījuma mērķis ir ņemt vērā Eiropas Datu aizsardzības uzraudzītāja (EDAU) atzinuma Nr. 6/2021 galveno vēstījumu, proti, vajadzību ievērot Vispārīgo datu aizsardzības regulu (VDAR).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pants – 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Šī regula nosaka prasības </w:t>
            </w:r>
            <w:r>
              <w:rPr>
                <w:b/>
                <w:i/>
                <w:strike w:val="0"/>
                <w:color w:val="auto"/>
                <w:highlight w:val="none"/>
                <w:u w:val="none" w:color="auto"/>
                <w:vertAlign w:val="baseline"/>
              </w:rPr>
              <w:t>daudzpusējām tirdzniecības sistēmām un vērtspapīru norēķinu sistēmām, kas izmanto sadalītās virsgrāmatas tehnoloģiju “</w:t>
            </w:r>
            <w:r>
              <w:t xml:space="preserve">SVT tirgus </w:t>
            </w:r>
            <w:r>
              <w:rPr>
                <w:b/>
                <w:i/>
                <w:strike w:val="0"/>
                <w:color w:val="auto"/>
                <w:highlight w:val="none"/>
                <w:u w:val="none" w:color="auto"/>
                <w:vertAlign w:val="baseline"/>
              </w:rPr>
              <w:t>infrastruktūras” un</w:t>
            </w:r>
            <w:r>
              <w:t xml:space="preserve"> kurām ir </w:t>
            </w:r>
            <w:r>
              <w:rPr>
                <w:b/>
                <w:i/>
                <w:strike w:val="0"/>
                <w:color w:val="auto"/>
                <w:highlight w:val="none"/>
                <w:u w:val="none" w:color="auto"/>
                <w:vertAlign w:val="baseline"/>
              </w:rPr>
              <w:t>piešķirtas īpašas</w:t>
            </w:r>
            <w:r>
              <w:t xml:space="preserve"> uzturēšanas </w:t>
            </w:r>
            <w:r>
              <w:rPr>
                <w:b/>
                <w:i/>
                <w:strike w:val="0"/>
                <w:color w:val="auto"/>
                <w:highlight w:val="none"/>
                <w:u w:val="none" w:color="auto"/>
                <w:vertAlign w:val="baseline"/>
              </w:rPr>
              <w:t>atļaujas</w:t>
            </w:r>
            <w:r>
              <w:t xml:space="preserve"> saskaņā ar 7. un 8. pantu.</w:t>
            </w:r>
          </w:p>
        </w:tc>
        <w:tc>
          <w:tcPr>
            <w:tcW w:w="4876" w:type="dxa"/>
            <w:vAlign w:val="top"/>
          </w:tcPr>
          <w:p>
            <w:pPr>
              <w:pStyle w:val="Normal6a"/>
            </w:pPr>
            <w:r>
              <w:t>(1)</w:t>
            </w:r>
            <w:r>
              <w:tab/>
            </w:r>
            <w:r>
              <w:t xml:space="preserve">Šī regula nosaka prasības SVT tirgus </w:t>
            </w:r>
            <w:r>
              <w:rPr>
                <w:b/>
                <w:i/>
                <w:strike w:val="0"/>
                <w:color w:val="auto"/>
                <w:highlight w:val="none"/>
                <w:u w:val="none" w:color="auto"/>
                <w:vertAlign w:val="baseline"/>
              </w:rPr>
              <w:t>infrastruktūrām,</w:t>
            </w:r>
            <w:r>
              <w:t xml:space="preserve"> kurām ir </w:t>
            </w:r>
            <w:r>
              <w:rPr>
                <w:b/>
                <w:i/>
                <w:strike w:val="0"/>
                <w:color w:val="auto"/>
                <w:highlight w:val="none"/>
                <w:u w:val="none" w:color="auto"/>
                <w:vertAlign w:val="baseline"/>
              </w:rPr>
              <w:t>piešķirta īpaša</w:t>
            </w:r>
            <w:r>
              <w:t xml:space="preserve"> uzturēšanas </w:t>
            </w:r>
            <w:r>
              <w:rPr>
                <w:b/>
                <w:i/>
                <w:strike w:val="0"/>
                <w:color w:val="auto"/>
                <w:highlight w:val="none"/>
                <w:u w:val="none" w:color="auto"/>
                <w:vertAlign w:val="baseline"/>
              </w:rPr>
              <w:t>atļauja</w:t>
            </w:r>
            <w:r>
              <w:t xml:space="preserve"> saskaņā ar 7. un 8. pantu.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2. pantā ir definētas SVT tirgus infrastruktūras.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pants – 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Šī regula nosaka prasības </w:t>
            </w:r>
            <w:r>
              <w:rPr>
                <w:b/>
                <w:i/>
                <w:strike w:val="0"/>
                <w:color w:val="auto"/>
                <w:highlight w:val="none"/>
                <w:u w:val="none" w:color="auto"/>
                <w:vertAlign w:val="baseline"/>
              </w:rPr>
              <w:t>daudzpusējām tirdzniecības sistēmām un vērtspapīru norēķinu sistēmām, kas izmanto sadalītās virsgrāmatas tehnoloģiju</w:t>
            </w:r>
            <w:r>
              <w:t xml:space="preserve"> “SVT tirgus </w:t>
            </w:r>
            <w:r>
              <w:rPr>
                <w:b/>
                <w:i/>
                <w:strike w:val="0"/>
                <w:color w:val="auto"/>
                <w:highlight w:val="none"/>
                <w:u w:val="none" w:color="auto"/>
                <w:vertAlign w:val="baseline"/>
              </w:rPr>
              <w:t>infrastruktūras</w:t>
            </w:r>
            <w:r>
              <w:t xml:space="preserve">” </w:t>
            </w:r>
            <w:r>
              <w:rPr>
                <w:b/>
                <w:i/>
                <w:strike w:val="0"/>
                <w:color w:val="auto"/>
                <w:highlight w:val="none"/>
                <w:u w:val="none" w:color="auto"/>
                <w:vertAlign w:val="baseline"/>
              </w:rPr>
              <w:t>un</w:t>
            </w:r>
            <w:r>
              <w:t xml:space="preserve"> kurām ir piešķirtas īpašas uzturēšanas atļaujas saskaņā ar 7. un 8. pantu.</w:t>
            </w:r>
          </w:p>
        </w:tc>
        <w:tc>
          <w:tcPr>
            <w:tcW w:w="4876" w:type="dxa"/>
            <w:vAlign w:val="top"/>
          </w:tcPr>
          <w:p>
            <w:pPr>
              <w:pStyle w:val="Normal6a"/>
            </w:pPr>
            <w:r>
              <w:t>(1)</w:t>
            </w:r>
            <w:r>
              <w:tab/>
            </w:r>
            <w:r>
              <w:t xml:space="preserve">Šī regula nosaka prasības “SVT tirgus </w:t>
            </w:r>
            <w:r>
              <w:rPr>
                <w:b/>
                <w:i/>
                <w:strike w:val="0"/>
                <w:color w:val="auto"/>
                <w:highlight w:val="none"/>
                <w:u w:val="none" w:color="auto"/>
                <w:vertAlign w:val="baseline"/>
              </w:rPr>
              <w:t>infrastruktūrām</w:t>
            </w:r>
            <w:r>
              <w:t>”</w:t>
            </w:r>
            <w:r>
              <w:rPr>
                <w:b/>
                <w:i/>
                <w:strike w:val="0"/>
                <w:color w:val="auto"/>
                <w:highlight w:val="none"/>
                <w:u w:val="none" w:color="auto"/>
                <w:vertAlign w:val="baseline"/>
              </w:rPr>
              <w:t>,</w:t>
            </w:r>
            <w:r>
              <w:t xml:space="preserve"> kurām ir piešķirtas īpašas uzturēšanas atļaujas saskaņā ar 7. un 8. pantu.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pants – 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Šī regula nosaka prasības </w:t>
            </w:r>
            <w:r>
              <w:rPr>
                <w:b/>
                <w:i/>
                <w:strike w:val="0"/>
                <w:color w:val="auto"/>
                <w:highlight w:val="none"/>
                <w:u w:val="none" w:color="auto"/>
                <w:vertAlign w:val="baseline"/>
              </w:rPr>
              <w:t>daudzpusējām tirdzniecības sistēmām un vērtspapīru norēķinu</w:t>
            </w:r>
            <w:r>
              <w:t xml:space="preserve"> sistēmām, kas izmanto sadalītās virsgrāmatas tehnoloģiju “SVT tirgus infrastruktūras” un kurām ir piešķirtas īpašas uzturēšanas atļaujas saskaņā ar 7. un 8. pantu.</w:t>
            </w:r>
          </w:p>
        </w:tc>
        <w:tc>
          <w:tcPr>
            <w:tcW w:w="4876" w:type="dxa"/>
            <w:vAlign w:val="top"/>
          </w:tcPr>
          <w:p>
            <w:pPr>
              <w:pStyle w:val="Normal6a"/>
            </w:pPr>
            <w:r>
              <w:t>(1)</w:t>
            </w:r>
            <w:r>
              <w:tab/>
            </w:r>
            <w:r>
              <w:t xml:space="preserve">Šī regula nosaka prasības </w:t>
            </w:r>
            <w:r>
              <w:rPr>
                <w:b/>
                <w:i/>
                <w:strike w:val="0"/>
                <w:color w:val="auto"/>
                <w:highlight w:val="none"/>
                <w:u w:val="none" w:color="auto"/>
                <w:vertAlign w:val="baseline"/>
              </w:rPr>
              <w:t>struktūru</w:t>
            </w:r>
            <w:r>
              <w:t xml:space="preserve"> sistēmām, kas izmanto sadalītās virsgrāmatas tehnoloģiju “SVT tirgus infrastruktūras” un kurām ir piešķirtas īpašas uzturēšanas atļaujas saskaņā ar 7. un 8. pantu.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pants – 2. punkts – f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t>sadarbību starp SVT tirgus infrastruktūru uzturētājiem, kompetentajām iestādēm un EVTI.</w:t>
            </w:r>
          </w:p>
        </w:tc>
        <w:tc>
          <w:tcPr>
            <w:tcW w:w="4876" w:type="dxa"/>
            <w:vAlign w:val="top"/>
          </w:tcPr>
          <w:p>
            <w:pPr>
              <w:pStyle w:val="Normal6a"/>
            </w:pPr>
            <w:r>
              <w:t>(f)</w:t>
            </w:r>
            <w:r>
              <w:tab/>
            </w:r>
            <w:r>
              <w:t xml:space="preserve">sadarbību starp SVT tirgus infrastruktūru uzturētājiem, </w:t>
            </w:r>
            <w:r>
              <w:rPr>
                <w:b/>
                <w:i/>
                <w:strike w:val="0"/>
                <w:color w:val="auto"/>
                <w:highlight w:val="none"/>
                <w:u w:val="none" w:color="auto"/>
                <w:vertAlign w:val="baseline"/>
              </w:rPr>
              <w:t>valstu</w:t>
            </w:r>
            <w:r>
              <w:t xml:space="preserve"> kompetentajām iestādēm un EVTI.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pants – 2. punkts – f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t>sadarbību starp SVT tirgus infrastruktūru uzturētājiem, kompetentajām iestādēm un EVTI.</w:t>
            </w:r>
          </w:p>
        </w:tc>
        <w:tc>
          <w:tcPr>
            <w:tcW w:w="4876" w:type="dxa"/>
            <w:vAlign w:val="top"/>
          </w:tcPr>
          <w:p>
            <w:pPr>
              <w:pStyle w:val="Normal6a"/>
            </w:pPr>
            <w:r>
              <w:t>(f)</w:t>
            </w:r>
            <w:r>
              <w:tab/>
            </w:r>
            <w:r>
              <w:t xml:space="preserve">sadarbību starp SVT tirgus infrastruktūru uzturētājiem, </w:t>
            </w:r>
            <w:r>
              <w:rPr>
                <w:b/>
                <w:i/>
                <w:strike w:val="0"/>
                <w:color w:val="auto"/>
                <w:highlight w:val="none"/>
                <w:u w:val="none" w:color="auto"/>
                <w:vertAlign w:val="baseline"/>
              </w:rPr>
              <w:t>valstu</w:t>
            </w:r>
            <w:r>
              <w:t xml:space="preserve"> kompetentajām iestādēm un EVTI.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“sadalītās virsgrāmatas tehnoloģija” jeb “SVT” ir </w:t>
            </w:r>
            <w:r>
              <w:rPr>
                <w:b/>
                <w:i/>
                <w:strike w:val="0"/>
                <w:color w:val="auto"/>
                <w:highlight w:val="none"/>
                <w:u w:val="none" w:color="auto"/>
                <w:vertAlign w:val="baseline"/>
              </w:rPr>
              <w:t>tādu tehnoloģiju klase, kas</w:t>
            </w:r>
            <w:r>
              <w:t xml:space="preserve"> atbalsta </w:t>
            </w:r>
            <w:r>
              <w:rPr>
                <w:b/>
                <w:i/>
                <w:strike w:val="0"/>
                <w:color w:val="auto"/>
                <w:highlight w:val="none"/>
                <w:u w:val="none" w:color="auto"/>
                <w:vertAlign w:val="baseline"/>
              </w:rPr>
              <w:t>šifrētu datu sadalītu iegrāmatošanu</w:t>
            </w:r>
            <w:r>
              <w:t>;</w:t>
            </w:r>
          </w:p>
        </w:tc>
        <w:tc>
          <w:tcPr>
            <w:tcW w:w="4876" w:type="dxa"/>
            <w:vAlign w:val="top"/>
          </w:tcPr>
          <w:p>
            <w:pPr>
              <w:pStyle w:val="Normal6a"/>
            </w:pPr>
            <w:r>
              <w:t>(1)</w:t>
            </w:r>
            <w:r>
              <w:tab/>
            </w:r>
            <w:r>
              <w:t xml:space="preserve">“sadalītās virsgrāmatas tehnoloģija” jeb “SVT” ir </w:t>
            </w:r>
            <w:r>
              <w:rPr>
                <w:b/>
                <w:i/>
                <w:strike w:val="0"/>
                <w:color w:val="auto"/>
                <w:highlight w:val="none"/>
                <w:u w:val="none" w:color="auto"/>
                <w:vertAlign w:val="baseline"/>
              </w:rPr>
              <w:t>tehnoloģijas veids, kas saistīts ar tādiem protokoliem un</w:t>
            </w:r>
            <w:r>
              <w:t xml:space="preserve"> atbalsta </w:t>
            </w:r>
            <w:r>
              <w:rPr>
                <w:b/>
                <w:i/>
                <w:strike w:val="0"/>
                <w:color w:val="auto"/>
                <w:highlight w:val="none"/>
                <w:u w:val="none" w:color="auto"/>
                <w:vertAlign w:val="baseline"/>
              </w:rPr>
              <w:t>infrastruktūru, kuri datoriem dažādās vietās ļauj ierosināt un validēt darījumus un tīklā sinhronizēti atjaunināt uzskaites datus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Lai nodrošinātu atbilstību nākotnes prasībām, mums būtu jāizmanto definīcija, kas ir tehnoloģiski neitrāla un starptautiski saskaņota. Tādēļ tiek ierosināts izmantot Starptautisko norēķinu bankas (BIS) lietoto SVT definīciju (BIS Quarterly Review (ceturkšņa pārskats), 2017. gada septembris).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“sadalītās virsgrāmatas tehnoloģija” jeb “SVT” ir tādu tehnoloģiju klase, kas </w:t>
            </w:r>
            <w:r>
              <w:rPr>
                <w:b/>
                <w:i/>
                <w:strike w:val="0"/>
                <w:color w:val="auto"/>
                <w:highlight w:val="none"/>
                <w:u w:val="none" w:color="auto"/>
                <w:vertAlign w:val="baseline"/>
              </w:rPr>
              <w:t>atbalsta šifrētu</w:t>
            </w:r>
            <w:r>
              <w:t xml:space="preserve"> datu sadalītu iegrāmatošanu;</w:t>
            </w:r>
          </w:p>
        </w:tc>
        <w:tc>
          <w:tcPr>
            <w:tcW w:w="4876" w:type="dxa"/>
            <w:vAlign w:val="top"/>
          </w:tcPr>
          <w:p>
            <w:pPr>
              <w:pStyle w:val="Normal6a"/>
            </w:pPr>
            <w:r>
              <w:t>(1)</w:t>
            </w:r>
            <w:r>
              <w:tab/>
            </w:r>
            <w:r>
              <w:t xml:space="preserve">“sadalītās virsgrāmatas tehnoloģija” jeb “SVT” ir tādu tehnoloģiju klase, kas </w:t>
            </w:r>
            <w:r>
              <w:rPr>
                <w:b/>
                <w:i/>
                <w:strike w:val="0"/>
                <w:color w:val="auto"/>
                <w:highlight w:val="none"/>
                <w:u w:val="none" w:color="auto"/>
                <w:vertAlign w:val="baseline"/>
              </w:rPr>
              <w:t>ļauj veikt</w:t>
            </w:r>
            <w:r>
              <w:t xml:space="preserve"> datu sadalītu iegrāmatošanu</w:t>
            </w:r>
            <w:r>
              <w:rPr>
                <w:b/>
                <w:i/>
                <w:strike w:val="0"/>
                <w:color w:val="auto"/>
                <w:highlight w:val="none"/>
                <w:u w:val="none" w:color="auto"/>
                <w:vertAlign w:val="baseline"/>
              </w:rPr>
              <w:t>, izmantojot drošus mehānismus, piemēram, kriptogrāfiju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Tiek ierosināts izmantot plašāku kriptogrāfijas jēdzienu, kas aptver šifrēšanu, jaukšanu un citas tehnoloģijas un ir nākotnes prasībām atbilstošs.</w:t>
      </w:r>
      <w:r>
        <w:t xml:space="preserve"> </w:t>
      </w:r>
      <w:r>
        <w:t>Piemēram, kriptogrāfija darbojas divos virzienos, t. i.,</w:t>
      </w:r>
      <w:r>
        <w:t xml:space="preserve"> </w:t>
      </w:r>
      <w:r>
        <w:t>šifrētus datus var atšifrēt, izmantojot atbilstīgu atslēgu.</w:t>
      </w:r>
      <w:r>
        <w:t xml:space="preserve"> </w:t>
      </w:r>
      <w:r>
        <w:t>Savukārt jaukšana darbojas vienā virzienā, sajaucot vienkārša teksta elementus, lai izveidotu unikālu jaucējkodu</w:t>
      </w:r>
      <w:r>
        <w:t xml:space="preserve"> . </w:t>
      </w:r>
      <w:r>
        <w:t>Uzbrucējam, kas nozog datni ar jauktām parolēm, ir jāmēģina paroles uzminēt.</w:t>
      </w:r>
      <w:r>
        <w:t xml:space="preserve"> </w:t>
      </w:r>
      <w:r>
        <w:t>Abas minētās metodes cita starpā tiek izmantotas SVT.</w:t>
      </w:r>
      <w:r>
        <w:t xml:space="preserve"> </w:t>
      </w:r>
      <w:r>
        <w:t>Turklāt mums būtu rūpīgi jāpielāgo šajā regulā lietotās definīcijas tām definīcijām, kas lietotas ierosinātajā KAT regulā.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249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“sadalītās virsgrāmatas tehnoloģija” jeb “SVT” ir </w:t>
            </w:r>
            <w:r>
              <w:rPr>
                <w:b/>
                <w:i/>
                <w:strike w:val="0"/>
                <w:color w:val="auto"/>
                <w:highlight w:val="none"/>
                <w:u w:val="none" w:color="auto"/>
                <w:vertAlign w:val="baseline"/>
              </w:rPr>
              <w:t>tādu tehnoloģiju klase, kas atbalsta šifrētu datu sadalītu iegrāmatošanu</w:t>
            </w:r>
            <w:r>
              <w:t>;</w:t>
            </w:r>
          </w:p>
        </w:tc>
        <w:tc>
          <w:tcPr>
            <w:tcW w:w="4876" w:type="dxa"/>
            <w:vAlign w:val="top"/>
          </w:tcPr>
          <w:p>
            <w:pPr>
              <w:pStyle w:val="Normal6a"/>
            </w:pPr>
            <w:r>
              <w:t>(1)</w:t>
            </w:r>
            <w:r>
              <w:tab/>
            </w:r>
            <w:r>
              <w:t xml:space="preserve">“sadalītās virsgrāmatas tehnoloģija” jeb “SVT” ir </w:t>
            </w:r>
            <w:r>
              <w:rPr>
                <w:b/>
                <w:i/>
                <w:strike w:val="0"/>
                <w:color w:val="auto"/>
                <w:highlight w:val="none"/>
                <w:u w:val="none" w:color="auto"/>
                <w:vertAlign w:val="baseline"/>
              </w:rPr>
              <w:t>sadalītās virsgrāmatas tehnoloģija, kā definēts Regulā xxx (KAT regula)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SVT tīkla īpašniekam, kas ir par to atbildīgā struktūra, būtu jāsniedz informācija saistībā ar SVT infrastruktūras pamatā esošo tehnisko pieeju un jābūt atbildīgam jebkādu problēmu vai traucējumu gadījumā.</w:t>
            </w:r>
            <w:r>
              <w:t xml:space="preserve"> </w:t>
            </w:r>
            <w:r>
              <w:rPr>
                <w:b/>
                <w:i/>
                <w:strike w:val="0"/>
                <w:color w:val="auto"/>
                <w:highlight w:val="none"/>
                <w:u w:val="none" w:color="auto"/>
                <w:vertAlign w:val="baseline"/>
              </w:rPr>
              <w:t>Tekstā būtu jāievieš norobežojums starp SVT infrastruktūrām, kas ir saņēmušas atļauju, un tādām, kas to nav saņēmušas, jo saistības, kas attiecas uz šiem diviem SVT infrastruktūru veidiem, varētu būt atšķirīgas;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3.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“SVT daudzpusēja tirdzniecības sistēma” jeb “SVT DTS” ir “daudzpusēja tirdzniecības sistēma”, </w:t>
            </w:r>
            <w:r>
              <w:rPr>
                <w:b/>
                <w:i/>
                <w:strike w:val="0"/>
                <w:color w:val="auto"/>
                <w:highlight w:val="none"/>
                <w:u w:val="none" w:color="auto"/>
                <w:vertAlign w:val="baseline"/>
              </w:rPr>
              <w:t>ko uztur ieguldījumu brokeru sabiedrība vai tirgus dalībnieks un</w:t>
            </w:r>
            <w:r>
              <w:t xml:space="preserve"> kas pieņem tirdzniecībai tikai SVT pārvedamus vērtspapīrus un kas var tikt atļauta, pamatojoties uz pārredzamiem, nediskriminējošiem, vienotiem noteikumiem un procedūrām, lai:</w:t>
            </w:r>
          </w:p>
        </w:tc>
        <w:tc>
          <w:tcPr>
            <w:tcW w:w="4876" w:type="dxa"/>
            <w:vAlign w:val="top"/>
          </w:tcPr>
          <w:p>
            <w:pPr>
              <w:pStyle w:val="Normal6a"/>
            </w:pPr>
            <w:r>
              <w:t>(3)</w:t>
            </w:r>
            <w:r>
              <w:tab/>
            </w:r>
            <w:r>
              <w:t>“SVT daudzpusēja tirdzniecības sistēma” jeb “SVT DTS” ir “daudzpusēja tirdzniecības sistēma”, kas pieņem tirdzniecībai tikai SVT pārvedamus vērtspapīrus un kas var tikt atļauta, pamatojoties uz pārredzamiem, nediskriminējošiem, vienotiem noteikumiem un procedūrām, lai: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3.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“SVT daudzpusēja tirdzniecības sistēma” jeb “SVT DTS” ir “daudzpusēja tirdzniecības sistēma”, ko uztur ieguldījumu brokeru sabiedrība vai tirgus dalībnieks un kas pieņem tirdzniecībai tikai </w:t>
            </w:r>
            <w:r>
              <w:rPr>
                <w:b/>
                <w:i/>
                <w:strike w:val="0"/>
                <w:color w:val="auto"/>
                <w:highlight w:val="none"/>
                <w:u w:val="none" w:color="auto"/>
                <w:vertAlign w:val="baseline"/>
              </w:rPr>
              <w:t>SVT pārvedamus</w:t>
            </w:r>
            <w:r>
              <w:t xml:space="preserve"> vērtspapīrus un kas var tikt atļauta, pamatojoties uz pārredzamiem, nediskriminējošiem, vienotiem noteikumiem un procedūrām, lai:</w:t>
            </w:r>
          </w:p>
        </w:tc>
        <w:tc>
          <w:tcPr>
            <w:tcW w:w="4876" w:type="dxa"/>
            <w:vAlign w:val="top"/>
          </w:tcPr>
          <w:p>
            <w:pPr>
              <w:pStyle w:val="Normal6a"/>
            </w:pPr>
            <w:r>
              <w:t>(3)</w:t>
            </w:r>
            <w:r>
              <w:tab/>
            </w:r>
            <w:r>
              <w:t xml:space="preserve">“SVT daudzpusēja tirdzniecības sistēma” jeb “SVT DTS” ir “daudzpusēja tirdzniecības sistēma”, ko uztur ieguldījumu brokeru sabiedrība vai tirgus dalībnieks un kas pieņem tirdzniecībai tikai </w:t>
            </w:r>
            <w:r>
              <w:rPr>
                <w:b/>
                <w:i/>
                <w:strike w:val="0"/>
                <w:color w:val="auto"/>
                <w:highlight w:val="none"/>
                <w:u w:val="none" w:color="auto"/>
                <w:vertAlign w:val="baseline"/>
              </w:rPr>
              <w:t>3. pantā minētos SVT pārvedamos</w:t>
            </w:r>
            <w:r>
              <w:t xml:space="preserve"> vērtspapīrus un kas var tikt </w:t>
            </w:r>
            <w:r>
              <w:rPr>
                <w:b/>
                <w:i/>
                <w:strike w:val="0"/>
                <w:color w:val="auto"/>
                <w:highlight w:val="none"/>
                <w:u w:val="none" w:color="auto"/>
                <w:vertAlign w:val="baseline"/>
              </w:rPr>
              <w:t>licencēta vai</w:t>
            </w:r>
            <w:r>
              <w:t xml:space="preserve"> atļauta, pamatojoties uz pārredzamiem, nediskriminējošiem, vienotiem noteikumiem un procedūrām, lai: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Mijnorāde uz 3. pantu.</w:t>
      </w:r>
      <w:r>
        <w:t xml:space="preserve"> </w:t>
      </w:r>
      <w:r>
        <w:t>Precizējums, kas attiecas uz jauniem tirgus dalībniekiem, kuri vēlētos pieteikties licencei, lai kļūtu par DTS uzturētājiem, kā arī atļaujai uzturēt SVT DTS, saskaņā ar šajā regulā paredzētajiem noteikumiem attiecībā uz SVT DTS.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4.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“SVT vērtspapīru norēķinu sistēma” ir vērtspapīru norēķinu sistēma, </w:t>
            </w:r>
            <w:r>
              <w:rPr>
                <w:b/>
                <w:i/>
                <w:strike w:val="0"/>
                <w:color w:val="auto"/>
                <w:highlight w:val="none"/>
                <w:u w:val="none" w:color="auto"/>
                <w:vertAlign w:val="baseline"/>
              </w:rPr>
              <w:t>ko uztur “centrālais vērtspapīru depozitārijs” un</w:t>
            </w:r>
            <w:r>
              <w:t xml:space="preserve"> kas veic norēķinus par SVT pārvedamu vērtspapīru darījumiem pret maksājumu;</w:t>
            </w:r>
          </w:p>
        </w:tc>
        <w:tc>
          <w:tcPr>
            <w:tcW w:w="4876" w:type="dxa"/>
            <w:vAlign w:val="top"/>
          </w:tcPr>
          <w:p>
            <w:pPr>
              <w:pStyle w:val="Normal6a"/>
            </w:pPr>
            <w:r>
              <w:t>(4)</w:t>
            </w:r>
            <w:r>
              <w:tab/>
            </w:r>
            <w:r>
              <w:t>“SVT vērtspapīru norēķinu sistēma” ir vērtspapīru norēķinu sistēma, kas veic norēķinus par SVT pārvedamu vērtspapīru darījumiem pret maksājumu;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4.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“SVT vērtspapīru norēķinu sistēma” ir vērtspapīru norēķinu sistēma, ko uztur “centrālais vērtspapīru depozitārijs” un kas </w:t>
            </w:r>
            <w:r>
              <w:rPr>
                <w:b/>
                <w:i/>
                <w:strike w:val="0"/>
                <w:color w:val="auto"/>
                <w:highlight w:val="none"/>
                <w:u w:val="none" w:color="auto"/>
                <w:vertAlign w:val="baseline"/>
              </w:rPr>
              <w:t>veic norēķinus par SVT pārvedamu vērtspapīru darījumiem pret maksājumu;</w:t>
            </w:r>
          </w:p>
        </w:tc>
        <w:tc>
          <w:tcPr>
            <w:tcW w:w="4876" w:type="dxa"/>
            <w:vAlign w:val="top"/>
          </w:tcPr>
          <w:p>
            <w:pPr>
              <w:pStyle w:val="Normal6a"/>
            </w:pPr>
            <w:r>
              <w:t>(4)</w:t>
            </w:r>
            <w:r>
              <w:tab/>
            </w:r>
            <w:r>
              <w:t>“SVT vērtspapīru norēķinu sistēma” ir vērtspapīru norēķinu sistēma, ko uztur “centrālais vērtspapīru depozitārijs”</w:t>
            </w:r>
            <w:r>
              <w:rPr>
                <w:b/>
                <w:i/>
                <w:strike w:val="0"/>
                <w:color w:val="auto"/>
                <w:highlight w:val="none"/>
                <w:u w:val="none" w:color="auto"/>
                <w:vertAlign w:val="baseline"/>
              </w:rPr>
              <w:t>, kas pieļauj tikai SVT pārvedamus vērtspapīrus</w:t>
            </w:r>
            <w:r>
              <w:t xml:space="preserve"> un kas</w:t>
            </w:r>
            <w:r>
              <w:rPr>
                <w:b/>
                <w:i/>
                <w:strike w:val="0"/>
                <w:color w:val="auto"/>
                <w:highlight w:val="none"/>
                <w:u w:val="none" w:color="auto"/>
                <w:vertAlign w:val="baseline"/>
              </w:rPr>
              <w:t>, pamatojoties uz pārredzamiem, nediskrecionāriem, vienotiem noteikumiem un procedūrām, ir licencēta vai saņēmusi atļauju: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nodrošināt SVT pārvedamo vērtspapīru sākotnējo iegrāmatošanu;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veikt norēķinus par SVT pārvedamu vērtspapīru darījumiem pret maksājumu</w:t>
            </w:r>
            <w:r>
              <w:t xml:space="preserve"> </w:t>
            </w:r>
            <w:r>
              <w:rPr>
                <w:b/>
                <w:i/>
                <w:strike w:val="0"/>
                <w:color w:val="auto"/>
                <w:highlight w:val="none"/>
                <w:u w:val="none" w:color="auto"/>
                <w:vertAlign w:val="baseline"/>
              </w:rPr>
              <w:t>un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 sniegt glabāšanas pakalpojumus attiecībā uz SVT pārvedamiem vērtspapīriem vai attiecīgā gadījumā saistītiem maksājumiem un nodrošinājumu, ko sniedz, izmantojot SVT DTS;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Mijnorāde uz 3. pantu.</w:t>
      </w:r>
      <w:r>
        <w:t xml:space="preserve"> </w:t>
      </w:r>
      <w:r>
        <w:t>Precizējums, kas attiecas uz jauniem tirgus dalībniekiem, kuri vēlētos pieteikties licencei, lai kļūtu par CVD uzturētājiem, kā arī atļaujai uzturēt SVT VNS saskaņā ar šajā regulā paredzētajiem noteikumiem.</w:t>
      </w:r>
      <w:r>
        <w:t xml:space="preserve"> </w:t>
      </w:r>
      <w:r>
        <w:t>Turklāt, tā kā SVT DTS šā izmēģinājuma režīma kontekstā ir atļauts sniegt CVD pakalpojumus, tiek ierosināts attiecīgi atļaut SVT VNS sniegt DTS pakalpojumus saskaņā ar šeit aprakstītajiem nosacījumiem.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5.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“SVT pārvedamie vērtspapīri” ir pārvedami vērtspapīri Direktīvas 2014/65/ES 4. panta 1. punkta 44. apakšpunkta a) un b) punkta nozīmē, kurus emitē, iegrāmato, pārved un glabā, izmantojot SVT;</w:t>
            </w:r>
          </w:p>
        </w:tc>
        <w:tc>
          <w:tcPr>
            <w:tcW w:w="4876" w:type="dxa"/>
            <w:vAlign w:val="top"/>
          </w:tcPr>
          <w:p>
            <w:pPr>
              <w:pStyle w:val="Normal6a"/>
            </w:pPr>
            <w:r>
              <w:t>(5)</w:t>
            </w:r>
            <w:r>
              <w:tab/>
            </w:r>
            <w:r>
              <w:t>“SVT pārvedamie vērtspapīri” ir pārvedami vērtspapīri Direktīvas 2014/65/ES 4. panta 1. punkta 44. apakšpunkta a) un b) punkta nozīmē, kurus emitē, iegrāmato, pārved un glabā, izmantojot SVT</w:t>
            </w:r>
            <w:r>
              <w:rPr>
                <w:b/>
                <w:i/>
                <w:strike w:val="0"/>
                <w:color w:val="auto"/>
                <w:highlight w:val="none"/>
                <w:u w:val="none" w:color="auto"/>
                <w:vertAlign w:val="baseline"/>
              </w:rPr>
              <w:t>, kuras izveides vai darbības pamatā nav “pierādījuma par darbu” konsensa mehānisms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5.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“SVT pārvedamie vērtspapīri” ir pārvedami vērtspapīri Direktīvas 2014/65/ES 4. panta 1. punkta 44. apakšpunkta a) un b) punkta nozīmē, kurus emitē, iegrāmato, pārved un glabā, izmantojot SVT;</w:t>
            </w:r>
          </w:p>
        </w:tc>
        <w:tc>
          <w:tcPr>
            <w:tcW w:w="4876" w:type="dxa"/>
            <w:vAlign w:val="top"/>
          </w:tcPr>
          <w:p>
            <w:pPr>
              <w:pStyle w:val="Normal6a"/>
            </w:pPr>
            <w:r>
              <w:t>(5)</w:t>
            </w:r>
            <w:r>
              <w:tab/>
            </w:r>
            <w:r>
              <w:t>“SVT pārvedamie vērtspapīri” ir pārvedami vērtspapīri</w:t>
            </w:r>
            <w:r>
              <w:rPr>
                <w:b/>
                <w:i/>
                <w:strike w:val="0"/>
                <w:color w:val="auto"/>
                <w:highlight w:val="none"/>
                <w:u w:val="none" w:color="auto"/>
                <w:vertAlign w:val="baseline"/>
              </w:rPr>
              <w:t>, ieskaitot depozitāros sertifikātus,</w:t>
            </w:r>
            <w:r>
              <w:t xml:space="preserve"> Direktīvas 2014/65/ES 4. panta 1. punkta 44. apakšpunkta a) un b) punkta nozīmē, kurus emitē, iegrāmato, pārved un glabā, izmantojot SVT;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5.a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“SVT biržā tirgota fonda daļas” jeb “SVT BTF daļas” ir biržā tirgota fonda daļas vai akcijas Direktīvas 2014/65/ES 4. panta 1. punkta 46) apakšpunkta nozīmē, kuras emitē, iegrāmato, pārved un glabā, izmantojot SVT;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5.a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“SVT biržā tirgota fonda daļas” jeb “SVT BTF daļas” ir biržā tirgota fonda daļas vai akcijas Direktīvas 2014/65/ES 4. panta 1. punkta 46) apakšpunkta nozīmē, kuras emitē, iegrāmato, pārved un glabā, izmantojot SVT;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Mēs uzskatām, ka būtu lietderīgi paplašināt SVT pārvedamu vērtspapīru darbības jomu, attiecinot to arī uz BTF, lai nodrošinātu labvēlīgāku izmēģinājuma vidi, kas lielākam skaitam tirgus dalībnieku sniegtu iespēju gūt pieredzi darbā ar SVT modeļiem.</w:t>
      </w:r>
      <w:r>
        <w:t xml:space="preserve"> </w:t>
      </w:r>
      <w:r>
        <w:t>Tiek arī ierosināts, ka šīs SVT BTF vajadzētu vislabāk ieguldīt SVT akcijās un obligācijās.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259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6.a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“kolektīvo ieguldījumu uzņēmumu SVT daļas” ir kolektīvo ieguldījumu uzņēmumu daļas, kas minētas Direktīvas 2014/65/ES III pielikuma C iedaļas 3. postenī un ko emitē, iegrāmato, pārved un glabā, izmantojot SVT;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12.a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“norēķinu monēta” ir komercbankas naudas līdzekļi tokenizētā veidā;</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Iespējams, ka definīcija būs jāsaskaņo ar definīciju, ko varētu iekļaut ierosinātajā regulā par kriptoaktīvu tirgiem (MiCAR).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13.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 xml:space="preserve">“valsts obligācija” ir obligācija, </w:t>
            </w:r>
            <w:r>
              <w:rPr>
                <w:b/>
                <w:i/>
                <w:strike w:val="0"/>
                <w:color w:val="auto"/>
                <w:highlight w:val="none"/>
                <w:u w:val="none" w:color="auto"/>
                <w:vertAlign w:val="baseline"/>
              </w:rPr>
              <w:t>ko</w:t>
            </w:r>
            <w:r>
              <w:t xml:space="preserve"> emitējis valsts emitents, kas ir:</w:t>
            </w:r>
          </w:p>
        </w:tc>
        <w:tc>
          <w:tcPr>
            <w:tcW w:w="4876" w:type="dxa"/>
            <w:vAlign w:val="top"/>
          </w:tcPr>
          <w:p>
            <w:pPr>
              <w:pStyle w:val="Normal6a"/>
            </w:pPr>
            <w:r>
              <w:t>(13)</w:t>
            </w:r>
            <w:r>
              <w:tab/>
            </w:r>
            <w:r>
              <w:t xml:space="preserve">“valsts obligācija” ir obligācija, </w:t>
            </w:r>
            <w:r>
              <w:rPr>
                <w:b/>
                <w:i/>
                <w:strike w:val="0"/>
                <w:color w:val="auto"/>
                <w:highlight w:val="none"/>
                <w:u w:val="none" w:color="auto"/>
                <w:vertAlign w:val="baseline"/>
              </w:rPr>
              <w:t>kuru</w:t>
            </w:r>
            <w:r>
              <w:t xml:space="preserve"> emitējis valsts emitents, </w:t>
            </w:r>
            <w:r>
              <w:rPr>
                <w:b/>
                <w:i/>
                <w:strike w:val="0"/>
                <w:color w:val="auto"/>
                <w:highlight w:val="none"/>
                <w:u w:val="none" w:color="auto"/>
                <w:vertAlign w:val="baseline"/>
              </w:rPr>
              <w:t>kas definēts Eiropas Parlamenta un Padomes Direktīvas 2014/65/ES (FITD II) 4. panta 1. punkta 60) apakšpunkta i) un ii) punktā un</w:t>
            </w:r>
            <w:r>
              <w:t xml:space="preserve"> kas ir: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Juridiskās noteiktības un skaidrības labad 13. punktā minētā definīcija būtu jāsaskaņo ar Eiropas Parlamenta un Padomes Direktīvas 2014/65/ES (FITD II) 4. pantā iekļauto definīciju.</w:t>
      </w:r>
      <w:r>
        <w:t xml:space="preserve"> </w:t>
      </w:r>
      <w:r>
        <w:t>Ar ierosināto regulu tiek ieviestas “valsts obligāciju” un “citu publisko obligāciju” definīcijas, un attiecīgais emitents ir “valsts struktūra” un “publiska struktūra”, savukārt FITD II 4. pantā publiskās struktūras, kas aprakstītas šajā priekšlikumā, ir definētas kā “valsts struktūras”.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13.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“valsts obligācija” ir obligācija, ko emitējis valsts emitents</w:t>
            </w:r>
            <w:r>
              <w:rPr>
                <w:b/>
                <w:i/>
                <w:strike w:val="0"/>
                <w:color w:val="auto"/>
                <w:highlight w:val="none"/>
                <w:u w:val="none" w:color="auto"/>
                <w:vertAlign w:val="baseline"/>
              </w:rPr>
              <w:t>, kas ir:</w:t>
            </w:r>
          </w:p>
        </w:tc>
        <w:tc>
          <w:tcPr>
            <w:tcW w:w="4876" w:type="dxa"/>
            <w:vAlign w:val="top"/>
          </w:tcPr>
          <w:p>
            <w:pPr>
              <w:pStyle w:val="Normal6a"/>
            </w:pPr>
            <w:r>
              <w:t>(13)</w:t>
            </w:r>
            <w:r>
              <w:tab/>
            </w:r>
            <w:r>
              <w:t xml:space="preserve">“valsts obligācija” ir obligācija, ko emitējis valsts emitents </w:t>
            </w:r>
            <w:r>
              <w:rPr>
                <w:b/>
                <w:i/>
                <w:strike w:val="0"/>
                <w:color w:val="auto"/>
                <w:highlight w:val="none"/>
                <w:u w:val="none" w:color="auto"/>
                <w:vertAlign w:val="baseline"/>
              </w:rPr>
              <w:t>Direktīvas 2014/65/ES 4. panta 1. punkta 60) apakšpunkta nozīmē;</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Saskaņošana ar valsts emitenta definīciju Finanšu instrumentu tirgu direktīvā (FITD).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13.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Savienība;</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Saskaņošana ar valsts emitenta definīciju Finanšu instrumentu tirgu direktīvā (FITD).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13. punkts – b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dalībvalsts, tostarp dalībvalsts valdības departaments, aģentūra vai dalībvalsts īpašam nolūkam dibināta sabiedrība, vai cita valsts struktūra;</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Saskaņošana ar valsts emitenta definīciju Finanšu instrumentu tirgu direktīvā (FITD).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13. punkts – c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valsts struktūra, kas nav minēta a) un b) apakšpunktā;</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Saskaņošana ar valsts emitenta definīciju Finanšu instrumentu tirgu direktīvā (FITD).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13. punkts – c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valsts struktūra, kas nav minēta a) un b) apakšpunktā;</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14.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 xml:space="preserve">“cita publiska obligācija” ir obligācija, ko emitējis jebkurš no šādiem </w:t>
            </w:r>
            <w:r>
              <w:rPr>
                <w:b/>
                <w:i/>
                <w:strike w:val="0"/>
                <w:color w:val="auto"/>
                <w:highlight w:val="none"/>
                <w:u w:val="none" w:color="auto"/>
                <w:vertAlign w:val="baseline"/>
              </w:rPr>
              <w:t>publiskiem</w:t>
            </w:r>
            <w:r>
              <w:t xml:space="preserve"> emitentiem:</w:t>
            </w:r>
          </w:p>
        </w:tc>
        <w:tc>
          <w:tcPr>
            <w:tcW w:w="4876" w:type="dxa"/>
            <w:vAlign w:val="top"/>
          </w:tcPr>
          <w:p>
            <w:pPr>
              <w:pStyle w:val="Normal6a"/>
            </w:pPr>
            <w:r>
              <w:t>(14)</w:t>
            </w:r>
            <w:r>
              <w:tab/>
            </w:r>
            <w:r>
              <w:t xml:space="preserve">“cita publiska obligācija” ir obligācija, ko emitējis jebkurš no šādiem </w:t>
            </w:r>
            <w:r>
              <w:rPr>
                <w:b/>
                <w:i/>
                <w:strike w:val="0"/>
                <w:color w:val="auto"/>
                <w:highlight w:val="none"/>
                <w:u w:val="none" w:color="auto"/>
                <w:vertAlign w:val="baseline"/>
              </w:rPr>
              <w:t>valsts</w:t>
            </w:r>
            <w:r>
              <w:t xml:space="preserve"> emitentiem</w:t>
            </w:r>
            <w:r>
              <w:rPr>
                <w:b/>
                <w:i/>
                <w:strike w:val="0"/>
                <w:color w:val="auto"/>
                <w:highlight w:val="none"/>
                <w:u w:val="none" w:color="auto"/>
                <w:vertAlign w:val="baseline"/>
              </w:rPr>
              <w:t>, kā definēts Eiropas Parlamenta un Padomes Direktīvas 2014/65/ES (FITD II) 4. panta 1. punkta 60) apakšpunkta iii), iv), v) un vi) punktā</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Juridiskās noteiktības un skaidrības labad 14. punktā minētā definīcija būtu jāsaskaņo ar Eiropas Parlamenta un Padomes Direktīvas 2014/65/ES (FITD II) 4. pantā iekļauto definīciju.</w:t>
      </w:r>
      <w:r>
        <w:t xml:space="preserve"> </w:t>
      </w:r>
      <w:r>
        <w:t>Ar ierosināto regulu tiek ieviestas “valsts obligāciju” un “citu publisko obligāciju” definīcijas, un attiecīgais emitents ir “valsts struktūra” un “publiska struktūra”, savukārt FITD II 4. pantā publiskās struktūras, kas aprakstītas šajā priekšlikumā, ir definētas kā “valsts struktūras”.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14. punkts – e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publiska struktūra, kas nav valsts obligācijas emitents, kā norādīts 13) punktā;</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269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21. punkts – c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ko citādi norīkojušas dalībvalstis</w:t>
            </w:r>
            <w:r>
              <w:t xml:space="preserve"> šīs regulas piemērošanas pārraudzībai;</w:t>
            </w:r>
          </w:p>
        </w:tc>
        <w:tc>
          <w:tcPr>
            <w:tcW w:w="4876" w:type="dxa"/>
            <w:vAlign w:val="top"/>
          </w:tcPr>
          <w:p>
            <w:pPr>
              <w:pStyle w:val="Normal6a"/>
            </w:pPr>
            <w:r>
              <w:t>(c)</w:t>
            </w:r>
            <w:r>
              <w:tab/>
            </w:r>
            <w:r>
              <w:rPr>
                <w:b/>
                <w:i/>
                <w:strike w:val="0"/>
                <w:color w:val="auto"/>
                <w:highlight w:val="none"/>
                <w:u w:val="none" w:color="auto"/>
                <w:vertAlign w:val="baseline"/>
              </w:rPr>
              <w:t>EVTI</w:t>
            </w:r>
            <w:r>
              <w:t xml:space="preserve"> šīs regulas piemērošanas pārraudzībai;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Saskaņā ar šo regulu EVTI ir tiešas uzraudzības pilnvaras.</w:t>
      </w:r>
      <w:r>
        <w:t xml:space="preserve"> </w:t>
      </w:r>
      <w:r>
        <w:t>Šo grozījumu ir paredzēts horizontāli piemērot visā tekstā.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22. punkts – ba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struktūra, kas uztur SVT DTS un nav nedz ieguldījumu brokeru sabiedrība, nedz tirgus dalībnieks, dalībvalsts, kurā šī struktūra ir reģistrēta, vai, ja saskaņā ar minētās dalībvalsts tiesību aktiem tai nav juridiskās adreses, dalībvalsts, kurā atrodas uzturētāja galvenais birojs;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pants – 1. daļa – 22. punkts – ca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struktūra, kas uztur SVT vērtspapīru norēķinu sistēmu un nav CVD, dalībvalsts, kurā uzturētājs ir reģistrēts, vai, ja saskaņā ar minētās dalībvalsts tiesību aktiem tam nav juridiskās adreses, dalībvalsts, kurā atrodas uzturētāja galvenais birojs;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tie ir akcijas, kuru emitenta tirgus kapitalizācija vai orientējošā tirgus kapitalizācija ir mazāka nekā </w:t>
            </w:r>
            <w:r>
              <w:rPr>
                <w:b/>
                <w:i/>
                <w:strike w:val="0"/>
                <w:color w:val="auto"/>
                <w:highlight w:val="none"/>
                <w:u w:val="none" w:color="auto"/>
                <w:vertAlign w:val="baseline"/>
              </w:rPr>
              <w:t>200</w:t>
            </w:r>
            <w:r>
              <w:t xml:space="preserve"> miljoni EUR, vai</w:t>
            </w:r>
          </w:p>
        </w:tc>
        <w:tc>
          <w:tcPr>
            <w:tcW w:w="4876" w:type="dxa"/>
            <w:vAlign w:val="top"/>
          </w:tcPr>
          <w:p>
            <w:pPr>
              <w:pStyle w:val="Normal6a"/>
            </w:pPr>
            <w:r>
              <w:t>(a)</w:t>
            </w:r>
            <w:r>
              <w:tab/>
            </w:r>
            <w:r>
              <w:t xml:space="preserve">tie ir akcijas, kuru emitenta tirgus kapitalizācija vai orientējošā tirgus kapitalizācija ir mazāka nekā </w:t>
            </w:r>
            <w:r>
              <w:rPr>
                <w:b/>
                <w:i/>
                <w:strike w:val="0"/>
                <w:color w:val="auto"/>
                <w:highlight w:val="none"/>
                <w:u w:val="none" w:color="auto"/>
                <w:vertAlign w:val="baseline"/>
              </w:rPr>
              <w:t>500</w:t>
            </w:r>
            <w:r>
              <w:t> miljoni EUR, vai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tie ir akcijas, kuru emitenta tirgus kapitalizācija vai orientējošā tirgus kapitalizācija ir mazāka nekā </w:t>
            </w:r>
            <w:r>
              <w:rPr>
                <w:b/>
                <w:i/>
                <w:strike w:val="0"/>
                <w:color w:val="auto"/>
                <w:highlight w:val="none"/>
                <w:u w:val="none" w:color="auto"/>
                <w:vertAlign w:val="baseline"/>
              </w:rPr>
              <w:t>200</w:t>
            </w:r>
            <w:r>
              <w:t xml:space="preserve"> miljoni EUR, vai</w:t>
            </w:r>
          </w:p>
        </w:tc>
        <w:tc>
          <w:tcPr>
            <w:tcW w:w="4876" w:type="dxa"/>
            <w:vAlign w:val="top"/>
          </w:tcPr>
          <w:p>
            <w:pPr>
              <w:pStyle w:val="Normal6a"/>
            </w:pPr>
            <w:r>
              <w:t>(a)</w:t>
            </w:r>
            <w:r>
              <w:tab/>
            </w:r>
            <w:r>
              <w:t xml:space="preserve">tie ir akcijas, kuru emitenta tirgus kapitalizācija vai orientējošā tirgus kapitalizācija ir mazāka nekā </w:t>
            </w:r>
            <w:r>
              <w:rPr>
                <w:b/>
                <w:i/>
                <w:strike w:val="0"/>
                <w:color w:val="auto"/>
                <w:highlight w:val="none"/>
                <w:u w:val="none" w:color="auto"/>
                <w:vertAlign w:val="baseline"/>
              </w:rPr>
              <w:t>100</w:t>
            </w:r>
            <w:r>
              <w:t> miljoni EUR, vai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b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tie ir konvertējamas obligācijas, segtās obligācijas, uzņēmuma obligācijas, citas publiskas obligācijas un citas obligācijas, kuru emisijas apmērs ir mazāks nekā 500 miljoni EUR.</w:t>
            </w:r>
          </w:p>
        </w:tc>
        <w:tc>
          <w:tcPr>
            <w:tcW w:w="4876" w:type="dxa"/>
            <w:vAlign w:val="top"/>
          </w:tcPr>
          <w:p>
            <w:pPr>
              <w:pStyle w:val="Normal6a"/>
            </w:pPr>
            <w:r>
              <w:t>(b)</w:t>
            </w:r>
            <w:r>
              <w:tab/>
            </w:r>
            <w:r>
              <w:t xml:space="preserve">tie ir konvertējamas obligācijas, segtās obligācijas, uzņēmuma obligācijas, </w:t>
            </w:r>
            <w:r>
              <w:rPr>
                <w:b/>
                <w:i/>
                <w:strike w:val="0"/>
                <w:color w:val="auto"/>
                <w:highlight w:val="none"/>
                <w:u w:val="none" w:color="auto"/>
                <w:vertAlign w:val="baseline"/>
              </w:rPr>
              <w:t>valsts obligācijas,</w:t>
            </w:r>
            <w:r>
              <w:t xml:space="preserve"> citas publiskas obligācijas un citas obligācijas, kuru emisijas apmērs ir mazāks nekā 500 miljoni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b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tie ir konvertējamas obligācijas, segtās obligācijas, uzņēmuma obligācijas, citas publiskas obligācijas un citas obligācijas, kuru emisijas apmērs ir mazāks nekā 500 miljoni EUR.</w:t>
            </w:r>
          </w:p>
        </w:tc>
        <w:tc>
          <w:tcPr>
            <w:tcW w:w="4876" w:type="dxa"/>
            <w:vAlign w:val="top"/>
          </w:tcPr>
          <w:p>
            <w:pPr>
              <w:pStyle w:val="Normal6a"/>
            </w:pPr>
            <w:r>
              <w:t>(b)</w:t>
            </w:r>
            <w:r>
              <w:tab/>
            </w:r>
            <w:r>
              <w:t xml:space="preserve">tie ir konvertējamas obligācijas, segtās obligācijas, uzņēmuma obligācijas, </w:t>
            </w:r>
            <w:r>
              <w:rPr>
                <w:b/>
                <w:i/>
                <w:strike w:val="0"/>
                <w:color w:val="auto"/>
                <w:highlight w:val="none"/>
                <w:u w:val="none" w:color="auto"/>
                <w:vertAlign w:val="baseline"/>
              </w:rPr>
              <w:t>valsts obligācijas,</w:t>
            </w:r>
            <w:r>
              <w:t xml:space="preserve"> citas publiskas obligācijas un citas obligācijas, kuru emisijas apmērs ir mazāks nekā 500 miljoni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Valsts obligāciju iekļaušana izmēģinājuma režīma darbības jomā.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b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tie ir konvertējamas obligācijas, segtās obligācijas, uzņēmuma obligācijas, citas publiskas obligācijas un citas obligācijas, kuru emisijas apmērs ir mazāks nekā 500 miljoni EUR.</w:t>
            </w:r>
          </w:p>
        </w:tc>
        <w:tc>
          <w:tcPr>
            <w:tcW w:w="4876" w:type="dxa"/>
            <w:vAlign w:val="top"/>
          </w:tcPr>
          <w:p>
            <w:pPr>
              <w:pStyle w:val="Normal6a"/>
            </w:pPr>
            <w:r>
              <w:t>(b)</w:t>
            </w:r>
            <w:r>
              <w:tab/>
            </w:r>
            <w:r>
              <w:t xml:space="preserve">tie ir konvertējamas obligācijas, </w:t>
            </w:r>
            <w:r>
              <w:rPr>
                <w:b/>
                <w:i/>
                <w:strike w:val="0"/>
                <w:color w:val="auto"/>
                <w:highlight w:val="none"/>
                <w:u w:val="none" w:color="auto"/>
                <w:vertAlign w:val="baseline"/>
              </w:rPr>
              <w:t>valsts obligācijas,</w:t>
            </w:r>
            <w:r>
              <w:t xml:space="preserve"> segtās obligācijas, uzņēmuma obligācijas, citas publiskas obligācijas un citas obligācijas, kuru emisijas apmērs ir mazāks nekā 500 miljoni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b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tie ir konvertējamas obligācijas, segtās obligācijas, uzņēmuma obligācijas, citas publiskas obligācijas un citas obligācijas, kuru emisijas apmērs ir mazāks nekā </w:t>
            </w:r>
            <w:r>
              <w:rPr>
                <w:b/>
                <w:i/>
                <w:strike w:val="0"/>
                <w:color w:val="auto"/>
                <w:highlight w:val="none"/>
                <w:u w:val="none" w:color="auto"/>
                <w:vertAlign w:val="baseline"/>
              </w:rPr>
              <w:t>500</w:t>
            </w:r>
            <w:r>
              <w:t xml:space="preserve"> miljoni EUR.</w:t>
            </w:r>
          </w:p>
        </w:tc>
        <w:tc>
          <w:tcPr>
            <w:tcW w:w="4876" w:type="dxa"/>
            <w:vAlign w:val="top"/>
          </w:tcPr>
          <w:p>
            <w:pPr>
              <w:pStyle w:val="Normal6a"/>
            </w:pPr>
            <w:r>
              <w:t>(b)</w:t>
            </w:r>
            <w:r>
              <w:tab/>
            </w:r>
            <w:r>
              <w:t xml:space="preserve">tie ir konvertējamas obligācijas, segtās obligācijas, uzņēmuma obligācijas, citas publiskas obligācijas un citas obligācijas, kuru emisijas apmērs ir mazāks nekā </w:t>
            </w:r>
            <w:r>
              <w:rPr>
                <w:b/>
                <w:i/>
                <w:strike w:val="0"/>
                <w:color w:val="auto"/>
                <w:highlight w:val="none"/>
                <w:u w:val="none" w:color="auto"/>
                <w:vertAlign w:val="baseline"/>
              </w:rPr>
              <w:t>250</w:t>
            </w:r>
            <w:r>
              <w:t> miljoni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ba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tie ir SVT BTF daļas un PVKIU daļas, ko iegulda a) un b) apakšpunktā minētajos instrumentu veidos.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279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ba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tie ir SVT BTF daļas, ko iegulda a) un b) apakšpunktā minētajos instrumentu veidos.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ba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tie ir SVT BTF daļas, kuru emisijas apmērs ir mazāks par 500 miljoniem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1. punkts – ba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tie ir kolektīvo ieguldījumu uzņēmumu daļas, kuru emisijas apmērs ir mazāks par 500 miljoniem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2.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Ieguldījumu brokeru sabiedrība vai tirgus dalībnieks, kas uztur SVT DTS, neļauj tirgot valsts obligācijas saskaņā ar šo regulu. CVD, kas uztur SVT norēķinu vērtspapīru sistēmu, vai ieguldījumu brokeru sabiedrība vai tirgus dalībnieks, kam ir atļauts iegrāmatot SVT pārvedamos vērtspapīrus SVT DTS saskaņā ar 4. panta 2. un 3. punktu, neiegrāmato valsts obligācijas saskaņā ar šo regulu.</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Tiek ierosināts iekļaut valsts obligācijas atbilstīgo instrumentu sarakstā, lai ļautu dalībvalstīm, kas to vēlas, gūt pieredzi saistībā ar SVT tirgus infrastruktūrām.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2.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Ieguldījumu brokeru sabiedrība vai tirgus dalībnieks, kas uztur SVT DTS, neļauj tirgot valsts obligācijas saskaņā ar šo regulu. CVD, kas uztur SVT norēķinu vērtspapīru sistēmu, vai ieguldījumu brokeru sabiedrība vai tirgus dalībnieks, kam ir atļauts iegrāmatot SVT pārvedamos vērtspapīrus SVT DTS saskaņā ar 4. panta 2. un 3. punktu, neiegrāmato valsts obligācijas saskaņā ar šo regulu.</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2.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Ieguldījumu brokeru sabiedrība vai tirgus dalībnieks, kas uztur SVT DTS, neļauj tirgot valsts obligācijas saskaņā ar šo regulu. CVD, kas uztur SVT norēķinu vērtspapīru sistēmu, vai ieguldījumu brokeru sabiedrība vai tirgus dalībnieks, kam ir atļauts iegrāmatot SVT pārvedamos vērtspapīrus SVT DTS saskaņā ar 4. panta 2. un 3. punktu, neiegrāmato valsts obligācijas saskaņā ar šo regulu.</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2.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Ieguldījumu brokeru sabiedrība vai tirgus dalībnieks, kas uztur SVT DTS, neļauj tirgot valsts obligācijas saskaņā ar šo regulu. CVD, kas uztur SVT norēķinu vērtspapīru sistēmu, vai ieguldījumu brokeru sabiedrība vai tirgus dalībnieks, kam ir atļauts iegrāmatot SVT pārvedamos vērtspapīrus SVT DTS saskaņā ar 4. panta 2. un 3. punktu, neiegrāmato valsts obligācijas saskaņā ar šo regulu.</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Valsts obligāciju iekļaušana izmēģinājuma režīma darbības jomā.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Gunnar Beck</w:t>
      </w:r>
      <w:r>
        <w:t xml:space="preserve">, </w:t>
      </w:r>
      <w:r>
        <w:t>Maximilian Krah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2.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Ieguldījumu brokeru sabiedrība vai tirgus dalībnieks, kas uztur SVT DTS, neļauj tirgot valsts obligācijas saskaņā ar šo regulu. CVD, kas uztur SVT norēķinu vērtspapīru sistēmu, vai ieguldījumu brokeru sabiedrība vai tirgus dalībnieks, kam ir atļauts iegrāmatot SVT pārvedamos vērtspapīrus SVT DTS saskaņā ar 4. panta 2. un 3. punktu, neiegrāmato valsts obligācijas saskaņā ar šo regulu.</w:t>
            </w:r>
          </w:p>
        </w:tc>
        <w:tc>
          <w:tcPr>
            <w:tcW w:w="4876" w:type="dxa"/>
            <w:vAlign w:val="top"/>
          </w:tcPr>
          <w:p>
            <w:pPr>
              <w:pStyle w:val="Normal6a"/>
            </w:pPr>
            <w:r>
              <w:t>2.</w:t>
            </w:r>
            <w:r>
              <w:tab/>
            </w:r>
            <w:r>
              <w:t>Ieguldījumu brokeru sabiedrība</w:t>
            </w:r>
            <w:r>
              <w:rPr>
                <w:b/>
                <w:i/>
                <w:strike w:val="0"/>
                <w:color w:val="auto"/>
                <w:highlight w:val="none"/>
                <w:u w:val="none" w:color="auto"/>
                <w:vertAlign w:val="baseline"/>
              </w:rPr>
              <w:t>, kriptoaktīvu emitents</w:t>
            </w:r>
            <w:r>
              <w:t xml:space="preserve"> vai tirgus dalībnieks, kas uztur SVT DTS, neļauj tirgot valsts obligācijas saskaņā ar šo regulu. CVD, kas uztur SVT norēķinu vērtspapīru sistēmu, vai ieguldījumu brokeru sabiedrība vai tirgus dalībnieks, kam ir atļauts iegrāmatot SVT pārvedamos vērtspapīrus SVT DTS saskaņā ar 4. panta 2. un 3. punktu, neiegrāmato valsts obligācijas saskaņā ar šo regulu.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To SVT pārvedamo</w:t>
            </w:r>
            <w:r>
              <w:t xml:space="preserve"> vērtspapīru </w:t>
            </w:r>
            <w:r>
              <w:rPr>
                <w:b/>
                <w:i/>
                <w:strike w:val="0"/>
                <w:color w:val="auto"/>
                <w:highlight w:val="none"/>
                <w:u w:val="none" w:color="auto"/>
                <w:vertAlign w:val="baseline"/>
              </w:rPr>
              <w:t>kopējā tirgus vērtība, kurus iegrāmato CVD, kas uztur SVT</w:t>
            </w:r>
            <w:r>
              <w:t xml:space="preserve"> vērtspapīru </w:t>
            </w:r>
            <w:r>
              <w:rPr>
                <w:b/>
                <w:i/>
                <w:strike w:val="0"/>
                <w:color w:val="auto"/>
                <w:highlight w:val="none"/>
                <w:u w:val="none" w:color="auto"/>
                <w:vertAlign w:val="baseline"/>
              </w:rPr>
              <w:t>norēķinu sistēmu, nepārsniedz</w:t>
            </w:r>
            <w:r>
              <w:t xml:space="preserve"> 2,5 miljardus EUR. Ja SVT DTS iegrāmato SVT pārvedamos vērtspapīrus CVD vietā saskaņā ar 4. panta 2. un 3. punktu, to SVT pārvedamo vērtspapīru kopējā tirgus vērtība, kurus iegrāmato ieguldījumu brokeru sabiedrība vai tirgus dalībnieks, kas uztur SVT DTS, </w:t>
            </w:r>
            <w:r>
              <w:rPr>
                <w:b/>
                <w:i/>
                <w:strike w:val="0"/>
                <w:color w:val="auto"/>
                <w:highlight w:val="none"/>
                <w:u w:val="none" w:color="auto"/>
                <w:vertAlign w:val="baseline"/>
              </w:rPr>
              <w:t>nepārsniedz</w:t>
            </w:r>
            <w:r>
              <w:t xml:space="preserve"> 2,5 miljardus EUR.</w:t>
            </w:r>
          </w:p>
        </w:tc>
        <w:tc>
          <w:tcPr>
            <w:tcW w:w="4876" w:type="dxa"/>
            <w:vAlign w:val="top"/>
          </w:tcPr>
          <w:p>
            <w:pPr>
              <w:pStyle w:val="Normal6a"/>
            </w:pPr>
            <w:r>
              <w:t>3.</w:t>
            </w:r>
            <w:r>
              <w:tab/>
            </w:r>
            <w:r>
              <w:rPr>
                <w:b/>
                <w:i/>
                <w:strike w:val="0"/>
                <w:color w:val="auto"/>
                <w:highlight w:val="none"/>
                <w:u w:val="none" w:color="auto"/>
                <w:vertAlign w:val="baseline"/>
              </w:rPr>
              <w:t>CVD, kas uztur SVT</w:t>
            </w:r>
            <w:r>
              <w:t xml:space="preserve"> vērtspapīru </w:t>
            </w:r>
            <w:r>
              <w:rPr>
                <w:b/>
                <w:i/>
                <w:strike w:val="0"/>
                <w:color w:val="auto"/>
                <w:highlight w:val="none"/>
                <w:u w:val="none" w:color="auto"/>
                <w:vertAlign w:val="baseline"/>
              </w:rPr>
              <w:t>norēķinu sistēmu, var atļaut jaunus vērtspapīrus, līdz iegrāmatoto SVT pārvedamo</w:t>
            </w:r>
            <w:r>
              <w:t xml:space="preserve"> vērtspapīru </w:t>
            </w:r>
            <w:r>
              <w:rPr>
                <w:b/>
                <w:i/>
                <w:strike w:val="0"/>
                <w:color w:val="auto"/>
                <w:highlight w:val="none"/>
                <w:u w:val="none" w:color="auto"/>
                <w:vertAlign w:val="baseline"/>
              </w:rPr>
              <w:t>kopējā tirgus vērtība sasniedz</w:t>
            </w:r>
            <w:r>
              <w:t xml:space="preserve"> 2,5 miljardus EUR. Ja SVT DTS iegrāmato SVT pārvedamos vērtspapīrus CVD vietā saskaņā ar 4. panta 2. un 3. punktu, </w:t>
            </w:r>
            <w:r>
              <w:rPr>
                <w:b/>
                <w:i/>
                <w:strike w:val="0"/>
                <w:color w:val="auto"/>
                <w:highlight w:val="none"/>
                <w:u w:val="none" w:color="auto"/>
                <w:vertAlign w:val="baseline"/>
              </w:rPr>
              <w:t>tā var atļaut jaunus vērtspapīrus, līdz</w:t>
            </w:r>
            <w:r>
              <w:t xml:space="preserve"> to SVT pārvedamo vērtspapīru kopējā tirgus vērtība, kurus iegrāmato ieguldījumu brokeru sabiedrība vai tirgus dalībnieks, kas uztur SVT DTS, </w:t>
            </w:r>
            <w:r>
              <w:rPr>
                <w:b/>
                <w:i/>
                <w:strike w:val="0"/>
                <w:color w:val="auto"/>
                <w:highlight w:val="none"/>
                <w:u w:val="none" w:color="auto"/>
                <w:vertAlign w:val="baseline"/>
              </w:rPr>
              <w:t>sasniedz</w:t>
            </w:r>
            <w:r>
              <w:t xml:space="preserve"> 2,5 miljardus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Gunnar Beck</w:t>
      </w:r>
      <w:r>
        <w:t xml:space="preserve">, </w:t>
      </w:r>
      <w:r>
        <w:t>Maximilian Krah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To SVT pārvedamo vērtspapīru kopējā tirgus vērtība, kurus iegrāmato CVD, kas uztur SVT vērtspapīru norēķinu sistēmu, nepārsniedz 2,5 miljardus EUR. Ja SVT DTS iegrāmato SVT pārvedamos vērtspapīrus CVD vietā saskaņā ar 4. panta 2. un 3. punktu, to SVT pārvedamo vērtspapīru kopējā tirgus vērtība, kurus iegrāmato ieguldījumu brokeru sabiedrība vai tirgus dalībnieks, kas uztur SVT DTS, nepārsniedz 2,5 miljardus EUR.</w:t>
            </w:r>
          </w:p>
        </w:tc>
        <w:tc>
          <w:tcPr>
            <w:tcW w:w="4876" w:type="dxa"/>
            <w:vAlign w:val="top"/>
          </w:tcPr>
          <w:p>
            <w:pPr>
              <w:pStyle w:val="Normal6a"/>
            </w:pPr>
            <w:r>
              <w:t>3.</w:t>
            </w:r>
            <w:r>
              <w:tab/>
            </w:r>
            <w:r>
              <w:t>To SVT pārvedamo vērtspapīru kopējā tirgus vērtība, kurus iegrāmato CVD, kas uztur SVT vērtspapīru norēķinu sistēmu, nepārsniedz 2,5 miljardus EUR. Ja SVT DTS iegrāmato SVT pārvedamos vērtspapīrus CVD vietā saskaņā ar 4. panta 2. un 3. punktu, to SVT pārvedamo vērtspapīru kopējā tirgus vērtība, kurus iegrāmato ieguldījumu brokeru sabiedrība</w:t>
            </w:r>
            <w:r>
              <w:rPr>
                <w:b/>
                <w:i/>
                <w:strike w:val="0"/>
                <w:color w:val="auto"/>
                <w:highlight w:val="none"/>
                <w:u w:val="none" w:color="auto"/>
                <w:vertAlign w:val="baseline"/>
              </w:rPr>
              <w:t>, kriptoaktīvu emitents</w:t>
            </w:r>
            <w:r>
              <w:t xml:space="preserve"> vai tirgus dalībnieks, kas uztur SVT DTS, nepārsniedz 2,5 miljardus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289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To SVT pārvedamo vērtspapīru kopējā tirgus vērtība, kurus iegrāmato CVD, kas uztur SVT </w:t>
            </w:r>
            <w:r>
              <w:rPr>
                <w:b/>
                <w:i/>
                <w:strike w:val="0"/>
                <w:color w:val="auto"/>
                <w:highlight w:val="none"/>
                <w:u w:val="none" w:color="auto"/>
                <w:vertAlign w:val="baseline"/>
              </w:rPr>
              <w:t>vērtspapīru norēķinu sistēmu</w:t>
            </w:r>
            <w:r>
              <w:t xml:space="preserve">, nepārsniedz </w:t>
            </w:r>
            <w:r>
              <w:rPr>
                <w:b/>
                <w:i/>
                <w:strike w:val="0"/>
                <w:color w:val="auto"/>
                <w:highlight w:val="none"/>
                <w:u w:val="none" w:color="auto"/>
                <w:vertAlign w:val="baseline"/>
              </w:rPr>
              <w:t>2,5</w:t>
            </w:r>
            <w:r>
              <w:t xml:space="preserve"> miljardus EUR. Ja SVT DTS iegrāmato SVT pārvedamos vērtspapīrus CVD vietā saskaņā ar 4. panta 2. un 3. punktu, to SVT pārvedamo vērtspapīru kopējā tirgus vērtība, kurus iegrāmato ieguldījumu brokeru sabiedrība vai tirgus dalībnieks, kas uztur SVT DTS, nepārsniedz </w:t>
            </w:r>
            <w:r>
              <w:rPr>
                <w:b/>
                <w:i/>
                <w:strike w:val="0"/>
                <w:color w:val="auto"/>
                <w:highlight w:val="none"/>
                <w:u w:val="none" w:color="auto"/>
                <w:vertAlign w:val="baseline"/>
              </w:rPr>
              <w:t>2,5</w:t>
            </w:r>
            <w:r>
              <w:t xml:space="preserve"> miljardus EUR.</w:t>
            </w:r>
          </w:p>
        </w:tc>
        <w:tc>
          <w:tcPr>
            <w:tcW w:w="4876" w:type="dxa"/>
            <w:vAlign w:val="top"/>
          </w:tcPr>
          <w:p>
            <w:pPr>
              <w:pStyle w:val="Normal6a"/>
            </w:pPr>
            <w:r>
              <w:t>3.</w:t>
            </w:r>
            <w:r>
              <w:tab/>
            </w:r>
            <w:r>
              <w:t xml:space="preserve">To SVT pārvedamo vērtspapīru kopējā tirgus vērtība, kurus iegrāmato CVD, kas uztur SVT </w:t>
            </w:r>
            <w:r>
              <w:rPr>
                <w:b/>
                <w:i/>
                <w:strike w:val="0"/>
                <w:color w:val="auto"/>
                <w:highlight w:val="none"/>
                <w:u w:val="none" w:color="auto"/>
                <w:vertAlign w:val="baseline"/>
              </w:rPr>
              <w:t>VNS</w:t>
            </w:r>
            <w:r>
              <w:t xml:space="preserve">, nepārsniedz </w:t>
            </w:r>
            <w:r>
              <w:rPr>
                <w:b/>
                <w:i/>
                <w:strike w:val="0"/>
                <w:color w:val="auto"/>
                <w:highlight w:val="none"/>
                <w:u w:val="none" w:color="auto"/>
                <w:vertAlign w:val="baseline"/>
              </w:rPr>
              <w:t>7,5</w:t>
            </w:r>
            <w:r>
              <w:t xml:space="preserve"> miljardus EUR. Ja SVT DTS iegrāmato SVT pārvedamos vērtspapīrus CVD vietā saskaņā ar 4. panta 2. un 3. punktu, to SVT pārvedamo vērtspapīru kopējā tirgus vērtība, kurus iegrāmato ieguldījumu brokeru sabiedrība vai tirgus dalībnieks, kas uztur SVT DTS, nepārsniedz </w:t>
            </w:r>
            <w:r>
              <w:rPr>
                <w:b/>
                <w:i/>
                <w:strike w:val="0"/>
                <w:color w:val="auto"/>
                <w:highlight w:val="none"/>
                <w:u w:val="none" w:color="auto"/>
                <w:vertAlign w:val="baseline"/>
              </w:rPr>
              <w:t>7,5</w:t>
            </w:r>
            <w:r>
              <w:t> miljardus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Lai gan mēs atbalstām Komisijas ierosinātās robežvērtības, mēs uzskatām, ka 2,5 miljardu robežvērtība kopējai tirgus vērtībai ir zema, ņemot vērā to, ka šādu robežvērtību varētu sasniegt, piemēram, emitējot 500 miljonus 5 EUR obligāciju.</w:t>
      </w:r>
      <w:r>
        <w:t xml:space="preserve"> </w:t>
      </w:r>
      <w:r>
        <w:t>Ņemot vērā minēto un mērķi ļaut lielākiem tirgus dalībniekiem, kuriem ir nepieciešamais kapitāls, izmēģināt vairāk projektu, mēs ierosinām palielināt kopējo tirgus vērtību līdz 7,5 miljardiem EUR.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To SVT pārvedamo vērtspapīru kopējā tirgus vērtība, kurus iegrāmato </w:t>
            </w:r>
            <w:r>
              <w:rPr>
                <w:b/>
                <w:i/>
                <w:strike w:val="0"/>
                <w:color w:val="auto"/>
                <w:highlight w:val="none"/>
                <w:u w:val="none" w:color="auto"/>
                <w:vertAlign w:val="baseline"/>
              </w:rPr>
              <w:t>CVD</w:t>
            </w:r>
            <w:r>
              <w:t xml:space="preserve">, kas uztur SVT vērtspapīru norēķinu sistēmu, nepārsniedz 2,5 miljardus EUR. Ja SVT DTS iegrāmato SVT pārvedamos vērtspapīrus CVD vietā saskaņā ar 4. panta 2. un 3. punktu, to SVT pārvedamo vērtspapīru kopējā tirgus vērtība, kurus iegrāmato </w:t>
            </w:r>
            <w:r>
              <w:rPr>
                <w:b/>
                <w:i/>
                <w:strike w:val="0"/>
                <w:color w:val="auto"/>
                <w:highlight w:val="none"/>
                <w:u w:val="none" w:color="auto"/>
                <w:vertAlign w:val="baseline"/>
              </w:rPr>
              <w:t>ieguldījumu brokeru sabiedrība vai tirgus dalībnieks</w:t>
            </w:r>
            <w:r>
              <w:t>, kas uztur SVT DTS, nepārsniedz 2,5 miljardus EUR.</w:t>
            </w:r>
          </w:p>
        </w:tc>
        <w:tc>
          <w:tcPr>
            <w:tcW w:w="4876" w:type="dxa"/>
            <w:vAlign w:val="top"/>
          </w:tcPr>
          <w:p>
            <w:pPr>
              <w:pStyle w:val="Normal6a"/>
            </w:pPr>
            <w:r>
              <w:t>3.</w:t>
            </w:r>
            <w:r>
              <w:tab/>
            </w:r>
            <w:r>
              <w:t xml:space="preserve">To SVT pārvedamo vērtspapīru kopējā tirgus vērtība, kurus iegrāmato </w:t>
            </w:r>
            <w:r>
              <w:rPr>
                <w:b/>
                <w:i/>
                <w:strike w:val="0"/>
                <w:color w:val="auto"/>
                <w:highlight w:val="none"/>
                <w:u w:val="none" w:color="auto"/>
                <w:vertAlign w:val="baseline"/>
              </w:rPr>
              <w:t>struktūra</w:t>
            </w:r>
            <w:r>
              <w:t xml:space="preserve">, kas uztur SVT vērtspapīru norēķinu sistēmu, nepārsniedz 2,5 miljardus EUR. Ja SVT DTS iegrāmato SVT pārvedamos vērtspapīrus CVD vietā saskaņā ar 4. panta 2. un 3. punktu, to SVT pārvedamo vērtspapīru kopējā tirgus vērtība, kurus iegrāmato </w:t>
            </w:r>
            <w:r>
              <w:rPr>
                <w:b/>
                <w:i/>
                <w:strike w:val="0"/>
                <w:color w:val="auto"/>
                <w:highlight w:val="none"/>
                <w:u w:val="none" w:color="auto"/>
                <w:vertAlign w:val="baseline"/>
              </w:rPr>
              <w:t>struktūra</w:t>
            </w:r>
            <w:r>
              <w:t>, kas uztur SVT DTS, nepārsniedz 2,5 miljardus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To SVT pārvedamo vērtspapīru kopējā tirgus vērtība, kurus iegrāmato CVD, kas uztur SVT vērtspapīru norēķinu sistēmu, nepārsniedz </w:t>
            </w:r>
            <w:r>
              <w:rPr>
                <w:b/>
                <w:i/>
                <w:strike w:val="0"/>
                <w:color w:val="auto"/>
                <w:highlight w:val="none"/>
                <w:u w:val="none" w:color="auto"/>
                <w:vertAlign w:val="baseline"/>
              </w:rPr>
              <w:t>2,5</w:t>
            </w:r>
            <w:r>
              <w:t xml:space="preserve"> miljardus EUR. Ja SVT DTS iegrāmato SVT pārvedamos vērtspapīrus CVD vietā saskaņā ar 4. panta 2. un 3. punktu, to SVT pārvedamo vērtspapīru kopējā tirgus vērtība, kurus iegrāmato ieguldījumu brokeru sabiedrība vai tirgus dalībnieks, kas uztur SVT DTS, nepārsniedz </w:t>
            </w:r>
            <w:r>
              <w:rPr>
                <w:b/>
                <w:i/>
                <w:strike w:val="0"/>
                <w:color w:val="auto"/>
                <w:highlight w:val="none"/>
                <w:u w:val="none" w:color="auto"/>
                <w:vertAlign w:val="baseline"/>
              </w:rPr>
              <w:t>2,5</w:t>
            </w:r>
            <w:r>
              <w:t xml:space="preserve"> miljardus EUR.</w:t>
            </w:r>
          </w:p>
        </w:tc>
        <w:tc>
          <w:tcPr>
            <w:tcW w:w="4876" w:type="dxa"/>
            <w:vAlign w:val="top"/>
          </w:tcPr>
          <w:p>
            <w:pPr>
              <w:pStyle w:val="Normal6a"/>
            </w:pPr>
            <w:r>
              <w:t>3.</w:t>
            </w:r>
            <w:r>
              <w:tab/>
            </w:r>
            <w:r>
              <w:t xml:space="preserve">To SVT pārvedamo vērtspapīru kopējā tirgus vērtība, kurus iegrāmato CVD, kas uztur SVT vērtspapīru norēķinu sistēmu, nepārsniedz </w:t>
            </w:r>
            <w:r>
              <w:rPr>
                <w:b/>
                <w:i/>
                <w:strike w:val="0"/>
                <w:color w:val="auto"/>
                <w:highlight w:val="none"/>
                <w:u w:val="none" w:color="auto"/>
                <w:vertAlign w:val="baseline"/>
              </w:rPr>
              <w:t>2</w:t>
            </w:r>
            <w:r>
              <w:t xml:space="preserve"> miljardus EUR. Ja SVT DTS iegrāmato SVT pārvedamos vērtspapīrus CVD vietā saskaņā ar 4. panta 2. un 3. punktu, to SVT pārvedamo vērtspapīru kopējā tirgus vērtība, kurus iegrāmato ieguldījumu brokeru sabiedrība vai tirgus dalībnieks, kas uztur SVT DTS, nepārsniedz </w:t>
            </w:r>
            <w:r>
              <w:rPr>
                <w:b/>
                <w:i/>
                <w:strike w:val="0"/>
                <w:color w:val="auto"/>
                <w:highlight w:val="none"/>
                <w:u w:val="none" w:color="auto"/>
                <w:vertAlign w:val="baseline"/>
              </w:rPr>
              <w:t>2</w:t>
            </w:r>
            <w:r>
              <w:t> miljardus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The Left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To SVT pārvedamo vērtspapīru kopējā tirgus vērtība, kurus iegrāmato CVD, kas uztur SVT vērtspapīru norēķinu sistēmu, nepārsniedz </w:t>
            </w:r>
            <w:r>
              <w:rPr>
                <w:b/>
                <w:i/>
                <w:strike w:val="0"/>
                <w:color w:val="auto"/>
                <w:highlight w:val="none"/>
                <w:u w:val="none" w:color="auto"/>
                <w:vertAlign w:val="baseline"/>
              </w:rPr>
              <w:t>2,5</w:t>
            </w:r>
            <w:r>
              <w:t xml:space="preserve"> miljardus EUR. Ja SVT DTS iegrāmato SVT pārvedamos vērtspapīrus CVD vietā saskaņā ar 4. panta 2. un 3. punktu, to SVT pārvedamo vērtspapīru kopējā tirgus vērtība, kurus iegrāmato ieguldījumu brokeru sabiedrība vai tirgus dalībnieks, kas uztur SVT DTS, nepārsniedz </w:t>
            </w:r>
            <w:r>
              <w:rPr>
                <w:b/>
                <w:i/>
                <w:strike w:val="0"/>
                <w:color w:val="auto"/>
                <w:highlight w:val="none"/>
                <w:u w:val="none" w:color="auto"/>
                <w:vertAlign w:val="baseline"/>
              </w:rPr>
              <w:t>2,5</w:t>
            </w:r>
            <w:r>
              <w:t xml:space="preserve"> miljardus EUR.</w:t>
            </w:r>
          </w:p>
        </w:tc>
        <w:tc>
          <w:tcPr>
            <w:tcW w:w="4876" w:type="dxa"/>
            <w:vAlign w:val="top"/>
          </w:tcPr>
          <w:p>
            <w:pPr>
              <w:pStyle w:val="Normal6a"/>
            </w:pPr>
            <w:r>
              <w:t>3.</w:t>
            </w:r>
            <w:r>
              <w:tab/>
            </w:r>
            <w:r>
              <w:t xml:space="preserve">To SVT pārvedamo vērtspapīru kopējā tirgus vērtība, kurus iegrāmato CVD, kas uztur SVT vērtspapīru norēķinu sistēmu, nepārsniedz </w:t>
            </w:r>
            <w:r>
              <w:rPr>
                <w:b/>
                <w:i/>
                <w:strike w:val="0"/>
                <w:color w:val="auto"/>
                <w:highlight w:val="none"/>
                <w:u w:val="none" w:color="auto"/>
                <w:vertAlign w:val="baseline"/>
              </w:rPr>
              <w:t>1,5</w:t>
            </w:r>
            <w:r>
              <w:t xml:space="preserve"> miljardus EUR. Ja SVT DTS iegrāmato SVT pārvedamos vērtspapīrus CVD vietā saskaņā ar 4. panta 2. un 3. punktu, to SVT pārvedamo vērtspapīru kopējā tirgus vērtība, kurus iegrāmato ieguldījumu brokeru sabiedrība vai tirgus dalībnieks, kas uztur SVT DTS, nepārsniedz </w:t>
            </w:r>
            <w:r>
              <w:rPr>
                <w:b/>
                <w:i/>
                <w:strike w:val="0"/>
                <w:color w:val="auto"/>
                <w:highlight w:val="none"/>
                <w:u w:val="none" w:color="auto"/>
                <w:vertAlign w:val="baseline"/>
              </w:rPr>
              <w:t>1,5</w:t>
            </w:r>
            <w:r>
              <w:t> miljardus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3.a daļa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Izņēmuma kārtā uzņēmumu obligācijas, ko emitējuši emitenti, kuru tirgus kapitalizācija emisijas brīdī nepārsniedza 1 miljardu EUR, izslēdz no 1. punkta b) apakšpunktā un 3. punktā noteiktās robežvērtības aprēķina.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Papildu elastība, lai veicinātu MVU finansēšanu, izmantojot izmēģinājuma režīmu, saskaņā ar robežvērtību, ko piemēro MVU pētniecībai atbilstīgi kapitāla tirgu atveseļošanas pasākumu kopumam.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4.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nosaka reizi dienā vai nu </w:t>
            </w:r>
            <w:r>
              <w:rPr>
                <w:b/>
                <w:i/>
                <w:strike w:val="0"/>
                <w:color w:val="auto"/>
                <w:highlight w:val="none"/>
                <w:u w:val="none" w:color="auto"/>
                <w:vertAlign w:val="baseline"/>
              </w:rPr>
              <w:t>CVD, vai</w:t>
            </w:r>
            <w:r>
              <w:t xml:space="preserve"> attiecīgā </w:t>
            </w:r>
            <w:r>
              <w:rPr>
                <w:b/>
                <w:i/>
                <w:strike w:val="0"/>
                <w:color w:val="auto"/>
                <w:highlight w:val="none"/>
                <w:u w:val="none" w:color="auto"/>
                <w:vertAlign w:val="baseline"/>
              </w:rPr>
              <w:t>ieguldījumu brokeru sabiedrība vai tirgus dalībnieks</w:t>
            </w:r>
            <w:r>
              <w:t>, un</w:t>
            </w:r>
          </w:p>
        </w:tc>
        <w:tc>
          <w:tcPr>
            <w:tcW w:w="4876" w:type="dxa"/>
            <w:vAlign w:val="top"/>
          </w:tcPr>
          <w:p>
            <w:pPr>
              <w:pStyle w:val="Normal6a"/>
            </w:pPr>
            <w:r>
              <w:t>(a)</w:t>
            </w:r>
            <w:r>
              <w:tab/>
            </w:r>
            <w:r>
              <w:t xml:space="preserve">nosaka reizi dienā vai nu attiecīgā </w:t>
            </w:r>
            <w:r>
              <w:rPr>
                <w:b/>
                <w:i/>
                <w:strike w:val="0"/>
                <w:color w:val="auto"/>
                <w:highlight w:val="none"/>
                <w:u w:val="none" w:color="auto"/>
                <w:vertAlign w:val="baseline"/>
              </w:rPr>
              <w:t>struktūra</w:t>
            </w:r>
            <w:r>
              <w:t>, un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Gunnar Beck</w:t>
      </w:r>
      <w:r>
        <w:t xml:space="preserve">, </w:t>
      </w:r>
      <w:r>
        <w:t>Maximilian Krah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4.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nosaka reizi dienā vai nu CVD, vai attiecīgā ieguldījumu brokeru sabiedrība vai tirgus dalībnieks, un</w:t>
            </w:r>
          </w:p>
        </w:tc>
        <w:tc>
          <w:tcPr>
            <w:tcW w:w="4876" w:type="dxa"/>
            <w:vAlign w:val="top"/>
          </w:tcPr>
          <w:p>
            <w:pPr>
              <w:pStyle w:val="Normal6a"/>
            </w:pPr>
            <w:r>
              <w:t>(a)</w:t>
            </w:r>
            <w:r>
              <w:tab/>
            </w:r>
            <w:r>
              <w:t>nosaka reizi dienā vai nu CVD, vai attiecīgā ieguldījumu brokeru sabiedrība</w:t>
            </w:r>
            <w:r>
              <w:rPr>
                <w:b/>
                <w:i/>
                <w:strike w:val="0"/>
                <w:color w:val="auto"/>
                <w:highlight w:val="none"/>
                <w:u w:val="none" w:color="auto"/>
                <w:vertAlign w:val="baseline"/>
              </w:rPr>
              <w:t>, kriptoaktīvu emitents</w:t>
            </w:r>
            <w:r>
              <w:t xml:space="preserve"> vai tirgus dalībnieks, un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5. punkts – 1.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Ja saskaņā ar 1. punktu paziņoto SVT pārvedamo vērtspapīru kopējā tirgus vērtība ir sasniegusi </w:t>
            </w:r>
            <w:r>
              <w:rPr>
                <w:b/>
                <w:i/>
                <w:strike w:val="0"/>
                <w:color w:val="auto"/>
                <w:highlight w:val="none"/>
                <w:u w:val="none" w:color="auto"/>
                <w:vertAlign w:val="baseline"/>
              </w:rPr>
              <w:t>2,25</w:t>
            </w:r>
            <w:r>
              <w:t xml:space="preserve"> miljardus EUR, ieguldījumu brokeru sabiedrība vai tirgus dalībnieks, kas uztur attiecīgo SVT DTS, vai CVD, kas uztur SVT attiecīgo vērtspapīru norēķinu sistēmu, aktivizē 6. panta 6. punktā minēto pārejas stratēģiju. Tie savā mēneša ziņojumā informē kompetento iestādi par savas pārejas stratēģijas aktivizēšanu un par šādas pārejas laika diapazonu.</w:t>
            </w:r>
          </w:p>
        </w:tc>
        <w:tc>
          <w:tcPr>
            <w:tcW w:w="4876" w:type="dxa"/>
            <w:vAlign w:val="top"/>
          </w:tcPr>
          <w:p>
            <w:pPr>
              <w:pStyle w:val="Normal6a"/>
            </w:pPr>
            <w:r>
              <w:t xml:space="preserve">Ja saskaņā ar 1. punktu paziņoto SVT pārvedamo vērtspapīru kopējā tirgus vērtība ir sasniegusi </w:t>
            </w:r>
            <w:r>
              <w:rPr>
                <w:b/>
                <w:i/>
                <w:strike w:val="0"/>
                <w:color w:val="auto"/>
                <w:highlight w:val="none"/>
                <w:u w:val="none" w:color="auto"/>
                <w:vertAlign w:val="baseline"/>
              </w:rPr>
              <w:t>3,5</w:t>
            </w:r>
            <w:r>
              <w:t> miljardus EUR, ieguldījumu brokeru sabiedrība vai tirgus dalībnieks, kas uztur attiecīgo SVT DTS, vai CVD, kas uztur SVT attiecīgo vērtspapīru norēķinu sistēmu, aktivizē 6. panta 6. punktā minēto pārejas stratēģiju. Tie savā mēneša ziņojumā informē kompetento iestādi par savas pārejas stratēģijas aktivizēšanu un par šādas pārejas laika diapazonu.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The Left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5. punkts – 1.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Ja saskaņā ar 1. punktu paziņoto SVT pārvedamo vērtspapīru kopējā tirgus vērtība ir sasniegusi </w:t>
            </w:r>
            <w:r>
              <w:rPr>
                <w:b/>
                <w:i/>
                <w:strike w:val="0"/>
                <w:color w:val="auto"/>
                <w:highlight w:val="none"/>
                <w:u w:val="none" w:color="auto"/>
                <w:vertAlign w:val="baseline"/>
              </w:rPr>
              <w:t>2,25</w:t>
            </w:r>
            <w:r>
              <w:t xml:space="preserve"> miljardus EUR, ieguldījumu brokeru sabiedrība vai tirgus dalībnieks, kas uztur attiecīgo SVT DTS, vai CVD, kas uztur SVT attiecīgo vērtspapīru norēķinu sistēmu, aktivizē 6. panta 6. punktā minēto pārejas stratēģiju. Tie savā mēneša ziņojumā informē kompetento iestādi par savas pārejas stratēģijas aktivizēšanu un par šādas pārejas laika diapazonu.</w:t>
            </w:r>
          </w:p>
        </w:tc>
        <w:tc>
          <w:tcPr>
            <w:tcW w:w="4876" w:type="dxa"/>
            <w:vAlign w:val="top"/>
          </w:tcPr>
          <w:p>
            <w:pPr>
              <w:pStyle w:val="Normal6a"/>
            </w:pPr>
            <w:r>
              <w:t xml:space="preserve">Ja saskaņā ar 1. punktu paziņoto SVT pārvedamo vērtspapīru kopējā tirgus vērtība ir sasniegusi </w:t>
            </w:r>
            <w:r>
              <w:rPr>
                <w:b/>
                <w:i/>
                <w:strike w:val="0"/>
                <w:color w:val="auto"/>
                <w:highlight w:val="none"/>
                <w:u w:val="none" w:color="auto"/>
                <w:vertAlign w:val="baseline"/>
              </w:rPr>
              <w:t>1,25</w:t>
            </w:r>
            <w:r>
              <w:t> miljardus EUR, ieguldījumu brokeru sabiedrība vai tirgus dalībnieks, kas uztur attiecīgo SVT DTS, vai CVD, kas uztur SVT attiecīgo vērtspapīru norēķinu sistēmu, aktivizē 6. panta 6. punktā minēto pārejas stratēģiju. Tie savā mēneša ziņojumā informē kompetento iestādi par savas pārejas stratēģijas aktivizēšanu un par šādas pārejas laika diapazonu.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5. punkts – 2.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Attiecīgā kompetentā iestāde var atļaut attiecīgajai SVT tirgus infrastruktūrai turpināt darbību, līdz saskaņā ar 1. punktu paziņoto SVT pārvedamo vērtspapīru kopējā tirgus vērtība sasniedz 2,75 miljardus EUR, ar nosacījumu, ka šādu atkāpi pieprasa attiecīgās SVT tirgus infrastruktūras uzturētājs un ka tas ir objektīvi nepieciešams pārejas stratēģijas pienācīgai īstenošanai.</w:t>
            </w:r>
          </w:p>
        </w:tc>
        <w:tc>
          <w:tcPr>
            <w:tcW w:w="4876" w:type="dxa"/>
            <w:vAlign w:val="top"/>
          </w:tcPr>
          <w:p>
            <w:pPr>
              <w:pStyle w:val="Normal6a"/>
            </w:pPr>
            <w:r>
              <w:rPr>
                <w:b/>
                <w:i/>
                <w:strike w:val="0"/>
                <w:color w:val="auto"/>
                <w:highlight w:val="none"/>
                <w:u w:val="none" w:color="auto"/>
                <w:vertAlign w:val="baseline"/>
              </w:rPr>
              <w:t>svītrots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299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The Left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pants – 5. punkts – 2.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Attiecīgā kompetentā iestāde var atļaut attiecīgajai SVT tirgus infrastruktūrai turpināt darbību, līdz saskaņā ar 1. punktu paziņoto SVT pārvedamo vērtspapīru kopējā tirgus vērtība sasniedz </w:t>
            </w:r>
            <w:r>
              <w:rPr>
                <w:b/>
                <w:i/>
                <w:strike w:val="0"/>
                <w:color w:val="auto"/>
                <w:highlight w:val="none"/>
                <w:u w:val="none" w:color="auto"/>
                <w:vertAlign w:val="baseline"/>
              </w:rPr>
              <w:t>2,75</w:t>
            </w:r>
            <w:r>
              <w:t xml:space="preserve"> miljardus EUR, ar nosacījumu, ka šādu atkāpi pieprasa attiecīgās SVT tirgus infrastruktūras uzturētājs un ka tas ir objektīvi nepieciešams pārejas stratēģijas pienācīgai īstenošanai.</w:t>
            </w:r>
          </w:p>
        </w:tc>
        <w:tc>
          <w:tcPr>
            <w:tcW w:w="4876" w:type="dxa"/>
            <w:vAlign w:val="top"/>
          </w:tcPr>
          <w:p>
            <w:pPr>
              <w:pStyle w:val="Normal6a"/>
            </w:pPr>
            <w:r>
              <w:t xml:space="preserve">Attiecīgā kompetentā iestāde var atļaut attiecīgajai SVT tirgus infrastruktūrai turpināt darbību, līdz saskaņā ar 1. punktu paziņoto SVT pārvedamo vērtspapīru kopējā tirgus vērtība sasniedz </w:t>
            </w:r>
            <w:r>
              <w:rPr>
                <w:b/>
                <w:i/>
                <w:strike w:val="0"/>
                <w:color w:val="auto"/>
                <w:highlight w:val="none"/>
                <w:u w:val="none" w:color="auto"/>
                <w:vertAlign w:val="baseline"/>
              </w:rPr>
              <w:t>1,75</w:t>
            </w:r>
            <w:r>
              <w:t> miljardus EUR, ar nosacījumu, ka šādu atkāpi pieprasa attiecīgās SVT tirgus infrastruktūras uzturētājs un ka tas ir objektīvi nepieciešams pārejas stratēģijas pienācīgai īstenošanai.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1.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Uz</w:t>
            </w:r>
            <w:r>
              <w:t xml:space="preserve"> SVT DTS </w:t>
            </w:r>
            <w:r>
              <w:rPr>
                <w:b/>
                <w:i/>
                <w:strike w:val="0"/>
                <w:color w:val="auto"/>
                <w:highlight w:val="none"/>
                <w:u w:val="none" w:color="auto"/>
                <w:vertAlign w:val="baseline"/>
              </w:rPr>
              <w:t>attiecas</w:t>
            </w:r>
            <w:r>
              <w:t xml:space="preserve"> visas prasības, kas piemērojamas DTS saskaņā ar Direktīvu 2014/65/ES un Regulu (ES) Nr. 2014/600, </w:t>
            </w:r>
            <w:r>
              <w:rPr>
                <w:b/>
                <w:i/>
                <w:strike w:val="0"/>
                <w:color w:val="auto"/>
                <w:highlight w:val="none"/>
                <w:u w:val="none" w:color="auto"/>
                <w:vertAlign w:val="baseline"/>
              </w:rPr>
              <w:t>izņemot,</w:t>
            </w:r>
            <w:r>
              <w:t xml:space="preserve"> ja ieguldījumu brokeru sabiedrība vai tirgus dalībnieks, kas uztur SVT DTS:</w:t>
            </w:r>
          </w:p>
        </w:tc>
        <w:tc>
          <w:tcPr>
            <w:tcW w:w="4876" w:type="dxa"/>
            <w:vAlign w:val="top"/>
          </w:tcPr>
          <w:p>
            <w:pPr>
              <w:pStyle w:val="Normal6a"/>
            </w:pPr>
            <w:r>
              <w:t>1.</w:t>
            </w:r>
            <w:r>
              <w:tab/>
            </w:r>
            <w:r>
              <w:t xml:space="preserve">SVT DTS </w:t>
            </w:r>
            <w:r>
              <w:rPr>
                <w:b/>
                <w:i/>
                <w:strike w:val="0"/>
                <w:color w:val="auto"/>
                <w:highlight w:val="none"/>
                <w:u w:val="none" w:color="auto"/>
                <w:vertAlign w:val="baseline"/>
              </w:rPr>
              <w:t>piemēro</w:t>
            </w:r>
            <w:r>
              <w:t xml:space="preserve"> visas prasības, kas piemērojamas DTS saskaņā ar Direktīvu 2014/65/ES</w:t>
            </w:r>
            <w:r>
              <w:rPr>
                <w:b/>
                <w:i/>
                <w:strike w:val="0"/>
                <w:color w:val="auto"/>
                <w:highlight w:val="none"/>
                <w:u w:val="none" w:color="auto"/>
                <w:vertAlign w:val="baseline"/>
              </w:rPr>
              <w:t>, izņemot attiecībā uz atbrīvojumu, kurš piešķirts atbilstīgi 1.a punktam (jauns),</w:t>
            </w:r>
            <w:r>
              <w:t xml:space="preserve"> un Regulu (ES) Nr. 2014/600, </w:t>
            </w:r>
            <w:r>
              <w:rPr>
                <w:b/>
                <w:i/>
                <w:strike w:val="0"/>
                <w:color w:val="auto"/>
                <w:highlight w:val="none"/>
                <w:u w:val="none" w:color="auto"/>
                <w:vertAlign w:val="baseline"/>
              </w:rPr>
              <w:t>un turklāt</w:t>
            </w:r>
            <w:r>
              <w:t xml:space="preserve"> ja ieguldījumu brokeru sabiedrība vai tirgus dalībnieks, kas uztur SVT DTS: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Precizē, ka visas prasības ir piemērojamas ar vienu iespējamu atkāpi no FITD, kā minēts nākamajā punktā.</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1.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Uz SVT DTS attiecas visas prasības, kas piemērojamas DTS saskaņā ar Direktīvu 2014/65/ES </w:t>
            </w:r>
            <w:r>
              <w:rPr>
                <w:b/>
                <w:i/>
                <w:strike w:val="0"/>
                <w:color w:val="auto"/>
                <w:highlight w:val="none"/>
                <w:u w:val="none" w:color="auto"/>
                <w:vertAlign w:val="baseline"/>
              </w:rPr>
              <w:t>un</w:t>
            </w:r>
            <w:r>
              <w:t xml:space="preserve"> Regulu (ES) Nr. 2014/600, izņemot, ja ieguldījumu brokeru sabiedrība vai tirgus dalībnieks, kas uztur SVT DTS:</w:t>
            </w:r>
          </w:p>
        </w:tc>
        <w:tc>
          <w:tcPr>
            <w:tcW w:w="4876" w:type="dxa"/>
            <w:vAlign w:val="top"/>
          </w:tcPr>
          <w:p>
            <w:pPr>
              <w:pStyle w:val="Normal6a"/>
            </w:pPr>
            <w:r>
              <w:t>1.</w:t>
            </w:r>
            <w:r>
              <w:tab/>
            </w:r>
            <w:r>
              <w:t>Uz SVT DTS attiecas visas prasības, kas piemērojamas DTS saskaņā ar Direktīvu 2014/65/ES</w:t>
            </w:r>
            <w:r>
              <w:rPr>
                <w:b/>
                <w:i/>
                <w:strike w:val="0"/>
                <w:color w:val="auto"/>
                <w:highlight w:val="none"/>
                <w:u w:val="none" w:color="auto"/>
                <w:vertAlign w:val="baseline"/>
              </w:rPr>
              <w:t>,</w:t>
            </w:r>
            <w:r>
              <w:t xml:space="preserve"> Regulu (ES) Nr. 2014/600 </w:t>
            </w:r>
            <w:r>
              <w:rPr>
                <w:b/>
                <w:i/>
                <w:strike w:val="0"/>
                <w:color w:val="auto"/>
                <w:highlight w:val="none"/>
                <w:u w:val="none" w:color="auto"/>
                <w:vertAlign w:val="baseline"/>
              </w:rPr>
              <w:t>un citiem piemērojamiem Savienības tiesību aktiem finanšu pakalpojumu jomā</w:t>
            </w:r>
            <w:r>
              <w:t>, izņemot, ja ieguldījumu brokeru sabiedrība vai tirgus dalībnieks, kas uztur SVT DTS: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1.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Uz SVT DTS attiecas visas prasības, kas piemērojamas DTS saskaņā ar Direktīvu 2014/65/ES un Regulu (ES) Nr. 2014/600, izņemot, ja ieguldījumu brokeru sabiedrība vai tirgus dalībnieks, kas uztur SVT DTS:</w:t>
            </w:r>
          </w:p>
        </w:tc>
        <w:tc>
          <w:tcPr>
            <w:tcW w:w="4876" w:type="dxa"/>
            <w:vAlign w:val="top"/>
          </w:tcPr>
          <w:p>
            <w:pPr>
              <w:pStyle w:val="Normal6a"/>
            </w:pPr>
            <w:r>
              <w:t>1.</w:t>
            </w:r>
            <w:r>
              <w:tab/>
            </w:r>
            <w:r>
              <w:t xml:space="preserve">Uz SVT DTS </w:t>
            </w:r>
            <w:r>
              <w:rPr>
                <w:b/>
                <w:i/>
                <w:strike w:val="0"/>
                <w:color w:val="auto"/>
                <w:highlight w:val="none"/>
                <w:u w:val="none" w:color="auto"/>
                <w:vertAlign w:val="baseline"/>
              </w:rPr>
              <w:t>un tās uzturētāju</w:t>
            </w:r>
            <w:r>
              <w:t xml:space="preserve"> attiecas visas prasības, kas piemērojamas DTS saskaņā ar Direktīvu 2014/65/ES un Regulu (ES) Nr. 2014/600, izņemot, ja ieguldījumu brokeru sabiedrība vai tirgus dalībnieks, kas uztur SVT DTS: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Dažas prasības ir piemērojamas tirgus infrastruktūras uzturētājam.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1.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Uz SVT DTS attiecas visas prasības, kas piemērojamas DTS saskaņā ar Direktīvu 2014/65/ES un Regulu (ES) Nr. 2014/600, izņemot, ja </w:t>
            </w:r>
            <w:r>
              <w:rPr>
                <w:b/>
                <w:i/>
                <w:strike w:val="0"/>
                <w:color w:val="auto"/>
                <w:highlight w:val="none"/>
                <w:u w:val="none" w:color="auto"/>
                <w:vertAlign w:val="baseline"/>
              </w:rPr>
              <w:t>ieguldījumu brokeru sabiedrība vai tirgus dalībnieks</w:t>
            </w:r>
            <w:r>
              <w:t>, kas uztur SVT DTS:</w:t>
            </w:r>
          </w:p>
        </w:tc>
        <w:tc>
          <w:tcPr>
            <w:tcW w:w="4876" w:type="dxa"/>
            <w:vAlign w:val="top"/>
          </w:tcPr>
          <w:p>
            <w:pPr>
              <w:pStyle w:val="Normal6a"/>
            </w:pPr>
            <w:r>
              <w:t>1.</w:t>
            </w:r>
            <w:r>
              <w:tab/>
            </w:r>
            <w:r>
              <w:t xml:space="preserve">Uz SVT DTS attiecas visas prasības, kas piemērojamas DTS saskaņā ar Direktīvu 2014/65/ES un Regulu (ES) Nr. 2014/600, izņemot, ja </w:t>
            </w:r>
            <w:r>
              <w:rPr>
                <w:b/>
                <w:i/>
                <w:strike w:val="0"/>
                <w:color w:val="auto"/>
                <w:highlight w:val="none"/>
                <w:u w:val="none" w:color="auto"/>
                <w:vertAlign w:val="baseline"/>
              </w:rPr>
              <w:t>struktūra</w:t>
            </w:r>
            <w:r>
              <w:t>, kas uztur SVT DTS: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1.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ir pieprasījuši atbrīvojumu, kā norādīts 2. punktā vai Direktīvā (ES) .../...</w:t>
            </w:r>
            <w:r>
              <w:rPr>
                <w:rStyle w:val="SupBoldItalic"/>
              </w:rPr>
              <w:t>53</w:t>
            </w:r>
            <w:r>
              <w:rPr>
                <w:b/>
                <w:i/>
                <w:strike w:val="0"/>
                <w:color w:val="auto"/>
                <w:highlight w:val="none"/>
                <w:u w:val="none" w:color="auto"/>
                <w:vertAlign w:val="baseline"/>
              </w:rPr>
              <w:t>, un kompetentā iestāde, kas piešķīrusi īpašo atļauju saskaņā ar 7. pantu, ir piešķīrusi tiem šādu atbrīvojumu; un</w:t>
            </w:r>
          </w:p>
        </w:tc>
        <w:tc>
          <w:tcPr>
            <w:tcW w:w="4876" w:type="dxa"/>
            <w:vAlign w:val="top"/>
          </w:tcPr>
          <w:p>
            <w:pPr>
              <w:pStyle w:val="Normal6a"/>
            </w:pPr>
            <w:r>
              <w:rPr>
                <w:b/>
                <w:i/>
                <w:strike w:val="0"/>
                <w:color w:val="auto"/>
                <w:highlight w:val="none"/>
                <w:u w:val="none" w:color="auto"/>
                <w:vertAlign w:val="baseline"/>
              </w:rPr>
              <w:t>svītrots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53</w:t>
            </w:r>
            <w:r>
              <w:t xml:space="preserve"> </w:t>
            </w:r>
            <w:r>
              <w:rPr>
                <w:b/>
                <w:i/>
                <w:strike w:val="0"/>
                <w:color w:val="auto"/>
                <w:highlight w:val="none"/>
                <w:u w:val="none" w:color="auto"/>
                <w:vertAlign w:val="baseline"/>
              </w:rPr>
              <w:t>Priekšlikums Eiropas Parlamenta un Padomes direktīvai, ar ko groza Direktīvas 2006/43/EK, 2009/65/EK, 2009/138/ES, 2011/61/ES, ES/2013/36, 2014/65/ES, (ES) 2015/2366 un ES/2016/2341 – COM(2020)596 - COM(2020)596</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1.a daļa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Ieguldījumu brokeru sabiedrību vai tirgus dalībnieku, kas uztur SVT DTS, pēc to pieprasījuma EVTI var atbrīvot no Direktīvas 2014/65/ES (FITD) 19. panta noteikumu piemērošanas, un tiem saskaņā ar Direktīvas 2014/65/ES (FITD) 18. panta 3. punktā minētajiem noteikumiem, kas reglamentē piekļuvi, un ilgākais uz četriem gadiem var atļaut fizisku personu līdzdalību SVT DTS kā locekļiem vai dalībniekiem ar noteikumu, ka minētās personas atbilst šādām prasībām: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tām ir jābūt ar pietiekami labu reputāciju, piemērotām un atbilstošām;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tām ir pietiekamas tirdzniecības spējas, zināšanas un pieredze, tostarp zināšanas par tirdzniecību un SVT darbību</w:t>
            </w:r>
            <w:r>
              <w:rPr>
                <w:b/>
                <w:i/>
                <w:strike w:val="0"/>
                <w:color w:val="auto"/>
                <w:highlight w:val="none"/>
                <w:u w:val="none" w:color="auto"/>
                <w:vertAlign w:val="baseline"/>
              </w:rPr>
              <w:t>un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 tās ir devušas informētu piekrišanu iekļaušanai izmēģinājuma režīmā un ir pienācīgi informētas par tā eksperimentālo raksturu un ar to saistītajiem iespējamajiem riskiem.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Ja EVTI piešķir pirmajā daļā minēto atbrīvojumu, tā var noteikt papildu pasākumus ieguldītāju aizsardzībai, proti, tādu fizisku personu aizsardzībai, kuras uzņemtas kā SVT DTS locekļi vai dalībnieki.</w:t>
            </w:r>
            <w:r>
              <w:t xml:space="preserve"> </w:t>
            </w:r>
            <w:r>
              <w:rPr>
                <w:b/>
                <w:i/>
                <w:strike w:val="0"/>
                <w:color w:val="auto"/>
                <w:highlight w:val="none"/>
                <w:u w:val="none" w:color="auto"/>
                <w:vertAlign w:val="baseline"/>
              </w:rPr>
              <w:t>Šādi pasākumi ir proporcionāli locekļu vai dalībnieku riska profilam.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Atbrīvojumu no FITD iekļauj šajā regulā, nevis veic ad hoc grozījumu FITD.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1.b daļa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1.b</w:t>
            </w:r>
            <w:r>
              <w:tab/>
            </w:r>
            <w:r>
              <w:rPr>
                <w:b/>
                <w:i/>
                <w:strike w:val="0"/>
                <w:color w:val="auto"/>
                <w:highlight w:val="none"/>
                <w:u w:val="none" w:color="auto"/>
                <w:vertAlign w:val="baseline"/>
              </w:rPr>
              <w:t>EVTI izstrādā regulatīvo tehnisko standartu projektu, kurā nosaka: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kritērijus fizisku personu piemērotības un likumības novērtēšanai nelikumīgi iegūtu līdzekļu legalizācijas novēršanas un terorisma finansēšanas apkarošanas nolūkos;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kritērijus 4. panta 1.a punktā un 5. panta 4. punktā prasīto spēju, kompetences un pieredzes novērtēšanai;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 4. panta 1. punktā minētos ieguldītāju aizsardzības pasākumus.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EVTI iesniedz šo regulatīvo tehnisko standartu projektu Komisijai līdz ... [seši mēneši pēc šīs regulas stāšanās spēkā dienas].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Komisijai tiek piešķirtas pilnvaras saskaņā ar Regulas (ES) Nr. 1095/2010 15. pantu pieņemt šā punkta pirmajā daļā minētos regulatīvos tehniskos standartus.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2.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Ieguldījumu brokeru sabiedrībai vai tirgus dalībniekam</w:t>
            </w:r>
            <w:r>
              <w:t xml:space="preserve">, kas uztur SVT DTS, pēc </w:t>
            </w:r>
            <w:r>
              <w:rPr>
                <w:b/>
                <w:i/>
                <w:strike w:val="0"/>
                <w:color w:val="auto"/>
                <w:highlight w:val="none"/>
                <w:u w:val="none" w:color="auto"/>
                <w:vertAlign w:val="baseline"/>
              </w:rPr>
              <w:t>tā</w:t>
            </w:r>
            <w:r>
              <w:t xml:space="preserve"> pieprasījuma var atļaut tirgot SVT pārvedamus vērtspapīrus, kas nav iegrāmatoti CVD saskaņā ar Regulas (ES) 909/2014 3. panta 2. punktu, bet ir iegrāmatoti SVT </w:t>
            </w:r>
            <w:r>
              <w:rPr>
                <w:b/>
                <w:i/>
                <w:strike w:val="0"/>
                <w:color w:val="auto"/>
                <w:highlight w:val="none"/>
                <w:u w:val="none" w:color="auto"/>
                <w:vertAlign w:val="baseline"/>
              </w:rPr>
              <w:t>DTS sadalītajā virsgrāmatā</w:t>
            </w:r>
            <w:r>
              <w:t>.</w:t>
            </w:r>
          </w:p>
        </w:tc>
        <w:tc>
          <w:tcPr>
            <w:tcW w:w="4876" w:type="dxa"/>
            <w:vAlign w:val="top"/>
          </w:tcPr>
          <w:p>
            <w:pPr>
              <w:pStyle w:val="Normal6a"/>
            </w:pPr>
            <w:r>
              <w:t>2.</w:t>
            </w:r>
            <w:r>
              <w:tab/>
            </w:r>
            <w:r>
              <w:rPr>
                <w:b/>
                <w:i/>
                <w:strike w:val="0"/>
                <w:color w:val="auto"/>
                <w:highlight w:val="none"/>
                <w:u w:val="none" w:color="auto"/>
                <w:vertAlign w:val="baseline"/>
              </w:rPr>
              <w:t>Struktūrai</w:t>
            </w:r>
            <w:r>
              <w:t xml:space="preserve">, kas uztur SVT DTS, pēc </w:t>
            </w:r>
            <w:r>
              <w:rPr>
                <w:b/>
                <w:i/>
                <w:strike w:val="0"/>
                <w:color w:val="auto"/>
                <w:highlight w:val="none"/>
                <w:u w:val="none" w:color="auto"/>
                <w:vertAlign w:val="baseline"/>
              </w:rPr>
              <w:t>tās</w:t>
            </w:r>
            <w:r>
              <w:t xml:space="preserve"> pieprasījuma var atļaut tirgot SVT pārvedamus vērtspapīrus, kas nav iegrāmatoti CVD saskaņā ar Regulas (ES) 909/2014 3. panta 2. punktu, bet ir iegrāmatoti SVT</w:t>
            </w:r>
            <w:r>
              <w:rPr>
                <w:b/>
                <w:i/>
                <w:strike w:val="0"/>
                <w:color w:val="auto"/>
                <w:highlight w:val="none"/>
                <w:u w:val="none" w:color="auto"/>
                <w:vertAlign w:val="baseline"/>
              </w:rPr>
              <w:t>, ko izmanto SVT DTS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 un tehnoloģiskā neitralitāte attiecībā uz SVT, kas aizsargātas ar īpašumtiesībām, un publiskām SVT.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2.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Ieguldījumu brokeru sabiedrībai vai tirgus dalībniekam, kas uztur SVT DTS, pēc tā pieprasījuma var atļaut tirgot SVT pārvedamus vērtspapīrus, kas nav iegrāmatoti CVD saskaņā ar Regulas (ES) 909/2014 3. panta 2. punktu, bet ir iegrāmatoti SVT DTS </w:t>
            </w:r>
            <w:r>
              <w:rPr>
                <w:b/>
                <w:i/>
                <w:strike w:val="0"/>
                <w:color w:val="auto"/>
                <w:highlight w:val="none"/>
                <w:u w:val="none" w:color="auto"/>
                <w:vertAlign w:val="baseline"/>
              </w:rPr>
              <w:t>sadalītajā virsgrāmatā</w:t>
            </w:r>
            <w:r>
              <w:t>.</w:t>
            </w:r>
          </w:p>
        </w:tc>
        <w:tc>
          <w:tcPr>
            <w:tcW w:w="4876" w:type="dxa"/>
            <w:vAlign w:val="top"/>
          </w:tcPr>
          <w:p>
            <w:pPr>
              <w:pStyle w:val="Normal6a"/>
            </w:pPr>
            <w:r>
              <w:t>2.</w:t>
            </w:r>
            <w:r>
              <w:tab/>
            </w:r>
            <w:r>
              <w:t xml:space="preserve">Ieguldījumu brokeru sabiedrībai vai tirgus dalībniekam, kas uztur SVT DTS, pēc tā pieprasījuma var atļaut tirgot SVT pārvedamus vērtspapīrus, kas nav iegrāmatoti CVD saskaņā ar Regulas (ES) 909/2014 3. panta 2. punktu, bet ir iegrāmatoti </w:t>
            </w:r>
            <w:r>
              <w:rPr>
                <w:b/>
                <w:i/>
                <w:strike w:val="0"/>
                <w:color w:val="auto"/>
                <w:highlight w:val="none"/>
                <w:u w:val="none" w:color="auto"/>
                <w:vertAlign w:val="baseline"/>
              </w:rPr>
              <w:t>sadalītajā virsgrāmatā, ko izmanto</w:t>
            </w:r>
            <w:r>
              <w:t xml:space="preserve"> SVT DTS.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309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2. punkts – 1. daļa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Ieguldījumu brokeru sabiedrība vai tirgus dalībnieks</w:t>
            </w:r>
            <w:r>
              <w:t>, kas pieprasa atbrīvojumu atbilstoši 1. punktam, ierosina kompensējošus pasākumus, lai sasniegtu to noteikumu mērķus, no kuriem tiek prasīts atbrīvojums, un nodrošina vismaz:</w:t>
            </w:r>
          </w:p>
        </w:tc>
        <w:tc>
          <w:tcPr>
            <w:tcW w:w="4876" w:type="dxa"/>
            <w:vAlign w:val="top"/>
          </w:tcPr>
          <w:p>
            <w:pPr>
              <w:pStyle w:val="Normal6a"/>
            </w:pPr>
            <w:r>
              <w:rPr>
                <w:b/>
                <w:i/>
                <w:strike w:val="0"/>
                <w:color w:val="auto"/>
                <w:highlight w:val="none"/>
                <w:u w:val="none" w:color="auto"/>
                <w:vertAlign w:val="baseline"/>
              </w:rPr>
              <w:t>Struktūra</w:t>
            </w:r>
            <w:r>
              <w:t>, kas pieprasa atbrīvojumu atbilstoši 1. punktam, ierosina kompensējošus pasākumus, lai sasniegtu to noteikumu mērķus, no kuriem tiek prasīts atbrīvojums, un nodrošina vismaz:</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2. punkts – 1. daļa – c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ka SVT DTS veic uzskaiti, kas ļauj </w:t>
            </w:r>
            <w:r>
              <w:rPr>
                <w:b/>
                <w:i/>
                <w:strike w:val="0"/>
                <w:color w:val="auto"/>
                <w:highlight w:val="none"/>
                <w:u w:val="none" w:color="auto"/>
                <w:vertAlign w:val="baseline"/>
              </w:rPr>
              <w:t>ieguldījumu brokeru sabiedrībai vai tirgus dalībniekam, kas</w:t>
            </w:r>
            <w:r>
              <w:t xml:space="preserve"> uztur SVT DTS, nekavējoties jebkurā laikā nošķirt locekļa, dalībnieka, emitenta vai klienta SVT pārvedamos vērtspapīrus no jebkura cita locekļa, dalībnieka, emitenta vai klienta SVT pārvedamajiem vērtspapīriem.</w:t>
            </w:r>
          </w:p>
        </w:tc>
        <w:tc>
          <w:tcPr>
            <w:tcW w:w="4876" w:type="dxa"/>
            <w:vAlign w:val="top"/>
          </w:tcPr>
          <w:p>
            <w:pPr>
              <w:pStyle w:val="Normal6a"/>
            </w:pPr>
            <w:r>
              <w:t>(c)</w:t>
            </w:r>
            <w:r>
              <w:tab/>
            </w:r>
            <w:r>
              <w:t xml:space="preserve">ka SVT DTS veic uzskaiti, kas ļauj </w:t>
            </w:r>
            <w:r>
              <w:rPr>
                <w:b/>
                <w:i/>
                <w:strike w:val="0"/>
                <w:color w:val="auto"/>
                <w:highlight w:val="none"/>
                <w:u w:val="none" w:color="auto"/>
                <w:vertAlign w:val="baseline"/>
              </w:rPr>
              <w:t>struktūrai, kura</w:t>
            </w:r>
            <w:r>
              <w:t xml:space="preserve"> uztur SVT DTS, nekavējoties jebkurā laikā nošķirt locekļa, dalībnieka, emitenta vai klienta SVT pārvedamos vērtspapīrus no jebkura cita locekļa, dalībnieka, emitenta vai klienta SVT pārvedamajiem vērtspapīriem.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2. punkts – 1. daļa – ca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ka SVT DTS darbības neietekmē jebkuras citas tādas DTS darbības un stabilitāti, ko uztur SVT DTS uzturētājs, piemēram, ja viena vai vairākas struktūras piedalās gan parastā SVT DTS, gan tādā, ko uztur viens un tas pats uzturētājs.</w:t>
            </w:r>
            <w:r>
              <w:t xml:space="preserve"> </w:t>
            </w:r>
            <w:r>
              <w:rPr>
                <w:b/>
                <w:i/>
                <w:strike w:val="0"/>
                <w:color w:val="auto"/>
                <w:highlight w:val="none"/>
                <w:u w:val="none" w:color="auto"/>
                <w:vertAlign w:val="baseline"/>
              </w:rPr>
              <w:t>Šādos apstākļos SVT DTS uzturētājs precīzi izskaidro maksātnespējas un norēķinu galīguma riskus, kuriem ir pakļauti tā dalībnieki, kā arī visus pasākumus, kas ir ieviesti, lai mazinātu šādus riskus.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Tiek ierosināts iekļaut ECB 28. aprīļa atzinuma par SVT izmēģinājuma režīmu 3.4. punkta otro piezīmi, lai paredzētu SVT DTS “norobežošanu” gadījumā, ja to uzturētājs uztur arī citas DTS.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2. punkts – 2.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Ja SVT DTS nav pieprasījusi atbrīvojumu saskaņā ar pirmo daļu, SVT pārvedamos vērtspapīrus vai nu uzskaita grāmatojuma formā CVD, vai iegrāmato </w:t>
            </w:r>
            <w:r>
              <w:rPr>
                <w:b/>
                <w:i/>
                <w:strike w:val="0"/>
                <w:color w:val="auto"/>
                <w:highlight w:val="none"/>
                <w:u w:val="none" w:color="auto"/>
                <w:vertAlign w:val="baseline"/>
              </w:rPr>
              <w:t>tāda CVD sadalītās virsgrāmatas tehnoloģijā</w:t>
            </w:r>
            <w:r>
              <w:t>, kas uztur SVT vērtspapīru norēķinu sistēmu.</w:t>
            </w:r>
          </w:p>
        </w:tc>
        <w:tc>
          <w:tcPr>
            <w:tcW w:w="4876" w:type="dxa"/>
            <w:vAlign w:val="top"/>
          </w:tcPr>
          <w:p>
            <w:pPr>
              <w:pStyle w:val="Normal6a"/>
            </w:pPr>
            <w:r>
              <w:t xml:space="preserve">Ja SVT DTS nav pieprasījusi atbrīvojumu saskaņā ar pirmo daļu, SVT pārvedamos vērtspapīrus vai nu uzskaita grāmatojuma formā CVD, vai iegrāmato </w:t>
            </w:r>
            <w:r>
              <w:rPr>
                <w:b/>
                <w:i/>
                <w:strike w:val="0"/>
                <w:color w:val="auto"/>
                <w:highlight w:val="none"/>
                <w:u w:val="none" w:color="auto"/>
                <w:vertAlign w:val="baseline"/>
              </w:rPr>
              <w:t>sadalītā virsgrāmatā, kuru uztur CVD</w:t>
            </w:r>
            <w:r>
              <w:t>, kas uztur SVT vērtspapīru norēķinu sistēmu.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2. punkts – 2.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Ja SVT DTS </w:t>
            </w:r>
            <w:r>
              <w:rPr>
                <w:b/>
                <w:i/>
                <w:strike w:val="0"/>
                <w:color w:val="auto"/>
                <w:highlight w:val="none"/>
                <w:u w:val="none" w:color="auto"/>
                <w:vertAlign w:val="baseline"/>
              </w:rPr>
              <w:t>nav pieprasījusi</w:t>
            </w:r>
            <w:r>
              <w:t xml:space="preserve"> atbrīvojumu saskaņā ar pirmo daļu, SVT pārvedamos vērtspapīrus vai nu uzskaita grāmatojuma formā CVD, vai iegrāmato tāda CVD sadalītās virsgrāmatas tehnoloģijā, kas uztur SVT </w:t>
            </w:r>
            <w:r>
              <w:rPr>
                <w:b/>
                <w:i/>
                <w:strike w:val="0"/>
                <w:color w:val="auto"/>
                <w:highlight w:val="none"/>
                <w:u w:val="none" w:color="auto"/>
                <w:vertAlign w:val="baseline"/>
              </w:rPr>
              <w:t>vērtspapīru norēķinu sistēmu</w:t>
            </w:r>
            <w:r>
              <w:t>.</w:t>
            </w:r>
          </w:p>
        </w:tc>
        <w:tc>
          <w:tcPr>
            <w:tcW w:w="4876" w:type="dxa"/>
            <w:vAlign w:val="top"/>
          </w:tcPr>
          <w:p>
            <w:pPr>
              <w:pStyle w:val="Normal6a"/>
            </w:pPr>
            <w:r>
              <w:t xml:space="preserve">Ja SVT DTS </w:t>
            </w:r>
            <w:r>
              <w:rPr>
                <w:b/>
                <w:i/>
                <w:strike w:val="0"/>
                <w:color w:val="auto"/>
                <w:highlight w:val="none"/>
                <w:u w:val="none" w:color="auto"/>
                <w:vertAlign w:val="baseline"/>
              </w:rPr>
              <w:t>uzturētājs nav pieprasījis</w:t>
            </w:r>
            <w:r>
              <w:t xml:space="preserve"> atbrīvojumu saskaņā ar pirmo daļu, SVT pārvedamos vērtspapīrus vai nu uzskaita grāmatojuma formā CVD, vai iegrāmato tāda CVD sadalītās virsgrāmatas tehnoloģijā, kas uztur SVT </w:t>
            </w:r>
            <w:r>
              <w:rPr>
                <w:b/>
                <w:i/>
                <w:strike w:val="0"/>
                <w:color w:val="auto"/>
                <w:highlight w:val="none"/>
                <w:u w:val="none" w:color="auto"/>
                <w:vertAlign w:val="baseline"/>
              </w:rPr>
              <w:t>VNS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Atbrīvojuma pieprasījumu iesniedz pirmajā daļā minētais SVT DTS uzturētājs (nevis SVT DTS).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Ja ieguldījumu brokeru sabiedrība vai tirgus dalībnieks, kas uztur SVT DTS, ir pieprasījuši </w:t>
            </w:r>
            <w:r>
              <w:rPr>
                <w:b/>
                <w:i/>
                <w:strike w:val="0"/>
                <w:color w:val="auto"/>
                <w:highlight w:val="none"/>
                <w:u w:val="none" w:color="auto"/>
                <w:vertAlign w:val="baseline"/>
              </w:rPr>
              <w:t>atbrīvojumu</w:t>
            </w:r>
            <w:r>
              <w:t xml:space="preserve"> saskaņā ar 2. punktu, tie, izmantojot stingras procedūras un kārtību, nodrošina, ka SVT DTS:</w:t>
            </w:r>
          </w:p>
        </w:tc>
        <w:tc>
          <w:tcPr>
            <w:tcW w:w="4876" w:type="dxa"/>
            <w:vAlign w:val="top"/>
          </w:tcPr>
          <w:p>
            <w:pPr>
              <w:pStyle w:val="Normal6a"/>
            </w:pPr>
            <w:r>
              <w:t>3.</w:t>
            </w:r>
            <w:r>
              <w:tab/>
            </w:r>
            <w:r>
              <w:t xml:space="preserve">Ja ieguldījumu brokeru sabiedrība vai tirgus dalībnieks, kas uztur SVT DTS, ir pieprasījuši </w:t>
            </w:r>
            <w:r>
              <w:rPr>
                <w:b/>
                <w:i/>
                <w:strike w:val="0"/>
                <w:color w:val="auto"/>
                <w:highlight w:val="none"/>
                <w:u w:val="none" w:color="auto"/>
                <w:vertAlign w:val="baseline"/>
              </w:rPr>
              <w:t>atļauju</w:t>
            </w:r>
            <w:r>
              <w:t xml:space="preserve"> saskaņā ar 2. punktu, </w:t>
            </w:r>
            <w:r>
              <w:rPr>
                <w:b/>
                <w:i/>
                <w:strike w:val="0"/>
                <w:color w:val="auto"/>
                <w:highlight w:val="none"/>
                <w:u w:val="none" w:color="auto"/>
                <w:vertAlign w:val="baseline"/>
              </w:rPr>
              <w:t>tie nodrošina atbilstību visām prasībām, kas piemērojamas CVD, kurš uztur SVT saskaņā ar Regulu (ES) Nr. 909/2014, tādā veidā, kas ir samērīgs ar to darījumdarbības būtību, mērogu un riskiem, un</w:t>
            </w:r>
            <w:r>
              <w:t xml:space="preserve"> tie, izmantojot stingras procedūras un kārtību, nodrošina, ka SVT DTS: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Lai nodrošinātu pienācīgu saskaņošanu ar aizsardzības pasākumiem, ko CVD pakalpojumiem piemēro saskaņā ar Savienības tiesību aktiem, un saglabātu vienlīdzīgus konkurences apstākļus dažādām SVT tirgus infrastruktūrām.</w:t>
      </w:r>
      <w:r>
        <w:t xml:space="preserve"> </w:t>
      </w:r>
      <w:r>
        <w:t>Sk. arī ECB atzinumu.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Ja </w:t>
            </w:r>
            <w:r>
              <w:rPr>
                <w:b/>
                <w:i/>
                <w:strike w:val="0"/>
                <w:color w:val="auto"/>
                <w:highlight w:val="none"/>
                <w:u w:val="none" w:color="auto"/>
                <w:vertAlign w:val="baseline"/>
              </w:rPr>
              <w:t>ieguldījumu brokeru sabiedrība vai tirgus dalībnieks</w:t>
            </w:r>
            <w:r>
              <w:t xml:space="preserve">, kas uztur SVT DTS, ir </w:t>
            </w:r>
            <w:r>
              <w:rPr>
                <w:b/>
                <w:i/>
                <w:strike w:val="0"/>
                <w:color w:val="auto"/>
                <w:highlight w:val="none"/>
                <w:u w:val="none" w:color="auto"/>
                <w:vertAlign w:val="baseline"/>
              </w:rPr>
              <w:t>pieprasījuši</w:t>
            </w:r>
            <w:r>
              <w:t xml:space="preserve"> atbrīvojumu saskaņā ar 2. punktu, </w:t>
            </w:r>
            <w:r>
              <w:rPr>
                <w:b/>
                <w:i/>
                <w:strike w:val="0"/>
                <w:color w:val="auto"/>
                <w:highlight w:val="none"/>
                <w:u w:val="none" w:color="auto"/>
                <w:vertAlign w:val="baseline"/>
              </w:rPr>
              <w:t>tie</w:t>
            </w:r>
            <w:r>
              <w:t>, izmantojot stingras procedūras un kārtību, nodrošina, ka SVT DTS:</w:t>
            </w:r>
          </w:p>
        </w:tc>
        <w:tc>
          <w:tcPr>
            <w:tcW w:w="4876" w:type="dxa"/>
            <w:vAlign w:val="top"/>
          </w:tcPr>
          <w:p>
            <w:pPr>
              <w:pStyle w:val="Normal6a"/>
            </w:pPr>
            <w:r>
              <w:t>3.</w:t>
            </w:r>
            <w:r>
              <w:tab/>
            </w:r>
            <w:r>
              <w:t xml:space="preserve">Ja </w:t>
            </w:r>
            <w:r>
              <w:rPr>
                <w:b/>
                <w:i/>
                <w:strike w:val="0"/>
                <w:color w:val="auto"/>
                <w:highlight w:val="none"/>
                <w:u w:val="none" w:color="auto"/>
                <w:vertAlign w:val="baseline"/>
              </w:rPr>
              <w:t>struktūra</w:t>
            </w:r>
            <w:r>
              <w:t xml:space="preserve">, kas uztur SVT DTS, ir </w:t>
            </w:r>
            <w:r>
              <w:rPr>
                <w:b/>
                <w:i/>
                <w:strike w:val="0"/>
                <w:color w:val="auto"/>
                <w:highlight w:val="none"/>
                <w:u w:val="none" w:color="auto"/>
                <w:vertAlign w:val="baseline"/>
              </w:rPr>
              <w:t>pieprasījusi</w:t>
            </w:r>
            <w:r>
              <w:t xml:space="preserve"> atbrīvojumu saskaņā ar 2. punktu, </w:t>
            </w:r>
            <w:r>
              <w:rPr>
                <w:b/>
                <w:i/>
                <w:strike w:val="0"/>
                <w:color w:val="auto"/>
                <w:highlight w:val="none"/>
                <w:u w:val="none" w:color="auto"/>
                <w:vertAlign w:val="baseline"/>
              </w:rPr>
              <w:t>tā</w:t>
            </w:r>
            <w:r>
              <w:t>, izmantojot stingras procedūras un kārtību, nodrošina, ka SVT DTS: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garantē, ka SVT pārvedamo vērtspapīru skaits emisijā vai daļā emisijas, ko atļāvusi ieguldījumu brokeru sabiedrība vai tirgus dalībnieks, kurš uztur SVT </w:t>
            </w:r>
            <w:r>
              <w:rPr>
                <w:b/>
                <w:i/>
                <w:strike w:val="0"/>
                <w:color w:val="auto"/>
                <w:highlight w:val="none"/>
                <w:u w:val="none" w:color="auto"/>
                <w:vertAlign w:val="baseline"/>
              </w:rPr>
              <w:t>DTS</w:t>
            </w:r>
            <w:r>
              <w:t>, ir vienāds ar šādu emisiju vai tās daļu veidojošo SVT pārvedamo vērtspapīru summu, kas iegrāmatota SVT jebkurā konkrētā brīdī;</w:t>
            </w:r>
          </w:p>
        </w:tc>
        <w:tc>
          <w:tcPr>
            <w:tcW w:w="4876" w:type="dxa"/>
            <w:vAlign w:val="top"/>
          </w:tcPr>
          <w:p>
            <w:pPr>
              <w:pStyle w:val="Normal6a"/>
            </w:pPr>
            <w:r>
              <w:t>(a)</w:t>
            </w:r>
            <w:r>
              <w:tab/>
            </w:r>
            <w:r>
              <w:rPr>
                <w:b/>
                <w:i/>
                <w:strike w:val="0"/>
                <w:color w:val="auto"/>
                <w:highlight w:val="none"/>
                <w:u w:val="none" w:color="auto"/>
                <w:vertAlign w:val="baseline"/>
              </w:rPr>
              <w:t>saskaņā ar Regulas (ES) Nr. 909/2014 37. panta 2. un 3. punktu</w:t>
            </w:r>
            <w:r>
              <w:t xml:space="preserve"> garantē, ka SVT pārvedamo vērtspapīru skaits emisijā vai daļā emisijas, ko atļāvusi ieguldījumu brokeru sabiedrība vai tirgus dalībnieks, kurš uztur SVT </w:t>
            </w:r>
            <w:r>
              <w:rPr>
                <w:b/>
                <w:i/>
                <w:strike w:val="0"/>
                <w:color w:val="auto"/>
                <w:highlight w:val="none"/>
                <w:u w:val="none" w:color="auto"/>
                <w:vertAlign w:val="baseline"/>
              </w:rPr>
              <w:t>TNS</w:t>
            </w:r>
            <w:r>
              <w:t>, ir vienāds ar šādu emisiju vai tās daļu veidojošo SVT pārvedamo vērtspapīru summu, kas iegrāmatota SVT jebkurā konkrētā brīdī;</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Šā grozījuma mērķis ir ņemt vērā ECB atzinumā izteikto ierosinājumu.</w:t>
      </w:r>
      <w:r>
        <w:t xml:space="preserve"> </w:t>
      </w:r>
      <w:r>
        <w:t>ECB paustās bažas par nevienlīdzīgiem konkurences apstākļiem starp SVT DTS, kas sniedz CVD pamatpakalpojumus, un SVT VNS risina, ieviešot SVT TNS jēdzienu.</w:t>
      </w:r>
      <w:r>
        <w:t xml:space="preserve"> </w:t>
      </w:r>
      <w:r>
        <w:t>Tomēr ir svarīgi šajā pantā precizēt, ka prasības par CVD pamatpakalpojumu sniegšanu, ko veic SVT tirgus infrastruktūras uzturētājs, būtu jāsaskaņo ar attiecīgajiem Regulas (ES) Nr. 909/2014 noteikumiem.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garantē, ka SVT pārvedamo vērtspapīru skaits emisijā vai daļā emisijas, ko atļāvusi ieguldījumu brokeru sabiedrība vai tirgus dalībnieks, kurš uztur SVT DTS, ir vienāds ar šādu emisiju vai tās daļu veidojošo SVT pārvedamo vērtspapīru summu, kas iegrāmatota SVT jebkurā konkrētā brīdī;</w:t>
            </w:r>
          </w:p>
        </w:tc>
        <w:tc>
          <w:tcPr>
            <w:tcW w:w="4876" w:type="dxa"/>
            <w:vAlign w:val="top"/>
          </w:tcPr>
          <w:p>
            <w:pPr>
              <w:pStyle w:val="Normal6a"/>
            </w:pPr>
            <w:r>
              <w:t>(a)</w:t>
            </w:r>
            <w:r>
              <w:tab/>
            </w:r>
            <w:r>
              <w:rPr>
                <w:b/>
                <w:i/>
                <w:strike w:val="0"/>
                <w:color w:val="auto"/>
                <w:highlight w:val="none"/>
                <w:u w:val="none" w:color="auto"/>
                <w:vertAlign w:val="baseline"/>
              </w:rPr>
              <w:t>saskaņā ar Regulas (ES) Nr. 909/2014 37. panta 2. un 3. punktu</w:t>
            </w:r>
            <w:r>
              <w:t xml:space="preserve"> garantē, ka SVT pārvedamo vērtspapīru skaits emisijā vai daļā emisijas, ko atļāvusi ieguldījumu brokeru sabiedrība vai tirgus dalībnieks, kurš uztur SVT DTS, ir vienāds ar šādu emisiju vai tās daļu veidojošo SVT pārvedamo vērtspapīru summu, kas iegrāmatota SVT jebkurā konkrētā brīdī;</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Saskaņā ar ECB atzinumu.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a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garantē, ka SVT pārvedamo vērtspapīru skaits emisijā vai daļā emisijas, ko atļāvusi </w:t>
            </w:r>
            <w:r>
              <w:rPr>
                <w:b/>
                <w:i/>
                <w:strike w:val="0"/>
                <w:color w:val="auto"/>
                <w:highlight w:val="none"/>
                <w:u w:val="none" w:color="auto"/>
                <w:vertAlign w:val="baseline"/>
              </w:rPr>
              <w:t>ieguldījumu brokeru sabiedrība vai tirgus dalībnieks, kurš</w:t>
            </w:r>
            <w:r>
              <w:t xml:space="preserve"> uztur SVT DTS, ir vienāds ar šādu emisiju vai tās daļu veidojošo SVT pārvedamo vērtspapīru summu, kas iegrāmatota SVT jebkurā konkrētā brīdī;</w:t>
            </w:r>
          </w:p>
        </w:tc>
        <w:tc>
          <w:tcPr>
            <w:tcW w:w="4876" w:type="dxa"/>
            <w:vAlign w:val="top"/>
          </w:tcPr>
          <w:p>
            <w:pPr>
              <w:pStyle w:val="Normal6a"/>
            </w:pPr>
            <w:r>
              <w:t>(a)</w:t>
            </w:r>
            <w:r>
              <w:tab/>
            </w:r>
            <w:r>
              <w:t xml:space="preserve">garantē, ka SVT pārvedamo vērtspapīru skaits emisijā vai daļā emisijas, ko atļāvusi </w:t>
            </w:r>
            <w:r>
              <w:rPr>
                <w:b/>
                <w:i/>
                <w:strike w:val="0"/>
                <w:color w:val="auto"/>
                <w:highlight w:val="none"/>
                <w:u w:val="none" w:color="auto"/>
                <w:vertAlign w:val="baseline"/>
              </w:rPr>
              <w:t>struktūra, kura</w:t>
            </w:r>
            <w:r>
              <w:t xml:space="preserve"> uztur SVT DTS, ir vienāds ar šādu emisiju vai tās daļu veidojošo SVT pārvedamo vērtspapīru summu, kas iegrāmatota SVT jebkurā konkrētā brīdī;</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319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d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sniedz skaidru, precīzu un savlaicīgu informāciju saistībā ar norēķiniem par darījumiem, tostarp norēķinu galīgumu, nosakot brīdi, no kura loceklis, dalībnieks, emitents vai klients nedrīkst atsaukt pārveduma rīkojumus vai citus iepriekšnoteiktus norādījumus;</w:t>
            </w:r>
          </w:p>
        </w:tc>
        <w:tc>
          <w:tcPr>
            <w:tcW w:w="4876" w:type="dxa"/>
            <w:vAlign w:val="top"/>
          </w:tcPr>
          <w:p>
            <w:pPr>
              <w:pStyle w:val="Normal6a"/>
            </w:pPr>
            <w:r>
              <w:t>(d)</w:t>
            </w:r>
            <w:r>
              <w:tab/>
            </w:r>
            <w:r>
              <w:rPr>
                <w:b/>
                <w:i/>
                <w:strike w:val="0"/>
                <w:color w:val="auto"/>
                <w:highlight w:val="none"/>
                <w:u w:val="none" w:color="auto"/>
                <w:vertAlign w:val="baseline"/>
              </w:rPr>
              <w:t>saskaņā ar Regulas (ES) Nr. 909/2014 39. panta 5. punktu</w:t>
            </w:r>
            <w:r>
              <w:t xml:space="preserve"> sniedz skaidru, precīzu un savlaicīgu informāciju saistībā ar norēķiniem par darījumiem, tostarp norēķinu galīgumu, nosakot brīdi, no kura loceklis, dalībnieks, emitents vai klients nedrīkst atsaukt pārveduma rīkojumus vai citus iepriekšnoteiktus norādījumus;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Šā grozījuma mērķis ir ņemt vērā ECB atzinumā izteikto ierosinājumu.</w:t>
      </w:r>
      <w:r>
        <w:t xml:space="preserve"> </w:t>
      </w:r>
      <w:r>
        <w:t>ECB paustās bažas par nevienlīdzīgiem konkurences apstākļiem starp SVT DTS, kas sniedz CVD pamatpakalpojumus, un SVT VNS risina, ieviešot SVT TNS jēdzienu.</w:t>
      </w:r>
      <w:r>
        <w:t xml:space="preserve"> </w:t>
      </w:r>
      <w:r>
        <w:t>Tomēr ir svarīgi šajā pantā precizēt, ka prasības par CVD pamatpakalpojumu sniegšanu, ko veic SVT tirgus infrastruktūras uzturētājs, būtu jāsaskaņo ar attiecīgajiem Regulas (ES) Nr. 909/2014 noteikumiem.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d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sniedz skaidru, precīzu un savlaicīgu informāciju saistībā ar norēķiniem par darījumiem, tostarp norēķinu galīgumu, nosakot brīdi, no kura loceklis, dalībnieks, emitents vai klients nedrīkst atsaukt pārveduma rīkojumus vai citus iepriekšnoteiktus norādījumus;</w:t>
            </w:r>
          </w:p>
        </w:tc>
        <w:tc>
          <w:tcPr>
            <w:tcW w:w="4876" w:type="dxa"/>
            <w:vAlign w:val="top"/>
          </w:tcPr>
          <w:p>
            <w:pPr>
              <w:pStyle w:val="Normal6a"/>
            </w:pPr>
            <w:r>
              <w:t>(d)</w:t>
            </w:r>
            <w:r>
              <w:tab/>
            </w:r>
            <w:r>
              <w:rPr>
                <w:b/>
                <w:i/>
                <w:strike w:val="0"/>
                <w:color w:val="auto"/>
                <w:highlight w:val="none"/>
                <w:u w:val="none" w:color="auto"/>
                <w:vertAlign w:val="baseline"/>
              </w:rPr>
              <w:t>saskaņā ar Regulas (ES) Nr. 909/2014 39. panta 5. punktu</w:t>
            </w:r>
            <w:r>
              <w:t xml:space="preserve"> sniedz skaidru, precīzu un savlaicīgu informāciju saistībā ar norēķiniem par darījumiem, tostarp norēķinu galīgumu, nosakot brīdi, no kura loceklis, dalībnieks, emitents vai klients nedrīkst atsaukt pārveduma rīkojumus vai citus iepriekšnoteiktus norādījumus;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Saskaņā ar ECB atzinumu.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d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sniedz skaidru, precīzu un savlaicīgu informāciju saistībā ar norēķiniem par darījumiem, tostarp norēķinu galīgumu, nosakot brīdi, no kura loceklis, dalībnieks, emitents vai klients nedrīkst atsaukt pārveduma rīkojumus vai citus iepriekšnoteiktus norādījumus;</w:t>
            </w:r>
          </w:p>
        </w:tc>
        <w:tc>
          <w:tcPr>
            <w:tcW w:w="4876" w:type="dxa"/>
            <w:vAlign w:val="top"/>
          </w:tcPr>
          <w:p>
            <w:pPr>
              <w:pStyle w:val="Normal6a"/>
            </w:pPr>
            <w:r>
              <w:t>(d)</w:t>
            </w:r>
            <w:r>
              <w:tab/>
            </w:r>
            <w:r>
              <w:t xml:space="preserve">sniedz skaidru, precīzu un savlaicīgu informāciju saistībā ar norēķiniem par darījumiem, tostarp norēķinu galīgumu, </w:t>
            </w:r>
            <w:r>
              <w:rPr>
                <w:b/>
                <w:i/>
                <w:strike w:val="0"/>
                <w:color w:val="auto"/>
                <w:highlight w:val="none"/>
                <w:u w:val="none" w:color="auto"/>
                <w:vertAlign w:val="baseline"/>
              </w:rPr>
              <w:t>saskaņā ar Regulas (ES) Nr. 909/2014 39. pantu</w:t>
            </w:r>
            <w:r>
              <w:t xml:space="preserve"> nosakot brīdi, no kura loceklis, dalībnieks, emitents vai klients nedrīkst atsaukt pārveduma rīkojumus vai citus iepriekšnoteiktus norādījumus;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f apakšpunkts – 1.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Norēķinu var veikt, izmantojot centrālās bankas līdzekļus, ja tas ir praktiski iespējams un ja tie ir pieejami, vai, ja tas nav praktiski iespējams un šie līdzekļi nav pieejami, komercbankas līdzekļus, tostarp uz tokeniem balstītā formā, vai e-naudas tokenus.</w:t>
            </w:r>
          </w:p>
        </w:tc>
        <w:tc>
          <w:tcPr>
            <w:tcW w:w="4876" w:type="dxa"/>
            <w:vAlign w:val="top"/>
          </w:tcPr>
          <w:p>
            <w:pPr>
              <w:pStyle w:val="Normal6a"/>
            </w:pPr>
            <w:r>
              <w:rPr>
                <w:b/>
                <w:i/>
                <w:strike w:val="0"/>
                <w:color w:val="auto"/>
                <w:highlight w:val="none"/>
                <w:u w:val="none" w:color="auto"/>
                <w:vertAlign w:val="baseline"/>
              </w:rPr>
              <w:t>Maksājuma pozīcijas</w:t>
            </w:r>
            <w:r>
              <w:t xml:space="preserve"> norēķinu var veikt, izmantojot centrālās bankas līdzekļus, ja tas ir praktiski iespējams un ja tie ir pieejami, vai, ja tas nav praktiski iespējams un šie līdzekļi nav pieejami, komercbankas līdzekļus, tostarp uz tokeniem balstītā formā, vai e-naudas tokenus.</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f apakšpunkts – 2.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Ja norēķinu veic, izmantojot komercbankas līdzekļus vai e-naudas tokenus, ieguldījumu brokeru sabiedrība vai tirgus dalībnieks, kas uztur SVT DTS, apzina, novērtē, uzrauga, pārvalda un līdz minimumam samazina jebkādu darījuma partnera risku, kas izriet no šādu līdzekļu izmantošanas, un</w:t>
            </w:r>
          </w:p>
        </w:tc>
        <w:tc>
          <w:tcPr>
            <w:tcW w:w="4876" w:type="dxa"/>
            <w:vAlign w:val="top"/>
          </w:tcPr>
          <w:p>
            <w:pPr>
              <w:pStyle w:val="Normal6a"/>
            </w:pPr>
            <w:r>
              <w:t>Ja norēķinu veic, izmantojot komercbankas līdzekļus vai e-naudas tokenus, ieguldījumu brokeru sabiedrība vai tirgus dalībnieks, kas uztur SVT DTS, apzina, novērtē, uzrauga, pārvalda un līdz minimumam samazina jebkādu darījuma partnera risku, kas izriet no šādu līdzekļu izmantošanas</w:t>
            </w:r>
            <w:r>
              <w:rPr>
                <w:b/>
                <w:i/>
                <w:strike w:val="0"/>
                <w:color w:val="auto"/>
                <w:highlight w:val="none"/>
                <w:u w:val="none" w:color="auto"/>
                <w:vertAlign w:val="baseline"/>
              </w:rPr>
              <w:t>.</w:t>
            </w:r>
            <w:r>
              <w:t xml:space="preserve"> </w:t>
            </w:r>
            <w:r>
              <w:rPr>
                <w:b/>
                <w:i/>
                <w:strike w:val="0"/>
                <w:color w:val="auto"/>
                <w:highlight w:val="none"/>
                <w:u w:val="none" w:color="auto"/>
                <w:vertAlign w:val="baseline"/>
              </w:rPr>
              <w:t>Ja norēķinu veic</w:t>
            </w:r>
            <w:r>
              <w:t xml:space="preserve">, </w:t>
            </w:r>
            <w:r>
              <w:rPr>
                <w:b/>
                <w:i/>
                <w:strike w:val="0"/>
                <w:color w:val="auto"/>
                <w:highlight w:val="none"/>
                <w:u w:val="none" w:color="auto"/>
                <w:vertAlign w:val="baseline"/>
              </w:rPr>
              <w:t>izmantojot e-naudas tokenus maksājuma pozīcijai, SVT DTS dalībnieki var atvērt kontus tieši SVT DTS, lai norēķinātos par maksājuma pozīciju e-naudas tokenos, vai arī SVT DTS un tās dalībnieki var atvērt kontu pie trešās personas, kas sniedz pakalpojumus saistībā ar e-naudas tokeniem.</w:t>
            </w:r>
            <w:r>
              <w:t xml:space="preserve"> </w:t>
            </w:r>
            <w:r>
              <w:rPr>
                <w:b/>
                <w:i/>
                <w:strike w:val="0"/>
                <w:color w:val="auto"/>
                <w:highlight w:val="none"/>
                <w:u w:val="none" w:color="auto"/>
                <w:vertAlign w:val="baseline"/>
              </w:rPr>
              <w:t>Šādos gadījumos SVT DTS vai trešā persona ir e-naudas tokenu emitents un nodrošina, ka maksājuma pozīcijas norēķini notiek e-naudas tokenos.</w:t>
            </w:r>
            <w:r>
              <w:t xml:space="preserve"> </w:t>
            </w:r>
            <w:r>
              <w:rPr>
                <w:b/>
                <w:i/>
                <w:strike w:val="0"/>
                <w:color w:val="auto"/>
                <w:highlight w:val="none"/>
                <w:u w:val="none" w:color="auto"/>
                <w:vertAlign w:val="baseline"/>
              </w:rPr>
              <w:t>Tā kā e-naudas tokenus var emitēt tikai kredītiestādes vai e-naudas iestādes saskaņā ar Regulu (EK) Nr. 2021/XX par kriptoaktīvu tirgiem, šajā regulā paredzētais atbrīvojums attiecībā uz Regulas (ES) Nr. 909/2014 (CVDR) naudas norēķinu noteikumiem neatbrīvo SVT DTS vai trešo personu, kas emitē e-naudas tokenus un veic vērtspapīru darījumu maksājuma pozīcijas norēķinus, izmantojot savus kontus, no licencēšanas prasībām saskaņā ar Regulu Nr. 2021/XX par kriptoaktīvu tirgiem;</w:t>
            </w:r>
            <w:r>
              <w:t xml:space="preserve"> un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Redakcionāli labojumi.</w:t>
      </w:r>
      <w:r>
        <w:t xml:space="preserve"> </w:t>
      </w:r>
      <w:r>
        <w:t>Turklāt tiek ierosināts iekļaut ECB 28. aprīļa atzinuma par SVT izmēģinājuma režīmu 3.3.7. punktu attiecībā uz norēķiniem ar e-naudas tokeniem.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f apakšpunkts – 2. 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Ja norēķinu veic, izmantojot komercbankas līdzekļus vai e-naudas tokenus, </w:t>
            </w:r>
            <w:r>
              <w:rPr>
                <w:b/>
                <w:i/>
                <w:strike w:val="0"/>
                <w:color w:val="auto"/>
                <w:highlight w:val="none"/>
                <w:u w:val="none" w:color="auto"/>
                <w:vertAlign w:val="baseline"/>
              </w:rPr>
              <w:t>ieguldījumu brokeru sabiedrība vai tirgus dalībnieks</w:t>
            </w:r>
            <w:r>
              <w:t>, kas uztur SVT DTS, apzina, novērtē, uzrauga, pārvalda un līdz minimumam samazina jebkādu darījuma partnera risku, kas izriet no šādu līdzekļu izmantošanas, un</w:t>
            </w:r>
          </w:p>
        </w:tc>
        <w:tc>
          <w:tcPr>
            <w:tcW w:w="4876" w:type="dxa"/>
            <w:vAlign w:val="top"/>
          </w:tcPr>
          <w:p>
            <w:pPr>
              <w:pStyle w:val="Normal6a"/>
            </w:pPr>
            <w:r>
              <w:t xml:space="preserve">Ja norēķinu veic, izmantojot komercbankas līdzekļus vai e-naudas tokenus, </w:t>
            </w:r>
            <w:r>
              <w:rPr>
                <w:b/>
                <w:i/>
                <w:strike w:val="0"/>
                <w:color w:val="auto"/>
                <w:highlight w:val="none"/>
                <w:u w:val="none" w:color="auto"/>
                <w:vertAlign w:val="baseline"/>
              </w:rPr>
              <w:t>struktūra</w:t>
            </w:r>
            <w:r>
              <w:t>, kas uztur SVT DTS, apzina, novērtē, uzrauga, pārvalda un līdz minimumam samazina jebkādu darījuma partnera risku, kas izriet no šādu līdzekļu izmantošanas, un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Verts/ALE grupas vārdā</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g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w:t>
            </w:r>
            <w:r>
              <w:tab/>
            </w:r>
            <w:r>
              <w:t>nepieļauj norēķinu neizpildes, vai arī, ja tas nav iespējams, risina tās.</w:t>
            </w:r>
          </w:p>
        </w:tc>
        <w:tc>
          <w:tcPr>
            <w:tcW w:w="4876" w:type="dxa"/>
            <w:vAlign w:val="top"/>
          </w:tcPr>
          <w:p>
            <w:pPr>
              <w:pStyle w:val="Normal6a"/>
            </w:pPr>
            <w:r>
              <w:t>(g)</w:t>
            </w:r>
            <w:r>
              <w:tab/>
            </w:r>
            <w:r>
              <w:t xml:space="preserve">nepieļauj norēķinu neizpildes, vai arī, ja tas nav iespējams, risina tās </w:t>
            </w:r>
            <w:r>
              <w:rPr>
                <w:b/>
                <w:i/>
                <w:strike w:val="0"/>
                <w:color w:val="auto"/>
                <w:highlight w:val="none"/>
                <w:u w:val="none" w:color="auto"/>
                <w:vertAlign w:val="baseline"/>
              </w:rPr>
              <w:t>saskaņā ar Regulas (ES) Nr. 909/2014 6. un 7. pantu un Komisijas Deleģēto regulu (ES) 2018/1229 mutatis mutandis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g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w:t>
            </w:r>
            <w:r>
              <w:tab/>
            </w:r>
            <w:r>
              <w:t>nepieļauj norēķinu neizpildes, vai arī, ja tas nav iespējams, risina tās.</w:t>
            </w:r>
          </w:p>
        </w:tc>
        <w:tc>
          <w:tcPr>
            <w:tcW w:w="4876" w:type="dxa"/>
            <w:vAlign w:val="top"/>
          </w:tcPr>
          <w:p>
            <w:pPr>
              <w:pStyle w:val="Normal6a"/>
            </w:pPr>
            <w:r>
              <w:t>(g)</w:t>
            </w:r>
            <w:r>
              <w:tab/>
            </w:r>
            <w:r>
              <w:t xml:space="preserve">nepieļauj norēķinu neizpildes, vai arī, ja tas nav iespējams, risina tās </w:t>
            </w:r>
            <w:r>
              <w:rPr>
                <w:b/>
                <w:i/>
                <w:strike w:val="0"/>
                <w:color w:val="auto"/>
                <w:highlight w:val="none"/>
                <w:u w:val="none" w:color="auto"/>
                <w:vertAlign w:val="baseline"/>
              </w:rPr>
              <w:t>saskaņā ar Regulas (ES) Nr. 909/2014 7. pantu un Komisijas Deleģēto regulu (ES) 2018/1229</w:t>
            </w:r>
            <w:r>
              <w:rPr>
                <w:rStyle w:val="SupBoldItalic"/>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Komisijas Deleģētā regula (ES) 2018/1229 (2018. gada 25. maijs), ar ko Eiropas Parlamenta un Padomes Regulu (ES) Nr. 909/2014 papildina attiecībā uz regulatīvajiem tehniskajiem standartiem par norēķinu disciplīnu (OV L 230, 13.9.2018., 1. lpp.).</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Saskaņā ar ECB atzinumu.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3. punkts – g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w:t>
            </w:r>
            <w:r>
              <w:tab/>
            </w:r>
            <w:r>
              <w:t>nepieļauj norēķinu neizpildes, vai arī, ja tas nav iespējams, risina tās.</w:t>
            </w:r>
          </w:p>
        </w:tc>
        <w:tc>
          <w:tcPr>
            <w:tcW w:w="4876" w:type="dxa"/>
            <w:vAlign w:val="top"/>
          </w:tcPr>
          <w:p>
            <w:pPr>
              <w:pStyle w:val="Normal6a"/>
            </w:pPr>
            <w:r>
              <w:t>(g)</w:t>
            </w:r>
            <w:r>
              <w:tab/>
            </w:r>
            <w:r>
              <w:t xml:space="preserve">nepieļauj norēķinu neizpildes, vai arī, ja tas nav iespējams, risina tās </w:t>
            </w:r>
            <w:r>
              <w:rPr>
                <w:b/>
                <w:i/>
                <w:strike w:val="0"/>
                <w:color w:val="auto"/>
                <w:highlight w:val="none"/>
                <w:u w:val="none" w:color="auto"/>
                <w:vertAlign w:val="baseline"/>
              </w:rPr>
              <w:t>saskaņā ar Regulas (ES) Nr. 909/2014 7. pantu un Komisijas Deleģēto regulu (ES) 2018/1229</w:t>
            </w:r>
            <w:r>
              <w:rPr>
                <w:rStyle w:val="SupBoldItalic"/>
              </w:rPr>
              <w:t>*</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w:t>
            </w:r>
            <w:r>
              <w:t xml:space="preserve"> </w:t>
            </w:r>
            <w:r>
              <w:rPr>
                <w:b/>
                <w:i/>
                <w:strike w:val="0"/>
                <w:color w:val="auto"/>
                <w:highlight w:val="none"/>
                <w:u w:val="none" w:color="auto"/>
                <w:vertAlign w:val="baseline"/>
              </w:rPr>
              <w:t>Komisijas Deleģētā regula (ES) 2018/1229 (2018. gada 25. maijs), ar ko Eiropas Parlamenta un Padomes Regulu (ES) Nr. 909/2014 papildina attiecībā uz regulatīvajiem tehniskajiem standartiem par norēķinu disciplīnu (OV L 230, 13.9.2018., 1. lpp.).</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Šā grozījuma mērķis ir ņemt vērā ECB atzinumā izteikto ierosinājumu.</w:t>
      </w:r>
      <w:r>
        <w:t xml:space="preserve"> </w:t>
      </w:r>
      <w:r>
        <w:t>ECB paustās bažas par nevienlīdzīgiem konkurences apstākļiem starp SVT DTS, kas sniedz CVD pamatpakalpojumus, un SVT VNS risina, ieviešot SVT TNS jēdzienu.</w:t>
      </w:r>
      <w:r>
        <w:t xml:space="preserve"> </w:t>
      </w:r>
      <w:r>
        <w:t>Tomēr ir svarīgi šajā pantā precizēt, ka prasības par CVD pamatpakalpojumu sniegšanu, ko veic SVT tirgus infrastruktūras uzturētājs, būtu jāsaskaņo ar attiecīgajiem Regulas (ES) Nr. 909/2014 noteikumiem.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4.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Ja </w:t>
            </w:r>
            <w:r>
              <w:rPr>
                <w:b/>
                <w:i/>
                <w:strike w:val="0"/>
                <w:color w:val="auto"/>
                <w:highlight w:val="none"/>
                <w:u w:val="none" w:color="auto"/>
                <w:vertAlign w:val="baseline"/>
              </w:rPr>
              <w:t>ieguldījumu brokeru sabiedrība vai tirgus dalībnieks</w:t>
            </w:r>
            <w:r>
              <w:t>, kas uztur SVT DTS, pieprasa atbrīvojumu saskaņā ar 2. punktu vai Direktīvu (ES) .../...</w:t>
            </w:r>
            <w:r>
              <w:rPr>
                <w:rStyle w:val="Sup"/>
              </w:rPr>
              <w:t>54</w:t>
            </w:r>
            <w:r>
              <w:t xml:space="preserve">, </w:t>
            </w:r>
            <w:r>
              <w:rPr>
                <w:b/>
                <w:i/>
                <w:strike w:val="0"/>
                <w:color w:val="auto"/>
                <w:highlight w:val="none"/>
                <w:u w:val="none" w:color="auto"/>
                <w:vertAlign w:val="baseline"/>
              </w:rPr>
              <w:t>tie</w:t>
            </w:r>
            <w:r>
              <w:t xml:space="preserve"> jebkurā gadījumā pierāda, ka pieprasītais atbrīvojums:</w:t>
            </w:r>
          </w:p>
        </w:tc>
        <w:tc>
          <w:tcPr>
            <w:tcW w:w="4876" w:type="dxa"/>
            <w:vAlign w:val="top"/>
          </w:tcPr>
          <w:p>
            <w:pPr>
              <w:pStyle w:val="Normal6a"/>
            </w:pPr>
            <w:r>
              <w:t>4.</w:t>
            </w:r>
            <w:r>
              <w:tab/>
            </w:r>
            <w:r>
              <w:t xml:space="preserve">Ja </w:t>
            </w:r>
            <w:r>
              <w:rPr>
                <w:b/>
                <w:i/>
                <w:strike w:val="0"/>
                <w:color w:val="auto"/>
                <w:highlight w:val="none"/>
                <w:u w:val="none" w:color="auto"/>
                <w:vertAlign w:val="baseline"/>
              </w:rPr>
              <w:t>struktūra</w:t>
            </w:r>
            <w:r>
              <w:t>, kas uztur SVT DTS, pieprasa atbrīvojumu saskaņā ar 2. punktu vai Direktīvu (ES).../...</w:t>
            </w:r>
            <w:r>
              <w:rPr>
                <w:rStyle w:val="Sup"/>
              </w:rPr>
              <w:t>54</w:t>
            </w:r>
            <w:r>
              <w:t xml:space="preserve">, </w:t>
            </w:r>
            <w:r>
              <w:rPr>
                <w:b/>
                <w:i/>
                <w:strike w:val="0"/>
                <w:color w:val="auto"/>
                <w:highlight w:val="none"/>
                <w:u w:val="none" w:color="auto"/>
                <w:vertAlign w:val="baseline"/>
              </w:rPr>
              <w:t>tā</w:t>
            </w:r>
            <w:r>
              <w:t xml:space="preserve"> jebkurā gadījumā pierāda, ka pieprasītais atbrīvojums: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54</w:t>
            </w:r>
            <w:r>
              <w:t xml:space="preserve"> </w:t>
            </w:r>
            <w:r>
              <w:t>Priekšlikums Eiropas Parlamenta un Padomes direktīvai, ar ko groza Direktīvas 2006/43/EK, 2009/65/EK, 2009/138/ES, 2011/61/ES, ES/2013/36, 2014/65/ES, (ES) 2015/2366 un ES/2016/2341 – COM(2020)596</w:t>
            </w:r>
          </w:p>
        </w:tc>
        <w:tc>
          <w:tcPr>
            <w:tcW w:w="4876" w:type="dxa"/>
            <w:vAlign w:val="top"/>
          </w:tcPr>
          <w:p>
            <w:pPr>
              <w:pStyle w:val="Normal6a"/>
            </w:pPr>
            <w:r>
              <w:rPr>
                <w:rStyle w:val="Sup"/>
              </w:rPr>
              <w:t>54</w:t>
            </w:r>
            <w:r>
              <w:t xml:space="preserve"> </w:t>
            </w:r>
            <w:r>
              <w:t>Priekšlikums Eiropas Parlamenta un Padomes direktīvai, ar ko groza Direktīvas 2006/43/EK, 2009/65/EK, 2009/138/ES, 2011/61/ES, ES/2013/36, 2014/65/ES, (ES) 2015/2366 un ES/2016/2341 – COM(2020)596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329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4. punkts – b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aprobežojas ar SVT DTS un neattiecas uz nevienu citu DTS, ko uztur minētā </w:t>
            </w:r>
            <w:r>
              <w:rPr>
                <w:b/>
                <w:i/>
                <w:strike w:val="0"/>
                <w:color w:val="auto"/>
                <w:highlight w:val="none"/>
                <w:u w:val="none" w:color="auto"/>
                <w:vertAlign w:val="baseline"/>
              </w:rPr>
              <w:t>ieguldījumu brokeru sabiedrība vai tirgus dalībnieks</w:t>
            </w:r>
            <w:r>
              <w:t>.</w:t>
            </w:r>
          </w:p>
        </w:tc>
        <w:tc>
          <w:tcPr>
            <w:tcW w:w="4876" w:type="dxa"/>
            <w:vAlign w:val="top"/>
          </w:tcPr>
          <w:p>
            <w:pPr>
              <w:pStyle w:val="Normal6a"/>
            </w:pPr>
            <w:r>
              <w:t>(b)</w:t>
            </w:r>
            <w:r>
              <w:tab/>
            </w:r>
            <w:r>
              <w:t xml:space="preserve">aprobežojas ar SVT DTS un neattiecas uz nevienu citu DTS, ko uztur minētā </w:t>
            </w:r>
            <w:r>
              <w:rPr>
                <w:b/>
                <w:i/>
                <w:strike w:val="0"/>
                <w:color w:val="auto"/>
                <w:highlight w:val="none"/>
                <w:u w:val="none" w:color="auto"/>
                <w:vertAlign w:val="baseline"/>
              </w:rPr>
              <w:t>struktūra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 jaunpienācējiem.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330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pants – 4.a daļa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Struktūrai, kurai laikā, kad tā iesniedz pieteikumu īpašas atļaujas saņemšanai, nepiemēro visas prasības, kas DTS piemērojamas saskaņā ar Direktīvu 2014/65/ES un Regulu (ES) Nr. 2014/600, ir atļauts pieteikties saskaņā ar šā panta 1.–4. punktu.</w:t>
            </w:r>
            <w:r>
              <w:t xml:space="preserve"> </w:t>
            </w:r>
            <w:r>
              <w:rPr>
                <w:b/>
                <w:i/>
                <w:strike w:val="0"/>
                <w:color w:val="auto"/>
                <w:highlight w:val="none"/>
                <w:u w:val="none" w:color="auto"/>
                <w:vertAlign w:val="baseline"/>
              </w:rPr>
              <w:t>Kompetentās iestādes ievieš īpašas procedūras struktūrām, uz kurām pieteikuma iesniegšanas brīdī neattiecas visas prasības, kas DTS piemērojamas saskaņā ar Direktīvu 2014/65/ES un Regulu (ES) Nr. 2014/600.</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Paātrināta procedūra attiecībā uz struktūrām, kuras pieteikuma iesniegšanas brīdī nav uzskatāmas par DTS.</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331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pants – 1.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Uz CVD, kas uztur SVT vērtspapīru norēķinu sistēmu, attiecas prasības, kas ir piemērojamas CVD saskaņā ar Regulu (ES) Nr. 909/2014, izņemot, ja šāds CVD:</w:t>
            </w:r>
          </w:p>
        </w:tc>
        <w:tc>
          <w:tcPr>
            <w:tcW w:w="4876" w:type="dxa"/>
            <w:vAlign w:val="top"/>
          </w:tcPr>
          <w:p>
            <w:pPr>
              <w:pStyle w:val="Normal6a"/>
            </w:pPr>
            <w:r>
              <w:t>1.</w:t>
            </w:r>
            <w:r>
              <w:tab/>
            </w:r>
            <w:r>
              <w:t xml:space="preserve">Uz CVD, kas uztur SVT vērtspapīru norēķinu sistēmu, attiecas prasības, kas ir piemērojamas CVD saskaņā ar Regulu (ES) Nr. 909/2014 </w:t>
            </w:r>
            <w:r>
              <w:rPr>
                <w:b/>
                <w:i/>
                <w:strike w:val="0"/>
                <w:color w:val="auto"/>
                <w:highlight w:val="none"/>
                <w:u w:val="none" w:color="auto"/>
                <w:vertAlign w:val="baseline"/>
              </w:rPr>
              <w:t>un jebkādiem citiem piemērojamiem Savienības tiesību aktiem finanšu pakalpojumu jomā</w:t>
            </w:r>
            <w:r>
              <w:t>, izņemot, ja šāds CVD:</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332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pants – 1. punkts – ievaddaļa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Uz </w:t>
            </w:r>
            <w:r>
              <w:rPr>
                <w:b/>
                <w:i/>
                <w:strike w:val="0"/>
                <w:color w:val="auto"/>
                <w:highlight w:val="none"/>
                <w:u w:val="none" w:color="auto"/>
                <w:vertAlign w:val="baseline"/>
              </w:rPr>
              <w:t>CVD</w:t>
            </w:r>
            <w:r>
              <w:t xml:space="preserve">, kas uztur SVT vērtspapīru norēķinu sistēmu, attiecas prasības, kas ir piemērojamas CVD saskaņā ar Regulu (ES) Nr. 909/2014, izņemot, ja </w:t>
            </w:r>
            <w:r>
              <w:rPr>
                <w:b/>
                <w:i/>
                <w:strike w:val="0"/>
                <w:color w:val="auto"/>
                <w:highlight w:val="none"/>
                <w:u w:val="none" w:color="auto"/>
                <w:vertAlign w:val="baseline"/>
              </w:rPr>
              <w:t>šāds CVD</w:t>
            </w:r>
            <w:r>
              <w:t>:</w:t>
            </w:r>
          </w:p>
        </w:tc>
        <w:tc>
          <w:tcPr>
            <w:tcW w:w="4876" w:type="dxa"/>
            <w:vAlign w:val="top"/>
          </w:tcPr>
          <w:p>
            <w:pPr>
              <w:pStyle w:val="Normal6a"/>
            </w:pPr>
            <w:r>
              <w:t>1.</w:t>
            </w:r>
            <w:r>
              <w:tab/>
            </w:r>
            <w:r>
              <w:t xml:space="preserve">Uz </w:t>
            </w:r>
            <w:r>
              <w:rPr>
                <w:b/>
                <w:i/>
                <w:strike w:val="0"/>
                <w:color w:val="auto"/>
                <w:highlight w:val="none"/>
                <w:u w:val="none" w:color="auto"/>
                <w:vertAlign w:val="baseline"/>
              </w:rPr>
              <w:t>struktūru</w:t>
            </w:r>
            <w:r>
              <w:t xml:space="preserve">, kas uztur SVT vērtspapīru norēķinu sistēmu, attiecas prasības, kas ir piemērojamas CVD saskaņā ar Regulu (ES) Nr. 909/2014, izņemot, ja </w:t>
            </w:r>
            <w:r>
              <w:rPr>
                <w:b/>
                <w:i/>
                <w:strike w:val="0"/>
                <w:color w:val="auto"/>
                <w:highlight w:val="none"/>
                <w:u w:val="none" w:color="auto"/>
                <w:vertAlign w:val="baseline"/>
              </w:rPr>
              <w:t>šāda struktūra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Izmēģinājuma režīma atvērtība.</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333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pants – 1. punkts – c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atbilst 2.–</w:t>
            </w:r>
            <w:r>
              <w:rPr>
                <w:b/>
                <w:i/>
                <w:strike w:val="0"/>
                <w:color w:val="auto"/>
                <w:highlight w:val="none"/>
                <w:u w:val="none" w:color="auto"/>
                <w:vertAlign w:val="baseline"/>
              </w:rPr>
              <w:t>5</w:t>
            </w:r>
            <w:r>
              <w:t>. punktā izklāstītajiem nosacījumiem un izpilda jebkādus papildu kompensējošus pasākumus, kādus kompetentā iestāde, kas piešķīrusi īpašo atļauju, var uzskatīt par piemērotiem, lai sasniegtu to noteikumu mērķus, no kuriem tiek prasīts atbrīvojums, vai nodrošinātu ieguldītāju aizsardzību, tirgus integritāti un/vai finanšu stabilitāti.</w:t>
            </w:r>
          </w:p>
        </w:tc>
        <w:tc>
          <w:tcPr>
            <w:tcW w:w="4876" w:type="dxa"/>
            <w:vAlign w:val="top"/>
          </w:tcPr>
          <w:p>
            <w:pPr>
              <w:pStyle w:val="Normal6a"/>
            </w:pPr>
            <w:r>
              <w:t>(c)</w:t>
            </w:r>
            <w:r>
              <w:tab/>
            </w:r>
            <w:r>
              <w:t>atbilst 2.–</w:t>
            </w:r>
            <w:r>
              <w:rPr>
                <w:b/>
                <w:i/>
                <w:strike w:val="0"/>
                <w:color w:val="auto"/>
                <w:highlight w:val="none"/>
                <w:u w:val="none" w:color="auto"/>
                <w:vertAlign w:val="baseline"/>
              </w:rPr>
              <w:t>7</w:t>
            </w:r>
            <w:r>
              <w:t xml:space="preserve">. punktā izklāstītajiem nosacījumiem un izpilda jebkādus papildu kompensējošus pasākumus, kādus kompetentā iestāde </w:t>
            </w:r>
            <w:r>
              <w:rPr>
                <w:b/>
                <w:i/>
                <w:strike w:val="0"/>
                <w:color w:val="auto"/>
                <w:highlight w:val="none"/>
                <w:u w:val="none" w:color="auto"/>
                <w:vertAlign w:val="baseline"/>
              </w:rPr>
              <w:t>vai EVTI pēc apspriešanās ar valsts kompetento iestādi</w:t>
            </w:r>
            <w:r>
              <w:t>, kas piešķīrusi īpašo atļauju, var uzskatīt par piemērotiem, lai sasniegtu to noteikumu mērķus, no kuriem tiek prasīts atbrīvojums, vai nodrošinātu ieguldītāju aizsardzību, tirgus integritāti un/vai finanšu stabilitāti.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Grozījums Nr.</w:t>
      </w:r>
      <w:r>
        <w:tab/>
      </w:r>
      <w:r>
        <w:tab/>
      </w:r>
      <w:r>
        <w:rPr>
          <w:rStyle w:val="HideTWBExt"/>
        </w:rPr>
        <w:t>&lt;</w:t>
      </w:r>
      <w:r>
        <w:rPr>
          <w:rStyle w:val="HideTWBExt"/>
        </w:rPr>
        <w:t>NumAmB</w:t>
      </w:r>
      <w:r>
        <w:rPr>
          <w:rStyle w:val="HideTWBExt"/>
        </w:rPr>
        <w:t>&gt;</w:t>
      </w:r>
      <w:r>
        <w:t>334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Regulas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pants – 1. punkts – c apakšpunkts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Komisijas ierosinātais teksts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atbilst 2.–</w:t>
            </w:r>
            <w:r>
              <w:rPr>
                <w:b/>
                <w:i/>
                <w:strike w:val="0"/>
                <w:color w:val="auto"/>
                <w:highlight w:val="none"/>
                <w:u w:val="none" w:color="auto"/>
                <w:vertAlign w:val="baseline"/>
              </w:rPr>
              <w:t>5</w:t>
            </w:r>
            <w:r>
              <w:t>. punktā izklāstītajiem nosacījumiem un izpilda jebkādus papildu kompensējošus pasākumus, kādus kompetentā iestāde, kas piešķīrusi īpašo atļauju, var uzskatīt par piemērotiem, lai sasniegtu to noteikumu mērķus, no kuriem tiek prasīts atbrīvojums, vai nodrošinātu ieguldītāju aizsardzību, tirgus integritāti un/vai finanšu stabilitāti.</w:t>
            </w:r>
          </w:p>
        </w:tc>
        <w:tc>
          <w:tcPr>
            <w:tcW w:w="4876" w:type="dxa"/>
            <w:vAlign w:val="top"/>
          </w:tcPr>
          <w:p>
            <w:pPr>
              <w:pStyle w:val="Normal6a"/>
            </w:pPr>
            <w:r>
              <w:t>(c)</w:t>
            </w:r>
            <w:r>
              <w:tab/>
            </w:r>
            <w:r>
              <w:t>atbilst 2.–</w:t>
            </w:r>
            <w:r>
              <w:rPr>
                <w:b/>
                <w:i/>
                <w:strike w:val="0"/>
                <w:color w:val="auto"/>
                <w:highlight w:val="none"/>
                <w:u w:val="none" w:color="auto"/>
                <w:vertAlign w:val="baseline"/>
              </w:rPr>
              <w:t>7</w:t>
            </w:r>
            <w:r>
              <w:t xml:space="preserve">. punktā izklāstītajiem nosacījumiem un izpilda jebkādus papildu kompensējošus </w:t>
            </w:r>
            <w:r>
              <w:rPr>
                <w:b/>
                <w:i/>
                <w:strike w:val="0"/>
                <w:color w:val="auto"/>
                <w:highlight w:val="none"/>
                <w:u w:val="none" w:color="auto"/>
                <w:vertAlign w:val="baseline"/>
              </w:rPr>
              <w:t>vai korektīvus</w:t>
            </w:r>
            <w:r>
              <w:t xml:space="preserve"> pasākumus, kādus </w:t>
            </w:r>
            <w:r>
              <w:rPr>
                <w:b/>
                <w:i/>
                <w:strike w:val="0"/>
                <w:color w:val="auto"/>
                <w:highlight w:val="none"/>
                <w:u w:val="none" w:color="auto"/>
                <w:vertAlign w:val="baseline"/>
              </w:rPr>
              <w:t>EVTI vai</w:t>
            </w:r>
            <w:r>
              <w:t xml:space="preserve"> kompetentā iestāde, kas piešķīrusi īpašo atļauju, var uzskatīt par piemērotiem, lai sasniegtu to noteikumu mērķus, no kuriem tiek prasīts atbrīvojums, vai nodrošinātu ieguldītāju aizsardzību, tirgus integritāti un/vai finanšu stabilitāti.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Pamatojums</w:t>
      </w:r>
      <w:r>
        <w:rPr>
          <w:rStyle w:val="HideTWBExt"/>
        </w:rPr>
        <w:t>&lt;/</w:t>
      </w:r>
      <w:r>
        <w:rPr>
          <w:rStyle w:val="HideTWBExt"/>
        </w:rPr>
        <w:t>TitreJust</w:t>
      </w:r>
      <w:r>
        <w:rPr>
          <w:rStyle w:val="HideTWBExt"/>
        </w:rPr>
        <w:t>&gt;</w:t>
      </w:r>
    </w:p>
    <w:p>
      <w:pPr>
        <w:pStyle w:val="AmJustText"/>
      </w:pPr>
      <w:r>
        <w:t>EVTI būtu jāpiemin ierosinātās pastiprinātās lomas kontekstā.</w:t>
      </w:r>
    </w:p>
    <w:p>
      <w:r>
        <w:rPr>
          <w:rStyle w:val="HideTWBExt"/>
        </w:rPr>
        <w:t>&lt;/</w:t>
      </w:r>
      <w:r>
        <w:rPr>
          <w:rStyle w:val="HideTWBExt"/>
        </w:rPr>
        <w:t>AmendB</w:t>
      </w:r>
      <w:r>
        <w:rPr>
          <w:rStyle w:val="HideTWBExt"/>
        </w:rPr>
        <w:t>&gt;</w:t>
      </w:r>
    </w:p>
    <w:p>
      <w:r>
        <w:rPr>
          <w:rStyle w:val="HideTWBExt"/>
        </w:rPr>
        <w:t>&lt;/</w:t>
      </w:r>
      <w:r>
        <w:rPr>
          <w:rStyle w:val="HideTWBExt"/>
        </w:rPr>
        <w:t>RepeatBlock-AmendB</w:t>
      </w:r>
      <w:r>
        <w:rPr>
          <w:rStyle w:val="HideTWBExt"/>
        </w:rPr>
        <w:t>&gt;</w:t>
      </w:r>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692.980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140</w:t>
    </w:r>
    <w:r>
      <w:fldChar w:fldCharType="end"/>
    </w:r>
    <w:r>
      <w:t>/</w:t>
    </w:r>
    <w:r>
      <w:fldChar w:fldCharType="begin"/>
    </w:r>
    <w:r>
      <w:instrText>NUMPAGES</w:instrText>
    </w:r>
    <w:r>
      <w:fldChar w:fldCharType="separate"/>
    </w:r>
    <w:r>
      <w:t>140</w:t>
    </w:r>
    <w:r>
      <w:fldChar w:fldCharType="end"/>
    </w:r>
    <w:r>
      <w:tab/>
    </w:r>
    <w:r>
      <w:rPr>
        <w:rStyle w:val="HideTWBExt"/>
      </w:rPr>
      <w:t>&lt;</w:t>
    </w:r>
    <w:r>
      <w:rPr>
        <w:rStyle w:val="HideTWBExt"/>
      </w:rPr>
      <w:t>PathFdR</w:t>
    </w:r>
    <w:r>
      <w:rPr>
        <w:rStyle w:val="HideTWBExt"/>
      </w:rPr>
      <w:t>&gt;</w:t>
    </w:r>
    <w:r>
      <w:t>AM\1232225LV.docx</w:t>
    </w:r>
    <w:r>
      <w:rPr>
        <w:rStyle w:val="HideTWBExt"/>
      </w:rPr>
      <w:t>&lt;/</w:t>
    </w:r>
    <w:r>
      <w:rPr>
        <w:rStyle w:val="HideTWBExt"/>
      </w:rPr>
      <w:t>PathFdR</w:t>
    </w:r>
    <w:r>
      <w:rPr>
        <w:rStyle w:val="HideTWBExt"/>
      </w:rPr>
      <w:t>&gt;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AM\1232225LV.docx</w:t>
    </w:r>
    <w:r>
      <w:rPr>
        <w:rStyle w:val="HideTWBExt"/>
      </w:rPr>
      <w:t>&lt;/</w:t>
    </w:r>
    <w:r>
      <w:rPr>
        <w:rStyle w:val="HideTWBExt"/>
      </w:rPr>
      <w:t>PathFdR</w:t>
    </w:r>
    <w:r>
      <w:rPr>
        <w:rStyle w:val="HideTWBExt"/>
      </w:rPr>
      <w:t>&gt;</w:t>
    </w:r>
    <w:r>
      <w:tab/>
    </w:r>
    <w:r>
      <w:fldChar w:fldCharType="begin"/>
    </w:r>
    <w:r>
      <w:instrText>PAGE</w:instrText>
    </w:r>
    <w:r>
      <w:fldChar w:fldCharType="separate"/>
    </w:r>
    <w:r>
      <w:t>139</w:t>
    </w:r>
    <w:r>
      <w:fldChar w:fldCharType="end"/>
    </w:r>
    <w:r>
      <w:t>/</w:t>
    </w:r>
    <w:r>
      <w:fldChar w:fldCharType="begin"/>
    </w:r>
    <w:r>
      <w:instrText>NUMPAGES</w:instrText>
    </w:r>
    <w:r>
      <w:fldChar w:fldCharType="separate"/>
    </w:r>
    <w:r>
      <w:t>140</w:t>
    </w:r>
    <w:r>
      <w:fldChar w:fldCharType="end"/>
    </w:r>
    <w:r>
      <w:tab/>
    </w:r>
    <w:r>
      <w:t>PE</w:t>
    </w:r>
    <w:r>
      <w:rPr>
        <w:rStyle w:val="HideTWBExt"/>
      </w:rPr>
      <w:t>&lt;</w:t>
    </w:r>
    <w:r>
      <w:rPr>
        <w:rStyle w:val="HideTWBExt"/>
      </w:rPr>
      <w:t>NoPE</w:t>
    </w:r>
    <w:r>
      <w:rPr>
        <w:rStyle w:val="HideTWBExt"/>
      </w:rPr>
      <w:t>&gt;</w:t>
    </w:r>
    <w:r>
      <w:t>692.980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AM\1232225LV.docx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692.980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LV</w:t>
    </w:r>
    <w:r>
      <w:tab/>
    </w:r>
    <w:r>
      <w:rPr>
        <w:rStyle w:val="EPFooter2Middle"/>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140</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1232225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20210616-162710-318272-179615</vt:lpwstr>
  </property>
  <property fmtid="{D5CDD505-2E9C-101B-9397-08002B2CF9AE}" pid="7" name="FooterPath">
    <vt:lpwstr>AM\1232225LV.docx</vt:lpwstr>
  </property>
  <property fmtid="{D5CDD505-2E9C-101B-9397-08002B2CF9AE}" pid="8" name="PE Number">
    <vt:lpwstr>692.980</vt:lpwstr>
  </property>
  <property fmtid="{D5CDD505-2E9C-101B-9397-08002B2CF9AE}" pid="9" name="UID">
    <vt:lpwstr>eu.europa.europarl-DIN1-2021-0000041986_03.00-lv-01.00_text-xml</vt:lpwstr>
  </property>
</Properties>
</file>