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F3EFC" w:rsidRPr="00DF3EFC">
        <w:trPr>
          <w:trHeight w:hRule="exact" w:val="1417"/>
          <w:jc w:val="center"/>
        </w:trPr>
        <w:tc>
          <w:tcPr>
            <w:tcW w:w="6804" w:type="dxa"/>
            <w:vAlign w:val="center"/>
          </w:tcPr>
          <w:p w:rsidR="00F916C5" w:rsidRPr="00DF3EFC" w:rsidRDefault="002B0B5C">
            <w:pPr>
              <w:pStyle w:val="EPName"/>
            </w:pPr>
            <w:r w:rsidRPr="00DF3EFC">
              <w:t>Europaparlamentet</w:t>
            </w:r>
          </w:p>
          <w:p w:rsidR="00F916C5" w:rsidRPr="00DF3EFC" w:rsidRDefault="00DF3EFC">
            <w:pPr>
              <w:pStyle w:val="EPTerm"/>
            </w:pPr>
            <w:r w:rsidRPr="00DF3EFC">
              <w:t>2019-2024</w:t>
            </w:r>
          </w:p>
        </w:tc>
        <w:tc>
          <w:tcPr>
            <w:tcW w:w="2268" w:type="dxa"/>
          </w:tcPr>
          <w:p w:rsidR="00F916C5" w:rsidRPr="00DF3EFC" w:rsidRDefault="00DF3EFC">
            <w:pPr>
              <w:pStyle w:val="EPLogo"/>
            </w:pPr>
            <w:r w:rsidRPr="00DF3EFC">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094019"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F916C5" w:rsidRPr="00DF3EFC" w:rsidRDefault="00F916C5">
      <w:pPr>
        <w:pStyle w:val="LineTop"/>
      </w:pPr>
    </w:p>
    <w:p w:rsidR="00F916C5" w:rsidRPr="00DF3EFC" w:rsidRDefault="00DF3EFC">
      <w:pPr>
        <w:pStyle w:val="EPBody"/>
      </w:pPr>
      <w:r w:rsidRPr="00DF3EFC">
        <w:rPr>
          <w:rStyle w:val="HideTWBExt"/>
          <w:i w:val="0"/>
          <w:szCs w:val="20"/>
        </w:rPr>
        <w:t>&lt;Commission&gt;</w:t>
      </w:r>
      <w:r w:rsidRPr="00DF3EFC">
        <w:rPr>
          <w:rStyle w:val="HideTWBInt"/>
          <w:rFonts w:cs="Times New Roman"/>
          <w:i w:val="0"/>
          <w:szCs w:val="20"/>
        </w:rPr>
        <w:t>{ECON}</w:t>
      </w:r>
      <w:r w:rsidR="002B0B5C" w:rsidRPr="00DF3EFC">
        <w:t>Utskottet för ekonomi och valutafrågor</w:t>
      </w:r>
      <w:r w:rsidRPr="00DF3EFC">
        <w:rPr>
          <w:rStyle w:val="HideTWBExt"/>
          <w:i w:val="0"/>
          <w:szCs w:val="20"/>
        </w:rPr>
        <w:t>&lt;/Commission&gt;</w:t>
      </w:r>
    </w:p>
    <w:p w:rsidR="00F916C5" w:rsidRPr="00DF3EFC" w:rsidRDefault="00F916C5">
      <w:pPr>
        <w:pStyle w:val="LineBottom"/>
      </w:pPr>
    </w:p>
    <w:p w:rsidR="00F916C5" w:rsidRPr="00DF3EFC" w:rsidRDefault="00DF3EFC">
      <w:pPr>
        <w:pStyle w:val="CoverReference"/>
      </w:pPr>
      <w:r w:rsidRPr="00DF3EFC">
        <w:rPr>
          <w:rStyle w:val="HideTWBExt"/>
          <w:b w:val="0"/>
        </w:rPr>
        <w:t>&lt;RefProc&gt;</w:t>
      </w:r>
      <w:r w:rsidRPr="00DF3EFC">
        <w:t>2020/0267</w:t>
      </w:r>
      <w:r w:rsidRPr="00DF3EFC">
        <w:rPr>
          <w:rStyle w:val="HideTWBExt"/>
          <w:b w:val="0"/>
        </w:rPr>
        <w:t>&lt;/RefProc&gt;&lt;RefTypeProc&gt;</w:t>
      </w:r>
      <w:r w:rsidRPr="00DF3EFC">
        <w:t>(COD)</w:t>
      </w:r>
      <w:r w:rsidRPr="00DF3EFC">
        <w:rPr>
          <w:rStyle w:val="HideTWBExt"/>
          <w:b w:val="0"/>
        </w:rPr>
        <w:t>&lt;/RefTypeProc&gt;</w:t>
      </w:r>
    </w:p>
    <w:p w:rsidR="00F916C5" w:rsidRPr="00DF3EFC" w:rsidRDefault="00DF3EFC">
      <w:pPr>
        <w:pStyle w:val="CoverDate"/>
      </w:pPr>
      <w:r w:rsidRPr="00DF3EFC">
        <w:rPr>
          <w:rStyle w:val="HideTWBExt"/>
        </w:rPr>
        <w:t>&lt;Date&gt;</w:t>
      </w:r>
      <w:r w:rsidRPr="00DF3EFC">
        <w:rPr>
          <w:rStyle w:val="HideTWBInt"/>
        </w:rPr>
        <w:t>{26/05/2021}</w:t>
      </w:r>
      <w:r w:rsidRPr="00DF3EFC">
        <w:t>26.5.2021</w:t>
      </w:r>
      <w:r w:rsidRPr="00DF3EFC">
        <w:rPr>
          <w:rStyle w:val="HideTWBExt"/>
        </w:rPr>
        <w:t>&lt;/Date&gt;</w:t>
      </w:r>
    </w:p>
    <w:p w:rsidR="00F916C5" w:rsidRPr="00DF3EFC" w:rsidRDefault="00DF3EFC">
      <w:pPr>
        <w:pStyle w:val="CoverDocType"/>
      </w:pPr>
      <w:r w:rsidRPr="00DF3EFC">
        <w:rPr>
          <w:rStyle w:val="HideTWBExt"/>
          <w:b w:val="0"/>
        </w:rPr>
        <w:t>&lt;TypeAM&gt;</w:t>
      </w:r>
      <w:r w:rsidR="002B0B5C" w:rsidRPr="00DF3EFC">
        <w:t>ÄNDRINGSFÖRSLAG</w:t>
      </w:r>
      <w:r w:rsidRPr="00DF3EFC">
        <w:rPr>
          <w:rStyle w:val="HideTWBExt"/>
          <w:b w:val="0"/>
        </w:rPr>
        <w:t>&lt;/TypeAM&gt;</w:t>
      </w:r>
    </w:p>
    <w:p w:rsidR="00F916C5" w:rsidRPr="00DF3EFC" w:rsidRDefault="00DF3EFC">
      <w:pPr>
        <w:pStyle w:val="CoverDocType24a"/>
      </w:pPr>
      <w:r w:rsidRPr="00DF3EFC">
        <w:rPr>
          <w:rStyle w:val="HideTWBExt"/>
          <w:b w:val="0"/>
        </w:rPr>
        <w:t>&lt;RangeAM&gt;</w:t>
      </w:r>
      <w:r w:rsidRPr="00DF3EFC">
        <w:t>135 - 334</w:t>
      </w:r>
      <w:r w:rsidRPr="00DF3EFC">
        <w:rPr>
          <w:rStyle w:val="HideTWBExt"/>
          <w:b w:val="0"/>
        </w:rPr>
        <w:t>&lt;/RangeAM&gt;</w:t>
      </w:r>
    </w:p>
    <w:p w:rsidR="00F916C5" w:rsidRPr="00DF3EFC" w:rsidRDefault="00DF3EFC">
      <w:pPr>
        <w:pStyle w:val="CoverBold"/>
      </w:pPr>
      <w:r w:rsidRPr="00DF3EFC">
        <w:rPr>
          <w:rStyle w:val="HideTWBExt"/>
          <w:b w:val="0"/>
        </w:rPr>
        <w:t>&lt;TitreType&gt;</w:t>
      </w:r>
      <w:r w:rsidR="002B0B5C" w:rsidRPr="00DF3EFC">
        <w:t>Förslag till betänkande</w:t>
      </w:r>
      <w:r w:rsidRPr="00DF3EFC">
        <w:rPr>
          <w:rStyle w:val="HideTWBExt"/>
          <w:b w:val="0"/>
        </w:rPr>
        <w:t>&lt;/TitreType&gt;</w:t>
      </w:r>
    </w:p>
    <w:p w:rsidR="00F916C5" w:rsidRPr="00DF3EFC" w:rsidRDefault="00DF3EFC">
      <w:pPr>
        <w:pStyle w:val="CoverBold"/>
        <w:rPr>
          <w:lang w:val="nl-NL"/>
        </w:rPr>
      </w:pPr>
      <w:r w:rsidRPr="00DF3EFC">
        <w:rPr>
          <w:rStyle w:val="HideTWBExt"/>
          <w:b w:val="0"/>
        </w:rPr>
        <w:t>&lt;Rapporteur&gt;</w:t>
      </w:r>
      <w:r w:rsidRPr="00DF3EFC">
        <w:rPr>
          <w:lang w:val="nl-NL"/>
        </w:rPr>
        <w:t>Johan Van Overtveldt</w:t>
      </w:r>
      <w:r w:rsidRPr="00DF3EFC">
        <w:rPr>
          <w:rStyle w:val="HideTWBExt"/>
          <w:b w:val="0"/>
        </w:rPr>
        <w:t>&lt;/Rapporteur&gt;</w:t>
      </w:r>
    </w:p>
    <w:p w:rsidR="00F916C5" w:rsidRPr="00DF3EFC" w:rsidRDefault="00DF3EFC">
      <w:pPr>
        <w:pStyle w:val="CoverNormal24a"/>
        <w:rPr>
          <w:lang w:val="nl-NL"/>
        </w:rPr>
      </w:pPr>
      <w:r w:rsidRPr="00DF3EFC">
        <w:rPr>
          <w:rStyle w:val="HideTWBExt"/>
          <w:lang w:val="nl-NL"/>
        </w:rPr>
        <w:t>&lt;DocRefPE&gt;</w:t>
      </w:r>
      <w:r w:rsidRPr="00DF3EFC">
        <w:rPr>
          <w:lang w:val="nl-NL"/>
        </w:rPr>
        <w:t>(PE689.571v01-00)</w:t>
      </w:r>
      <w:r w:rsidRPr="00DF3EFC">
        <w:rPr>
          <w:rStyle w:val="HideTWBExt"/>
          <w:lang w:val="nl-NL"/>
        </w:rPr>
        <w:t>&lt;/DocRefPE&gt;</w:t>
      </w:r>
    </w:p>
    <w:p w:rsidR="00F916C5" w:rsidRPr="00DF3EFC" w:rsidRDefault="00DF3EFC">
      <w:pPr>
        <w:pStyle w:val="CoverNormal24a"/>
      </w:pPr>
      <w:r w:rsidRPr="00DF3EFC">
        <w:rPr>
          <w:rStyle w:val="HideTWBExt"/>
        </w:rPr>
        <w:t>&lt;Titre&gt;</w:t>
      </w:r>
      <w:r w:rsidR="002B0B5C" w:rsidRPr="00DF3EFC">
        <w:rPr>
          <w:noProof/>
        </w:rPr>
        <w:t>En pilotordning för marknadsinfrastrukturer som baseras på teknik för distribuerade liggare</w:t>
      </w:r>
      <w:r w:rsidRPr="00DF3EFC">
        <w:rPr>
          <w:rStyle w:val="HideTWBExt"/>
        </w:rPr>
        <w:t>&lt;/Titre&gt;</w:t>
      </w:r>
    </w:p>
    <w:p w:rsidR="00F916C5" w:rsidRPr="00DF3EFC" w:rsidRDefault="00DF3EFC">
      <w:pPr>
        <w:pStyle w:val="CoverNormal"/>
      </w:pPr>
      <w:r w:rsidRPr="00DF3EFC">
        <w:rPr>
          <w:rStyle w:val="HideTWBExt"/>
        </w:rPr>
        <w:t>&lt;DocAmend&gt;</w:t>
      </w:r>
      <w:r w:rsidR="002B0B5C" w:rsidRPr="00DF3EFC">
        <w:t>Förslag till förordning</w:t>
      </w:r>
      <w:r w:rsidRPr="00DF3EFC">
        <w:rPr>
          <w:rStyle w:val="HideTWBExt"/>
        </w:rPr>
        <w:t>&lt;/DocAmend&gt;</w:t>
      </w:r>
    </w:p>
    <w:p w:rsidR="00F916C5" w:rsidRPr="00DF3EFC" w:rsidRDefault="00DF3EFC">
      <w:pPr>
        <w:pStyle w:val="CoverNormal24a"/>
      </w:pPr>
      <w:r w:rsidRPr="00DF3EFC">
        <w:rPr>
          <w:rStyle w:val="HideTWBExt"/>
        </w:rPr>
        <w:t>&lt;DocRef&gt;</w:t>
      </w:r>
      <w:r w:rsidRPr="00DF3EFC">
        <w:t>(COM(2020)0594 – C9-0305/2020 – 2020/0267(COD))</w:t>
      </w:r>
      <w:r w:rsidRPr="00DF3EFC">
        <w:rPr>
          <w:rStyle w:val="HideTWBExt"/>
        </w:rPr>
        <w:t>&lt;/DocRef&gt;</w:t>
      </w:r>
    </w:p>
    <w:p w:rsidR="00F916C5" w:rsidRPr="00DF3EFC" w:rsidRDefault="00DF3EFC">
      <w:r w:rsidRPr="00DF3EFC">
        <w:br w:type="page"/>
      </w:r>
      <w:r w:rsidRPr="00DF3EFC">
        <w:lastRenderedPageBreak/>
        <w:t>AM_Com_LegReport</w:t>
      </w:r>
    </w:p>
    <w:p w:rsidR="00DF3EFC" w:rsidRPr="00DF3EFC" w:rsidRDefault="00DF3EFC" w:rsidP="00DF3EFC">
      <w:pPr>
        <w:pStyle w:val="AmNumberTabs"/>
      </w:pPr>
      <w:r w:rsidRPr="00DF3EFC">
        <w:br w:type="page"/>
      </w:r>
      <w:r w:rsidRPr="00DF3EFC">
        <w:rPr>
          <w:rStyle w:val="HideTWBExt"/>
          <w:b w:val="0"/>
        </w:rPr>
        <w:lastRenderedPageBreak/>
        <w:t>&lt;RepeatBlock-AmendA&gt;&lt;AmendA&gt;</w:t>
      </w:r>
      <w:r w:rsidRPr="00DF3EFC">
        <w:t>Ändringsförslag</w:t>
      </w:r>
      <w:r w:rsidRPr="00DF3EFC">
        <w:tab/>
      </w:r>
      <w:r w:rsidRPr="00DF3EFC">
        <w:tab/>
      </w:r>
      <w:r w:rsidRPr="00DF3EFC">
        <w:rPr>
          <w:rStyle w:val="HideTWBExt"/>
          <w:b w:val="0"/>
        </w:rPr>
        <w:t>&lt;NumAmA&gt;</w:t>
      </w:r>
      <w:r w:rsidRPr="00DF3EFC">
        <w:t>135</w:t>
      </w:r>
      <w:r w:rsidRPr="00DF3EFC">
        <w:rPr>
          <w:rStyle w:val="HideTWBExt"/>
          <w:b w:val="0"/>
        </w:rPr>
        <w:t>&lt;/NumAmA&gt;</w:t>
      </w:r>
    </w:p>
    <w:p w:rsidR="00DF3EFC" w:rsidRPr="00DF3EFC" w:rsidRDefault="00DF3EFC" w:rsidP="00DF3EFC">
      <w:pPr>
        <w:pStyle w:val="NormalBold"/>
      </w:pPr>
      <w:r w:rsidRPr="00DF3EFC">
        <w:rPr>
          <w:rStyle w:val="HideTWBExt"/>
          <w:b w:val="0"/>
        </w:rPr>
        <w:t>&lt;RepeatBlock-By&gt;&lt;Members&gt;</w:t>
      </w:r>
      <w:r w:rsidRPr="00DF3EFC">
        <w:t>Stasys Jakeliūnas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p>
        </w:tc>
        <w:tc>
          <w:tcPr>
            <w:tcW w:w="4876" w:type="dxa"/>
          </w:tcPr>
          <w:p w:rsidR="00DF3EFC" w:rsidRPr="00DF3EFC" w:rsidRDefault="00DF3EFC" w:rsidP="00DF3EFC">
            <w:pPr>
              <w:pStyle w:val="AmColumnHeading"/>
            </w:pPr>
            <w:r w:rsidRPr="00DF3EFC">
              <w:t>Förslag om förkastande</w:t>
            </w:r>
          </w:p>
        </w:tc>
      </w:tr>
      <w:tr w:rsidR="00DF3EFC" w:rsidRPr="00DF3EFC" w:rsidTr="00DF3EFC">
        <w:trPr>
          <w:jc w:val="center"/>
        </w:trPr>
        <w:tc>
          <w:tcPr>
            <w:tcW w:w="4876" w:type="dxa"/>
          </w:tcPr>
          <w:p w:rsidR="00DF3EFC" w:rsidRPr="00DF3EFC" w:rsidRDefault="00DF3EFC" w:rsidP="00DF3EFC">
            <w:pPr>
              <w:pStyle w:val="AmColumnHeading"/>
            </w:pPr>
          </w:p>
        </w:tc>
        <w:tc>
          <w:tcPr>
            <w:tcW w:w="4876" w:type="dxa"/>
          </w:tcPr>
          <w:p w:rsidR="00DF3EFC" w:rsidRPr="00DF3EFC" w:rsidRDefault="00DF3EFC" w:rsidP="00DF3EFC">
            <w:pPr>
              <w:pStyle w:val="NormalBoldItalic6a"/>
            </w:pPr>
            <w:r w:rsidRPr="00DF3EFC">
              <w:t>Europaparlamentet förkastar förslaget till Europaparlamentets och rådets förordning om en pilotordning för marknadsinfrastrukturer som baseras på teknik för distribuerade liggare.</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Förslaget är inte tekniskt neutralt och det är överflödigt. EU:s befintliga ram om finansiella tjänster möjliggör redan innovation. I förslaget till förordning har vissa krav som rör investerarskydd och marknadsintegritet lättats. Det kan leda till högre fragmentering av marknaden och finansiell instabilitet. Det finns också en omfattande delegering av befogenheter till nationella myndigheter. Eftersom EU:s finansiella tillsynssystem ännu inte är harmoniserat kan förslaget till förordning leda till regelarbitrage och ytterligare öka marknadens fragmentering.</w:t>
      </w:r>
    </w:p>
    <w:p w:rsidR="00DF3EFC" w:rsidRPr="00DF3EFC" w:rsidRDefault="00DF3EFC" w:rsidP="00DF3EFC">
      <w:r w:rsidRPr="00DF3EFC">
        <w:rPr>
          <w:rStyle w:val="HideTWBExt"/>
        </w:rPr>
        <w:t>&lt;/AmendA&gt;</w:t>
      </w:r>
    </w:p>
    <w:p w:rsidR="00DF3EFC" w:rsidRPr="00DF3EFC" w:rsidRDefault="00DF3EFC" w:rsidP="00DF3EFC">
      <w:pPr>
        <w:pStyle w:val="AmNumberTabs"/>
      </w:pPr>
      <w:r w:rsidRPr="00DF3EFC">
        <w:rPr>
          <w:rStyle w:val="HideTWBExt"/>
          <w:b w:val="0"/>
        </w:rPr>
        <w:t>&lt;AmendA&gt;</w:t>
      </w:r>
      <w:r w:rsidRPr="00DF3EFC">
        <w:t>Ändringsförslag</w:t>
      </w:r>
      <w:r w:rsidRPr="00DF3EFC">
        <w:tab/>
      </w:r>
      <w:r w:rsidRPr="00DF3EFC">
        <w:tab/>
      </w:r>
      <w:r w:rsidRPr="00DF3EFC">
        <w:rPr>
          <w:rStyle w:val="HideTWBExt"/>
          <w:b w:val="0"/>
        </w:rPr>
        <w:t>&lt;NumAmA&gt;</w:t>
      </w:r>
      <w:r w:rsidRPr="00DF3EFC">
        <w:t>136</w:t>
      </w:r>
      <w:r w:rsidRPr="00DF3EFC">
        <w:rPr>
          <w:rStyle w:val="HideTWBExt"/>
          <w:b w:val="0"/>
        </w:rPr>
        <w:t>&lt;/NumAmA&gt;</w:t>
      </w:r>
    </w:p>
    <w:p w:rsidR="00DF3EFC" w:rsidRPr="00DF3EFC" w:rsidRDefault="00DF3EFC" w:rsidP="00DF3EFC">
      <w:pPr>
        <w:pStyle w:val="NormalBold"/>
      </w:pPr>
      <w:r w:rsidRPr="00DF3EFC">
        <w:rPr>
          <w:rStyle w:val="HideTWBExt"/>
          <w:b w:val="0"/>
        </w:rPr>
        <w:t>&lt;RepeatBlock-By&gt;&lt;Members&gt;</w:t>
      </w:r>
      <w:r w:rsidRPr="00DF3EFC">
        <w:t>Johan Van Overtveldt</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lagstiftningsresolution</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Beaktandeled 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Förslag till lagstiftningsresolution</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w:t>
            </w:r>
            <w:r w:rsidRPr="00DF3EFC">
              <w:tab/>
              <w:t>med beaktande av Europeiska centralbankens yttrande</w:t>
            </w:r>
            <w:r w:rsidRPr="00DF3EFC">
              <w:rPr>
                <w:rStyle w:val="Sup"/>
              </w:rPr>
              <w:t>2</w:t>
            </w:r>
            <w:r w:rsidRPr="00DF3EFC">
              <w:t>,</w:t>
            </w:r>
          </w:p>
        </w:tc>
        <w:tc>
          <w:tcPr>
            <w:tcW w:w="4876" w:type="dxa"/>
          </w:tcPr>
          <w:p w:rsidR="00DF3EFC" w:rsidRPr="00DF3EFC" w:rsidRDefault="00DF3EFC" w:rsidP="00DF3EFC">
            <w:pPr>
              <w:pStyle w:val="Normal6a"/>
            </w:pPr>
            <w:r w:rsidRPr="00DF3EFC">
              <w:t>–</w:t>
            </w:r>
            <w:r w:rsidRPr="00DF3EFC">
              <w:tab/>
              <w:t xml:space="preserve">med beaktande av Europeiska centralbankens yttrande </w:t>
            </w:r>
            <w:r w:rsidRPr="00DF3EFC">
              <w:rPr>
                <w:b/>
                <w:i/>
              </w:rPr>
              <w:t>av den 28 april 2021</w:t>
            </w:r>
            <w:r w:rsidRPr="00DF3EFC">
              <w:rPr>
                <w:rStyle w:val="Sup"/>
              </w:rPr>
              <w:t>2</w:t>
            </w:r>
            <w:r w:rsidRPr="00DF3EFC">
              <w:t>,</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rPr>
                <w:lang w:val="fr-FR"/>
              </w:rPr>
            </w:pPr>
            <w:r w:rsidRPr="00DF3EFC">
              <w:rPr>
                <w:rStyle w:val="Sup"/>
                <w:lang w:val="fr-FR"/>
              </w:rPr>
              <w:t>2</w:t>
            </w:r>
            <w:r w:rsidRPr="00DF3EFC">
              <w:rPr>
                <w:lang w:val="fr-FR"/>
              </w:rPr>
              <w:t xml:space="preserve"> EUT C xxx, xx.x.2021, s. xx.</w:t>
            </w:r>
          </w:p>
        </w:tc>
        <w:tc>
          <w:tcPr>
            <w:tcW w:w="4876" w:type="dxa"/>
          </w:tcPr>
          <w:p w:rsidR="00DF3EFC" w:rsidRPr="00DF3EFC" w:rsidRDefault="00DF3EFC" w:rsidP="00DF3EFC">
            <w:pPr>
              <w:pStyle w:val="Normal6a"/>
              <w:rPr>
                <w:lang w:val="fr-FR"/>
              </w:rPr>
            </w:pPr>
            <w:r w:rsidRPr="00DF3EFC">
              <w:rPr>
                <w:rStyle w:val="Sup"/>
                <w:lang w:val="fr-FR"/>
              </w:rPr>
              <w:t>2</w:t>
            </w:r>
            <w:r w:rsidRPr="00DF3EFC">
              <w:rPr>
                <w:lang w:val="fr-FR"/>
              </w:rPr>
              <w:t xml:space="preserve"> EUT C xxx, xx.x.2021, s. xx.</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&lt;/AmendA&gt;</w:t>
      </w:r>
    </w:p>
    <w:p w:rsidR="00DF3EFC" w:rsidRPr="00DF3EFC" w:rsidRDefault="00DF3EFC" w:rsidP="00DF3EFC">
      <w:pPr>
        <w:pStyle w:val="AmNumberTabs"/>
      </w:pPr>
      <w:r w:rsidRPr="00DF3EFC">
        <w:rPr>
          <w:rStyle w:val="HideTWBExt"/>
          <w:b w:val="0"/>
        </w:rPr>
        <w:t>&lt;AmendA&gt;</w:t>
      </w:r>
      <w:r w:rsidRPr="00DF3EFC">
        <w:t>Ändringsförslag</w:t>
      </w:r>
      <w:r w:rsidRPr="00DF3EFC">
        <w:tab/>
      </w:r>
      <w:r w:rsidRPr="00DF3EFC">
        <w:tab/>
      </w:r>
      <w:r w:rsidRPr="00DF3EFC">
        <w:rPr>
          <w:rStyle w:val="HideTWBExt"/>
          <w:b w:val="0"/>
        </w:rPr>
        <w:t>&lt;NumAmA&gt;</w:t>
      </w:r>
      <w:r w:rsidRPr="00DF3EFC">
        <w:t>137</w:t>
      </w:r>
      <w:r w:rsidRPr="00DF3EFC">
        <w:rPr>
          <w:rStyle w:val="HideTWBExt"/>
          <w:b w:val="0"/>
        </w:rPr>
        <w:t>&lt;/NumAmA&gt;</w:t>
      </w:r>
    </w:p>
    <w:p w:rsidR="00DF3EFC" w:rsidRPr="00DF3EFC" w:rsidRDefault="00DF3EFC" w:rsidP="00DF3EFC">
      <w:pPr>
        <w:pStyle w:val="NormalBold"/>
      </w:pPr>
      <w:r w:rsidRPr="00DF3EFC">
        <w:rPr>
          <w:rStyle w:val="HideTWBExt"/>
          <w:b w:val="0"/>
        </w:rPr>
        <w:t>&lt;RepeatBlock-By&gt;&lt;Members&gt;</w:t>
      </w:r>
      <w:r w:rsidRPr="00DF3EFC">
        <w:t>Johan Van Overtveldt</w:t>
      </w:r>
      <w:r w:rsidRPr="00DF3EFC">
        <w:rPr>
          <w:rStyle w:val="HideTWBExt"/>
          <w:b w:val="0"/>
        </w:rPr>
        <w:t>&lt;/Members&gt;</w:t>
      </w:r>
    </w:p>
    <w:p w:rsidR="00DF3EFC" w:rsidRPr="00DF3EFC" w:rsidRDefault="00DF3EFC" w:rsidP="00DF3EFC">
      <w:pPr>
        <w:pStyle w:val="NormalBold"/>
      </w:pPr>
      <w:r w:rsidRPr="00DF3EFC">
        <w:rPr>
          <w:rStyle w:val="HideTWBExt"/>
          <w:b w:val="0"/>
        </w:rPr>
        <w:lastRenderedPageBreak/>
        <w:t>&lt;/RepeatBlock-By&gt;</w:t>
      </w:r>
    </w:p>
    <w:p w:rsidR="00DF3EFC" w:rsidRPr="00DF3EFC" w:rsidRDefault="00DF3EFC" w:rsidP="00DF3EFC">
      <w:pPr>
        <w:pStyle w:val="NormalBold"/>
      </w:pPr>
      <w:r w:rsidRPr="00DF3EFC">
        <w:rPr>
          <w:rStyle w:val="HideTWBExt"/>
          <w:b w:val="0"/>
        </w:rPr>
        <w:t>&lt;DocAmend&gt;</w:t>
      </w:r>
      <w:r w:rsidRPr="00DF3EFC">
        <w:t>Förslag till lagstiftningsresolution</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Beaktandeled 5a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Förslag till lagstiftningsresolution</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w:t>
            </w:r>
            <w:r w:rsidRPr="00DF3EFC">
              <w:tab/>
            </w:r>
            <w:r w:rsidRPr="00DF3EFC">
              <w:rPr>
                <w:b/>
                <w:i/>
              </w:rPr>
              <w:t>med beaktande av Europeiska datatillsynsmannens yttrande 6/2021 av den 23 april 2021,</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&lt;/AmendA&gt;&lt;/RepeatBlock-AmendA&gt;</w:t>
      </w:r>
    </w:p>
    <w:p w:rsidR="00DF3EFC" w:rsidRPr="00DF3EFC" w:rsidRDefault="00DF3EFC" w:rsidP="00DF3EFC">
      <w:pPr>
        <w:pStyle w:val="AmNumberTabs"/>
      </w:pPr>
      <w:r w:rsidRPr="00DF3EFC">
        <w:rPr>
          <w:rStyle w:val="HideTWBExt"/>
          <w:b w:val="0"/>
        </w:rPr>
        <w:t>&lt;RepeatBlock-AmendB&gt;&lt;AmendB&gt;</w:t>
      </w:r>
      <w:r w:rsidRPr="00DF3EFC">
        <w:t>Ändringsförslag</w:t>
      </w:r>
      <w:r w:rsidRPr="00DF3EFC">
        <w:tab/>
      </w:r>
      <w:r w:rsidRPr="00DF3EFC">
        <w:tab/>
      </w:r>
      <w:r w:rsidRPr="00DF3EFC">
        <w:rPr>
          <w:rStyle w:val="HideTWBExt"/>
          <w:b w:val="0"/>
        </w:rPr>
        <w:t>&lt;NumAmB&gt;</w:t>
      </w:r>
      <w:r w:rsidRPr="00DF3EFC">
        <w:t>138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 Christophe Hansen</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Europeiska kommissionens meddelande om en strategi för digital finansiering</w:t>
            </w:r>
            <w:r w:rsidRPr="00DF3EFC">
              <w:rPr>
                <w:rStyle w:val="Sup"/>
              </w:rPr>
              <w:t>32</w:t>
            </w:r>
            <w:r w:rsidRPr="00DF3EFC">
              <w:t xml:space="preserve"> syftar till att säkerställa att unionens lagstiftning om finansiella tjänster är anpassad till den digitala tidsåldern och bidrar till en framtidssäkrad ekonomi för människor, bland annat genom att möjliggöra användning av innovativ teknik. Unionen har ett politiskt intresse av att utveckla och främja införandet av banbrytande teknik inom finanssektorn, såsom blockkedjeteknik och teknik för distribuerade liggare (DLT). Kryptotillgångar är en av de viktigaste tillämpningarna med teknik för distribuerade liggare för finansiering.</w:t>
            </w:r>
          </w:p>
        </w:tc>
        <w:tc>
          <w:tcPr>
            <w:tcW w:w="4876" w:type="dxa"/>
          </w:tcPr>
          <w:p w:rsidR="00DF3EFC" w:rsidRPr="00DF3EFC" w:rsidRDefault="00DF3EFC" w:rsidP="00DF3EFC">
            <w:pPr>
              <w:pStyle w:val="Normal6a"/>
            </w:pPr>
            <w:r w:rsidRPr="00DF3EFC">
              <w:t>(1)</w:t>
            </w:r>
            <w:r w:rsidRPr="00DF3EFC">
              <w:tab/>
              <w:t>Europeiska kommissionens meddelande om en strategi för digital finansiering</w:t>
            </w:r>
            <w:r w:rsidRPr="00DF3EFC">
              <w:rPr>
                <w:rStyle w:val="Sup"/>
              </w:rPr>
              <w:t>32</w:t>
            </w:r>
            <w:r w:rsidRPr="00DF3EFC">
              <w:t xml:space="preserve"> syftar till att säkerställa att unionens lagstiftning om finansiella tjänster är anpassad till den digitala tidsåldern och bidrar till en framtidssäkrad ekonomi för människor, bland annat genom att möjliggöra användning av innovativ teknik. Unionen har ett politiskt intresse av att </w:t>
            </w:r>
            <w:r w:rsidRPr="00DF3EFC">
              <w:rPr>
                <w:b/>
                <w:i/>
              </w:rPr>
              <w:t>undersöka,</w:t>
            </w:r>
            <w:r w:rsidRPr="00DF3EFC">
              <w:t xml:space="preserve"> utveckla och främja införandet av banbrytande teknik inom finanssektorn, såsom blockkedjeteknik och teknik för distribuerade liggare (DLT). Kryptotillgångar är en av de viktigaste tillämpningarna med teknik för distribuerade liggare för finansiering.</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32</w:t>
            </w:r>
            <w:r w:rsidRPr="00DF3EFC">
              <w:t xml:space="preserve"> Meddelande från kommissionen till Europaparlamentet, rådet, Europeiska centralbanken, Europeiska ekonomiska och sociala kommittén samt regionkommittén om en strategi för digitalisering av finanssektorn i EU, (COM(2020) 591 final.</w:t>
            </w:r>
          </w:p>
        </w:tc>
        <w:tc>
          <w:tcPr>
            <w:tcW w:w="4876" w:type="dxa"/>
          </w:tcPr>
          <w:p w:rsidR="00DF3EFC" w:rsidRPr="00DF3EFC" w:rsidRDefault="00DF3EFC" w:rsidP="00DF3EFC">
            <w:pPr>
              <w:pStyle w:val="Normal6a"/>
            </w:pPr>
            <w:r w:rsidRPr="00DF3EFC">
              <w:rPr>
                <w:rStyle w:val="Sup"/>
              </w:rPr>
              <w:t>32</w:t>
            </w:r>
            <w:r w:rsidRPr="00DF3EFC">
              <w:t xml:space="preserve"> Meddelande från kommissionen till Europaparlamentet, rådet, Europeiska centralbanken, Europeiska ekonomiska och sociala kommittén samt regionkommittén om en strategi för digitalisering av finanssektorn i EU, (COM(2020) 591 final.</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lastRenderedPageBreak/>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139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Europeiska kommissionens meddelande om en strategi för digital finansiering</w:t>
            </w:r>
            <w:r w:rsidRPr="00DF3EFC">
              <w:rPr>
                <w:rStyle w:val="Sup"/>
              </w:rPr>
              <w:t>32</w:t>
            </w:r>
            <w:r w:rsidRPr="00DF3EFC">
              <w:t xml:space="preserve"> syftar till att säkerställa att unionens lagstiftning om finansiella tjänster är anpassad till den digitala tidsåldern och bidrar till en framtidssäkrad ekonomi för människor, bland annat genom att möjliggöra användning av innovativ teknik. Unionen har ett politiskt intresse av att utveckla och främja införandet av banbrytande teknik inom finanssektorn, såsom blockkedjeteknik och teknik för distribuerade liggare (DLT). Kryptotillgångar är en av de viktigaste tillämpningarna med teknik för distribuerade liggare för finansiering.</w:t>
            </w:r>
          </w:p>
        </w:tc>
        <w:tc>
          <w:tcPr>
            <w:tcW w:w="4876" w:type="dxa"/>
          </w:tcPr>
          <w:p w:rsidR="00DF3EFC" w:rsidRPr="00DF3EFC" w:rsidRDefault="00DF3EFC" w:rsidP="00DF3EFC">
            <w:pPr>
              <w:pStyle w:val="Normal6a"/>
            </w:pPr>
            <w:r w:rsidRPr="00DF3EFC">
              <w:t>(1)</w:t>
            </w:r>
            <w:r w:rsidRPr="00DF3EFC">
              <w:tab/>
              <w:t>Europeiska kommissionens meddelande om en strategi för digital finansiering</w:t>
            </w:r>
            <w:r w:rsidRPr="00DF3EFC">
              <w:rPr>
                <w:rStyle w:val="Sup"/>
              </w:rPr>
              <w:t>32</w:t>
            </w:r>
            <w:r w:rsidRPr="00DF3EFC">
              <w:t xml:space="preserve"> syftar till att säkerställa att unionens lagstiftning om finansiella tjänster är anpassad till den digitala tidsåldern och bidrar till en framtidssäkrad ekonomi för människor, bland annat genom att möjliggöra användning av innovativ teknik. Unionen har ett politiskt intresse av att utveckla och främja införandet av banbrytande teknik inom finanssektorn, såsom blockkedjeteknik och teknik för distribuerade liggare (DLT). Kryptotillgångar är en av de viktigaste tillämpningarna med teknik för distribuerade liggare för finansiering. </w:t>
            </w:r>
            <w:r w:rsidRPr="00DF3EFC">
              <w:rPr>
                <w:b/>
                <w:i/>
              </w:rPr>
              <w:t>DLT omfattar en mångskiftande uppsättning lösningar som kombinerar databasteknik och kryptering för att hantera skadligt beteende och ta itu med risken att olika användare förlitar sig på inkonsekventa versioner av uppgifterna på grund av nätverkslatens eller validering av förgreningar i konflikt, genom att tillåta slutlig kryptografisk revision av användarnas aktivitet och genom att tillhandahålla traditionella och nya mekanismer för att uppnå samstämmighet mellan användarna om databasens status över tid.</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32</w:t>
            </w:r>
            <w:r w:rsidRPr="00DF3EFC">
              <w:t xml:space="preserve"> Meddelande från kommissionen till Europaparlamentet, rådet, Europeiska centralbanken, Europeiska ekonomiska och sociala kommittén samt regionkommittén om en strategi för digitalisering av finanssektorn i EU, (COM(2020) 591 final.</w:t>
            </w:r>
          </w:p>
        </w:tc>
        <w:tc>
          <w:tcPr>
            <w:tcW w:w="4876" w:type="dxa"/>
          </w:tcPr>
          <w:p w:rsidR="00DF3EFC" w:rsidRPr="00DF3EFC" w:rsidRDefault="00DF3EFC" w:rsidP="00DF3EFC">
            <w:pPr>
              <w:pStyle w:val="Normal6a"/>
            </w:pPr>
            <w:r w:rsidRPr="00DF3EFC">
              <w:rPr>
                <w:rStyle w:val="Sup"/>
              </w:rPr>
              <w:t>32</w:t>
            </w:r>
            <w:r w:rsidRPr="00DF3EFC">
              <w:t xml:space="preserve"> Meddelande från kommissionen till Europaparlamentet, rådet, Europeiska centralbanken, Europeiska ekonomiska och sociala kommittén samt regionkommittén om en strategi för digitalisering av finanssektorn i EU, (COM(2020) 591 final.</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Beskrivning av hur DLT fungerar, hämtad från rapporten från ECB 2017 ”The potential impact of DLTs on securities post-trading harmonisation and on the wider EU financial market integration” från den rådgivande gruppen för marknadsinfrastrukturer för värdepapper och säkerheter (AMI-SeCo)</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140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w:t>
            </w:r>
            <w:r w:rsidRPr="00DF3EFC">
              <w:tab/>
              <w:t>Merparten av kryptotillgångarna omfattas inte av EU-lagstiftningen och medför bland annat utmaningar i fråga om investerarskydd, marknadsintegritet och finansiell stabilitet. De kräver därför en särskild ordning på unionsnivå. Däremot klassificeras andra kryptotillgångar som finansiella instrument i den mening som avses i Europaparlamentets och rådets direktiv 2014/65/EU (direktivet om marknader för finansiella instrument, Mifid II)</w:t>
            </w:r>
            <w:r w:rsidRPr="00DF3EFC">
              <w:rPr>
                <w:rStyle w:val="Sup"/>
              </w:rPr>
              <w:t>33</w:t>
            </w:r>
            <w:r w:rsidRPr="00DF3EFC">
              <w:t>. I den mån en kryptotillgång klassificeras som ett finansiellt instrument enligt det direktivet kan en fullständig uppsättning av EU:s finansiella regler, inbegripet Europaparlamentets och rådets förordning (EU) 2017/1129 (prospektförordningen)</w:t>
            </w:r>
            <w:r w:rsidRPr="00DF3EFC">
              <w:rPr>
                <w:rStyle w:val="Sup"/>
              </w:rPr>
              <w:t>34</w:t>
            </w:r>
            <w:r w:rsidRPr="00DF3EFC">
              <w:t>, Europaparlamentets och rådets direktiv 2013/50/EU (insynsdirektivet)</w:t>
            </w:r>
            <w:r w:rsidRPr="00DF3EFC">
              <w:rPr>
                <w:rStyle w:val="Sup"/>
              </w:rPr>
              <w:t>35</w:t>
            </w:r>
            <w:r w:rsidRPr="00DF3EFC">
              <w:t>, Europaparlamentets och rådets förordning nr 596/2014 (marknadsmissbruksförordningen)</w:t>
            </w:r>
            <w:r w:rsidRPr="00DF3EFC">
              <w:rPr>
                <w:rStyle w:val="Sup"/>
              </w:rPr>
              <w:t>36</w:t>
            </w:r>
            <w:r w:rsidRPr="00DF3EFC">
              <w:t>, Europaparlamentets och rådets förordning (EU) nr 236/2012 (blankningsförordningen)</w:t>
            </w:r>
            <w:r w:rsidRPr="00DF3EFC">
              <w:rPr>
                <w:rStyle w:val="Sup"/>
              </w:rPr>
              <w:t>37</w:t>
            </w:r>
            <w:r w:rsidRPr="00DF3EFC">
              <w:t>, Europaparlamentets och rådets förordning (EU) nr 909/2014 (CSD-förordningen)</w:t>
            </w:r>
            <w:r w:rsidRPr="00DF3EFC">
              <w:rPr>
                <w:rStyle w:val="Sup"/>
              </w:rPr>
              <w:t>38</w:t>
            </w:r>
            <w:r w:rsidRPr="00DF3EFC">
              <w:t xml:space="preserve"> och Europaparlamentets och rådets direktiv 98/26/EG (direktivet om slutgiltig </w:t>
            </w:r>
            <w:r w:rsidRPr="00DF3EFC">
              <w:lastRenderedPageBreak/>
              <w:t>avveckling)</w:t>
            </w:r>
            <w:r w:rsidRPr="00DF3EFC">
              <w:rPr>
                <w:rStyle w:val="Sup"/>
              </w:rPr>
              <w:t>39</w:t>
            </w:r>
            <w:r w:rsidRPr="00DF3EFC">
              <w:t xml:space="preserve"> komma att tillämpas på dess emittent och de företag som utövar verksamhet i anslutning till det. Den så kallade tokeneringen av finansiella instrument, det vill säga deras omvandling till kryptotillgångar för att göra det möjligt att emittera, lagra och överföra dem i en distribuerad liggare, förväntas skapa möjligheter till effektivitetsförbättringar vid och efter handel med kryptotillgångar.</w:t>
            </w:r>
          </w:p>
        </w:tc>
        <w:tc>
          <w:tcPr>
            <w:tcW w:w="4876" w:type="dxa"/>
          </w:tcPr>
          <w:p w:rsidR="00DF3EFC" w:rsidRPr="00DF3EFC" w:rsidRDefault="00DF3EFC" w:rsidP="00DF3EFC">
            <w:pPr>
              <w:pStyle w:val="Normal6a"/>
            </w:pPr>
            <w:r w:rsidRPr="00DF3EFC">
              <w:rPr>
                <w:i/>
              </w:rPr>
              <w:lastRenderedPageBreak/>
              <w:t>(Berör inte den svenska versionen.)</w:t>
            </w:r>
            <w:r w:rsidRPr="00DF3EFC">
              <w:tab/>
              <w:t xml:space="preserve">    </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33</w:t>
            </w:r>
            <w:r w:rsidRPr="00DF3EFC">
              <w:t xml:space="preserve"> Europaparlamentets och rådets direktiv 2014/65/EU av den 15 maj 2014 om marknader för finansiella instrument och om ändring av direktiv 2002/92/EG och av direktiv 2011/61/EU (EUT L 173, 12.6.2014, s. 349).</w:t>
            </w:r>
          </w:p>
        </w:tc>
        <w:tc>
          <w:tcPr>
            <w:tcW w:w="4876" w:type="dxa"/>
          </w:tcPr>
          <w:p w:rsidR="00DF3EFC" w:rsidRPr="00DF3EFC" w:rsidRDefault="00DF3EFC" w:rsidP="00DF3EFC">
            <w:pPr>
              <w:pStyle w:val="Normal6a"/>
            </w:pP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34</w:t>
            </w:r>
            <w:r w:rsidRPr="00DF3EFC">
              <w:t xml:space="preserve"> Europaparlamentets och rådets förordning (EU) 2017/1129 av den 14 juni 2017 om prospekt som ska offentliggöras när värdepapper erbjuds till allmänheten eller tas upp till handel på en reglerad marknad, och om upphävande av direktiv 2003/71/EG (EUT L 168, 30.6.2017, s. 12).</w:t>
            </w:r>
          </w:p>
        </w:tc>
        <w:tc>
          <w:tcPr>
            <w:tcW w:w="4876" w:type="dxa"/>
          </w:tcPr>
          <w:p w:rsidR="00DF3EFC" w:rsidRPr="00DF3EFC" w:rsidRDefault="00DF3EFC" w:rsidP="00DF3EFC">
            <w:pPr>
              <w:pStyle w:val="Normal6a"/>
            </w:pP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35</w:t>
            </w:r>
            <w:r w:rsidRPr="00DF3EFC">
              <w:t xml:space="preserve"> Europaparlamentets och rådets direktiv 2013/50/EU av den 22 oktober 2013 om ändring av Europaparlamentets och rådets direktiv 2004/109/EG om harmonisering av insynskraven angående upplysningar om emittenter vars värdepapper är upptagna till handel på en reglerad marknad, av Europaparlamentets och rådets direktiv 2003/71/EG om de prospekt som skall offentliggöras när värdepapper erbjuds till allmänheten eller tas upp till handel och av kommissionens direktiv 2007/14/EG om tillämpningsföreskrifter för vissa bestämmelser i direktiv 2004/109/EG (EUT L 294, 6.11.2013, s. 13).</w:t>
            </w:r>
          </w:p>
        </w:tc>
        <w:tc>
          <w:tcPr>
            <w:tcW w:w="4876" w:type="dxa"/>
          </w:tcPr>
          <w:p w:rsidR="00DF3EFC" w:rsidRPr="00DF3EFC" w:rsidRDefault="00DF3EFC" w:rsidP="00DF3EFC">
            <w:pPr>
              <w:pStyle w:val="Normal6a"/>
            </w:pP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36</w:t>
            </w:r>
            <w:r w:rsidRPr="00DF3EFC">
              <w:t xml:space="preserve"> Europaparlamentets och rådets förordning (EU) nr 596/2014 av den 16 april 2014 om marknadsmissbruk (marknadsmissbruksförordning) och om upphävande av Europaparlamentets och rådets direktiv 2003/6/EG och </w:t>
            </w:r>
            <w:r w:rsidRPr="00DF3EFC">
              <w:lastRenderedPageBreak/>
              <w:t>kommissionens direktiv 2003/124/EG, 2003/125/EG och 2004/72/EG (EUT L 173 12.6.2014, s. 1).</w:t>
            </w:r>
          </w:p>
        </w:tc>
        <w:tc>
          <w:tcPr>
            <w:tcW w:w="4876" w:type="dxa"/>
          </w:tcPr>
          <w:p w:rsidR="00DF3EFC" w:rsidRPr="00DF3EFC" w:rsidRDefault="00DF3EFC" w:rsidP="00DF3EFC">
            <w:pPr>
              <w:pStyle w:val="Normal6a"/>
            </w:pP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37</w:t>
            </w:r>
            <w:r w:rsidRPr="00DF3EFC">
              <w:t xml:space="preserve"> Europaparlamentets och rådets förordning (EU) nr 236/2012 av den 14 mars 2012 om blankning och vissa aspekter av kreditswappar (EUT L 86, 24.3.2012, s. 1).</w:t>
            </w:r>
          </w:p>
        </w:tc>
        <w:tc>
          <w:tcPr>
            <w:tcW w:w="4876" w:type="dxa"/>
          </w:tcPr>
          <w:p w:rsidR="00DF3EFC" w:rsidRPr="00DF3EFC" w:rsidRDefault="00DF3EFC" w:rsidP="00DF3EFC">
            <w:pPr>
              <w:pStyle w:val="Normal6a"/>
            </w:pP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38</w:t>
            </w:r>
            <w:r w:rsidRPr="00DF3EFC">
              <w:t xml:space="preserve"> Europaparlamentets och rådets förordning (EU) nr 909/2014 av den 23 juli 2014 om förbättrad värdepappersavveckling i Europeiska unionen och om värdepapperscentraler samt ändring av direktiv 98/26/EG och 2014/65/EU och förordning (EU) nr 236/2012 (EUT L 257, 28.8.2014, s. 1).</w:t>
            </w:r>
          </w:p>
        </w:tc>
        <w:tc>
          <w:tcPr>
            <w:tcW w:w="4876" w:type="dxa"/>
          </w:tcPr>
          <w:p w:rsidR="00DF3EFC" w:rsidRPr="00DF3EFC" w:rsidRDefault="00DF3EFC" w:rsidP="00DF3EFC">
            <w:pPr>
              <w:pStyle w:val="Normal6a"/>
            </w:pP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39</w:t>
            </w:r>
            <w:r w:rsidRPr="00DF3EFC">
              <w:t xml:space="preserve"> Europaparlamentets och rådets direktiv 98/26/EG av den 19 maj 1998 om slutgiltig avveckling i system för överföring av betalningar och värdepapper (EGT L 166, 11.6.1998, s. 45).</w:t>
            </w:r>
          </w:p>
        </w:tc>
        <w:tc>
          <w:tcPr>
            <w:tcW w:w="4876" w:type="dxa"/>
          </w:tcPr>
          <w:p w:rsidR="00DF3EFC" w:rsidRPr="00DF3EFC" w:rsidRDefault="00DF3EFC" w:rsidP="00DF3EFC">
            <w:pPr>
              <w:pStyle w:val="Normal6a"/>
            </w:pP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141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w:t>
            </w:r>
            <w:r w:rsidRPr="00DF3EFC">
              <w:tab/>
              <w:t>Merparten av kryptotillgångarna omfattas inte av EU-lagstiftningen och medför bland annat utmaningar i fråga om investerarskydd, marknadsintegritet och finansiell stabilitet. De kräver därför en särskild ordning på unionsnivå. Däremot klassificeras andra kryptotillgångar som finansiella instrument i den mening som avses i Europaparlamentets och rådets direktiv 2014/65/EU (direktivet om marknader för finansiella instrument, Mifid II)</w:t>
            </w:r>
            <w:r w:rsidRPr="00DF3EFC">
              <w:rPr>
                <w:rStyle w:val="Sup"/>
              </w:rPr>
              <w:t>33</w:t>
            </w:r>
            <w:r w:rsidRPr="00DF3EFC">
              <w:t xml:space="preserve">. I den mån en kryptotillgång klassificeras som ett finansiellt instrument enligt det direktivet kan en fullständig </w:t>
            </w:r>
            <w:r w:rsidRPr="00DF3EFC">
              <w:lastRenderedPageBreak/>
              <w:t>uppsättning av EU:s finansiella regler, inbegripet Europaparlamentets och rådets förordning (EU) 2017/1129 (prospektförordningen)</w:t>
            </w:r>
            <w:r w:rsidRPr="00DF3EFC">
              <w:rPr>
                <w:rStyle w:val="Sup"/>
              </w:rPr>
              <w:t>34</w:t>
            </w:r>
            <w:r w:rsidRPr="00DF3EFC">
              <w:t>, Europaparlamentets och rådets direktiv 2013/50/EU (insynsdirektivet)</w:t>
            </w:r>
            <w:r w:rsidRPr="00DF3EFC">
              <w:rPr>
                <w:rStyle w:val="Sup"/>
              </w:rPr>
              <w:t>35</w:t>
            </w:r>
            <w:r w:rsidRPr="00DF3EFC">
              <w:t>, Europaparlamentets och rådets förordning nr 596/2014 (marknadsmissbruksförordningen)</w:t>
            </w:r>
            <w:r w:rsidRPr="00DF3EFC">
              <w:rPr>
                <w:rStyle w:val="Sup"/>
              </w:rPr>
              <w:t>36</w:t>
            </w:r>
            <w:r w:rsidRPr="00DF3EFC">
              <w:t>, Europaparlamentets och rådets förordning (EU) nr 236/2012 (blankningsförordningen)</w:t>
            </w:r>
            <w:r w:rsidRPr="00DF3EFC">
              <w:rPr>
                <w:rStyle w:val="Sup"/>
              </w:rPr>
              <w:t>37</w:t>
            </w:r>
            <w:r w:rsidRPr="00DF3EFC">
              <w:t>, Europaparlamentets och rådets förordning (EU) nr 909/2014 (CSD-förordningen)</w:t>
            </w:r>
            <w:r w:rsidRPr="00DF3EFC">
              <w:rPr>
                <w:rStyle w:val="Sup"/>
              </w:rPr>
              <w:t>38</w:t>
            </w:r>
            <w:r w:rsidRPr="00DF3EFC">
              <w:t xml:space="preserve"> och Europaparlamentets och rådets direktiv 98/26/EG (direktivet om slutgiltig avveckling)</w:t>
            </w:r>
            <w:r w:rsidRPr="00DF3EFC">
              <w:rPr>
                <w:rStyle w:val="Sup"/>
              </w:rPr>
              <w:t>39</w:t>
            </w:r>
            <w:r w:rsidRPr="00DF3EFC">
              <w:t xml:space="preserve"> komma att tillämpas på dess emittent och de företag som utövar verksamhet i anslutning till det. Den så kallade tokeneringen av finansiella instrument, det vill säga deras </w:t>
            </w:r>
            <w:r w:rsidRPr="00DF3EFC">
              <w:rPr>
                <w:b/>
                <w:i/>
              </w:rPr>
              <w:t>omvandling till kryptotillgångar</w:t>
            </w:r>
            <w:r w:rsidRPr="00DF3EFC">
              <w:t xml:space="preserve"> för att göra det möjligt att emittera, lagra och överföra dem i en distribuerad liggare, förväntas skapa möjligheter till effektivitetsförbättringar vid och efter handel med kryptotillgångar.</w:t>
            </w:r>
          </w:p>
        </w:tc>
        <w:tc>
          <w:tcPr>
            <w:tcW w:w="4876" w:type="dxa"/>
          </w:tcPr>
          <w:p w:rsidR="00DF3EFC" w:rsidRPr="00DF3EFC" w:rsidRDefault="00DF3EFC" w:rsidP="00DF3EFC">
            <w:pPr>
              <w:pStyle w:val="Normal6a"/>
            </w:pPr>
            <w:r w:rsidRPr="00DF3EFC">
              <w:lastRenderedPageBreak/>
              <w:t>(2)</w:t>
            </w:r>
            <w:r w:rsidRPr="00DF3EFC">
              <w:tab/>
              <w:t>Merparten av kryptotillgångarna omfattas inte av EU-lagstiftningen och medför bland annat utmaningar i fråga om investerarskydd, marknadsintegritet och finansiell stabilitet. De kräver därför en särskild ordning på unionsnivå. Däremot klassificeras andra kryptotillgångar som finansiella instrument i den mening som avses i Europaparlamentets och rådets direktiv 2014/65/EU (direktivet om marknader för finansiella instrument, Mifid II)</w:t>
            </w:r>
            <w:r w:rsidRPr="00DF3EFC">
              <w:rPr>
                <w:rStyle w:val="Sup"/>
              </w:rPr>
              <w:t>33</w:t>
            </w:r>
            <w:r w:rsidRPr="00DF3EFC">
              <w:t xml:space="preserve">. I den mån en kryptotillgång klassificeras som ett finansiellt instrument enligt det direktivet kan en fullständig </w:t>
            </w:r>
            <w:r w:rsidRPr="00DF3EFC">
              <w:lastRenderedPageBreak/>
              <w:t>uppsättning av EU:s finansiella regler, inbegripet Europaparlamentets och rådets förordning (EU) 2017/1129 (prospektförordningen)</w:t>
            </w:r>
            <w:r w:rsidRPr="00DF3EFC">
              <w:rPr>
                <w:rStyle w:val="Sup"/>
              </w:rPr>
              <w:t>34</w:t>
            </w:r>
            <w:r w:rsidRPr="00DF3EFC">
              <w:t>, Europaparlamentets och rådets direktiv 2013/50/EU (insynsdirektivet)</w:t>
            </w:r>
            <w:r w:rsidRPr="00DF3EFC">
              <w:rPr>
                <w:rStyle w:val="Sup"/>
              </w:rPr>
              <w:t>35</w:t>
            </w:r>
            <w:r w:rsidRPr="00DF3EFC">
              <w:t>, Europaparlamentets och rådets förordning nr 596/2014 (marknadsmissbruksförordningen)</w:t>
            </w:r>
            <w:r w:rsidRPr="00DF3EFC">
              <w:rPr>
                <w:rStyle w:val="Sup"/>
              </w:rPr>
              <w:t>36</w:t>
            </w:r>
            <w:r w:rsidRPr="00DF3EFC">
              <w:t>, Europaparlamentets och rådets förordning (EU) nr 236/2012 (blankningsförordningen)</w:t>
            </w:r>
            <w:r w:rsidRPr="00DF3EFC">
              <w:rPr>
                <w:rStyle w:val="Sup"/>
              </w:rPr>
              <w:t>37</w:t>
            </w:r>
            <w:r w:rsidRPr="00DF3EFC">
              <w:t>, Europaparlamentets och rådets förordning (EU) nr 909/2014 (CSD-förordningen)</w:t>
            </w:r>
            <w:r w:rsidRPr="00DF3EFC">
              <w:rPr>
                <w:rStyle w:val="Sup"/>
              </w:rPr>
              <w:t>38</w:t>
            </w:r>
            <w:r w:rsidRPr="00DF3EFC">
              <w:t xml:space="preserve"> och Europaparlamentets och rådets direktiv 98/26/EG (direktivet om slutgiltig avveckling)</w:t>
            </w:r>
            <w:r w:rsidRPr="00DF3EFC">
              <w:rPr>
                <w:rStyle w:val="Sup"/>
              </w:rPr>
              <w:t>39</w:t>
            </w:r>
            <w:r w:rsidRPr="00DF3EFC">
              <w:t xml:space="preserve"> komma att tillämpas på dess emittent och de företag som utövar verksamhet i anslutning till det. Den så kallade tokeneringen av finansiella instrument, det vill säga deras </w:t>
            </w:r>
            <w:r w:rsidRPr="00DF3EFC">
              <w:rPr>
                <w:b/>
                <w:i/>
              </w:rPr>
              <w:t>digitala representation i distribuerade liggare eller emission av traditionella tillgångsklasser i tokeniserad form</w:t>
            </w:r>
            <w:r w:rsidRPr="00DF3EFC">
              <w:t xml:space="preserve"> för att göra det möjligt att emittera, lagra och överföra dem i en distribuerad liggare, förväntas skapa möjligheter till effektivitetsförbättringar vid och efter handel med kryptotillgångar. </w:t>
            </w:r>
            <w:r w:rsidRPr="00DF3EFC">
              <w:rPr>
                <w:b/>
                <w:i/>
              </w:rPr>
              <w:t xml:space="preserve">Teknik för distribuerade liggare (DLT) har potential att främja delning av data och affärsprocesser bortom den nivå som uppnås genom de nuvarande distribuerade databaserna, vilka hittills har använts för att tillåta att deltagarna sprider ut sig över olika platser för att läsa innehållet i en samling data som förvaltas av en enda institution. DLT har till syfte att ge marknadsdeltagarna värde genom att tillåta att olika institutioner delar förvaltningen av information i en distribuerad liggare och följer samma förfaranden för att uppdatera denna information. Varje enhet som är involverad i behandlingen av finansiella transaktioner har för närvarande ett oberoende centralt register över sina klienters innehav av tillgångar och måste förlika detta register med data som innehas i andra centralt förvaltade </w:t>
            </w:r>
            <w:r w:rsidRPr="00DF3EFC">
              <w:rPr>
                <w:b/>
                <w:i/>
              </w:rPr>
              <w:lastRenderedPageBreak/>
              <w:t>databaser på olika nivåer i värdekedjan efter handel. DLT kan underlätta integration efter handel genom att tillhandahålla en infrastruktur som säkerställer att varje användare har en konsekvent och uppdaterad bild av de tillgångar som denne ansvarar för och att samma tillgångar kan överföras med hög grad av automatisering.</w:t>
            </w:r>
          </w:p>
        </w:tc>
      </w:tr>
      <w:tr w:rsidR="00DF3EFC" w:rsidRPr="00DF3EFC" w:rsidTr="00DF3EFC">
        <w:trPr>
          <w:jc w:val="center"/>
        </w:trPr>
        <w:tc>
          <w:tcPr>
            <w:tcW w:w="4876" w:type="dxa"/>
          </w:tcPr>
          <w:p w:rsidR="00DF3EFC" w:rsidRPr="00DF3EFC" w:rsidRDefault="00DF3EFC" w:rsidP="00DF3EFC">
            <w:pPr>
              <w:pStyle w:val="Normal6a"/>
            </w:pPr>
            <w:r w:rsidRPr="00DF3EFC">
              <w:lastRenderedPageBreak/>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33</w:t>
            </w:r>
            <w:r w:rsidRPr="00DF3EFC">
              <w:t xml:space="preserve"> Europaparlamentets och rådets direktiv 2014/65/EU av den 15 maj 2014 om marknader för finansiella instrument och om ändring av direktiv 2002/92/EG och av direktiv 2011/61/EU (EUT L 173, 12.6.2014, s. 349).</w:t>
            </w:r>
          </w:p>
        </w:tc>
        <w:tc>
          <w:tcPr>
            <w:tcW w:w="4876" w:type="dxa"/>
          </w:tcPr>
          <w:p w:rsidR="00DF3EFC" w:rsidRPr="00DF3EFC" w:rsidRDefault="00DF3EFC" w:rsidP="00DF3EFC">
            <w:pPr>
              <w:pStyle w:val="Normal6a"/>
            </w:pPr>
            <w:r w:rsidRPr="00DF3EFC">
              <w:rPr>
                <w:rStyle w:val="Sup"/>
              </w:rPr>
              <w:t>33</w:t>
            </w:r>
            <w:r w:rsidRPr="00DF3EFC">
              <w:t xml:space="preserve"> Europaparlamentets och rådets direktiv 2014/65/EU av den 15 maj 2014 om marknader för finansiella instrument och om ändring av direktiv 2002/92/EG och av direktiv 2011/61/EU (EUT L 173, 12.6.2014, s. 349).</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34</w:t>
            </w:r>
            <w:r w:rsidRPr="00DF3EFC">
              <w:t xml:space="preserve"> Europaparlamentets och rådets förordning (EU) 2017/1129 av den 14 juni 2017 om prospekt som ska offentliggöras när värdepapper erbjuds till allmänheten eller tas upp till handel på en reglerad marknad, och om upphävande av direktiv 2003/71/EG (EUT L 168, 30.6.2017, s. 12).</w:t>
            </w:r>
          </w:p>
        </w:tc>
        <w:tc>
          <w:tcPr>
            <w:tcW w:w="4876" w:type="dxa"/>
          </w:tcPr>
          <w:p w:rsidR="00DF3EFC" w:rsidRPr="00DF3EFC" w:rsidRDefault="00DF3EFC" w:rsidP="00DF3EFC">
            <w:pPr>
              <w:pStyle w:val="Normal6a"/>
            </w:pPr>
            <w:r w:rsidRPr="00DF3EFC">
              <w:rPr>
                <w:rStyle w:val="Sup"/>
              </w:rPr>
              <w:t>34</w:t>
            </w:r>
            <w:r w:rsidRPr="00DF3EFC">
              <w:t xml:space="preserve"> Europaparlamentets och rådets förordning (EU) 2017/1129 av den 14 juni 2017 om prospekt som ska offentliggöras när värdepapper erbjuds till allmänheten eller tas upp till handel på en reglerad marknad, och om upphävande av direktiv 2003/71/EG (EUT L 168, 30.6.2017, s. 12).</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35</w:t>
            </w:r>
            <w:r w:rsidRPr="00DF3EFC">
              <w:t xml:space="preserve"> Europaparlamentets och rådets direktiv 2013/50/EU av den 22 oktober 2013 om ändring av Europaparlamentets och rådets direktiv 2004/109/EG om harmonisering av insynskraven angående upplysningar om emittenter vars värdepapper är upptagna till handel på en reglerad marknad, av Europaparlamentets och rådets direktiv 2003/71/EG om de prospekt som skall offentliggöras när värdepapper erbjuds till allmänheten eller tas upp till handel och av kommissionens direktiv 2007/14/EG om tillämpningsföreskrifter för vissa bestämmelser i direktiv 2004/109/EG (EUT L 294, 6.11.2013, s. 13).</w:t>
            </w:r>
          </w:p>
        </w:tc>
        <w:tc>
          <w:tcPr>
            <w:tcW w:w="4876" w:type="dxa"/>
          </w:tcPr>
          <w:p w:rsidR="00DF3EFC" w:rsidRPr="00DF3EFC" w:rsidRDefault="00DF3EFC" w:rsidP="00DF3EFC">
            <w:pPr>
              <w:pStyle w:val="Normal6a"/>
            </w:pPr>
            <w:r w:rsidRPr="00DF3EFC">
              <w:rPr>
                <w:rStyle w:val="Sup"/>
              </w:rPr>
              <w:t>35</w:t>
            </w:r>
            <w:r w:rsidRPr="00DF3EFC">
              <w:t xml:space="preserve"> Europaparlamentets och rådets direktiv 2013/50/EU av den 22 oktober 2013 om ändring av Europaparlamentets och rådets direktiv 2004/109/EG om harmonisering av insynskraven angående upplysningar om emittenter vars värdepapper är upptagna till handel på en reglerad marknad, av Europaparlamentets och rådets direktiv 2003/71/EG om de prospekt som skall offentliggöras när värdepapper erbjuds till allmänheten eller tas upp till handel och av kommissionens direktiv 2007/14/EG om tillämpningsföreskrifter för vissa bestämmelser i direktiv 2004/109/EG (EUT L 294, 6.11.2013, s. 13).</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36</w:t>
            </w:r>
            <w:r w:rsidRPr="00DF3EFC">
              <w:t xml:space="preserve"> Europaparlamentets och rådets förordning (EU) nr 596/2014 av den 16 april 2014 om marknadsmissbruk (marknadsmissbruksförordning) och om upphävande av Europaparlamentets och rådets direktiv 2003/6/EG och kommissionens direktiv 2003/124/EG, </w:t>
            </w:r>
            <w:r w:rsidRPr="00DF3EFC">
              <w:lastRenderedPageBreak/>
              <w:t>2003/125/EG och 2004/72/EG (EUT L 173 12.6.2014, s. 1).</w:t>
            </w:r>
          </w:p>
        </w:tc>
        <w:tc>
          <w:tcPr>
            <w:tcW w:w="4876" w:type="dxa"/>
          </w:tcPr>
          <w:p w:rsidR="00DF3EFC" w:rsidRPr="00DF3EFC" w:rsidRDefault="00DF3EFC" w:rsidP="00DF3EFC">
            <w:pPr>
              <w:pStyle w:val="Normal6a"/>
            </w:pPr>
            <w:r w:rsidRPr="00DF3EFC">
              <w:rPr>
                <w:rStyle w:val="Sup"/>
              </w:rPr>
              <w:lastRenderedPageBreak/>
              <w:t>36</w:t>
            </w:r>
            <w:r w:rsidRPr="00DF3EFC">
              <w:t xml:space="preserve"> Europaparlamentets och rådets förordning (EU) nr 596/2014 av den 16 april 2014 om marknadsmissbruk (marknadsmissbruksförordning) och om upphävande av Europaparlamentets och rådets direktiv 2003/6/EG och kommissionens direktiv 2003/124/EG, </w:t>
            </w:r>
            <w:r w:rsidRPr="00DF3EFC">
              <w:lastRenderedPageBreak/>
              <w:t>2003/125/EG och 2004/72/EG (EUT L 173 12.6.2014, s. 1).</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lastRenderedPageBreak/>
              <w:t>37</w:t>
            </w:r>
            <w:r w:rsidRPr="00DF3EFC">
              <w:t xml:space="preserve"> Europaparlamentets och rådets förordning (EU) nr 236/2012 av den 14 mars 2012 om blankning och vissa aspekter av kreditswappar (EUT L 86, 24.3.2012, s. 1).</w:t>
            </w:r>
          </w:p>
        </w:tc>
        <w:tc>
          <w:tcPr>
            <w:tcW w:w="4876" w:type="dxa"/>
          </w:tcPr>
          <w:p w:rsidR="00DF3EFC" w:rsidRPr="00DF3EFC" w:rsidRDefault="00DF3EFC" w:rsidP="00DF3EFC">
            <w:pPr>
              <w:pStyle w:val="Normal6a"/>
            </w:pPr>
            <w:r w:rsidRPr="00DF3EFC">
              <w:rPr>
                <w:rStyle w:val="Sup"/>
              </w:rPr>
              <w:t>37</w:t>
            </w:r>
            <w:r w:rsidRPr="00DF3EFC">
              <w:t xml:space="preserve"> Europaparlamentets och rådets förordning (EU) nr 236/2012 av den 14 mars 2012 om blankning och vissa aspekter av kreditswappar (EUT L 86, 24.3.2012, s. 1).</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38</w:t>
            </w:r>
            <w:r w:rsidRPr="00DF3EFC">
              <w:t xml:space="preserve"> Europaparlamentets och rådets förordning (EU) nr 909/2014 av den 23 juli 2014 om förbättrad värdepappersavveckling i Europeiska unionen och om värdepapperscentraler samt ändring av direktiv 98/26/EG och 2014/65/EU och förordning (EU) nr 236/2012 (EUT L 257, 28.8.2014, s. 1).</w:t>
            </w:r>
          </w:p>
        </w:tc>
        <w:tc>
          <w:tcPr>
            <w:tcW w:w="4876" w:type="dxa"/>
          </w:tcPr>
          <w:p w:rsidR="00DF3EFC" w:rsidRPr="00DF3EFC" w:rsidRDefault="00DF3EFC" w:rsidP="00DF3EFC">
            <w:pPr>
              <w:pStyle w:val="Normal6a"/>
            </w:pPr>
            <w:r w:rsidRPr="00DF3EFC">
              <w:rPr>
                <w:rStyle w:val="Sup"/>
              </w:rPr>
              <w:t>38</w:t>
            </w:r>
            <w:r w:rsidRPr="00DF3EFC">
              <w:t xml:space="preserve"> Europaparlamentets och rådets förordning (EU) nr 909/2014 av den 23 juli 2014 om förbättrad värdepappersavveckling i Europeiska unionen och om värdepapperscentraler samt ändring av direktiv 98/26/EG och 2014/65/EU och förordning (EU) nr 236/2012 (EUT L 257, 28.8.2014, s. 1).</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39</w:t>
            </w:r>
            <w:r w:rsidRPr="00DF3EFC">
              <w:t xml:space="preserve"> Europaparlamentets och rådets direktiv 98/26/EG av den 19 maj 1998 om slutgiltig avveckling i system för överföring av betalningar och värdepapper (EGT L 166, 11.6.1998, s. 45).</w:t>
            </w:r>
          </w:p>
        </w:tc>
        <w:tc>
          <w:tcPr>
            <w:tcW w:w="4876" w:type="dxa"/>
          </w:tcPr>
          <w:p w:rsidR="00DF3EFC" w:rsidRPr="00DF3EFC" w:rsidRDefault="00DF3EFC" w:rsidP="00DF3EFC">
            <w:pPr>
              <w:pStyle w:val="Normal6a"/>
            </w:pPr>
            <w:r w:rsidRPr="00DF3EFC">
              <w:rPr>
                <w:rStyle w:val="Sup"/>
              </w:rPr>
              <w:t>39</w:t>
            </w:r>
            <w:r w:rsidRPr="00DF3EFC">
              <w:t xml:space="preserve"> Europaparlamentets och rådets direktiv 98/26/EG av den 19 maj 1998 om slutgiltig avveckling i system för överföring av betalningar och värdepapper (EGT L 166, 11.6.1998, s. 45).</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I enlighet med den brett använda definitionen (t.ex. OECD) – utdrag från sammanfattningen av rapporten från ECB 2017 ”The potential impact of DLTs on securities post-trading harmonisation and on the wider EU financial market integration” från den rådgivande gruppen för marknadsinfrastrukturer för värdepapper och säkerheter (AMI-SeCo).</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142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Paul Tang, Jonás Fernández,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w:t>
            </w:r>
            <w:r w:rsidRPr="00DF3EFC">
              <w:tab/>
              <w:t xml:space="preserve">Merparten av kryptotillgångarna omfattas inte av EU-lagstiftningen och medför bland annat utmaningar i fråga om investerarskydd, marknadsintegritet och finansiell stabilitet. De kräver därför en särskild ordning på unionsnivå. Däremot klassificeras andra kryptotillgångar som finansiella instrument i den mening som </w:t>
            </w:r>
            <w:r w:rsidRPr="00DF3EFC">
              <w:lastRenderedPageBreak/>
              <w:t>avses i Europaparlamentets och rådets direktiv 2014/65/EU (direktivet om marknader för finansiella instrument, Mifid II)</w:t>
            </w:r>
            <w:r w:rsidRPr="00DF3EFC">
              <w:rPr>
                <w:rStyle w:val="Sup"/>
              </w:rPr>
              <w:t>33</w:t>
            </w:r>
            <w:r w:rsidRPr="00DF3EFC">
              <w:t>. I den mån en kryptotillgång klassificeras som ett finansiellt instrument enligt det direktivet kan en fullständig uppsättning av EU:s finansiella regler, inbegripet Europaparlamentets och rådets förordning (EU) 2017/1129 (prospektförordningen)</w:t>
            </w:r>
            <w:r w:rsidRPr="00DF3EFC">
              <w:rPr>
                <w:rStyle w:val="Sup"/>
              </w:rPr>
              <w:t>34</w:t>
            </w:r>
            <w:r w:rsidRPr="00DF3EFC">
              <w:t>, Europaparlamentets och rådets direktiv 2013/50/EU (insynsdirektivet)</w:t>
            </w:r>
            <w:r w:rsidRPr="00DF3EFC">
              <w:rPr>
                <w:rStyle w:val="Sup"/>
              </w:rPr>
              <w:t>35</w:t>
            </w:r>
            <w:r w:rsidRPr="00DF3EFC">
              <w:t>, Europaparlamentets och rådets förordning nr 596/2014 (marknadsmissbruksförordningen)</w:t>
            </w:r>
            <w:r w:rsidRPr="00DF3EFC">
              <w:rPr>
                <w:rStyle w:val="Sup"/>
              </w:rPr>
              <w:t>36</w:t>
            </w:r>
            <w:r w:rsidRPr="00DF3EFC">
              <w:t>, Europaparlamentets och rådets förordning (EU) nr 236/2012 (blankningsförordningen)</w:t>
            </w:r>
            <w:r w:rsidRPr="00DF3EFC">
              <w:rPr>
                <w:rStyle w:val="Sup"/>
              </w:rPr>
              <w:t>37</w:t>
            </w:r>
            <w:r w:rsidRPr="00DF3EFC">
              <w:t>, Europaparlamentets och rådets förordning (EU) nr 909/2014 (CSD-förordningen)</w:t>
            </w:r>
            <w:r w:rsidRPr="00DF3EFC">
              <w:rPr>
                <w:rStyle w:val="Sup"/>
              </w:rPr>
              <w:t>38</w:t>
            </w:r>
            <w:r w:rsidRPr="00DF3EFC">
              <w:t xml:space="preserve"> och Europaparlamentets och rådets direktiv 98/26/EG (direktivet om slutgiltig avveckling)</w:t>
            </w:r>
            <w:r w:rsidRPr="00DF3EFC">
              <w:rPr>
                <w:rStyle w:val="Sup"/>
              </w:rPr>
              <w:t>39</w:t>
            </w:r>
            <w:r w:rsidRPr="00DF3EFC">
              <w:t xml:space="preserve"> komma att tillämpas på dess emittent och de företag som utövar verksamhet i anslutning till det. Den så kallade tokeneringen av finansiella instrument, det vill säga deras omvandling till kryptotillgångar för att göra det möjligt att emittera, lagra och överföra dem i en distribuerad liggare, förväntas skapa möjligheter till effektivitetsförbättringar vid och efter handel med kryptotillgångar.</w:t>
            </w:r>
          </w:p>
        </w:tc>
        <w:tc>
          <w:tcPr>
            <w:tcW w:w="4876" w:type="dxa"/>
          </w:tcPr>
          <w:p w:rsidR="00DF3EFC" w:rsidRPr="00DF3EFC" w:rsidRDefault="00DF3EFC" w:rsidP="00DF3EFC">
            <w:pPr>
              <w:pStyle w:val="Normal6a"/>
            </w:pPr>
            <w:r w:rsidRPr="00DF3EFC">
              <w:lastRenderedPageBreak/>
              <w:t>(2)</w:t>
            </w:r>
            <w:r w:rsidRPr="00DF3EFC">
              <w:tab/>
              <w:t>Merparten av kryptotillgångarna omfattas inte av EU-lagstiftningen och medför bland annat utmaningar i fråga om investerarskydd, marknadsintegritet</w:t>
            </w:r>
            <w:r w:rsidRPr="00DF3EFC">
              <w:rPr>
                <w:b/>
                <w:i/>
              </w:rPr>
              <w:t>, energiförbrukning</w:t>
            </w:r>
            <w:r w:rsidRPr="00DF3EFC">
              <w:t xml:space="preserve"> och finansiell stabilitet. De kräver därför en särskild ordning på unionsnivå. Däremot klassificeras andra kryptotillgångar som finansiella instrument </w:t>
            </w:r>
            <w:r w:rsidRPr="00DF3EFC">
              <w:lastRenderedPageBreak/>
              <w:t>i den mening som avses i Europaparlamentets och rådets direktiv 2014/65/EU (direktivet om marknader för finansiella instrument, Mifid II)</w:t>
            </w:r>
            <w:r w:rsidRPr="00DF3EFC">
              <w:rPr>
                <w:rStyle w:val="Sup"/>
              </w:rPr>
              <w:t>33</w:t>
            </w:r>
            <w:r w:rsidRPr="00DF3EFC">
              <w:t>. I den mån en kryptotillgång klassificeras som ett finansiellt instrument enligt det direktivet kan en fullständig uppsättning av EU:s finansiella regler, inbegripet Europaparlamentets och rådets förordning (EU) 2017/1129 (prospektförordningen)</w:t>
            </w:r>
            <w:r w:rsidRPr="00DF3EFC">
              <w:rPr>
                <w:rStyle w:val="Sup"/>
              </w:rPr>
              <w:t>34</w:t>
            </w:r>
            <w:r w:rsidRPr="00DF3EFC">
              <w:t>, Europaparlamentets och rådets direktiv 2013/50/EU (insynsdirektivet)</w:t>
            </w:r>
            <w:r w:rsidRPr="00DF3EFC">
              <w:rPr>
                <w:rStyle w:val="Sup"/>
              </w:rPr>
              <w:t>35</w:t>
            </w:r>
            <w:r w:rsidRPr="00DF3EFC">
              <w:t>, Europaparlamentets och rådets förordning nr 596/2014 (marknadsmissbruksförordningen)</w:t>
            </w:r>
            <w:r w:rsidRPr="00DF3EFC">
              <w:rPr>
                <w:rStyle w:val="Sup"/>
              </w:rPr>
              <w:t>36</w:t>
            </w:r>
            <w:r w:rsidRPr="00DF3EFC">
              <w:t>, Europaparlamentets och rådets förordning (EU) nr 236/2012 (blankningsförordningen)</w:t>
            </w:r>
            <w:r w:rsidRPr="00DF3EFC">
              <w:rPr>
                <w:rStyle w:val="Sup"/>
              </w:rPr>
              <w:t>37</w:t>
            </w:r>
            <w:r w:rsidRPr="00DF3EFC">
              <w:t>, Europaparlamentets och rådets förordning (EU) nr 909/2014 (CSD-förordningen)</w:t>
            </w:r>
            <w:r w:rsidRPr="00DF3EFC">
              <w:rPr>
                <w:rStyle w:val="Sup"/>
              </w:rPr>
              <w:t>38</w:t>
            </w:r>
            <w:r w:rsidRPr="00DF3EFC">
              <w:t xml:space="preserve"> och Europaparlamentets och rådets direktiv 98/26/EG (direktivet om slutgiltig avveckling)</w:t>
            </w:r>
            <w:r w:rsidRPr="00DF3EFC">
              <w:rPr>
                <w:rStyle w:val="Sup"/>
              </w:rPr>
              <w:t>39</w:t>
            </w:r>
            <w:r w:rsidRPr="00DF3EFC">
              <w:t xml:space="preserve"> komma att tillämpas på dess emittent och de företag som utövar verksamhet i anslutning till det. Den så kallade tokeneringen av finansiella instrument, det vill säga deras omvandling till kryptotillgångar för att göra det möjligt att emittera, lagra och överföra dem i en distribuerad liggare, förväntas skapa möjligheter till effektivitetsförbättringar vid och efter </w:t>
            </w:r>
            <w:r w:rsidRPr="00DF3EFC">
              <w:rPr>
                <w:b/>
                <w:i/>
              </w:rPr>
              <w:t xml:space="preserve">vissa delar av </w:t>
            </w:r>
            <w:r w:rsidRPr="00DF3EFC">
              <w:t>handel med kryptotillgångar</w:t>
            </w:r>
            <w:r w:rsidRPr="00DF3EFC">
              <w:rPr>
                <w:b/>
                <w:i/>
              </w:rPr>
              <w:t>, förutsatt att sådana kryptotillgångar genereras på ett energivänligt sätt</w:t>
            </w:r>
            <w:r w:rsidRPr="00DF3EFC">
              <w:t xml:space="preserve">. </w:t>
            </w:r>
            <w:r w:rsidRPr="00DF3EFC">
              <w:rPr>
                <w:b/>
                <w:i/>
              </w:rPr>
              <w:t>Eftersom de finansiella instrumenten och tillhörande riskerna fortsätter att vara desamma oavsett om en distribuerad liggare används eller ej stannar de grundläggande vinsterna med att involvera kreditrisk och likviditet i den tokenerade världen. Därför kommer framgången med tokenerade system att vara helt beroende av hur väl de interagerar med traditionella kontobaserade system.</w:t>
            </w:r>
          </w:p>
        </w:tc>
      </w:tr>
      <w:tr w:rsidR="00DF3EFC" w:rsidRPr="00DF3EFC" w:rsidTr="00DF3EFC">
        <w:trPr>
          <w:jc w:val="center"/>
        </w:trPr>
        <w:tc>
          <w:tcPr>
            <w:tcW w:w="4876" w:type="dxa"/>
          </w:tcPr>
          <w:p w:rsidR="00DF3EFC" w:rsidRPr="00DF3EFC" w:rsidRDefault="00DF3EFC" w:rsidP="00DF3EFC">
            <w:pPr>
              <w:pStyle w:val="Normal6a"/>
            </w:pPr>
            <w:r w:rsidRPr="00DF3EFC">
              <w:lastRenderedPageBreak/>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33</w:t>
            </w:r>
            <w:r w:rsidRPr="00DF3EFC">
              <w:t xml:space="preserve"> Europaparlamentets och rådets direktiv 2014/65/EU av den 15 maj 2014 om </w:t>
            </w:r>
            <w:r w:rsidRPr="00DF3EFC">
              <w:lastRenderedPageBreak/>
              <w:t>marknader för finansiella instrument och om ändring av direktiv 2002/92/EG och av direktiv 2011/61/EU (EUT L 173, 12.6.2014, s. 349).</w:t>
            </w:r>
          </w:p>
        </w:tc>
        <w:tc>
          <w:tcPr>
            <w:tcW w:w="4876" w:type="dxa"/>
          </w:tcPr>
          <w:p w:rsidR="00DF3EFC" w:rsidRPr="00DF3EFC" w:rsidRDefault="00DF3EFC" w:rsidP="00DF3EFC">
            <w:pPr>
              <w:pStyle w:val="Normal6a"/>
            </w:pPr>
            <w:r w:rsidRPr="00DF3EFC">
              <w:rPr>
                <w:rStyle w:val="Sup"/>
              </w:rPr>
              <w:lastRenderedPageBreak/>
              <w:t>33</w:t>
            </w:r>
            <w:r w:rsidRPr="00DF3EFC">
              <w:t xml:space="preserve"> Europaparlamentets och rådets direktiv 2014/65/EU av den 15 maj 2014 om </w:t>
            </w:r>
            <w:r w:rsidRPr="00DF3EFC">
              <w:lastRenderedPageBreak/>
              <w:t>marknader för finansiella instrument och om ändring av direktiv 2002/92/EG och av direktiv 2011/61/EU (EUT L 173, 12.6.2014, s. 349).</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lastRenderedPageBreak/>
              <w:t>34</w:t>
            </w:r>
            <w:r w:rsidRPr="00DF3EFC">
              <w:t xml:space="preserve"> Europaparlamentets och rådets förordning (EU) 2017/1129 av den 14 juni 2017 om prospekt som ska offentliggöras när värdepapper erbjuds till allmänheten eller tas upp till handel på en reglerad marknad, och om upphävande av direktiv 2003/71/EG (EUT L 168, 30.6.2017, s. 12).</w:t>
            </w:r>
          </w:p>
        </w:tc>
        <w:tc>
          <w:tcPr>
            <w:tcW w:w="4876" w:type="dxa"/>
          </w:tcPr>
          <w:p w:rsidR="00DF3EFC" w:rsidRPr="00DF3EFC" w:rsidRDefault="00DF3EFC" w:rsidP="00DF3EFC">
            <w:pPr>
              <w:pStyle w:val="Normal6a"/>
            </w:pPr>
            <w:r w:rsidRPr="00DF3EFC">
              <w:rPr>
                <w:rStyle w:val="Sup"/>
              </w:rPr>
              <w:t>34</w:t>
            </w:r>
            <w:r w:rsidRPr="00DF3EFC">
              <w:t xml:space="preserve"> Europaparlamentets och rådets förordning (EU) 2017/1129 av den 14 juni 2017 om prospekt som ska offentliggöras när värdepapper erbjuds till allmänheten eller tas upp till handel på en reglerad marknad, och om upphävande av direktiv 2003/71/EG (EUT L 168, 30.6.2017, s. 12).</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35</w:t>
            </w:r>
            <w:r w:rsidRPr="00DF3EFC">
              <w:t xml:space="preserve"> Europaparlamentets och rådets direktiv 2013/50/EU av den 22 oktober 2013 om ändring av Europaparlamentets och rådets direktiv 2004/109/EG om harmonisering av insynskraven angående upplysningar om emittenter vars värdepapper är upptagna till handel på en reglerad marknad, av Europaparlamentets och rådets direktiv 2003/71/EG om de prospekt som skall offentliggöras när värdepapper erbjuds till allmänheten eller tas upp till handel och av kommissionens direktiv 2007/14/EG om tillämpningsföreskrifter för vissa bestämmelser i direktiv 2004/109/EG (EUT L 294, 6.11.2013, s. 13).</w:t>
            </w:r>
          </w:p>
        </w:tc>
        <w:tc>
          <w:tcPr>
            <w:tcW w:w="4876" w:type="dxa"/>
          </w:tcPr>
          <w:p w:rsidR="00DF3EFC" w:rsidRPr="00DF3EFC" w:rsidRDefault="00DF3EFC" w:rsidP="00DF3EFC">
            <w:pPr>
              <w:pStyle w:val="Normal6a"/>
            </w:pPr>
            <w:r w:rsidRPr="00DF3EFC">
              <w:rPr>
                <w:rStyle w:val="Sup"/>
              </w:rPr>
              <w:t>35</w:t>
            </w:r>
            <w:r w:rsidRPr="00DF3EFC">
              <w:t xml:space="preserve"> Europaparlamentets och rådets direktiv 2013/50/EU av den 22 oktober 2013 om ändring av Europaparlamentets och rådets direktiv 2004/109/EG om harmonisering av insynskraven angående upplysningar om emittenter vars värdepapper är upptagna till handel på en reglerad marknad, av Europaparlamentets och rådets direktiv 2003/71/EG om de prospekt som skall offentliggöras när värdepapper erbjuds till allmänheten eller tas upp till handel och av kommissionens direktiv 2007/14/EG om tillämpningsföreskrifter för vissa bestämmelser i direktiv 2004/109/EG (EUT L 294, 6.11.2013, s. 13).</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36</w:t>
            </w:r>
            <w:r w:rsidRPr="00DF3EFC">
              <w:t xml:space="preserve"> Europaparlamentets och rådets förordning (EU) nr 596/2014 av den 16 april 2014 om marknadsmissbruk (marknadsmissbruksförordning) och om upphävande av Europaparlamentets och rådets direktiv 2003/6/EG och kommissionens direktiv 2003/124/EG, 2003/125/EG och 2004/72/EG (EUT L 173 12.6.2014, s. 1).</w:t>
            </w:r>
          </w:p>
        </w:tc>
        <w:tc>
          <w:tcPr>
            <w:tcW w:w="4876" w:type="dxa"/>
          </w:tcPr>
          <w:p w:rsidR="00DF3EFC" w:rsidRPr="00DF3EFC" w:rsidRDefault="00DF3EFC" w:rsidP="00DF3EFC">
            <w:pPr>
              <w:pStyle w:val="Normal6a"/>
            </w:pPr>
            <w:r w:rsidRPr="00DF3EFC">
              <w:rPr>
                <w:rStyle w:val="Sup"/>
              </w:rPr>
              <w:t>36</w:t>
            </w:r>
            <w:r w:rsidRPr="00DF3EFC">
              <w:t xml:space="preserve"> Europaparlamentets och rådets förordning (EU) nr 596/2014 av den 16 april 2014 om marknadsmissbruk (marknadsmissbruksförordning) och om upphävande av Europaparlamentets och rådets direktiv 2003/6/EG och kommissionens direktiv 2003/124/EG, 2003/125/EG och 2004/72/EG (EUT L 173 12.6.2014, s. 1).</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37</w:t>
            </w:r>
            <w:r w:rsidRPr="00DF3EFC">
              <w:t xml:space="preserve"> Europaparlamentets och rådets förordning (EU) nr 236/2012 av den 14 mars 2012 om blankning och vissa aspekter av kreditswappar (EUT L 86, 24.3.2012, s. 1).</w:t>
            </w:r>
          </w:p>
        </w:tc>
        <w:tc>
          <w:tcPr>
            <w:tcW w:w="4876" w:type="dxa"/>
          </w:tcPr>
          <w:p w:rsidR="00DF3EFC" w:rsidRPr="00DF3EFC" w:rsidRDefault="00DF3EFC" w:rsidP="00DF3EFC">
            <w:pPr>
              <w:pStyle w:val="Normal6a"/>
            </w:pPr>
            <w:r w:rsidRPr="00DF3EFC">
              <w:rPr>
                <w:rStyle w:val="Sup"/>
              </w:rPr>
              <w:t>37</w:t>
            </w:r>
            <w:r w:rsidRPr="00DF3EFC">
              <w:t xml:space="preserve"> Europaparlamentets och rådets förordning (EU) nr 236/2012 av den 14 mars 2012 om blankning och vissa aspekter av kreditswappar (EUT L 86, 24.3.2012, s. 1).</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38</w:t>
            </w:r>
            <w:r w:rsidRPr="00DF3EFC">
              <w:t xml:space="preserve"> Europaparlamentets och rådets förordning (EU) nr 909/2014 av den 23 juli 2014 om förbättrad värdepappersavveckling i Europeiska unionen och om värdepapperscentraler </w:t>
            </w:r>
            <w:r w:rsidRPr="00DF3EFC">
              <w:lastRenderedPageBreak/>
              <w:t>samt ändring av direktiv 98/26/EG och 2014/65/EU och förordning (EU) nr 236/2012 (EUT L 257, 28.8.2014, s. 1).</w:t>
            </w:r>
          </w:p>
        </w:tc>
        <w:tc>
          <w:tcPr>
            <w:tcW w:w="4876" w:type="dxa"/>
          </w:tcPr>
          <w:p w:rsidR="00DF3EFC" w:rsidRPr="00DF3EFC" w:rsidRDefault="00DF3EFC" w:rsidP="00DF3EFC">
            <w:pPr>
              <w:pStyle w:val="Normal6a"/>
            </w:pPr>
            <w:r w:rsidRPr="00DF3EFC">
              <w:rPr>
                <w:rStyle w:val="Sup"/>
              </w:rPr>
              <w:lastRenderedPageBreak/>
              <w:t>38</w:t>
            </w:r>
            <w:r w:rsidRPr="00DF3EFC">
              <w:t xml:space="preserve"> Europaparlamentets och rådets förordning (EU) nr 909/2014 av den 23 juli 2014 om förbättrad värdepappersavveckling i Europeiska unionen och om värdepapperscentraler </w:t>
            </w:r>
            <w:r w:rsidRPr="00DF3EFC">
              <w:lastRenderedPageBreak/>
              <w:t>samt ändring av direktiv 98/26/EG och 2014/65/EU och förordning (EU) nr 236/2012 (EUT L 257, 28.8.2014, s. 1).</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lastRenderedPageBreak/>
              <w:t>39</w:t>
            </w:r>
            <w:r w:rsidRPr="00DF3EFC">
              <w:t xml:space="preserve"> Europaparlamentets och rådets direktiv 98/26/EG av den 19 maj 1998 om slutgiltig avveckling i system för överföring av betalningar och värdepapper (EGT L 166, 11.6.1998, s. 45).</w:t>
            </w:r>
          </w:p>
        </w:tc>
        <w:tc>
          <w:tcPr>
            <w:tcW w:w="4876" w:type="dxa"/>
          </w:tcPr>
          <w:p w:rsidR="00DF3EFC" w:rsidRPr="00DF3EFC" w:rsidRDefault="00DF3EFC" w:rsidP="00DF3EFC">
            <w:pPr>
              <w:pStyle w:val="Normal6a"/>
            </w:pPr>
            <w:r w:rsidRPr="00DF3EFC">
              <w:rPr>
                <w:rStyle w:val="Sup"/>
              </w:rPr>
              <w:t>39</w:t>
            </w:r>
            <w:r w:rsidRPr="00DF3EFC">
              <w:t xml:space="preserve"> Europaparlamentets och rådets direktiv 98/26/EG av den 19 maj 1998 om slutgiltig avveckling i system för överföring av betalningar och värdepapper (EGT L 166, 11.6.1998, s. 45).</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143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t>Unionens lagstiftning om finansiella tjänster utformades inte med teknik för distribuerade liggare och kryptotillgångar i åtanke</w:t>
            </w:r>
            <w:r w:rsidRPr="00DF3EFC">
              <w:rPr>
                <w:rStyle w:val="Sup"/>
              </w:rPr>
              <w:t>40</w:t>
            </w:r>
            <w:r w:rsidRPr="00DF3EFC">
              <w:t xml:space="preserve">, och det finns bestämmelser i EU:s befintliga lagstiftning om finansiella tjänster som kan förhindra eller begränsa användningen av teknik för distribuerade liggare vid emission, handel och avveckling av kryptotillgångar som klassificeras som finansiella instrument. Det råder för närvarande också brist på marknadsinfrastrukturer som använder teknik för distribuerade liggare och som tillhandahåller handels- och avvecklingstjänster för kryptotillgångar som klassificeras som finansiella instrument. </w:t>
            </w:r>
            <w:r w:rsidRPr="00DF3EFC">
              <w:rPr>
                <w:b/>
                <w:i/>
              </w:rPr>
              <w:t>Utan en sekundärmarknad som kan tillhandahålla likviditet och göra det möjligt för investerare att köpa och sälja sådana tillgångar kommer primärmarknaden för kryptotillgångar som klassificeras som finansiella instrument aldrig att utvidgas på ett hållbart sätt.</w:t>
            </w:r>
          </w:p>
        </w:tc>
        <w:tc>
          <w:tcPr>
            <w:tcW w:w="4876" w:type="dxa"/>
          </w:tcPr>
          <w:p w:rsidR="00DF3EFC" w:rsidRPr="00DF3EFC" w:rsidRDefault="00DF3EFC" w:rsidP="00DF3EFC">
            <w:pPr>
              <w:pStyle w:val="Normal6a"/>
            </w:pPr>
            <w:r w:rsidRPr="00DF3EFC">
              <w:t>(3)</w:t>
            </w:r>
            <w:r w:rsidRPr="00DF3EFC">
              <w:tab/>
              <w:t>Unionens lagstiftning om finansiella tjänster utformades inte med teknik för distribuerade liggare och kryptotillgångar i åtanke</w:t>
            </w:r>
            <w:r w:rsidRPr="00DF3EFC">
              <w:rPr>
                <w:rStyle w:val="Sup"/>
              </w:rPr>
              <w:t>40</w:t>
            </w:r>
            <w:r w:rsidRPr="00DF3EFC">
              <w:t xml:space="preserve">, och det finns bestämmelser i EU:s befintliga lagstiftning om finansiella tjänster som kan förhindra eller begränsa användningen av teknik för distribuerade liggare vid emission, handel och avveckling av kryptotillgångar som klassificeras som finansiella instrument. Det råder för närvarande också brist på marknadsinfrastrukturer som använder teknik för distribuerade liggare och som tillhandahåller handels- och avvecklingstjänster för kryptotillgångar som klassificeras som finansiella instrument. </w:t>
            </w:r>
            <w:r w:rsidRPr="00DF3EFC">
              <w:rPr>
                <w:b/>
                <w:i/>
              </w:rPr>
              <w:t>Utvecklingen av en sekundärmarknad för kryptotillgångar och tokeniserade värdepapper kan medföra många fördelar när det gäller förbättrad effektivitet, transparens och konkurrens i förhållande till handels- och betalningsaktiviteter.</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40</w:t>
            </w:r>
            <w:r w:rsidRPr="00DF3EFC">
              <w:t xml:space="preserve"> Europeiska värdepappers- och </w:t>
            </w:r>
            <w:r w:rsidRPr="00DF3EFC">
              <w:lastRenderedPageBreak/>
              <w:t>marknadsmyndighetens rapport med rådgivning om ”Initial Coin Offerings and Crypto-Assets” (ESMA50-157-1391).</w:t>
            </w:r>
          </w:p>
        </w:tc>
        <w:tc>
          <w:tcPr>
            <w:tcW w:w="4876" w:type="dxa"/>
          </w:tcPr>
          <w:p w:rsidR="00DF3EFC" w:rsidRPr="00DF3EFC" w:rsidRDefault="00DF3EFC" w:rsidP="00DF3EFC">
            <w:pPr>
              <w:pStyle w:val="Normal6a"/>
            </w:pPr>
            <w:r w:rsidRPr="00DF3EFC">
              <w:rPr>
                <w:rStyle w:val="Sup"/>
              </w:rPr>
              <w:lastRenderedPageBreak/>
              <w:t>40</w:t>
            </w:r>
            <w:r w:rsidRPr="00DF3EFC">
              <w:t xml:space="preserve"> Europeiska värdepappers- och </w:t>
            </w:r>
            <w:r w:rsidRPr="00DF3EFC">
              <w:lastRenderedPageBreak/>
              <w:t>marknadsmyndighetens rapport med rådgivning om ”Initial Coin Offerings and Crypto-Assets” (ESMA50-157-1391).</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144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t>Unionens lagstiftning om finansiella tjänster utformades inte med teknik för distribuerade liggare och kryptotillgångar i åtanke</w:t>
            </w:r>
            <w:r w:rsidRPr="00DF3EFC">
              <w:rPr>
                <w:rStyle w:val="Sup"/>
              </w:rPr>
              <w:t>40</w:t>
            </w:r>
            <w:r w:rsidRPr="00DF3EFC">
              <w:t>, och det finns bestämmelser i EU:s befintliga lagstiftning om finansiella tjänster som kan förhindra eller begränsa användningen av teknik för distribuerade liggare vid emission, handel och avveckling av kryptotillgångar som klassificeras som finansiella instrument. Det råder för närvarande också brist på marknadsinfrastrukturer som använder teknik för distribuerade liggare och som tillhandahåller handels- och avvecklingstjänster för kryptotillgångar som klassificeras som finansiella instrument. Utan en sekundärmarknad som kan tillhandahålla likviditet och göra det möjligt för investerare att köpa och sälja sådana tillgångar kommer primärmarknaden för kryptotillgångar som klassificeras som finansiella instrument aldrig att utvidgas på ett hållbart sätt.</w:t>
            </w:r>
          </w:p>
        </w:tc>
        <w:tc>
          <w:tcPr>
            <w:tcW w:w="4876" w:type="dxa"/>
          </w:tcPr>
          <w:p w:rsidR="00DF3EFC" w:rsidRPr="00DF3EFC" w:rsidRDefault="00DF3EFC" w:rsidP="00DF3EFC">
            <w:pPr>
              <w:pStyle w:val="Normal6a"/>
            </w:pPr>
            <w:r w:rsidRPr="00DF3EFC">
              <w:t>(3)</w:t>
            </w:r>
            <w:r w:rsidRPr="00DF3EFC">
              <w:tab/>
              <w:t>Unionens lagstiftning om finansiella tjänster utformades inte med teknik för distribuerade liggare och kryptotillgångar i åtanke</w:t>
            </w:r>
            <w:r w:rsidRPr="00DF3EFC">
              <w:rPr>
                <w:rStyle w:val="Sup"/>
              </w:rPr>
              <w:t>40</w:t>
            </w:r>
            <w:r w:rsidRPr="00DF3EFC">
              <w:t xml:space="preserve">, och det finns bestämmelser i EU:s befintliga lagstiftning om finansiella tjänster som kan förhindra eller begränsa användningen av teknik för distribuerade liggare vid emission, handel och avveckling av kryptotillgångar som klassificeras som finansiella instrument. Det råder för närvarande också brist på </w:t>
            </w:r>
            <w:r w:rsidRPr="00DF3EFC">
              <w:rPr>
                <w:b/>
                <w:i/>
              </w:rPr>
              <w:t>auktoriserade finansiella</w:t>
            </w:r>
            <w:r w:rsidRPr="00DF3EFC">
              <w:t xml:space="preserve"> marknadsinfrastrukturer som använder teknik för distribuerade liggare och som tillhandahåller handels- och avvecklingstjänster för kryptotillgångar som klassificeras som finansiella instrument. Utan en sekundärmarknad som kan tillhandahålla likviditet och göra det möjligt för investerare att köpa och sälja sådana tillgångar kommer primärmarknaden för kryptotillgångar som klassificeras som finansiella instrument aldrig att utvidgas på ett hållbart sätt.</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40</w:t>
            </w:r>
            <w:r w:rsidRPr="00DF3EFC">
              <w:t xml:space="preserve"> Europeiska värdepappers- och marknadsmyndighetens rapport med rådgivning om ”Initial Coin Offerings and Crypto-Assets” (ESMA50-157-1391).</w:t>
            </w:r>
          </w:p>
        </w:tc>
        <w:tc>
          <w:tcPr>
            <w:tcW w:w="4876" w:type="dxa"/>
          </w:tcPr>
          <w:p w:rsidR="00DF3EFC" w:rsidRPr="00DF3EFC" w:rsidRDefault="00DF3EFC" w:rsidP="00DF3EFC">
            <w:pPr>
              <w:pStyle w:val="Normal6a"/>
            </w:pPr>
            <w:r w:rsidRPr="00DF3EFC">
              <w:rPr>
                <w:rStyle w:val="Sup"/>
              </w:rPr>
              <w:t>40</w:t>
            </w:r>
            <w:r w:rsidRPr="00DF3EFC">
              <w:t xml:space="preserve"> Europeiska värdepappers- och marknadsmyndighetens rapport med rådgivning om ”Initial Coin Offerings and Crypto-Assets” (ESMA50-157-1391).</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lastRenderedPageBreak/>
        <w:t>&lt;TitreJust&gt;</w:t>
      </w:r>
      <w:r w:rsidRPr="00DF3EFC">
        <w:t>Motivering</w:t>
      </w:r>
      <w:r w:rsidRPr="00DF3EFC">
        <w:rPr>
          <w:rStyle w:val="HideTWBExt"/>
          <w:i w:val="0"/>
        </w:rPr>
        <w:t>&lt;/TitreJust&gt;</w:t>
      </w:r>
    </w:p>
    <w:p w:rsidR="00DF3EFC" w:rsidRPr="00DF3EFC" w:rsidRDefault="00DF3EFC" w:rsidP="00DF3EFC">
      <w:pPr>
        <w:pStyle w:val="AmJustText"/>
      </w:pPr>
      <w:r w:rsidRPr="00DF3EFC">
        <w:t>Förtydligande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145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(3a)</w:t>
            </w:r>
            <w:r w:rsidRPr="00DF3EFC">
              <w:tab/>
            </w:r>
            <w:r w:rsidRPr="00DF3EFC">
              <w:rPr>
                <w:b/>
                <w:i/>
              </w:rPr>
              <w:t xml:space="preserve">För att uppnå en enhetlig digital finansmarknad i unionen med investeringstokens och tokeniserade tillgångar i allmänhet bör de skillnader som finns mellan medlemsstaternas nationella system tas i beaktande, inbegripet skillnader i införandet av unionsdirektiv, exempelvis direktiv Europaparlamentets och rådets direktiv 2014/65/EU (Mifid II). Enligt Esmas yttrande från januari 2019 om inbjudningar till finansiering och kryptotillgångar är ett av de främsta hindren mot regleringen av kryptotillgångar med investeringsegenskaper på ett enhetligt sätt i hela unionen skillnaderna i införandet av unionsdirektiv i nationell lagstiftning, exempelvis definitionen av ”finansiellt instrument” eller ”överlåtbart värdepapper” eller den juridiska analysen och kraven med avseende på investeringstjänster, aktiviteter och tillhörande tjänster, inbegripet beslag och förvaltning av finansiella instrument på klienters vägnar, eller bokföring för emittenter av investeringstokens. Det är av yttersta betydelse att inleda diskussioner på unionsnivå om harmoniseringen av de nationella systemen för att öka rättssäkerheten och uppfylla målen för kapitalmarknadsunionen samtidigt som uppkomsten av en konkurrenskraftig digital unionsmarknad för tokeniserade </w:t>
            </w:r>
            <w:r w:rsidRPr="00DF3EFC">
              <w:rPr>
                <w:b/>
                <w:i/>
              </w:rPr>
              <w:lastRenderedPageBreak/>
              <w:t>tillgångar i allmänhet möjliggörs.</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Såsom redan har bekräftats i Esmas yttrande om inbjudningar till finansiering och kryptotillgångar hindrar skillnader mellan medlemsstaternas nationella lagar den enhetliga tillämpningen av EU:s finansiella ram, med resultatet att den sömlösa gränsöverskridande verksamheten i samband med kapitalmarknadsunionen riskeras. För att skapa en stark och konkurrenskraftig digital EU-marknad för investeringstokens måste vi möjliggöra eliminering av dessa skillnader så snart som möjligt.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146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3b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(3b)</w:t>
            </w:r>
            <w:r w:rsidRPr="00DF3EFC">
              <w:tab/>
            </w:r>
            <w:r w:rsidRPr="00DF3EFC">
              <w:rPr>
                <w:b/>
                <w:i/>
              </w:rPr>
              <w:t xml:space="preserve">När det gäller DLT-landskapet kan minst följande specifika typer av teknik för distribuerade liggare för närvarande identifieras: (1) blockkedjor, där ändringar av identiteterna hos de användare som för närvarande har rätt att skicka en UTXO (unspent transaction output) som representerar innehav av tillgångar behandlas i buntar (block) som därefter länkas samman genom krypteringsteknik (hashing). (2) samförståndsliggare, där ögonblicksbilder av saldon förknippade med varje användning uppdateras i rundor och (3) synkroniserade bilaterala liggare, där motparter kan uppdatera den delmängd information som direkt avser deras bilaterala verksamhet, eventuellt tillsammans med andra valda parter som också kommer åt dessa register, och göra en del av denna information tillgänglig för en bredare uppsättning användare. Smarta kontrakt är en annan typ av teknik som kan förknippas med distribuerade liggare när de bearbetas över noder i nätverket. Dessa kontrakt är </w:t>
            </w:r>
            <w:r w:rsidRPr="00DF3EFC">
              <w:rPr>
                <w:b/>
                <w:i/>
              </w:rPr>
              <w:lastRenderedPageBreak/>
              <w:t>skrivna som verkställbar kod. Under dessa kontrakt intygar motparterna att respektive tillgångar ska skickas eller tas emot på deras vägnar genom automatiserade förfaranden som behandlas när den uppsättning händelser som preciseras på förhand inträffar antingen inuti liggaren (exempelvis att förvara en användares saldo) eller utanför liggaren (exempelvis priset för en tillgång).</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 föreslås att man kan överväga att inkludera beskrivningen av DLT-typer, hämtad från rapporten från ECB 2017 ”The potential impact of DLTs on securities post-trading harmonisation and on the wider EU financial market integration” från den rådgivande gruppen för marknadsinfrastrukturer för värdepapper och säkerheter (AMI-SeCo)</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147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Paul Tang,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4</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(4)</w:t>
            </w:r>
            <w:r w:rsidRPr="00DF3EFC">
              <w:tab/>
              <w:t xml:space="preserve">Samtidigt finns luckor i lagstiftningen på grund av rättsliga, tekniska och operativa särdrag i samband med användningen av teknik för distribuerade liggare och kryptotillgångar som klassificeras som finansiella instrument. Det finns till exempel inga krav på transparens, tillförlitlighet och säkerhet för de protokoll och smarta kontrakt som ligger till grund för kryptotillgångar och som klassificeras som finansiella instrument. Den underliggande tekniken kan också medföra vissa nya former av cyberrisker som inte hanteras på lämpligt sätt i befintliga regler. Flera ordningar för handel med och efterhandel med kryptotillgångar som kan klassificeras som finansiella instrument har utvecklats i </w:t>
            </w:r>
            <w:r w:rsidRPr="00DF3EFC">
              <w:lastRenderedPageBreak/>
              <w:t xml:space="preserve">unionen, men få är redan i drift eller har begränsad omfattning. Med tanke på denna begränsade erfarenhet när det gäller handel med och efterhandel med transaktioner med kryptovalutor som klassificeras som finansiella instrument skulle </w:t>
            </w:r>
            <w:r w:rsidRPr="00DF3EFC">
              <w:rPr>
                <w:b/>
                <w:i/>
              </w:rPr>
              <w:t>det</w:t>
            </w:r>
            <w:r w:rsidRPr="00DF3EFC">
              <w:t xml:space="preserve"> </w:t>
            </w:r>
            <w:r w:rsidRPr="00DF3EFC">
              <w:rPr>
                <w:b/>
                <w:i/>
              </w:rPr>
              <w:t>för närvarande</w:t>
            </w:r>
            <w:r w:rsidRPr="00DF3EFC">
              <w:t xml:space="preserve"> vara för tidigt att göra betydande ändringar av unionens lagstiftning om finansiella tjänster för att möjliggöra ett fullständigt införande av sådana kryptovalutor och deras underliggande teknik. </w:t>
            </w:r>
            <w:r w:rsidRPr="00DF3EFC">
              <w:rPr>
                <w:b/>
                <w:i/>
              </w:rPr>
              <w:t>Samtidigt begränsas skapandet av finansmarknadsinfrastrukturer för kryptotillgångar som klassificeras som finansiella instrument av vissa krav i unionens lagstiftning om finansiella tjänster som inte är helt anpassade till kryptotillgångar som kan klassificeras som finansiella instrument och till användning av teknik för distribuerade liggare. Exempelvis ger handelsplattformar för kryptotillgångar vanligtvis icke-professionella investerare direkt tillgång, medan traditionella handelsplatser vanligtvis ger tillgång via finansförmedlare.</w:t>
            </w:r>
          </w:p>
        </w:tc>
        <w:tc>
          <w:tcPr>
            <w:tcW w:w="4876" w:type="dxa"/>
          </w:tcPr>
          <w:p w:rsidR="00DF3EFC" w:rsidRPr="00DF3EFC" w:rsidRDefault="00DF3EFC" w:rsidP="00DF3EFC">
            <w:pPr>
              <w:pStyle w:val="Normal6a"/>
            </w:pPr>
            <w:r w:rsidRPr="00DF3EFC">
              <w:lastRenderedPageBreak/>
              <w:t>(4)</w:t>
            </w:r>
            <w:r w:rsidRPr="00DF3EFC">
              <w:tab/>
              <w:t>Samtidigt finns luckor i lagstiftningen på grund av rättsliga, tekniska och operativa särdrag i samband med användningen av teknik för distribuerade liggare och kryptotillgångar som klassificeras som finansiella instrument. Det finns till exempel inga krav på transparens, tillförlitlighet och säkerhet för de protokoll och smarta kontrakt som ligger till grund för kryptotillgångar och som klassificeras som finansiella instrument</w:t>
            </w:r>
            <w:r w:rsidRPr="00DF3EFC">
              <w:rPr>
                <w:b/>
                <w:i/>
              </w:rPr>
              <w:t>, vilket är mycket problematiskt</w:t>
            </w:r>
            <w:r w:rsidRPr="00DF3EFC">
              <w:t xml:space="preserve">. Den underliggande tekniken kan också medföra vissa nya former av cyberrisker som inte hanteras på lämpligt sätt i befintliga regler. Flera ordningar för handel med och efterhandel med kryptotillgångar som kan klassificeras som finansiella </w:t>
            </w:r>
            <w:r w:rsidRPr="00DF3EFC">
              <w:lastRenderedPageBreak/>
              <w:t xml:space="preserve">instrument har utvecklats i unionen, men få är redan i drift eller har begränsad omfattning. </w:t>
            </w:r>
            <w:r w:rsidRPr="00DF3EFC">
              <w:rPr>
                <w:b/>
                <w:i/>
              </w:rPr>
              <w:t>Såsom har belysts av ECB:s rådgivningsgrupper om marknadsinfrastrukturer för värdepapper och säkerheter och för betalningar skulle användningen av DLT-teknik dessutom medföra liknande utmaningar som de som möter lösningar som förlitar sig på konventionell teknik (t.ex. fragmentering och problem med driftskompatibilitet) och skulle samtidigt potentiellt kunna skapa nya (t.ex. när det gäller tokens juridiska giltighet).</w:t>
            </w:r>
            <w:r w:rsidRPr="00DF3EFC">
              <w:t xml:space="preserve"> Med tanke på denna begränsade erfarenhet när det gäller handel med och efterhandel med transaktioner med kryptovalutor som klassificeras som finansiella instrument </w:t>
            </w:r>
            <w:r w:rsidRPr="00DF3EFC">
              <w:rPr>
                <w:b/>
                <w:i/>
              </w:rPr>
              <w:t>samt de höga risker som ECB belyser</w:t>
            </w:r>
            <w:r w:rsidRPr="00DF3EFC">
              <w:t xml:space="preserve"> </w:t>
            </w:r>
            <w:r w:rsidRPr="00DF3EFC">
              <w:rPr>
                <w:b/>
                <w:i/>
              </w:rPr>
              <w:t xml:space="preserve">behövs en mycket försiktig ansats och det </w:t>
            </w:r>
            <w:r w:rsidRPr="00DF3EFC">
              <w:t xml:space="preserve">skulle vara </w:t>
            </w:r>
            <w:r w:rsidRPr="00DF3EFC">
              <w:rPr>
                <w:b/>
                <w:i/>
              </w:rPr>
              <w:t>alldeles</w:t>
            </w:r>
            <w:r w:rsidRPr="00DF3EFC">
              <w:t xml:space="preserve"> för tidigt att göra betydande ändringar av unionens lagstiftning om finansiella tjänster för att möjliggöra ett fullständigt införande av sådana kryptovalutor och deras underliggande teknik.</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148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4</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(4)</w:t>
            </w:r>
            <w:r w:rsidRPr="00DF3EFC">
              <w:tab/>
              <w:t xml:space="preserve">Samtidigt finns luckor i lagstiftningen på grund av rättsliga, tekniska och operativa särdrag i samband med användningen av teknik för distribuerade liggare och kryptotillgångar som klassificeras som finansiella instrument. Det finns till exempel inga krav på transparens, tillförlitlighet och säkerhet för de protokoll och smarta kontrakt som </w:t>
            </w:r>
            <w:r w:rsidRPr="00DF3EFC">
              <w:lastRenderedPageBreak/>
              <w:t>ligger till grund för kryptotillgångar och som klassificeras som finansiella instrument. Den underliggande tekniken kan också medföra vissa nya former av cyberrisker som inte hanteras på lämpligt sätt i befintliga regler. Flera ordningar för handel med och efterhandel med kryptotillgångar som kan klassificeras som finansiella instrument har utvecklats i unionen, men få är redan i drift eller har begränsad omfattning. Med tanke på denna begränsade erfarenhet när det gäller handel med och efterhandel med transaktioner med kryptovalutor som klassificeras som finansiella instrument skulle det för närvarande vara för tidigt att göra betydande ändringar av unionens lagstiftning om finansiella tjänster för att möjliggöra ett fullständigt införande av sådana kryptovalutor och deras underliggande teknik. Samtidigt begränsas skapandet av finansmarknadsinfrastrukturer för kryptotillgångar som klassificeras som finansiella instrument av vissa krav i unionens lagstiftning om finansiella tjänster som inte är helt anpassade till kryptotillgångar som</w:t>
            </w:r>
            <w:r w:rsidRPr="00DF3EFC">
              <w:rPr>
                <w:b/>
                <w:i/>
              </w:rPr>
              <w:t xml:space="preserve"> kan </w:t>
            </w:r>
            <w:r w:rsidRPr="00DF3EFC">
              <w:t>klassificeras som finansiella instrument och till användning av teknik för distribuerade liggare. Exempelvis ger handelsplattformar för kryptotillgångar vanligtvis icke-professionella investerare direkt tillgång, medan traditionella handelsplatser vanligtvis ger tillgång via finansförmedlare.</w:t>
            </w:r>
          </w:p>
        </w:tc>
        <w:tc>
          <w:tcPr>
            <w:tcW w:w="4876" w:type="dxa"/>
          </w:tcPr>
          <w:p w:rsidR="00DF3EFC" w:rsidRPr="00DF3EFC" w:rsidRDefault="00DF3EFC" w:rsidP="00DF3EFC">
            <w:pPr>
              <w:pStyle w:val="Normal6a"/>
            </w:pPr>
            <w:r w:rsidRPr="00DF3EFC">
              <w:lastRenderedPageBreak/>
              <w:t>(4)</w:t>
            </w:r>
            <w:r w:rsidRPr="00DF3EFC">
              <w:tab/>
              <w:t xml:space="preserve">Samtidigt finns luckor i lagstiftningen på grund av rättsliga, tekniska och operativa särdrag i samband med användningen av teknik för distribuerade liggare och kryptotillgångar som klassificeras som finansiella instrument. Det finns till exempel inga krav på transparens, tillförlitlighet och säkerhet för de protokoll och smarta kontrakt som </w:t>
            </w:r>
            <w:r w:rsidRPr="00DF3EFC">
              <w:lastRenderedPageBreak/>
              <w:t>ligger till grund för kryptotillgångar och som klassificeras som finansiella instrument. Den underliggande tekniken kan också medföra vissa nya former av cyberrisker som inte hanteras på lämpligt sätt i befintliga regler. Flera ordningar för handel med och efterhandel med kryptotillgångar som kan klassificeras som finansiella instrument har utvecklats i unionen, men få är redan i drift eller har begränsad omfattning. Med tanke på denna begränsade erfarenhet när det gäller handel med och efterhandel med transaktioner med kryptovalutor som klassificeras som finansiella instrument skulle det för närvarande vara för tidigt att göra betydande ändringar av unionens lagstiftning om finansiella tjänster för att möjliggöra ett fullständigt införande av sådana kryptovalutor och deras underliggande teknik. Samtidigt begränsas skapandet av finansmarknadsinfrastrukturer för kryptotillgångar som klassificeras som finansiella instrument av vissa krav i unionens lagstiftning om finansiella tjänster som inte är helt anpassade till kryptotillgångar som klassificeras som finansiella instrument och till användning av teknik för distribuerade liggare. Exempelvis ger handelsplattformar för kryptotillgångar vanligtvis icke-professionella investerare direkt tillgång, medan traditionella handelsplatser vanligtvis ger tillgång via finansförmedlare.</w:t>
            </w:r>
          </w:p>
        </w:tc>
      </w:tr>
    </w:tbl>
    <w:p w:rsidR="00DF3EFC" w:rsidRPr="00DF3EFC" w:rsidRDefault="00DF3EFC" w:rsidP="00DF3EFC">
      <w:pPr>
        <w:pStyle w:val="AmOrLang"/>
        <w:rPr>
          <w:lang w:val="en-GB"/>
        </w:rPr>
      </w:pPr>
      <w:r w:rsidRPr="00DF3EFC">
        <w:rPr>
          <w:lang w:val="en-GB"/>
        </w:rPr>
        <w:lastRenderedPageBreak/>
        <w:t xml:space="preserve">Or. </w:t>
      </w:r>
      <w:r w:rsidRPr="00DF3EFC">
        <w:rPr>
          <w:rStyle w:val="HideTWBExt"/>
          <w:lang w:val="en-GB"/>
        </w:rPr>
        <w:t>&lt;Original&gt;</w:t>
      </w:r>
      <w:r w:rsidRPr="00DF3EFC">
        <w:rPr>
          <w:rStyle w:val="HideTWBInt"/>
          <w:rFonts w:eastAsiaTheme="majorEastAsia"/>
          <w:lang w:val="en-GB"/>
        </w:rPr>
        <w:t>{EN}</w:t>
      </w:r>
      <w:r w:rsidRPr="00DF3EFC">
        <w:rPr>
          <w:lang w:val="en-GB"/>
        </w:rPr>
        <w:t>en</w:t>
      </w:r>
      <w:r w:rsidRPr="00DF3EFC">
        <w:rPr>
          <w:rStyle w:val="HideTWBExt"/>
          <w:lang w:val="en-GB"/>
        </w:rPr>
        <w:t>&lt;/Original&gt;</w:t>
      </w:r>
    </w:p>
    <w:p w:rsidR="00DF3EFC" w:rsidRPr="00DF3EFC" w:rsidRDefault="00DF3EFC" w:rsidP="00DF3EFC">
      <w:pPr>
        <w:pStyle w:val="AmJustTitle"/>
        <w:rPr>
          <w:lang w:val="en-GB"/>
        </w:rPr>
      </w:pPr>
      <w:r w:rsidRPr="00DF3EFC">
        <w:rPr>
          <w:rStyle w:val="HideTWBExt"/>
          <w:i w:val="0"/>
          <w:lang w:val="en-GB"/>
        </w:rPr>
        <w:t>&lt;TitreJust&gt;</w:t>
      </w:r>
      <w:r w:rsidRPr="00DF3EFC">
        <w:rPr>
          <w:lang w:val="en-GB"/>
        </w:rPr>
        <w:t>Motivering</w:t>
      </w:r>
      <w:r w:rsidRPr="00DF3EFC">
        <w:rPr>
          <w:rStyle w:val="HideTWBExt"/>
          <w:i w:val="0"/>
          <w:lang w:val="en-GB"/>
        </w:rPr>
        <w:t>&lt;/TitreJust&gt;</w:t>
      </w:r>
    </w:p>
    <w:p w:rsidR="00DF3EFC" w:rsidRPr="00DF3EFC" w:rsidRDefault="00DF3EFC" w:rsidP="00DF3EFC">
      <w:pPr>
        <w:pStyle w:val="AmJustText"/>
      </w:pPr>
      <w:r w:rsidRPr="00DF3EFC">
        <w:t>Redaktionell kommentar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149</w:t>
      </w:r>
      <w:r w:rsidRPr="00DF3EFC">
        <w:rPr>
          <w:rStyle w:val="HideTWBExt"/>
          <w:b w:val="0"/>
        </w:rPr>
        <w:t>&lt;/NumAmB&gt;</w:t>
      </w:r>
    </w:p>
    <w:p w:rsidR="00DF3EFC" w:rsidRPr="00DF3EFC" w:rsidRDefault="00DF3EFC" w:rsidP="00DF3EFC">
      <w:pPr>
        <w:pStyle w:val="NormalBold"/>
        <w:rPr>
          <w:lang w:val="en-GB"/>
        </w:rPr>
      </w:pPr>
      <w:r w:rsidRPr="00DF3EFC">
        <w:rPr>
          <w:rStyle w:val="HideTWBExt"/>
          <w:b w:val="0"/>
          <w:lang w:val="en-GB"/>
        </w:rPr>
        <w:t>&lt;RepeatBlock-By&gt;&lt;Members&gt;</w:t>
      </w:r>
      <w:r w:rsidRPr="00DF3EFC">
        <w:rPr>
          <w:lang w:val="en-GB"/>
        </w:rPr>
        <w:t>Jessica Polfjärd, Christophe Hansen</w:t>
      </w:r>
      <w:r w:rsidRPr="00DF3EFC">
        <w:rPr>
          <w:rStyle w:val="HideTWBExt"/>
          <w:b w:val="0"/>
          <w:lang w:val="en-GB"/>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lastRenderedPageBreak/>
        <w:t>&lt;Article&gt;</w:t>
      </w:r>
      <w:r w:rsidRPr="00DF3EFC">
        <w:t>Skäl 4</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(4)</w:t>
            </w:r>
            <w:r w:rsidRPr="00DF3EFC">
              <w:tab/>
              <w:t>Samtidigt finns luckor i lagstiftningen på grund av rättsliga, tekniska och operativa särdrag i samband med användningen av teknik för distribuerade liggare och kryptotillgångar som klassificeras som finansiella instrument. Det finns till exempel inga krav på transparens, tillförlitlighet och säkerhet för de protokoll och smarta kontrakt som ligger till grund för kryptotillgångar och som klassificeras som finansiella instrument. Den underliggande tekniken kan också medföra vissa nya former av cyberrisker som inte hanteras på lämpligt sätt i befintliga regler. Flera ordningar för handel med och efterhandel med kryptotillgångar som kan klassificeras som finansiella instrument har utvecklats i unionen, men få är redan i drift eller har begränsad omfattning. Med tanke på denna begränsade erfarenhet när det gäller handel med och efterhandel med transaktioner med kryptovalutor som klassificeras som finansiella instrument skulle det för närvarande vara för tidigt att göra betydande ändringar av unionens lagstiftning om finansiella tjänster för att möjliggöra ett fullständigt införande av sådana kryptovalutor och deras underliggande teknik. Samtidigt begränsas skapandet av finansmarknadsinfrastrukturer för kryptotillgångar som klassificeras som finansiella instrument av vissa krav i unionens lagstiftning om finansiella tjänster som inte är helt anpassade till kryptotillgångar som kan klassificeras som finansiella instrument och till användning av teknik för distribuerade liggare. Exempelvis ger handelsplattformar för kryptotillgångar vanligtvis icke-professionella investerare direkt tillgång, medan traditionella handelsplatser vanligtvis ger tillgång via finansförmedlare.</w:t>
            </w:r>
          </w:p>
        </w:tc>
        <w:tc>
          <w:tcPr>
            <w:tcW w:w="4876" w:type="dxa"/>
          </w:tcPr>
          <w:p w:rsidR="00DF3EFC" w:rsidRPr="00DF3EFC" w:rsidRDefault="00DF3EFC" w:rsidP="00DF3EFC">
            <w:pPr>
              <w:pStyle w:val="Normal6a"/>
            </w:pPr>
            <w:r w:rsidRPr="00DF3EFC">
              <w:t>(4)</w:t>
            </w:r>
            <w:r w:rsidRPr="00DF3EFC">
              <w:tab/>
              <w:t xml:space="preserve">Samtidigt finns luckor i lagstiftningen på grund av rättsliga, tekniska och operativa särdrag i samband med användningen av teknik för distribuerade liggare och kryptotillgångar som klassificeras som finansiella instrument. Det finns till exempel inga krav på transparens, tillförlitlighet och säkerhet för de protokoll och smarta kontrakt som ligger till grund för kryptotillgångar och som klassificeras som finansiella instrument. Den underliggande tekniken kan också medföra vissa nya former av cyberrisker som inte hanteras på lämpligt sätt i befintliga regler </w:t>
            </w:r>
            <w:r w:rsidRPr="00DF3EFC">
              <w:rPr>
                <w:b/>
                <w:i/>
              </w:rPr>
              <w:t>och metoder</w:t>
            </w:r>
            <w:r w:rsidRPr="00DF3EFC">
              <w:t>. Flera ordningar för handel med och efterhandel med kryptotillgångar som kan klassificeras som finansiella instrument har utvecklats i unionen, men få är redan i drift eller har begränsad omfattning. Med tanke på denna begränsade erfarenhet när det gäller handel med och efterhandel med transaktioner med kryptovalutor som klassificeras som finansiella instrument skulle det för närvarande vara för tidigt att göra betydande ändringar av unionens lagstiftning om finansiella tjänster för att möjliggöra ett fullständigt införande av sådana kryptovalutor och deras underliggande teknik. Samtidigt begränsas skapandet av finansmarknadsinfrastrukturer för kryptotillgångar som klassificeras som finansiella instrument av vissa krav i unionens lagstiftning om finansiella tjänster som inte är helt anpassade till kryptotillgångar som kan klassificeras som finansiella instrument och till användning av teknik för distribuerade liggare. Exempelvis ger handelsplattformar för kryptotillgångar vanligtvis icke-professionella investerare direkt tillgång, medan traditionella handelsplatser vanligtvis ger tillgång via finansförmedlare.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150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Johan Van Overtveldt</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(5)</w:t>
            </w:r>
            <w:r w:rsidRPr="00DF3EFC">
              <w:tab/>
              <w:t>För att möjliggöra utveckling av kryptotillgångar som klassificeras som finansiella instrument</w:t>
            </w:r>
            <w:r w:rsidRPr="00DF3EFC">
              <w:rPr>
                <w:b/>
                <w:i/>
              </w:rPr>
              <w:t xml:space="preserve"> och</w:t>
            </w:r>
            <w:r w:rsidRPr="00DF3EFC">
              <w:t xml:space="preserve">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Pilotordningen bör också göra det möjligt för Europeiska värdepappers- och marknadsmyndigheten (Esma) och de behöriga myndigheterna att få erfarenhet av de möjligheter och specifika risker som skapas genom kryptovalutor som klassificeras som finansiella instrument och av deras underliggande teknik.</w:t>
            </w:r>
          </w:p>
        </w:tc>
        <w:tc>
          <w:tcPr>
            <w:tcW w:w="4876" w:type="dxa"/>
          </w:tcPr>
          <w:p w:rsidR="00DF3EFC" w:rsidRPr="00DF3EFC" w:rsidRDefault="00DF3EFC" w:rsidP="00DF3EFC">
            <w:pPr>
              <w:pStyle w:val="Normal6a"/>
            </w:pPr>
            <w:r w:rsidRPr="00DF3EFC">
              <w:t>(5)</w:t>
            </w:r>
            <w:r w:rsidRPr="00DF3EFC">
              <w:tab/>
              <w:t xml:space="preserve">För att möjliggöra utveckling av kryptotillgångar som klassificeras som finansiella instrument </w:t>
            </w:r>
            <w:r w:rsidRPr="00DF3EFC">
              <w:rPr>
                <w:b/>
                <w:i/>
              </w:rPr>
              <w:t>baserade på</w:t>
            </w:r>
            <w:r w:rsidRPr="00DF3EFC">
              <w:t xml:space="preserve">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w:t>
            </w:r>
            <w:r w:rsidRPr="00DF3EFC">
              <w:rPr>
                <w:b/>
                <w:i/>
              </w:rPr>
              <w:t xml:space="preserve">Inrättandet av pilotordningen bör ske utan att det påverkar uppgifterna och ansvarsområdena för Europeiska centralbanken (ECB) och de nationella centralbankerna i Europeiska centralbankssystemet (ECBS) och ECB, som föreskrivs i fördraget om Europeiska unionens funktionssätt och i stadgarna för Europeiska centralbankssystemet (ECBS) och ECB, för att främja betalningssystemens obehindrade funktion och för att säkerställa effektiva och sunda avvecklings- och betalningssystem inom unionen och med tredjeländer. </w:t>
            </w:r>
            <w:r w:rsidRPr="00DF3EFC">
              <w:t xml:space="preserve">Pilotordningen bör också göra det möjligt för Europeiska </w:t>
            </w:r>
            <w:r w:rsidRPr="00DF3EFC">
              <w:lastRenderedPageBreak/>
              <w:t xml:space="preserve">värdepappers- och marknadsmyndigheten (Esma) och de behöriga myndigheterna att få erfarenhet av de möjligheter och specifika risker som skapas genom kryptovalutor som klassificeras som finansiella instrument och av deras underliggande teknik. </w:t>
            </w:r>
            <w:r w:rsidRPr="00DF3EFC">
              <w:rPr>
                <w:b/>
                <w:i/>
              </w:rPr>
              <w:t>Erfarenheterna av pilotordningen bör därför bidra till att identifiera möjliga praktiska förslag till ett lämpligt regelverk för att göra riktade justeringar av befintlig unionslagstiftning som rör utfärdande, förvaring och förvaltning av tillgångar, handel med och avveckling av finansiella instrument baserade på teknik för distribuerade liggare.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Detta ändringsförslag syftar till att beakta ett förslag som har presenterats i ECB:s yttrande. Med tanke på överlappningen mellan förslaget till förordning om ESCB:s grundläggande uppgifter att främja betalningssystemens obehindrade funktion och för att säkerställa effektiva och sunda avvecklings- och betalningssystem inom unionen och med andra länder bör det anges uttryckligen att förslaget till förordning inte påverkar denna uppgift för ESCB.</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151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(5)</w:t>
            </w:r>
            <w:r w:rsidRPr="00DF3EFC">
              <w:tab/>
              <w:t xml:space="preserve">För att möjliggöra utveckling av kryptotillgångar som klassificeras som finansiella instrument och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distribuerade liggare bör göra det möjligt </w:t>
            </w:r>
            <w:r w:rsidRPr="00DF3EFC">
              <w:lastRenderedPageBreak/>
              <w:t>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Pilotordningen bör också göra det möjligt för Europeiska värdepappers- och marknadsmyndigheten (Esma) och de behöriga myndigheterna att få erfarenhet av de möjligheter och specifika risker som skapas genom kryptovalutor som klassificeras som finansiella instrument och av deras underliggande teknik.</w:t>
            </w:r>
          </w:p>
        </w:tc>
        <w:tc>
          <w:tcPr>
            <w:tcW w:w="4876" w:type="dxa"/>
          </w:tcPr>
          <w:p w:rsidR="00DF3EFC" w:rsidRPr="00DF3EFC" w:rsidRDefault="00DF3EFC" w:rsidP="00DF3EFC">
            <w:pPr>
              <w:pStyle w:val="Normal6a"/>
            </w:pPr>
            <w:r w:rsidRPr="00DF3EFC">
              <w:lastRenderedPageBreak/>
              <w:t>(5)</w:t>
            </w:r>
            <w:r w:rsidRPr="00DF3EFC">
              <w:tab/>
              <w:t xml:space="preserve">För att möjliggöra utveckling av kryptotillgångar som klassificeras som finansiella instrument och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distribuerade liggare bör göra det möjligt </w:t>
            </w:r>
            <w:r w:rsidRPr="00DF3EFC">
              <w:lastRenderedPageBreak/>
              <w:t xml:space="preserve">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w:t>
            </w:r>
            <w:r w:rsidRPr="00DF3EFC">
              <w:rPr>
                <w:b/>
                <w:i/>
              </w:rPr>
              <w:t xml:space="preserve">Pilotordningens främsta bidrag bör vara att testa undvikandet av ”ingripanden” genom värdepapperscentraler vid registreringen av värdepapper, genom att tillåta att de registreras i blockkedjan. En stor del av regelmotiveringen bakom förordning (EU) nr 909/2014 (CSDR) är att säkerställa förtroende när det gäller investerarskydd och marknadsintegritet, och att följa en strategi med en tillförlitlig tredje part. Syftet med pilotordningen bör vara att tillåta att denna strategi definieras om till en förtroendestrategi, genom att hjälpa till att förstå hur nya modeller för blockkedjor eller DLT-baserat förtroende bör byggas upp. </w:t>
            </w:r>
            <w:r w:rsidRPr="00DF3EFC">
              <w:t>Pilotordningen bör också göra det möjligt för Europeiska värdepappers- och marknadsmyndigheten (Esma) och de behöriga myndigheterna att få erfarenhet av de möjligheter och specifika risker som skapas genom kryptovalutor som klassificeras som finansiella instrument och av deras underliggande teknik</w:t>
            </w:r>
            <w:r w:rsidRPr="00DF3EFC">
              <w:rPr>
                <w:b/>
                <w:i/>
              </w:rPr>
              <w:t>, i syfte att identifiera de nödvändiga riktade ändringarna av det befintliga unionsregelverket när det gäller emission, förvaring och service av tillgångar, handel med och avveckling av finansiella instrument baserat på teknik för distribuerade liggare</w:t>
            </w:r>
            <w:r w:rsidRPr="00DF3EFC">
              <w:t>.</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Redaktionell kommentar. Det är vidare lämpligt att uttryckligen nämna att pilotordningen är avgörande för att testa disintermedieringen vid registreringen av värdepapper genom att tillåta att registreringen äger rum på blockkedjorna. Erfarenheterna från DLT-pilotordningen bör ligga till grund för den framtida utvecklingen av lagstiftningen.</w:t>
      </w:r>
    </w:p>
    <w:p w:rsidR="00DF3EFC" w:rsidRPr="00DF3EFC" w:rsidRDefault="00DF3EFC" w:rsidP="00DF3EFC">
      <w:r w:rsidRPr="00DF3EFC">
        <w:rPr>
          <w:rStyle w:val="HideTWBExt"/>
        </w:rPr>
        <w:lastRenderedPageBreak/>
        <w:t>&lt;/AmendB&gt;</w:t>
      </w:r>
    </w:p>
    <w:p w:rsidR="00DF3EFC" w:rsidRPr="00DF3EFC" w:rsidRDefault="00DF3EFC" w:rsidP="00DF3EFC">
      <w:pPr>
        <w:pStyle w:val="AmNumberTabs"/>
        <w:rPr>
          <w:lang w:val="it-IT"/>
        </w:rPr>
      </w:pPr>
      <w:r w:rsidRPr="00DF3EFC">
        <w:rPr>
          <w:rStyle w:val="HideTWBExt"/>
          <w:b w:val="0"/>
          <w:lang w:val="it-IT"/>
        </w:rPr>
        <w:t>&lt;AmendB&gt;</w:t>
      </w:r>
      <w:r w:rsidRPr="00DF3EFC">
        <w:rPr>
          <w:lang w:val="it-IT"/>
        </w:rPr>
        <w:t>Ändringsförslag</w:t>
      </w:r>
      <w:r w:rsidRPr="00DF3EFC">
        <w:rPr>
          <w:lang w:val="it-IT"/>
        </w:rPr>
        <w:tab/>
      </w:r>
      <w:r w:rsidRPr="00DF3EFC">
        <w:rPr>
          <w:lang w:val="it-IT"/>
        </w:rPr>
        <w:tab/>
      </w:r>
      <w:r w:rsidRPr="00DF3EFC">
        <w:rPr>
          <w:rStyle w:val="HideTWBExt"/>
          <w:b w:val="0"/>
          <w:lang w:val="it-IT"/>
        </w:rPr>
        <w:t>&lt;NumAmB&gt;</w:t>
      </w:r>
      <w:r w:rsidRPr="00DF3EFC">
        <w:rPr>
          <w:lang w:val="it-IT"/>
        </w:rPr>
        <w:t>152</w:t>
      </w:r>
      <w:r w:rsidRPr="00DF3EFC">
        <w:rPr>
          <w:rStyle w:val="HideTWBExt"/>
          <w:b w:val="0"/>
          <w:lang w:val="it-IT"/>
        </w:rPr>
        <w:t>&lt;/NumAmB&gt;</w:t>
      </w:r>
    </w:p>
    <w:p w:rsidR="00DF3EFC" w:rsidRPr="00DF3EFC" w:rsidRDefault="00DF3EFC" w:rsidP="00DF3EFC">
      <w:pPr>
        <w:pStyle w:val="NormalBold"/>
        <w:rPr>
          <w:lang w:val="it-IT"/>
        </w:rPr>
      </w:pPr>
      <w:r w:rsidRPr="00DF3EFC">
        <w:rPr>
          <w:rStyle w:val="HideTWBExt"/>
          <w:b w:val="0"/>
          <w:lang w:val="it-IT"/>
        </w:rPr>
        <w:t>&lt;RepeatBlock-By&gt;&lt;Members&gt;</w:t>
      </w:r>
      <w:r w:rsidRPr="00DF3EFC">
        <w:rPr>
          <w:lang w:val="it-IT"/>
        </w:rPr>
        <w:t>Antonio Maria Rinaldi, Francesca Donato, Valentino Grant, Marco Zanni</w:t>
      </w:r>
      <w:r w:rsidRPr="00DF3EFC">
        <w:rPr>
          <w:rStyle w:val="HideTWBExt"/>
          <w:b w:val="0"/>
          <w:lang w:val="it-IT"/>
        </w:rPr>
        <w:t>&lt;/Members&gt;</w:t>
      </w:r>
    </w:p>
    <w:p w:rsidR="00DF3EFC" w:rsidRPr="00DF3EFC" w:rsidRDefault="00DF3EFC" w:rsidP="00DF3EFC">
      <w:pPr>
        <w:pStyle w:val="NormalBold"/>
        <w:rPr>
          <w:lang w:val="it-IT"/>
        </w:rPr>
      </w:pPr>
      <w:r w:rsidRPr="00DF3EFC">
        <w:rPr>
          <w:rStyle w:val="HideTWBExt"/>
          <w:b w:val="0"/>
          <w:lang w:val="it-I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(5)</w:t>
            </w:r>
            <w:r w:rsidRPr="00DF3EFC">
              <w:tab/>
              <w:t>För att möjliggöra utveckling av kryptotillgångar som klassificeras som finansiella instrument och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Pilotordningen bör också göra det möjligt för Europeiska värdepappers- och marknadsmyndigheten (Esma) och de behöriga myndigheterna att få erfarenhet av de möjligheter och specifika risker som skapas genom kryptovalutor som klassificeras som finansiella instrument och av deras underliggande teknik.</w:t>
            </w:r>
          </w:p>
        </w:tc>
        <w:tc>
          <w:tcPr>
            <w:tcW w:w="4876" w:type="dxa"/>
          </w:tcPr>
          <w:p w:rsidR="00DF3EFC" w:rsidRPr="00DF3EFC" w:rsidRDefault="00DF3EFC" w:rsidP="00DF3EFC">
            <w:pPr>
              <w:pStyle w:val="Normal6a"/>
            </w:pPr>
            <w:r w:rsidRPr="00DF3EFC">
              <w:t>(5)</w:t>
            </w:r>
            <w:r w:rsidRPr="00DF3EFC">
              <w:tab/>
              <w:t xml:space="preserve">För att möjliggöra utveckling av kryptotillgångar som klassificeras som finansiella instrument och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w:t>
            </w:r>
            <w:r w:rsidRPr="00DF3EFC">
              <w:rPr>
                <w:b/>
                <w:i/>
              </w:rPr>
              <w:t>Inrättandet av pilotordningen bör inte påverka de behörigheter eller det ansvar för Europeiska centralbanken (ECB) eller de nationella centralbankerna i Europeiska centralbankssystemet (ECBS) som föreskrivs i föredraget om Europeiska unionens funktionssätt och i Europeiska centralbankssystemets och ECB:s stadgar för att främja ett väl fungerande betalningssystem och säkerställa effektiva och tillförlitliga clearing- och betalningssystem i unionen och med andra länder.</w:t>
            </w:r>
            <w:r w:rsidRPr="00DF3EFC">
              <w:t xml:space="preserve"> Pilotordningen bör också göra det möjligt för Europeiska värdepappers- och marknadsmyndigheten (Esma) och de behöriga myndigheterna att få erfarenhet av de möjligheter och specifika risker som skapas genom </w:t>
            </w:r>
            <w:r w:rsidRPr="00DF3EFC">
              <w:lastRenderedPageBreak/>
              <w:t>kryptovalutor som klassificeras som finansiella instrument och av deras underliggande teknik.</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{IT}</w:t>
      </w:r>
      <w:r w:rsidRPr="00DF3EFC">
        <w:t>it</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153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Jonás Fernández, Eero Heinäluoma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(5)</w:t>
            </w:r>
            <w:r w:rsidRPr="00DF3EFC">
              <w:tab/>
              <w:t>För att möjliggöra utveckling av kryptotillgångar som klassificeras som finansiella instrument och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Pilotordningen bör också göra det möjligt för Europeiska värdepappers- och marknadsmyndigheten (Esma) och de behöriga myndigheterna att få erfarenhet av de möjligheter och specifika risker som skapas genom kryptovalutor som klassificeras som finansiella instrument och av deras underliggande teknik.</w:t>
            </w:r>
          </w:p>
        </w:tc>
        <w:tc>
          <w:tcPr>
            <w:tcW w:w="4876" w:type="dxa"/>
          </w:tcPr>
          <w:p w:rsidR="00DF3EFC" w:rsidRPr="00DF3EFC" w:rsidRDefault="00DF3EFC" w:rsidP="00DF3EFC">
            <w:pPr>
              <w:pStyle w:val="Normal6a"/>
            </w:pPr>
            <w:r w:rsidRPr="00DF3EFC">
              <w:t>(5)</w:t>
            </w:r>
            <w:r w:rsidRPr="00DF3EFC">
              <w:tab/>
              <w:t>För att möjliggöra utveckling av kryptotillgångar som klassificeras som finansiella instrument och teknik för distribuerade liggare, samtidigt som en hög nivå av finansiell stabilitet, marknadsintegritet, transparens och investerarskydd bibehålls, vore det lämpligt att inrätta en pilotordning för marknadsinfrastrukturer med teknik för distribuerade liggare.</w:t>
            </w:r>
            <w:r w:rsidRPr="00DF3EFC">
              <w:rPr>
                <w:b/>
                <w:i/>
              </w:rPr>
              <w:t xml:space="preserve"> Inrättandet av pilotordningen bör ske utan att det påverkar uppgifterna och ansvarsområdena för Europeiska centralbanken (ECB) och de nationella centralbankerna i Europeiska centralbankssystemet (ECBS) och ECB, som föreskrivs i fördraget om Europeiska unionens funktionssätt och i stadgarna för Europeiska centralbankssystemet (ECBS) och ECB, för att främja betalningssystemens obehindrade funktion och för att säkerställa effektiva och sunda avvecklings- och betalningssystem inom unionen och med tredjeländer.</w:t>
            </w:r>
            <w:r w:rsidRPr="00DF3EFC">
              <w:t xml:space="preserve"> En pilotordning för marknadsinfrastrukturer med teknik för 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w:t>
            </w:r>
            <w:r w:rsidRPr="00DF3EFC">
              <w:lastRenderedPageBreak/>
              <w:t>handel med och avveckling av transaktioner med kryptotillgångar som klassificeras som finansiella instrument. Pilotordningen bör också göra det möjligt för Europeiska värdepappers- och marknadsmyndigheten (Esma) och de behöriga myndigheterna att få erfarenhet av de möjligheter och specifika risker som skapas genom kryptovalutor som klassificeras som finansiella instrument och av deras underliggande teknik.</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Enligt ECB:s yttrande.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154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(5)</w:t>
            </w:r>
            <w:r w:rsidRPr="00DF3EFC">
              <w:tab/>
              <w:t xml:space="preserve">För att möjliggöra utveckling av kryptotillgångar som klassificeras som finansiella instrument och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w:t>
            </w:r>
            <w:r w:rsidRPr="00DF3EFC">
              <w:lastRenderedPageBreak/>
              <w:t>klassificeras som finansiella instrument. Pilotordningen bör också göra det möjligt för Europeiska värdepappers- och marknadsmyndigheten (Esma) och de behöriga myndigheterna att få erfarenhet av de möjligheter och specifika risker som skapas genom kryptovalutor som klassificeras som finansiella instrument och av deras underliggande teknik.</w:t>
            </w:r>
          </w:p>
        </w:tc>
        <w:tc>
          <w:tcPr>
            <w:tcW w:w="4876" w:type="dxa"/>
          </w:tcPr>
          <w:p w:rsidR="00DF3EFC" w:rsidRPr="00DF3EFC" w:rsidRDefault="00DF3EFC" w:rsidP="00DF3EFC">
            <w:pPr>
              <w:pStyle w:val="Normal6a"/>
            </w:pPr>
            <w:r w:rsidRPr="00DF3EFC">
              <w:lastRenderedPageBreak/>
              <w:t>(5)</w:t>
            </w:r>
            <w:r w:rsidRPr="00DF3EFC">
              <w:tab/>
              <w:t xml:space="preserve">För att möjliggöra utveckling av kryptotillgångar som klassificeras som finansiella instrument och teknik för distribuerade liggare, samtidigt som en hög nivå av finansiell stabilitet, marknadsintegritet, transparens och investerarskydd bibehålls </w:t>
            </w:r>
            <w:r w:rsidRPr="00DF3EFC">
              <w:rPr>
                <w:b/>
                <w:i/>
              </w:rPr>
              <w:t>och regelarbitrage undviks</w:t>
            </w:r>
            <w:r w:rsidRPr="00DF3EFC">
              <w:t xml:space="preserve">, vore det lämpligt att inrätta en pilotordning för </w:t>
            </w:r>
            <w:r w:rsidRPr="00DF3EFC">
              <w:rPr>
                <w:b/>
                <w:i/>
              </w:rPr>
              <w:t>att testa</w:t>
            </w:r>
            <w:r w:rsidRPr="00DF3EFC">
              <w:t xml:space="preserve"> marknadsinfrastrukturer med teknik för distribuerade liggare. En pilotordning för marknadsinfrastrukturer med teknik för 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handel med och avveckling av </w:t>
            </w:r>
            <w:r w:rsidRPr="00DF3EFC">
              <w:lastRenderedPageBreak/>
              <w:t>transaktioner med kryptotillgångar som klassificeras som finansiella instrument</w:t>
            </w:r>
            <w:r w:rsidRPr="00DF3EFC">
              <w:rPr>
                <w:b/>
                <w:i/>
              </w:rPr>
              <w:t>, utan att försvaga några befintliga krav och skyddsåtgärder som tillämpas på traditionella marknadsinfrastrukturer</w:t>
            </w:r>
            <w:r w:rsidRPr="00DF3EFC">
              <w:t>.</w:t>
            </w:r>
            <w:r w:rsidRPr="00DF3EFC">
              <w:rPr>
                <w:b/>
                <w:i/>
              </w:rPr>
              <w:t xml:space="preserve"> Marknadsinfrastrukturer med teknik för distribuerade liggare bör dessutom ha tillfredsställande skyddsåtgärder för att säkerställa ett effektivt skydd av investerare som avser användningen av teknik för distribuerade liggare och definiera tydliga ansvarslinjer och vara ansvarsskyldiga gentemot klienter för förluster på grund av driftsfel.</w:t>
            </w:r>
            <w:r w:rsidRPr="00DF3EFC">
              <w:t xml:space="preserve"> Pilotordningen bör också göra det möjligt för Europeiska värdepappers- och marknadsmyndigheten (Esma) och de behöriga myndigheterna att </w:t>
            </w:r>
            <w:r w:rsidRPr="00DF3EFC">
              <w:rPr>
                <w:b/>
                <w:i/>
              </w:rPr>
              <w:t>dra lärdom och</w:t>
            </w:r>
            <w:r w:rsidRPr="00DF3EFC">
              <w:t xml:space="preserve"> få erfarenhet av de möjligheter och specifika risker som skapas genom kryptovalutor som klassificeras som finansiella instrument och av deras underliggande teknik.</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155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 Christophe Hansen</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(5)</w:t>
            </w:r>
            <w:r w:rsidRPr="00DF3EFC">
              <w:tab/>
              <w:t xml:space="preserve">För att möjliggöra utveckling av kryptotillgångar som klassificeras som finansiella instrument och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distribuerade liggare bör göra det möjligt att tillfälligt undanta sådana </w:t>
            </w:r>
            <w:r w:rsidRPr="00DF3EFC">
              <w:lastRenderedPageBreak/>
              <w:t xml:space="preserve">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Pilotordningen bör också göra det möjligt för Europeiska värdepappers- och marknadsmyndigheten (Esma) och de behöriga myndigheterna att få erfarenhet av de möjligheter och specifika risker som </w:t>
            </w:r>
            <w:r w:rsidRPr="00DF3EFC">
              <w:rPr>
                <w:b/>
                <w:i/>
              </w:rPr>
              <w:t>skapas genom</w:t>
            </w:r>
            <w:r w:rsidRPr="00DF3EFC">
              <w:t xml:space="preserve"> kryptovalutor som klassificeras som finansiella instrument och av deras underliggande teknik.</w:t>
            </w:r>
          </w:p>
        </w:tc>
        <w:tc>
          <w:tcPr>
            <w:tcW w:w="4876" w:type="dxa"/>
          </w:tcPr>
          <w:p w:rsidR="00DF3EFC" w:rsidRPr="00DF3EFC" w:rsidRDefault="00DF3EFC" w:rsidP="00DF3EFC">
            <w:pPr>
              <w:pStyle w:val="Normal6a"/>
            </w:pPr>
            <w:r w:rsidRPr="00DF3EFC">
              <w:lastRenderedPageBreak/>
              <w:t>(5)</w:t>
            </w:r>
            <w:r w:rsidRPr="00DF3EFC">
              <w:tab/>
              <w:t xml:space="preserve">För att möjliggöra utveckling av kryptotillgångar som klassificeras som finansiella instrument och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distribuerade liggare bör göra det möjligt att tillfälligt undanta sådana </w:t>
            </w:r>
            <w:r w:rsidRPr="00DF3EFC">
              <w:lastRenderedPageBreak/>
              <w:t xml:space="preserve">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Pilotordningen bör också göra det möjligt för Europeiska värdepappers- och marknadsmyndigheten (Esma) och de behöriga myndigheterna att få erfarenhet av de möjligheter och specifika risker som </w:t>
            </w:r>
            <w:r w:rsidRPr="00DF3EFC">
              <w:rPr>
                <w:b/>
                <w:i/>
              </w:rPr>
              <w:t>hör samman med</w:t>
            </w:r>
            <w:r w:rsidRPr="00DF3EFC">
              <w:t xml:space="preserve"> kryptovalutor som klassificeras som finansiella instrument och av deras underliggande teknik. </w:t>
            </w:r>
            <w:r w:rsidRPr="00DF3EFC">
              <w:rPr>
                <w:b/>
                <w:i/>
              </w:rPr>
              <w:t>Erfarenheterna av pilotordningen syftar till att identifiera möjliga praktiska förslag till ett lämpligt regelverk för att göra riktade justeringar av befintlig unionslagstiftning som reglerar utfärdande, förvaring och förvaltning av tillgångar, handel med och avveckling av finansiella instrument baserat på teknik för distribuerade liggare.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156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(5)</w:t>
            </w:r>
            <w:r w:rsidRPr="00DF3EFC">
              <w:tab/>
              <w:t xml:space="preserve">För att möjliggöra utveckling av kryptotillgångar som klassificeras som finansiella instrument och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w:t>
            </w:r>
            <w:r w:rsidRPr="00DF3EFC">
              <w:lastRenderedPageBreak/>
              <w:t>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Pilotordningen bör också göra det möjligt för Europeiska värdepappers- och marknadsmyndigheten (Esma) och de behöriga myndigheterna att få erfarenhet av de möjligheter och specifika risker som skapas genom kryptovalutor som klassificeras som finansiella instrument och av deras underliggande teknik.</w:t>
            </w:r>
          </w:p>
        </w:tc>
        <w:tc>
          <w:tcPr>
            <w:tcW w:w="4876" w:type="dxa"/>
          </w:tcPr>
          <w:p w:rsidR="00DF3EFC" w:rsidRPr="00DF3EFC" w:rsidRDefault="00DF3EFC" w:rsidP="00DF3EFC">
            <w:pPr>
              <w:pStyle w:val="Normal6a"/>
            </w:pPr>
            <w:r w:rsidRPr="00DF3EFC">
              <w:lastRenderedPageBreak/>
              <w:t>(5)</w:t>
            </w:r>
            <w:r w:rsidRPr="00DF3EFC">
              <w:tab/>
              <w:t xml:space="preserve">För att möjliggöra utveckling av kryptotillgångar som klassificeras som finansiella instrument och teknik för distribuerade liggare, samtidigt som en hög nivå av finansiell stabilitet, marknadsintegritet, transparens och investerarskydd bibehålls, vore det lämpligt att inrätta en pilotordning för marknadsinfrastrukturer med teknik för distribuerade liggare. En pilotordning för marknadsinfrastrukturer med teknik för </w:t>
            </w:r>
            <w:r w:rsidRPr="00DF3EFC">
              <w:lastRenderedPageBreak/>
              <w:t xml:space="preserve">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Pilotordningen bör också göra det möjligt för Europeiska värdepappers- och marknadsmyndigheten (Esma) och de behöriga myndigheterna att få erfarenhet av de möjligheter och specifika risker som skapas genom kryptovalutor som klassificeras som finansiella instrument och av deras underliggande teknik. </w:t>
            </w:r>
            <w:r w:rsidRPr="00DF3EFC">
              <w:rPr>
                <w:b/>
                <w:i/>
              </w:rPr>
              <w:t>Samtidigt bör pilotordningen endast införa riktade justeringar av befintlig unionslagstiftning, utan att leda till en grundläggande översyn av separationen av funktionerna vid och efter handel och landskapet för finansmarknadsinfrastrukturer.</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med teknik för distribuerade liggare bör inte fungera som prejudikat för en mer grundläggande översyn av Mifid/R-ramen och CSD-förordningen, främst när det gäller kategoriseringen av finansmarknadsinfrastrukturer, Att länka pilotordningen till organiserade handelsplattformar och systematiska internhandlare bör inte eftersträvas.</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157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Paul Tang, Jonás Fernández,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(5)</w:t>
            </w:r>
            <w:r w:rsidRPr="00DF3EFC">
              <w:tab/>
              <w:t xml:space="preserve">För att möjliggöra utveckling av kryptotillgångar som klassificeras som finansiella instrument och teknik för distribuerade liggare, samtidigt som en hög </w:t>
            </w:r>
            <w:r w:rsidRPr="00DF3EFC">
              <w:lastRenderedPageBreak/>
              <w:t xml:space="preserve">nivå av finansiell stabilitet, marknadsintegritet, transparens </w:t>
            </w:r>
            <w:r w:rsidRPr="00DF3EFC">
              <w:rPr>
                <w:b/>
                <w:i/>
              </w:rPr>
              <w:t>och</w:t>
            </w:r>
            <w:r w:rsidRPr="00DF3EFC">
              <w:t xml:space="preserve"> investerarskydd bibehålls, vore det lämpligt att inrätta en pilotordning för marknadsinfrastrukturer med teknik för distribuerade liggare. En pilotordning för marknadsinfrastrukturer med teknik för 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Pilotordningen bör också göra det möjligt för Europeiska värdepappers- och marknadsmyndigheten (Esma) och de behöriga myndigheterna att få erfarenhet av de möjligheter och specifika risker som skapas genom kryptovalutor som klassificeras som finansiella instrument och av deras underliggande teknik.</w:t>
            </w:r>
          </w:p>
        </w:tc>
        <w:tc>
          <w:tcPr>
            <w:tcW w:w="4876" w:type="dxa"/>
          </w:tcPr>
          <w:p w:rsidR="00DF3EFC" w:rsidRPr="00DF3EFC" w:rsidRDefault="00DF3EFC" w:rsidP="00DF3EFC">
            <w:pPr>
              <w:pStyle w:val="Normal6a"/>
            </w:pPr>
            <w:r w:rsidRPr="00DF3EFC">
              <w:lastRenderedPageBreak/>
              <w:t>(5)</w:t>
            </w:r>
            <w:r w:rsidRPr="00DF3EFC">
              <w:tab/>
              <w:t xml:space="preserve">För att möjliggöra utveckling av kryptotillgångar som klassificeras som finansiella instrument och teknik för distribuerade liggare, samtidigt som en hög </w:t>
            </w:r>
            <w:r w:rsidRPr="00DF3EFC">
              <w:lastRenderedPageBreak/>
              <w:t>nivå av finansiell stabilitet, marknadsintegritet, transparens</w:t>
            </w:r>
            <w:r w:rsidRPr="00DF3EFC">
              <w:rPr>
                <w:b/>
                <w:i/>
              </w:rPr>
              <w:t>,</w:t>
            </w:r>
            <w:r w:rsidRPr="00DF3EFC">
              <w:t xml:space="preserve"> investerarskydd </w:t>
            </w:r>
            <w:r w:rsidRPr="00DF3EFC">
              <w:rPr>
                <w:b/>
                <w:i/>
              </w:rPr>
              <w:t>och en låg energiförbrukning</w:t>
            </w:r>
            <w:r w:rsidRPr="00DF3EFC">
              <w:t xml:space="preserve"> bibehålls, vore det lämpligt att inrätta en pilotordning för marknadsinfrastrukturer med teknik för distribuerade liggare. En pilotordning för marknadsinfrastrukturer med teknik för distribuerade liggare bör göra det möjligt att tillfälligt undanta sådana marknadsinfrastrukturer med teknik för distribuerade liggare från vissa särskilda krav enligt unionslagstiftningen om finansiella tjänster som annars skulle kunna hindra dem från att utveckla lösningar för handel med och avveckling av transaktioner med kryptotillgångar som klassificeras som finansiella instrument. Pilotordningen bör också göra det möjligt för Europeiska värdepappers- och marknadsmyndigheten (Esma) och de behöriga myndigheterna att få erfarenhet av de möjligheter och specifika risker som skapas genom kryptovalutor som klassificeras som finansiella instrument och av deras underliggande teknik</w:t>
            </w:r>
            <w:r w:rsidRPr="00DF3EFC">
              <w:rPr>
                <w:b/>
                <w:i/>
              </w:rPr>
              <w:t>, som bör kännetecknas av en låg energiförbrukning</w:t>
            </w:r>
            <w:r w:rsidRPr="00DF3EFC">
              <w:t>.</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158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Markus Ferber</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5a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(5a)</w:t>
            </w:r>
            <w:r w:rsidRPr="00DF3EFC">
              <w:tab/>
            </w:r>
            <w:r w:rsidRPr="00DF3EFC">
              <w:rPr>
                <w:b/>
                <w:i/>
              </w:rPr>
              <w:t>Pilotordningen för marknadsinfrastruktur baserad p teknik för distribuerade ligger bör inte leda till att det skapas regelarbitrage och kryphål. Den allmänna principen med ”samma aktivitet, samma risk, samma regler” bör därför tillämpas.</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159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6</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(6)</w:t>
            </w:r>
            <w:r w:rsidRPr="00DF3EFC">
              <w:tab/>
              <w:t>För att uppnå detta mål bör en ny unionsstatus för marknadsinfrastrukturer med teknik för distribuerade liggare skapas. Denna status för marknadsinfrastrukturer med teknik för distribuerade liggare bör vara frivillig och inte hindra finansmarknadsinfrastrukturer, såsom handelsplatser, värdepapperscentraler och centrala motparter från att utveckla handels- och efterhandelstjänster och handelsverksamhet för kryptotillgångar som klassificeras som finansiella instrument eller som baseras på teknik för distribuerade liggare, enligt unionens befintliga lagstiftning om finansiella tjänster.</w:t>
            </w:r>
          </w:p>
        </w:tc>
        <w:tc>
          <w:tcPr>
            <w:tcW w:w="4876" w:type="dxa"/>
          </w:tcPr>
          <w:p w:rsidR="00DF3EFC" w:rsidRPr="00DF3EFC" w:rsidRDefault="00DF3EFC" w:rsidP="00DF3EFC">
            <w:pPr>
              <w:pStyle w:val="Normal6a"/>
            </w:pPr>
            <w:r w:rsidRPr="00DF3EFC">
              <w:t>(6)</w:t>
            </w:r>
            <w:r w:rsidRPr="00DF3EFC">
              <w:tab/>
              <w:t xml:space="preserve">För att uppnå detta mål bör en ny unionsstatus för marknadsinfrastrukturer med teknik för distribuerade liggare skapas </w:t>
            </w:r>
            <w:r w:rsidRPr="00DF3EFC">
              <w:rPr>
                <w:b/>
                <w:i/>
              </w:rPr>
              <w:t>för att säkerställa att unionen kan behålla sin konkurrenskraftiga tätposition när det gäller token</w:t>
            </w:r>
            <w:r w:rsidR="0053605E">
              <w:rPr>
                <w:b/>
                <w:i/>
              </w:rPr>
              <w:t>is</w:t>
            </w:r>
            <w:r w:rsidRPr="00DF3EFC">
              <w:rPr>
                <w:b/>
                <w:i/>
              </w:rPr>
              <w:t>erade tillgångar och bidra till utveckling av en sekundärmarknad för dessa tillgångar</w:t>
            </w:r>
            <w:r w:rsidRPr="00DF3EFC">
              <w:t>. Denna status för marknadsinfrastrukturer med teknik för distribuerade liggare bör vara frivillig och inte hindra finansmarknadsinfrastrukturer, såsom handelsplatser, värdepapperscentraler och centrala motparter från att utveckla handels- och efterhandelstjänster och handelsverksamhet för kryptotillgångar som klassificeras som finansiella instrument eller som baseras på teknik för distribuerade liggare, enligt unionens befintliga lagstiftning om finansiella tjänster.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 är viktigt att betona att EU måste behålla sin tätposition i en ny global DLT-baserad ekonomi som möjliggör stordriftsfördelar och effektiviseringar på marknaderna för tokeniserade tillgångar.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160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Jonás Fernández, Eero Heinäluoma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6a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lastRenderedPageBreak/>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(6a)</w:t>
            </w:r>
            <w:r w:rsidRPr="00DF3EFC">
              <w:tab/>
            </w:r>
            <w:r w:rsidRPr="00DF3EFC">
              <w:rPr>
                <w:b/>
                <w:i/>
              </w:rPr>
              <w:t>När värdepapperscentraler som drivs av medlemmar i ESCB, av medlemsstaters nationella myndigheter som utför liknande funktioner eller av andra offentliga organ som har fått i uppdrag att förvalta eller som ingriper i förvaltningen av den offentliga skuldsättningen i unionen, driver ett avvecklingssystem för värdepapper baserat på teknik för distribuerade liggare bör de inte vara skyldiga att söka specifika undantag eller tillstånd från en behörig myndighet eftersom sådana värdepapperscentraler inte är skyldiga att rapportera till behöriga myndigheter eller uppfylla deras beslut, och är föremål för en begränsad uppsättning krav enligt förordning (EU) nr 909/2014, i enlighet med artikel 1.4 i denna förordning.</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Enligt ECB:s yttrande.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161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Johan Van Overtveldt</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6a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(6a)</w:t>
            </w:r>
            <w:r w:rsidRPr="00DF3EFC">
              <w:tab/>
            </w:r>
            <w:r w:rsidRPr="00DF3EFC">
              <w:rPr>
                <w:b/>
                <w:i/>
              </w:rPr>
              <w:t xml:space="preserve">När värdepapperscentraler som drivs av medlemmar i ESCB, av medlemsstaters nationella myndigheter som utför liknande funktioner eller av andra offentliga organ som har fått i uppdrag att förvalta eller ingriper i förvaltningen av den offentliga skuldsättningen i unionen, driver ett avvecklingssystem för värdepapper baserat på teknik för distribuerade liggare bör de inte vara skyldiga att söka specifika </w:t>
            </w:r>
            <w:r w:rsidRPr="00DF3EFC">
              <w:rPr>
                <w:b/>
                <w:i/>
              </w:rPr>
              <w:lastRenderedPageBreak/>
              <w:t>undantag eller tillstånd från en behörig myndighet eftersom sådana värdepapperscentraler inte är skyldiga att rapportera till behöriga myndigheter eller uppfylla deras beslut, och är föremål för en begränsad uppsättning krav enligt förordning (EU) nr 909/2014, i enlighet med artikel 1.4 i denna förordning.</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Detta ändringsförslag syftar till att beakta ett förslag som har presenterats i ECB:s yttrande. För rättssäkerhetens skull föreslår ECB att det uttryckligen ska anges att värdepapperscentraler som drivs av centralbanker inom ESCB, som driver ett avvecklingssystem för värdepapper baserat på teknik för distribuerade liggare är undantagna från bestämmelserna i förslaget till förordning avseende processen att bevilja undantag och dra tillbaka tillstånd.</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162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7</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(7)</w:t>
            </w:r>
            <w:r w:rsidRPr="00DF3EFC">
              <w:tab/>
              <w:t>En marknadsinfrastruktur med teknik för distribuerade liggare bör antingen definieras som en multilateral handelsplattform med teknik för distribuerade liggare (DLT MTF-plattform) eller ett värdepappersavvecklingssystem med teknik för distribuerade liggare.</w:t>
            </w:r>
          </w:p>
        </w:tc>
        <w:tc>
          <w:tcPr>
            <w:tcW w:w="4876" w:type="dxa"/>
          </w:tcPr>
          <w:p w:rsidR="00DF3EFC" w:rsidRPr="00DF3EFC" w:rsidRDefault="00DF3EFC" w:rsidP="00DF3EFC">
            <w:pPr>
              <w:pStyle w:val="Normal6a"/>
            </w:pPr>
            <w:r w:rsidRPr="00DF3EFC">
              <w:t>(7)</w:t>
            </w:r>
            <w:r w:rsidRPr="00DF3EFC">
              <w:tab/>
              <w:t xml:space="preserve">En marknadsinfrastruktur med teknik för distribuerade liggare bör antingen definieras som en multilateral handelsplattform med teknik för distribuerade liggare (DLT MTF-plattform) eller ett värdepappersavvecklingssystem med teknik för distribuerade liggare. </w:t>
            </w:r>
            <w:r w:rsidRPr="00DF3EFC">
              <w:rPr>
                <w:b/>
                <w:i/>
              </w:rPr>
              <w:t>Dessa DLT-marknadsinfrastrukturer bör kunna samarbeta med andra marknadsdeltagare för att finna innovativa lösningar baserat på teknik för distribuerade liggare för varje segment i värdekedjan för de finansiella tjänsterna.</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bör ge utrymme för marknadsdeltagare som kanske inte vill bli DLT-</w:t>
      </w:r>
      <w:r w:rsidRPr="00DF3EFC">
        <w:lastRenderedPageBreak/>
        <w:t>marknadsinfrastrukturer själva, men som vill ansluta sig genom att samarbeta med DLT-marknadsinfrastrukturer, för att testa nya modeller för att lagra information på blockkedjan.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163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(8)</w:t>
            </w:r>
            <w:r w:rsidRPr="00DF3EFC">
              <w:tab/>
              <w:t xml:space="preserve">En DLT-MTF-plattform bör vara en multilateral handelsplattform som drivs av ett värdepappersföretag eller en marknadsaktör som driver verksamheten eller en reglerad marknad och kanske själva den reglerade marknaden, auktoriserad enligt direktiv 2014/65/EU (direktivet om marknader för finansiella instrument, Mifid II), och som har fått ett särskilt tillstånd enligt denna förordning. En </w:t>
            </w:r>
            <w:r w:rsidRPr="00DF3EFC">
              <w:rPr>
                <w:b/>
                <w:i/>
              </w:rPr>
              <w:t>sådan</w:t>
            </w:r>
            <w:r w:rsidRPr="00DF3EFC">
              <w:t xml:space="preserve"> DLT-MTF-plattform bör omfattas av alla krav som är tillämpliga på en multilateral handelsplattform inom ramen för direktiv 2014/65/EU (direktivet om marknader för finansiella instrument, Mifid II), Europaparlamentets och rådets förordning (EU) nr 600/2014 (förordningen om marknader för finansiella instrument, Mifir)</w:t>
            </w:r>
            <w:r w:rsidRPr="00DF3EFC">
              <w:rPr>
                <w:rStyle w:val="Sup"/>
              </w:rPr>
              <w:t>41</w:t>
            </w:r>
            <w:r w:rsidRPr="00DF3EFC">
              <w:t xml:space="preserve"> eller annan</w:t>
            </w:r>
            <w:r w:rsidRPr="00DF3EFC">
              <w:rPr>
                <w:b/>
                <w:i/>
              </w:rPr>
              <w:t xml:space="preserve"> EU-lagstiftning </w:t>
            </w:r>
            <w:r w:rsidRPr="00DF3EFC">
              <w:t>om finansiella tjänster, utom om</w:t>
            </w:r>
            <w:r w:rsidRPr="00DF3EFC">
              <w:rPr>
                <w:b/>
                <w:i/>
              </w:rPr>
              <w:t xml:space="preserve"> den</w:t>
            </w:r>
            <w:r w:rsidRPr="00DF3EFC">
              <w:t xml:space="preserve"> har beviljats ett eller flera undantag av sin nationella behöriga myndighet i enlighet med denna förordning och Europaparlamentets och rådets direktiv (EU) .../... av den…</w:t>
            </w:r>
            <w:r w:rsidRPr="00DF3EFC">
              <w:rPr>
                <w:rStyle w:val="Sup"/>
              </w:rPr>
              <w:t>42</w:t>
            </w:r>
            <w:r w:rsidRPr="00DF3EFC">
              <w:t>.</w:t>
            </w:r>
          </w:p>
        </w:tc>
        <w:tc>
          <w:tcPr>
            <w:tcW w:w="4876" w:type="dxa"/>
          </w:tcPr>
          <w:p w:rsidR="00DF3EFC" w:rsidRPr="00DF3EFC" w:rsidRDefault="00DF3EFC" w:rsidP="00DF3EFC">
            <w:pPr>
              <w:pStyle w:val="Normal6a"/>
            </w:pPr>
            <w:r w:rsidRPr="00DF3EFC">
              <w:t>(8)</w:t>
            </w:r>
            <w:r w:rsidRPr="00DF3EFC">
              <w:tab/>
              <w:t xml:space="preserve">En DLT-MTF-plattform bör vara en multilateral handelsplattform som drivs av ett värdepappersföretag eller en marknadsaktör som driver verksamheten eller en reglerad marknad och kanske själva den reglerade marknaden, auktoriserad enligt direktiv 2014/65/EU (direktivet om marknader för finansiella instrument, Mifid II), och som har fått ett särskilt tillstånd enligt denna förordning. En DLT-MTF-plattform </w:t>
            </w:r>
            <w:r w:rsidRPr="00DF3EFC">
              <w:rPr>
                <w:b/>
                <w:i/>
              </w:rPr>
              <w:t>och dess operatör</w:t>
            </w:r>
            <w:r w:rsidRPr="00DF3EFC">
              <w:t xml:space="preserve"> bör omfattas av alla krav som är tillämpliga på en multilateral handelsplattform </w:t>
            </w:r>
            <w:r w:rsidRPr="00DF3EFC">
              <w:rPr>
                <w:b/>
                <w:i/>
              </w:rPr>
              <w:t>och dennes operatör</w:t>
            </w:r>
            <w:r w:rsidRPr="00DF3EFC">
              <w:t xml:space="preserve"> inom ramen för direktiv 2014/65/EU (direktivet om marknader för finansiella instrument, Mifid II), Europaparlamentets och rådets förordning (EU) nr 600/2014 (förordningen om marknader för finansiella instrument, Mifir)</w:t>
            </w:r>
            <w:r w:rsidRPr="00DF3EFC">
              <w:rPr>
                <w:rStyle w:val="Sup"/>
              </w:rPr>
              <w:t>41</w:t>
            </w:r>
            <w:r w:rsidRPr="00DF3EFC">
              <w:t xml:space="preserve"> eller annan </w:t>
            </w:r>
            <w:r w:rsidRPr="00DF3EFC">
              <w:rPr>
                <w:b/>
                <w:i/>
              </w:rPr>
              <w:t xml:space="preserve">tillämplig unionslagstiftning </w:t>
            </w:r>
            <w:r w:rsidRPr="00DF3EFC">
              <w:t xml:space="preserve">om finansiella tjänster, utom om </w:t>
            </w:r>
            <w:r w:rsidRPr="00DF3EFC">
              <w:rPr>
                <w:b/>
                <w:i/>
              </w:rPr>
              <w:t>DLT-MTF-plattformen</w:t>
            </w:r>
            <w:r w:rsidRPr="00DF3EFC">
              <w:t xml:space="preserve"> har beviljats ett eller flera undantag av sin nationella behöriga myndighet i enlighet med denna förordning och Europaparlamentets och rådets direktiv (EU) .../... av den…</w:t>
            </w:r>
            <w:r w:rsidRPr="00DF3EFC">
              <w:rPr>
                <w:rStyle w:val="Sup"/>
              </w:rPr>
              <w:t>42</w:t>
            </w:r>
            <w:r w:rsidRPr="00DF3EFC">
              <w:t xml:space="preserve">. </w:t>
            </w:r>
            <w:r w:rsidRPr="00DF3EFC">
              <w:rPr>
                <w:b/>
                <w:i/>
              </w:rPr>
              <w:t xml:space="preserve">Nya marknadsdeltagare eller reglerade enheter, exempelvis värdepappersföretag eller kreditinstitut, som vill driva en DLT-MTF-plattform enligt denna förordning bör ha rätt att följa ett enstegsförfarande för ansökan genom att ansöka till sin nationella behöriga myndighet som ska vara auktoriserad enligt direktiv 2014/65/EU(Mifid II) och samtidigt uppge </w:t>
            </w:r>
            <w:r w:rsidRPr="00DF3EFC">
              <w:rPr>
                <w:b/>
                <w:i/>
              </w:rPr>
              <w:lastRenderedPageBreak/>
              <w:t>eventuella undantag som de vill ha beviljade, i enlighet med denna förordning och med Europaparlamentet och rådets direktiv (EU) .../...</w:t>
            </w:r>
          </w:p>
        </w:tc>
      </w:tr>
      <w:tr w:rsidR="00DF3EFC" w:rsidRPr="00DF3EFC" w:rsidTr="00DF3EFC">
        <w:trPr>
          <w:jc w:val="center"/>
        </w:trPr>
        <w:tc>
          <w:tcPr>
            <w:tcW w:w="4876" w:type="dxa"/>
          </w:tcPr>
          <w:p w:rsidR="00DF3EFC" w:rsidRPr="00DF3EFC" w:rsidRDefault="00DF3EFC" w:rsidP="00DF3EFC">
            <w:pPr>
              <w:pStyle w:val="Normal6a"/>
            </w:pPr>
            <w:r w:rsidRPr="00DF3EFC">
              <w:lastRenderedPageBreak/>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41</w:t>
            </w:r>
            <w:r w:rsidRPr="00DF3EFC">
              <w:t xml:space="preserve"> Europaparlamentets och rådets förordning (EU) nr 600/2014 av den 15 maj 2014 om marknader för finansiella instrument och om ändring av förordning (EU) nr 648/2012 (EUT L 173, 12.6.2014, s. 84).</w:t>
            </w:r>
          </w:p>
        </w:tc>
        <w:tc>
          <w:tcPr>
            <w:tcW w:w="4876" w:type="dxa"/>
          </w:tcPr>
          <w:p w:rsidR="00DF3EFC" w:rsidRPr="00DF3EFC" w:rsidRDefault="00DF3EFC" w:rsidP="00DF3EFC">
            <w:pPr>
              <w:pStyle w:val="Normal6a"/>
            </w:pPr>
            <w:r w:rsidRPr="00DF3EFC">
              <w:rPr>
                <w:rStyle w:val="Sup"/>
              </w:rPr>
              <w:t>41</w:t>
            </w:r>
            <w:r w:rsidRPr="00DF3EFC">
              <w:t xml:space="preserve"> Europaparlamentets och rådets förordning (EU) nr 600/2014 av den 15 maj 2014 om marknader för finansiella instrument och om ändring av förordning (EU) nr 648/2012 (EUT L 173, 12.6.2014, s. 84).</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42</w:t>
            </w:r>
            <w:r w:rsidRPr="00DF3EFC">
              <w:t xml:space="preserve"> Förslag till Europaparlamentets och rådets direktiv om ändring av direktiven 2006/43/EG, 2009/65/EG, 2009/138/EU, 2011/61/EU, EU/2013/36, 2014/65/EU, (EU) 2015/2366 och EU/2016/2341 – COM (2020) 596.</w:t>
            </w:r>
          </w:p>
        </w:tc>
        <w:tc>
          <w:tcPr>
            <w:tcW w:w="4876" w:type="dxa"/>
          </w:tcPr>
          <w:p w:rsidR="00DF3EFC" w:rsidRPr="00DF3EFC" w:rsidRDefault="00DF3EFC" w:rsidP="00DF3EFC">
            <w:pPr>
              <w:pStyle w:val="Normal6a"/>
            </w:pPr>
            <w:r w:rsidRPr="00DF3EFC">
              <w:rPr>
                <w:rStyle w:val="Sup"/>
              </w:rPr>
              <w:t>42</w:t>
            </w:r>
            <w:r w:rsidRPr="00DF3EFC">
              <w:t xml:space="preserve"> Förslag till Europaparlamentets och rådets direktiv om ändring av direktiven 2006/43/EG, 2009/65/EG, 2009/138/EU, 2011/61/EU, EU/2013/36, 2014/65/EU, (EU) 2015/2366 och EU/2016/2341 – COM (2020) 596.</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Vissa krav är tillämpliga på operatören av marknadsinfrastrukturen. Det är dessutom av yttersta vikt att föreskriva ett auktoriseringsförfarande i ett steg för nya deltagare som vill delta i pilotordningen genom att bli en DLT-MTF-plattform. Målet är att undvika ett resurs- och tidskrävande dubbelt auktoriseringsförfarande som skulle utgöra en stor börda för en ny marknadsdeltagare.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164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(8)</w:t>
            </w:r>
            <w:r w:rsidRPr="00DF3EFC">
              <w:tab/>
              <w:t xml:space="preserve">En DLT-MTF-plattform bör vara en multilateral handelsplattform som drivs av ett värdepappersföretag eller en marknadsaktör som driver verksamheten eller en reglerad marknad och kanske själva den reglerade marknaden, auktoriserad enligt direktiv 2014/65/EU (direktivet om marknader för finansiella instrument, Mifid II), och som har fått ett </w:t>
            </w:r>
            <w:r w:rsidRPr="00DF3EFC">
              <w:lastRenderedPageBreak/>
              <w:t>särskilt tillstånd enligt denna förordning. En sådan DLT-MTF-plattform bör omfattas av alla krav som är tillämpliga på en multilateral handelsplattform inom ramen för direktiv 2014/65/EU (direktivet om marknader för finansiella instrument, Mifid II), Europaparlamentets och rådets förordning (EU) nr 600/2014 (förordningen om marknader för finansiella instrument, Mifir)</w:t>
            </w:r>
            <w:r w:rsidRPr="00DF3EFC">
              <w:rPr>
                <w:rStyle w:val="Sup"/>
              </w:rPr>
              <w:t>41</w:t>
            </w:r>
            <w:r w:rsidRPr="00DF3EFC">
              <w:t xml:space="preserve"> eller annan</w:t>
            </w:r>
            <w:r w:rsidRPr="00DF3EFC">
              <w:rPr>
                <w:b/>
                <w:i/>
              </w:rPr>
              <w:t xml:space="preserve"> </w:t>
            </w:r>
            <w:r w:rsidRPr="00DF3EFC">
              <w:t>EU-lagstiftning om finansiella tjänster, utom</w:t>
            </w:r>
            <w:r w:rsidRPr="00DF3EFC">
              <w:rPr>
                <w:b/>
                <w:i/>
              </w:rPr>
              <w:t xml:space="preserve"> om den</w:t>
            </w:r>
            <w:r w:rsidRPr="00DF3EFC">
              <w:t xml:space="preserve"> har beviljats e</w:t>
            </w:r>
            <w:r w:rsidRPr="00DF3EFC">
              <w:rPr>
                <w:b/>
                <w:i/>
              </w:rPr>
              <w:t>tt eller flera undantag av sin nationella behöriga myndighet</w:t>
            </w:r>
            <w:r w:rsidRPr="00DF3EFC">
              <w:t xml:space="preserve"> i enlighet med denna förordning </w:t>
            </w:r>
            <w:r w:rsidRPr="00DF3EFC">
              <w:rPr>
                <w:b/>
                <w:i/>
              </w:rPr>
              <w:t>och Europaparlamentets och rådets direktiv (EU)</w:t>
            </w:r>
            <w:r w:rsidRPr="00DF3EFC">
              <w:t xml:space="preserve"> </w:t>
            </w:r>
            <w:r w:rsidRPr="00DF3EFC">
              <w:rPr>
                <w:b/>
                <w:i/>
              </w:rPr>
              <w:t>.../... av den...</w:t>
            </w:r>
            <w:r w:rsidRPr="00DF3EFC">
              <w:rPr>
                <w:rStyle w:val="SupBoldItalic"/>
              </w:rPr>
              <w:t>42</w:t>
            </w:r>
            <w:r w:rsidRPr="00DF3EFC">
              <w:rPr>
                <w:b/>
                <w:i/>
              </w:rPr>
              <w:t>.</w:t>
            </w:r>
          </w:p>
        </w:tc>
        <w:tc>
          <w:tcPr>
            <w:tcW w:w="4876" w:type="dxa"/>
          </w:tcPr>
          <w:p w:rsidR="00DF3EFC" w:rsidRPr="00DF3EFC" w:rsidRDefault="00DF3EFC" w:rsidP="00DF3EFC">
            <w:pPr>
              <w:pStyle w:val="Normal6a"/>
            </w:pPr>
            <w:r w:rsidRPr="00DF3EFC">
              <w:lastRenderedPageBreak/>
              <w:t>(8)</w:t>
            </w:r>
            <w:r w:rsidRPr="00DF3EFC">
              <w:tab/>
              <w:t xml:space="preserve">En DLT-MTF-plattform bör vara en multilateral handelsplattform som drivs av ett värdepappersföretag eller en marknadsaktör som driver verksamheten eller en reglerad marknad och kanske själva den reglerade marknaden, auktoriserad enligt direktiv 2014/65/EU (direktivet om marknader för finansiella instrument, Mifid II), och som har fått ett </w:t>
            </w:r>
            <w:r w:rsidRPr="00DF3EFC">
              <w:lastRenderedPageBreak/>
              <w:t>särskilt tillstånd enligt denna förordning. En sådan DLT-MTF-plattform bör omfattas av alla krav som är tillämpliga på en multilateral handelsplattform inom ramen för direktiv 2014/65/EU (direktivet om marknader för finansiella instrument, Mifid II), Europaparlamentets och rådets förordning (EU) nr 600/2014 (förordningen om marknader för finansiella instrument, Mifir)</w:t>
            </w:r>
            <w:r w:rsidRPr="00DF3EFC">
              <w:rPr>
                <w:rStyle w:val="Sup"/>
              </w:rPr>
              <w:t>41</w:t>
            </w:r>
            <w:r w:rsidRPr="00DF3EFC">
              <w:t xml:space="preserve"> eller annan</w:t>
            </w:r>
            <w:r w:rsidRPr="00DF3EFC">
              <w:rPr>
                <w:b/>
                <w:i/>
              </w:rPr>
              <w:t xml:space="preserve"> </w:t>
            </w:r>
            <w:r w:rsidRPr="00DF3EFC">
              <w:t>EU-lagstiftning om finansiella tjänster, utom</w:t>
            </w:r>
            <w:r w:rsidRPr="00DF3EFC">
              <w:rPr>
                <w:b/>
                <w:i/>
              </w:rPr>
              <w:t xml:space="preserve"> de krav från vilka ett undantag</w:t>
            </w:r>
            <w:r w:rsidRPr="00DF3EFC">
              <w:t xml:space="preserve"> har beviljats ett eller flera undantag av sin nationella behöriga myndighet i enlighet med denna förordning</w:t>
            </w:r>
            <w:r w:rsidRPr="00DF3EFC">
              <w:rPr>
                <w:b/>
                <w:i/>
              </w:rPr>
              <w:t>. För att tillåta konkurrens samtidigt som man behåller lika villkor och höga standarder när det gäller investerarskydd, marknadsintegritet och finansiell stabilitet bör nya deltagare kunna komma åt pilotordningen, så länge de uppfyller samma krav som gäller för auktoriserade värdepappersföretag enligt direktiv 2014/65/EU (Mifid) och annan unionslagtiftning om finansiella tjänster, utom undantag som beviljas i enlighet med denna förordning.</w:t>
            </w:r>
          </w:p>
        </w:tc>
      </w:tr>
      <w:tr w:rsidR="00DF3EFC" w:rsidRPr="00DF3EFC" w:rsidTr="00DF3EFC">
        <w:trPr>
          <w:jc w:val="center"/>
        </w:trPr>
        <w:tc>
          <w:tcPr>
            <w:tcW w:w="4876" w:type="dxa"/>
          </w:tcPr>
          <w:p w:rsidR="00DF3EFC" w:rsidRPr="00DF3EFC" w:rsidRDefault="00DF3EFC" w:rsidP="00DF3EFC">
            <w:pPr>
              <w:pStyle w:val="Normal6a"/>
            </w:pPr>
            <w:r w:rsidRPr="00DF3EFC">
              <w:lastRenderedPageBreak/>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41</w:t>
            </w:r>
            <w:r w:rsidRPr="00DF3EFC">
              <w:t xml:space="preserve"> Europaparlamentets och rådets förordning (EU) nr 600/2014 av den 15 maj 2014 om marknader för finansiella instrument och om ändring av förordning (EU) nr 648/2012 (EUT L 173, 12.6.2014, s. 84).</w:t>
            </w:r>
          </w:p>
        </w:tc>
        <w:tc>
          <w:tcPr>
            <w:tcW w:w="4876" w:type="dxa"/>
          </w:tcPr>
          <w:p w:rsidR="00DF3EFC" w:rsidRPr="00DF3EFC" w:rsidRDefault="00DF3EFC" w:rsidP="00DF3EFC">
            <w:pPr>
              <w:pStyle w:val="Normal6a"/>
            </w:pPr>
            <w:r w:rsidRPr="00DF3EFC">
              <w:rPr>
                <w:rStyle w:val="Sup"/>
              </w:rPr>
              <w:t>41</w:t>
            </w:r>
            <w:r w:rsidRPr="00DF3EFC">
              <w:t xml:space="preserve"> Europaparlamentets och rådets förordning (EU) nr 600/2014 av den 15 maj 2014 om marknader för finansiella instrument och om ändring av förordning (EU) nr 648/2012 (EUT L 173, 12.6.2014, s. 84).</w:t>
            </w:r>
          </w:p>
        </w:tc>
      </w:tr>
      <w:tr w:rsidR="00DF3EFC" w:rsidRPr="00DF3EFC" w:rsidTr="00DF3EFC">
        <w:trPr>
          <w:jc w:val="center"/>
        </w:trPr>
        <w:tc>
          <w:tcPr>
            <w:tcW w:w="4876" w:type="dxa"/>
          </w:tcPr>
          <w:p w:rsidR="00DF3EFC" w:rsidRPr="00DF3EFC" w:rsidRDefault="00DF3EFC" w:rsidP="00DF3EFC">
            <w:pPr>
              <w:pStyle w:val="Normal6a"/>
            </w:pPr>
            <w:r w:rsidRPr="00DF3EFC">
              <w:rPr>
                <w:rStyle w:val="SupBoldItalic"/>
              </w:rPr>
              <w:t>42</w:t>
            </w:r>
            <w:r w:rsidRPr="00DF3EFC">
              <w:rPr>
                <w:b/>
                <w:i/>
              </w:rPr>
              <w:t xml:space="preserve"> Förslag till Europaparlamentets och rådets direktiv om ändring av direktiven 2006/43/EG, 2009/65/EG, 2009/138/EU, 2011/61/EU, EU/2013/36, 2014/65/EU, (EU) 2015/2366 och EU/2016/2341 – COM (2020) 596.</w:t>
            </w:r>
          </w:p>
        </w:tc>
        <w:tc>
          <w:tcPr>
            <w:tcW w:w="4876" w:type="dxa"/>
          </w:tcPr>
          <w:p w:rsidR="00DF3EFC" w:rsidRPr="00DF3EFC" w:rsidRDefault="00DF3EFC" w:rsidP="00DF3EFC">
            <w:pPr>
              <w:pStyle w:val="Normal6a"/>
            </w:pP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165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lastRenderedPageBreak/>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(8)</w:t>
            </w:r>
            <w:r w:rsidRPr="00DF3EFC">
              <w:tab/>
              <w:t xml:space="preserve">En DLT-MTF-plattform bör vara en multilateral handelsplattform som drivs av ett värdepappersföretag eller en marknadsaktör som driver verksamheten eller en reglerad marknad och kanske själva den reglerade marknaden, auktoriserad enligt direktiv 2014/65/EU (direktivet om marknader för finansiella instrument, Mifid II), </w:t>
            </w:r>
            <w:r w:rsidRPr="00DF3EFC">
              <w:rPr>
                <w:b/>
                <w:i/>
              </w:rPr>
              <w:t xml:space="preserve">och </w:t>
            </w:r>
            <w:r w:rsidRPr="00DF3EFC">
              <w:t>som har fått ett särskilt tillstånd enligt denna förordning. En sådan DLT-MTF-plattform bör omfattas av alla krav som är tillämpliga på en multilateral handelsplattform inom ramen för direktiv 2014/65/EU (direktivet om marknader för finansiella instrument, Mifid II), Europaparlamentets och rådets förordning (EU) nr 600/2014 (förordningen om marknader för finansiella instrument, Mifir)</w:t>
            </w:r>
            <w:r w:rsidRPr="00DF3EFC">
              <w:rPr>
                <w:rStyle w:val="Sup"/>
              </w:rPr>
              <w:t>41</w:t>
            </w:r>
            <w:r w:rsidRPr="00DF3EFC">
              <w:t xml:space="preserve"> eller annan EU-lagstiftning om finansiella tjänster, utom om den har beviljats ett eller flera undantag av sin nationella behöriga myndighet i enlighet med denna förordning och Europaparlamentets och rådets direktiv (EU) .../... av den…</w:t>
            </w:r>
            <w:r w:rsidRPr="00DF3EFC">
              <w:rPr>
                <w:rStyle w:val="Sup"/>
              </w:rPr>
              <w:t>42</w:t>
            </w:r>
            <w:r w:rsidRPr="00DF3EFC">
              <w:t>.</w:t>
            </w:r>
          </w:p>
        </w:tc>
        <w:tc>
          <w:tcPr>
            <w:tcW w:w="4876" w:type="dxa"/>
          </w:tcPr>
          <w:p w:rsidR="00DF3EFC" w:rsidRPr="00DF3EFC" w:rsidRDefault="00DF3EFC" w:rsidP="00DF3EFC">
            <w:pPr>
              <w:pStyle w:val="Normal6a"/>
            </w:pPr>
            <w:r w:rsidRPr="00DF3EFC">
              <w:t>(8)</w:t>
            </w:r>
            <w:r w:rsidRPr="00DF3EFC">
              <w:tab/>
              <w:t xml:space="preserve">En DLT-MTF-plattform bör vara en multilateral handelsplattform som drivs av </w:t>
            </w:r>
            <w:r w:rsidRPr="00DF3EFC">
              <w:rPr>
                <w:b/>
                <w:i/>
              </w:rPr>
              <w:t>en enhet, inklusive med inte begränsat till</w:t>
            </w:r>
            <w:r w:rsidRPr="00DF3EFC">
              <w:t xml:space="preserve"> ett värdepappersföretag eller en marknadsaktör som driver verksamheten eller en reglerad marknad och kanske själva den reglerade marknaden, auktoriserad enligt direktiv 2014/65/EU (direktivet om marknader för finansiella instrument, Mifid II), och som har fått ett särskilt tillstånd enligt denna förordning. En sådan DLT-MTF-plattform bör omfattas av alla krav som är tillämpliga på en multilateral handelsplattform inom ramen för direktiv 2014/65/EU (direktivet om marknader för finansiella instrument, Mifid II), Europaparlamentets och rådets förordning (EU) nr 600/2014 (förordningen om marknader för finansiella instrument, Mifir)</w:t>
            </w:r>
            <w:r w:rsidRPr="00DF3EFC">
              <w:rPr>
                <w:rStyle w:val="Sup"/>
              </w:rPr>
              <w:t>41</w:t>
            </w:r>
            <w:r w:rsidRPr="00DF3EFC">
              <w:t xml:space="preserve"> eller annan EU-lagstiftning om finansiella tjänster, utom om den har beviljats ett eller flera undantag av sin nationella behöriga myndighet i enlighet med denna förordning och Europaparlamentets och rådets direktiv (EU) .../... av den…</w:t>
            </w:r>
            <w:r w:rsidRPr="00DF3EFC">
              <w:rPr>
                <w:rStyle w:val="Sup"/>
              </w:rPr>
              <w:t>42</w:t>
            </w:r>
            <w:r w:rsidRPr="00DF3EFC">
              <w:t>.</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41</w:t>
            </w:r>
            <w:r w:rsidRPr="00DF3EFC">
              <w:t xml:space="preserve"> Europaparlamentets och rådets förordning (EU) nr 600/2014 av den 15 maj 2014 om marknader för finansiella instrument och om ändring av förordning (EU) nr 648/2012 (EUT L 173, 12.6.2014, s. 84).</w:t>
            </w:r>
          </w:p>
        </w:tc>
        <w:tc>
          <w:tcPr>
            <w:tcW w:w="4876" w:type="dxa"/>
          </w:tcPr>
          <w:p w:rsidR="00DF3EFC" w:rsidRPr="00DF3EFC" w:rsidRDefault="00DF3EFC" w:rsidP="00DF3EFC">
            <w:pPr>
              <w:pStyle w:val="Normal6a"/>
            </w:pPr>
            <w:r w:rsidRPr="00DF3EFC">
              <w:rPr>
                <w:rStyle w:val="Sup"/>
              </w:rPr>
              <w:t>41</w:t>
            </w:r>
            <w:r w:rsidRPr="00DF3EFC">
              <w:t xml:space="preserve"> Europaparlamentets och rådets förordning (EU) nr 600/2014 av den 15 maj 2014 om marknader för finansiella instrument och om ändring av förordning (EU) nr 648/2012 (EUT L 173, 12.6.2014, s. 84).</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42</w:t>
            </w:r>
            <w:r w:rsidRPr="00DF3EFC">
              <w:t xml:space="preserve"> Förslag till Europaparlamentets och rådets direktiv om ändring av direktiven 2006/43/EG, 2009/65/EG, 2009/138/EU, 2011/61/EU, EU/2013/36, 2014/65/EU, (EU) 2015/2366 och EU/2016/2341 – COM (2020) 596.</w:t>
            </w:r>
          </w:p>
        </w:tc>
        <w:tc>
          <w:tcPr>
            <w:tcW w:w="4876" w:type="dxa"/>
          </w:tcPr>
          <w:p w:rsidR="00DF3EFC" w:rsidRPr="00DF3EFC" w:rsidRDefault="00DF3EFC" w:rsidP="00DF3EFC">
            <w:pPr>
              <w:pStyle w:val="Normal6a"/>
            </w:pPr>
            <w:r w:rsidRPr="00DF3EFC">
              <w:rPr>
                <w:rStyle w:val="Sup"/>
              </w:rPr>
              <w:t>42</w:t>
            </w:r>
            <w:r w:rsidRPr="00DF3EFC">
              <w:t xml:space="preserve"> Förslag till Europaparlamentets och rådets direktiv om ändring av direktiven 2006/43/EG, 2009/65/EG, 2009/138/EU, 2011/61/EU, EU/2013/36, 2014/65/EU, (EU) 2015/2366 och EU/2016/2341 – COM (2020) 596.</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lastRenderedPageBreak/>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166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Gunnar Beck, Maximilian Krah</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(8)</w:t>
            </w:r>
            <w:r w:rsidRPr="00DF3EFC">
              <w:tab/>
              <w:t>En DLT-MTF-plattform bör vara en multilateral handelsplattform som drivs av ett värdepappersföretag eller en marknadsaktör som driver verksamheten eller en reglerad marknad och kanske själva den reglerade marknaden, auktoriserad enligt direktiv 2014/65/EU (direktivet om marknader för finansiella instrument, Mifid II), och som har fått ett särskilt tillstånd enligt denna förordning. En sådan DLT-MTF-plattform bör omfattas av alla krav som är tillämpliga på en multilateral handelsplattform inom ramen för direktiv 2014/65/EU (direktivet om marknader för finansiella instrument, Mifid II), Europaparlamentets och rådets förordning (EU) nr 600/2014 (förordningen om marknader för finansiella instrument, Mifir)</w:t>
            </w:r>
            <w:r w:rsidRPr="00DF3EFC">
              <w:rPr>
                <w:rStyle w:val="Sup"/>
              </w:rPr>
              <w:t>41</w:t>
            </w:r>
            <w:r w:rsidRPr="00DF3EFC">
              <w:t xml:space="preserve"> eller annan EU-lagstiftning om finansiella tjänster, utom om den har beviljats ett eller flera undantag av sin nationella behöriga myndighet i enlighet med denna förordning och Europaparlamentets och rådets direktiv (EU) .../... av den…</w:t>
            </w:r>
            <w:r w:rsidRPr="00DF3EFC">
              <w:rPr>
                <w:rStyle w:val="Sup"/>
              </w:rPr>
              <w:t>42</w:t>
            </w:r>
            <w:r w:rsidRPr="00DF3EFC">
              <w:t>.</w:t>
            </w:r>
          </w:p>
        </w:tc>
        <w:tc>
          <w:tcPr>
            <w:tcW w:w="4876" w:type="dxa"/>
          </w:tcPr>
          <w:p w:rsidR="00DF3EFC" w:rsidRPr="00DF3EFC" w:rsidRDefault="00DF3EFC" w:rsidP="00DF3EFC">
            <w:pPr>
              <w:pStyle w:val="Normal6a"/>
            </w:pPr>
            <w:r w:rsidRPr="00DF3EFC">
              <w:t>(8)</w:t>
            </w:r>
            <w:r w:rsidRPr="00DF3EFC">
              <w:tab/>
              <w:t>En DLT-MTF-plattform bör vara en multilateral handelsplattform som drivs av ett värdepappersföretag</w:t>
            </w:r>
            <w:r w:rsidRPr="00DF3EFC">
              <w:rPr>
                <w:b/>
                <w:i/>
              </w:rPr>
              <w:t>, en emittent av kryptotillgångar</w:t>
            </w:r>
            <w:r w:rsidRPr="00DF3EFC">
              <w:t xml:space="preserve"> eller en marknadsaktör som driver verksamheten eller en reglerad marknad och kanske själva den reglerade marknaden, auktoriserad enligt direktiv 2014/65/EU (direktivet om marknader för finansiella instrument, Mifid II), och som har fått ett särskilt tillstånd enligt denna förordning. En sådan DLT-MTF-plattform bör omfattas av alla krav som är tillämpliga på en multilateral handelsplattform inom ramen för direktiv 2014/65/EU (direktivet om marknader för finansiella instrument, Mifid II), Europaparlamentets och rådets förordning (EU) nr 600/2014 (förordningen om marknader för finansiella instrument, Mifir)</w:t>
            </w:r>
            <w:r w:rsidRPr="00DF3EFC">
              <w:rPr>
                <w:rStyle w:val="Sup"/>
              </w:rPr>
              <w:t>41</w:t>
            </w:r>
            <w:r w:rsidRPr="00DF3EFC">
              <w:t xml:space="preserve"> eller annan EU-lagstiftning om finansiella tjänster, utom om den har beviljats ett eller flera undantag av sin nationella behöriga myndighet i enlighet med denna förordning och Europaparlamentets och rådets direktiv (EU) .../... av den…</w:t>
            </w:r>
            <w:r w:rsidRPr="00DF3EFC">
              <w:rPr>
                <w:rStyle w:val="Sup"/>
              </w:rPr>
              <w:t>42</w:t>
            </w:r>
            <w:r w:rsidRPr="00DF3EFC">
              <w:t>.</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41</w:t>
            </w:r>
            <w:r w:rsidRPr="00DF3EFC">
              <w:t xml:space="preserve"> Europaparlamentets och rådets förordning (EU) nr 600/2014 av den 15 maj 2014 om marknader för finansiella instrument och om ändring av förordning (EU) nr 648/2012 (EUT L 173, 12.6.2014, s. 84).</w:t>
            </w:r>
          </w:p>
        </w:tc>
        <w:tc>
          <w:tcPr>
            <w:tcW w:w="4876" w:type="dxa"/>
          </w:tcPr>
          <w:p w:rsidR="00DF3EFC" w:rsidRPr="00DF3EFC" w:rsidRDefault="00DF3EFC" w:rsidP="00DF3EFC">
            <w:pPr>
              <w:pStyle w:val="Normal6a"/>
            </w:pPr>
            <w:r w:rsidRPr="00DF3EFC">
              <w:rPr>
                <w:rStyle w:val="Sup"/>
              </w:rPr>
              <w:t>41</w:t>
            </w:r>
            <w:r w:rsidRPr="00DF3EFC">
              <w:t xml:space="preserve"> Europaparlamentets och rådets förordning (EU) nr 600/2014 av den 15 maj 2014 om marknader för finansiella instrument och om ändring av förordning (EU) nr 648/2012 (EUT L 173, 12.6.2014, s. 84).</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42</w:t>
            </w:r>
            <w:r w:rsidRPr="00DF3EFC">
              <w:t xml:space="preserve"> Förslag till Europaparlamentets och rådets direktiv om ändring av direktiven </w:t>
            </w:r>
            <w:r w:rsidRPr="00DF3EFC">
              <w:lastRenderedPageBreak/>
              <w:t>2006/43/EG, 2009/65/EG, 2009/138/EU, 2011/61/EU, EU/2013/36, 2014/65/EU, (EU) 2015/2366 och EU/2016/2341 – COM (2020) 596.</w:t>
            </w:r>
          </w:p>
        </w:tc>
        <w:tc>
          <w:tcPr>
            <w:tcW w:w="4876" w:type="dxa"/>
          </w:tcPr>
          <w:p w:rsidR="00DF3EFC" w:rsidRPr="00DF3EFC" w:rsidRDefault="00DF3EFC" w:rsidP="00DF3EFC">
            <w:pPr>
              <w:pStyle w:val="Normal6a"/>
            </w:pPr>
            <w:r w:rsidRPr="00DF3EFC">
              <w:rPr>
                <w:rStyle w:val="Sup"/>
              </w:rPr>
              <w:lastRenderedPageBreak/>
              <w:t>42</w:t>
            </w:r>
            <w:r w:rsidRPr="00DF3EFC">
              <w:t xml:space="preserve"> Förslag till Europaparlamentets och rådets direktiv om ändring av direktiven </w:t>
            </w:r>
            <w:r w:rsidRPr="00DF3EFC">
              <w:lastRenderedPageBreak/>
              <w:t>2006/43/EG, 2009/65/EG, 2009/138/EU, 2011/61/EU, EU/2013/36, 2014/65/EU, (EU) 2015/2366 och EU/2016/2341 – COM (2020) 596.</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167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(8)</w:t>
            </w:r>
            <w:r w:rsidRPr="00DF3EFC">
              <w:tab/>
              <w:t xml:space="preserve">En DLT-MTF-plattform bör vara en multilateral handelsplattform som drivs av ett värdepappersföretag eller en marknadsaktör som driver </w:t>
            </w:r>
            <w:r w:rsidRPr="00DF3EFC">
              <w:rPr>
                <w:b/>
                <w:i/>
              </w:rPr>
              <w:t>verksamheten</w:t>
            </w:r>
            <w:r w:rsidRPr="00DF3EFC">
              <w:t xml:space="preserve"> </w:t>
            </w:r>
            <w:r w:rsidRPr="00DF3EFC">
              <w:rPr>
                <w:b/>
                <w:i/>
              </w:rPr>
              <w:t>eller</w:t>
            </w:r>
            <w:r w:rsidRPr="00DF3EFC">
              <w:t xml:space="preserve"> en reglerad </w:t>
            </w:r>
            <w:r w:rsidRPr="00DF3EFC">
              <w:rPr>
                <w:b/>
                <w:i/>
              </w:rPr>
              <w:t>marknad</w:t>
            </w:r>
            <w:r w:rsidRPr="00DF3EFC">
              <w:t xml:space="preserve"> och kanske själva den reglerade marknaden, auktoriserad enligt direktiv 2014/65/EU (direktivet om marknader för finansiella instrument, Mifid II), och som har fått ett särskilt tillstånd enligt denna förordning. En sådan DLT-MTF-plattform bör omfattas av alla krav som är tillämpliga på en multilateral handelsplattform inom ramen för direktiv 2014/65/EU (direktivet om marknader för finansiella instrument, Mifid II), Europaparlamentets och rådets förordning (EU) nr 600/2014 (förordningen om marknader för finansiella instrument, Mifir)</w:t>
            </w:r>
            <w:r w:rsidRPr="00DF3EFC">
              <w:rPr>
                <w:rStyle w:val="Sup"/>
              </w:rPr>
              <w:t>41</w:t>
            </w:r>
            <w:r w:rsidRPr="00DF3EFC">
              <w:t xml:space="preserve"> </w:t>
            </w:r>
            <w:r w:rsidRPr="00DF3EFC">
              <w:rPr>
                <w:b/>
                <w:i/>
              </w:rPr>
              <w:t>eller</w:t>
            </w:r>
            <w:r w:rsidRPr="00DF3EFC">
              <w:t xml:space="preserve"> annan </w:t>
            </w:r>
            <w:r w:rsidRPr="00DF3EFC">
              <w:rPr>
                <w:b/>
                <w:i/>
              </w:rPr>
              <w:t>EU-lagstiftning</w:t>
            </w:r>
            <w:r w:rsidRPr="00DF3EFC">
              <w:t xml:space="preserve"> om finansiella tjänster, utom om den har beviljats ett eller flera undantag av sin nationella behöriga myndighet i enlighet med denna förordning och Europaparlamentets och rådets direktiv (EU) .../... av den…</w:t>
            </w:r>
            <w:r w:rsidRPr="00DF3EFC">
              <w:rPr>
                <w:rStyle w:val="Sup"/>
              </w:rPr>
              <w:t>42</w:t>
            </w:r>
            <w:r w:rsidRPr="00DF3EFC">
              <w:t>.</w:t>
            </w:r>
          </w:p>
        </w:tc>
        <w:tc>
          <w:tcPr>
            <w:tcW w:w="4876" w:type="dxa"/>
          </w:tcPr>
          <w:p w:rsidR="00DF3EFC" w:rsidRPr="00DF3EFC" w:rsidRDefault="00DF3EFC" w:rsidP="00DF3EFC">
            <w:pPr>
              <w:pStyle w:val="Normal6a"/>
            </w:pPr>
            <w:r w:rsidRPr="00DF3EFC">
              <w:t>(8)</w:t>
            </w:r>
            <w:r w:rsidRPr="00DF3EFC">
              <w:tab/>
              <w:t xml:space="preserve">En DLT-MTF-plattform bör vara en multilateral handelsplattform som drivs av ett värdepappersföretag eller en marknadsaktör som driver en reglerad </w:t>
            </w:r>
            <w:r w:rsidRPr="00DF3EFC">
              <w:rPr>
                <w:b/>
                <w:i/>
              </w:rPr>
              <w:t>marknadsverksamhet</w:t>
            </w:r>
            <w:r w:rsidRPr="00DF3EFC">
              <w:t xml:space="preserve"> och kanske själva den reglerade marknaden, auktoriserad enligt direktiv 2014/65/EU (direktivet om marknader för finansiella instrument, Mifid II), och som har fått ett särskilt tillstånd enligt denna förordning. En sådan DLT-MTF-plattform bör omfattas av alla krav som är tillämpliga på en multilateral handelsplattform inom ramen för direktiv 2014/65/EU (direktivet om marknader för finansiella instrument, Mifid II), Europaparlamentets och rådets förordning (EU) nr 600/2014 (förordningen om marknader för finansiella instrument, Mifir)</w:t>
            </w:r>
            <w:r w:rsidRPr="00DF3EFC">
              <w:rPr>
                <w:rStyle w:val="Sup"/>
              </w:rPr>
              <w:t>41</w:t>
            </w:r>
            <w:r w:rsidRPr="00DF3EFC">
              <w:t xml:space="preserve"> </w:t>
            </w:r>
            <w:r w:rsidRPr="00DF3EFC">
              <w:rPr>
                <w:b/>
                <w:i/>
              </w:rPr>
              <w:t>och</w:t>
            </w:r>
            <w:r w:rsidRPr="00DF3EFC">
              <w:t xml:space="preserve"> annan </w:t>
            </w:r>
            <w:r w:rsidRPr="00DF3EFC">
              <w:rPr>
                <w:b/>
                <w:i/>
              </w:rPr>
              <w:t>tillämplig unionslagstiftning</w:t>
            </w:r>
            <w:r w:rsidRPr="00DF3EFC">
              <w:t xml:space="preserve"> om finansiella tjänster, utom om den har beviljats ett eller flera undantag av sin nationella behöriga myndighet i enlighet med denna förordning och Europaparlamentets och rådets direktiv (EU) .../... av den…</w:t>
            </w:r>
            <w:r w:rsidRPr="00DF3EFC">
              <w:rPr>
                <w:rStyle w:val="Sup"/>
              </w:rPr>
              <w:t>42</w:t>
            </w:r>
            <w:r w:rsidRPr="00DF3EFC">
              <w:t>.</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41</w:t>
            </w:r>
            <w:r w:rsidRPr="00DF3EFC">
              <w:t xml:space="preserve"> Europaparlamentets och rådets förordning (EU) nr 600/2014 av den 15 maj 2014 om marknader för finansiella instrument och om ändring av förordning (EU) nr 648/2012 (EUT L 173, 12.6.2014, </w:t>
            </w:r>
            <w:r w:rsidRPr="00DF3EFC">
              <w:lastRenderedPageBreak/>
              <w:t>s. 84).</w:t>
            </w:r>
          </w:p>
        </w:tc>
        <w:tc>
          <w:tcPr>
            <w:tcW w:w="4876" w:type="dxa"/>
          </w:tcPr>
          <w:p w:rsidR="00DF3EFC" w:rsidRPr="00DF3EFC" w:rsidRDefault="00DF3EFC" w:rsidP="00DF3EFC">
            <w:pPr>
              <w:pStyle w:val="Normal6a"/>
            </w:pPr>
            <w:r w:rsidRPr="00DF3EFC">
              <w:rPr>
                <w:rStyle w:val="Sup"/>
              </w:rPr>
              <w:lastRenderedPageBreak/>
              <w:t>41</w:t>
            </w:r>
            <w:r w:rsidRPr="00DF3EFC">
              <w:t xml:space="preserve"> Europaparlamentets och rådets förordning (EU) nr 600/2014 av den 15 maj 2014 om marknader för finansiella instrument och om ändring av förordning (EU) nr 648/2012 (EUT L 173, 12.6.2014, </w:t>
            </w:r>
            <w:r w:rsidRPr="00DF3EFC">
              <w:lastRenderedPageBreak/>
              <w:t>s. 84).</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lastRenderedPageBreak/>
              <w:t>42</w:t>
            </w:r>
            <w:r w:rsidRPr="00DF3EFC">
              <w:t xml:space="preserve"> Förslag till Europaparlamentets och rådets direktiv om ändring av direktiven 2006/43/EG, 2009/65/EG, 2009/138/EU, 2011/61/EU, EU/2013/36, 2014/65/EU, (EU) 2015/2366 och EU/2016/2341 – COM (2020) 596.</w:t>
            </w:r>
          </w:p>
        </w:tc>
        <w:tc>
          <w:tcPr>
            <w:tcW w:w="4876" w:type="dxa"/>
          </w:tcPr>
          <w:p w:rsidR="00DF3EFC" w:rsidRPr="00DF3EFC" w:rsidRDefault="00DF3EFC" w:rsidP="00DF3EFC">
            <w:pPr>
              <w:pStyle w:val="Normal6a"/>
            </w:pPr>
            <w:r w:rsidRPr="00DF3EFC">
              <w:rPr>
                <w:rStyle w:val="Sup"/>
              </w:rPr>
              <w:t>42</w:t>
            </w:r>
            <w:r w:rsidRPr="00DF3EFC">
              <w:t xml:space="preserve"> Förslag till Europaparlamentets och rådets direktiv om ändring av direktiven 2006/43/EG, 2009/65/EG, 2009/138/EU, 2011/61/EU, EU/2013/36, 2014/65/EU, (EU) 2015/2366 och EU/2016/2341 – COM (2020) 596.</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168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8a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(8a)</w:t>
            </w:r>
            <w:r w:rsidRPr="00DF3EFC">
              <w:tab/>
            </w:r>
            <w:r w:rsidRPr="00DF3EFC">
              <w:rPr>
                <w:b/>
                <w:i/>
              </w:rPr>
              <w:t>Enheter som inte är auktoriserade enligt direktiv 2014/65/EU bör ha rätt att ansöka om ett specifikt tillstånd enligt denna förordning att driva en DLT-MTF-plattform, enligt ett påskyndat förfarande.</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Påskyndat förfarande för nya deltagare som inte är auktoriserade som en MTF-plattform vid tiden för ansökan.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169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9</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(9)</w:t>
            </w:r>
            <w:r w:rsidRPr="00DF3EFC">
              <w:tab/>
              <w:t>Användningen av teknik för distribuerade liggare, där alla transaktioner registreras i en decentraliserad</w:t>
            </w:r>
            <w:r w:rsidRPr="00DF3EFC">
              <w:rPr>
                <w:b/>
                <w:i/>
              </w:rPr>
              <w:t xml:space="preserve"> liggare </w:t>
            </w:r>
            <w:r w:rsidRPr="00DF3EFC">
              <w:t xml:space="preserve">kan påskynda och nästan slå samman handel och avveckling i realtid och skulle kunna möjliggöra en sammanslagning av handels- </w:t>
            </w:r>
            <w:r w:rsidRPr="00DF3EFC">
              <w:lastRenderedPageBreak/>
              <w:t xml:space="preserve">och efterhandelsverksamhet. Enligt de nuvarande reglerna ska emellertid handels- och avvecklingsverksamhet utföras av separata marknadsinfrastrukturer. Enligt Europaparlamentets och rådets förordning (EU) nr 909/2014 (förordningen om värdepapperscentraler) ska finansiella instrument som tas upp till handel på en handelsplats i den mening som avses i direktiv 2014/65/EU (direktivet om marknader för finansiella instrument, Mifid II) registreras hos en värdepapperscentral (VPC), medan en distribuerad liggare skulle kunna användas som en decentraliserad </w:t>
            </w:r>
            <w:r w:rsidRPr="00DF3EFC">
              <w:rPr>
                <w:b/>
                <w:i/>
              </w:rPr>
              <w:t>version</w:t>
            </w:r>
            <w:r w:rsidRPr="00DF3EFC">
              <w:t xml:space="preserve"> av en sådan central. Det skulle därför vara motiverat att tillåta en </w:t>
            </w:r>
            <w:r w:rsidRPr="00DF3EFC">
              <w:rPr>
                <w:b/>
                <w:i/>
              </w:rPr>
              <w:t xml:space="preserve">DLT-MTF-plattform att utföra </w:t>
            </w:r>
            <w:r w:rsidRPr="00DF3EFC">
              <w:t xml:space="preserve">viss verksamhet som normalt utförs av </w:t>
            </w:r>
            <w:r w:rsidRPr="00DF3EFC">
              <w:rPr>
                <w:b/>
                <w:i/>
              </w:rPr>
              <w:t>en värdepapperscentral</w:t>
            </w:r>
            <w:r w:rsidRPr="00DF3EFC">
              <w:t xml:space="preserve">. När ett eller flera relevanta undantag beviljas bör en </w:t>
            </w:r>
            <w:r w:rsidRPr="00DF3EFC">
              <w:rPr>
                <w:b/>
                <w:i/>
              </w:rPr>
              <w:t>DLT-MTF-plattform</w:t>
            </w:r>
            <w:r w:rsidRPr="00DF3EFC">
              <w:t xml:space="preserve"> därför tillåtas att säkerställa den inledande registreringen av överförbara värdepapper med teknik för distribuerade liggare, avvecklingen av transaktioner av överförbara värdepapper med teknik för distribuerade liggare och förvaringen av överförbara värdepapper med teknik för distribuerade liggare.</w:t>
            </w:r>
          </w:p>
        </w:tc>
        <w:tc>
          <w:tcPr>
            <w:tcW w:w="4876" w:type="dxa"/>
          </w:tcPr>
          <w:p w:rsidR="00DF3EFC" w:rsidRPr="00DF3EFC" w:rsidRDefault="00DF3EFC" w:rsidP="00DF3EFC">
            <w:pPr>
              <w:pStyle w:val="Normal6a"/>
            </w:pPr>
            <w:r w:rsidRPr="00DF3EFC">
              <w:lastRenderedPageBreak/>
              <w:t>(9)</w:t>
            </w:r>
            <w:r w:rsidRPr="00DF3EFC">
              <w:tab/>
              <w:t xml:space="preserve">Användningen av teknik för distribuerade liggare, där alla transaktioner registreras i en decentraliserad </w:t>
            </w:r>
            <w:r w:rsidRPr="00DF3EFC">
              <w:rPr>
                <w:b/>
                <w:i/>
              </w:rPr>
              <w:t>digital databas</w:t>
            </w:r>
            <w:r w:rsidRPr="00DF3EFC">
              <w:t xml:space="preserve"> kan påskynda och nästan slå samman handel och avveckling i realtid och skulle kunna möjliggöra en </w:t>
            </w:r>
            <w:r w:rsidRPr="00DF3EFC">
              <w:lastRenderedPageBreak/>
              <w:t xml:space="preserve">sammanslagning av handels- och efterhandelsverksamhet. Enligt de nuvarande reglerna ska emellertid handels- och avvecklingsverksamhet utföras av separata marknadsinfrastrukturer. Enligt Europaparlamentets och rådets förordning (EU) nr 909/2014 (förordningen om värdepapperscentraler) ska finansiella instrument som tas upp till handel på en handelsplats i den mening som avses i direktiv 2014/65/EU (direktivet om marknader för finansiella instrument, Mifid II) registreras hos en värdepapperscentral (VPC), medan en distribuerad liggare skulle kunna användas som en decentraliserad </w:t>
            </w:r>
            <w:r w:rsidRPr="00DF3EFC">
              <w:rPr>
                <w:b/>
                <w:i/>
              </w:rPr>
              <w:t>databas</w:t>
            </w:r>
            <w:r w:rsidRPr="00DF3EFC">
              <w:t xml:space="preserve"> av en sådan central. Det skulle därför vara motiverat att tillåta en </w:t>
            </w:r>
            <w:r w:rsidRPr="00DF3EFC">
              <w:rPr>
                <w:b/>
                <w:i/>
              </w:rPr>
              <w:t>DLT-marknadsinfrastruktur att kombinera</w:t>
            </w:r>
            <w:r w:rsidRPr="00DF3EFC">
              <w:t xml:space="preserve"> viss verksamhet som normalt utförs av </w:t>
            </w:r>
            <w:r w:rsidRPr="00DF3EFC">
              <w:rPr>
                <w:b/>
                <w:i/>
              </w:rPr>
              <w:t>både MTF-plattformar och värdepappersavvecklingssystem</w:t>
            </w:r>
            <w:r w:rsidRPr="00DF3EFC">
              <w:t xml:space="preserve">. När ett eller flera relevanta undantag beviljas </w:t>
            </w:r>
            <w:r w:rsidRPr="00DF3EFC">
              <w:rPr>
                <w:b/>
                <w:i/>
              </w:rPr>
              <w:t>och tillstånd ges till följd av detta</w:t>
            </w:r>
            <w:r w:rsidRPr="00DF3EFC">
              <w:t xml:space="preserve"> bör en </w:t>
            </w:r>
            <w:r w:rsidRPr="00DF3EFC">
              <w:rPr>
                <w:b/>
                <w:i/>
              </w:rPr>
              <w:t>DLT-marknadsinfrastruktur</w:t>
            </w:r>
            <w:r w:rsidRPr="00DF3EFC">
              <w:t xml:space="preserve"> därför tillåtas att säkerställa den inledande registreringen av </w:t>
            </w:r>
            <w:r w:rsidRPr="00DF3EFC">
              <w:rPr>
                <w:b/>
                <w:i/>
              </w:rPr>
              <w:t>och handeln med</w:t>
            </w:r>
            <w:r w:rsidRPr="00DF3EFC">
              <w:t xml:space="preserve"> överförbara värdepapper med teknik för distribuerade liggare, avvecklingen av transaktioner av överförbara värdepapper med teknik för distribuerade liggare och förvaringen av överförbara värdepapper med </w:t>
            </w:r>
            <w:r w:rsidRPr="00DF3EFC">
              <w:rPr>
                <w:b/>
                <w:i/>
              </w:rPr>
              <w:t xml:space="preserve">användning av </w:t>
            </w:r>
            <w:r w:rsidRPr="00DF3EFC">
              <w:t>teknik för distribuerade liggare.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170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9</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(9)</w:t>
            </w:r>
            <w:r w:rsidRPr="00DF3EFC">
              <w:tab/>
              <w:t xml:space="preserve">Användningen av teknik för distribuerade liggare, där alla transaktioner registreras i en </w:t>
            </w:r>
            <w:r w:rsidRPr="00DF3EFC">
              <w:rPr>
                <w:b/>
                <w:i/>
              </w:rPr>
              <w:t>decentraliserad</w:t>
            </w:r>
            <w:r w:rsidRPr="00DF3EFC">
              <w:t xml:space="preserve"> liggare kan påskynda och nästan slå samman handel </w:t>
            </w:r>
            <w:r w:rsidRPr="00DF3EFC">
              <w:lastRenderedPageBreak/>
              <w:t>och avveckling i realtid och skulle kunna möjliggöra en sammanslagning av handels- och efterhandelsverksamhet. Enligt de nuvarande reglerna ska emellertid handels- och avvecklingsverksamhet utföras av separata marknadsinfrastrukturer. Enligt Europaparlamentets och rådets förordning (EU) nr 909/2014 (förordningen om värdepapperscentraler) ska finansiella instrument som tas upp till handel på en handelsplats i den mening som avses i direktiv 2014/65/EU (direktivet om marknader för finansiella instrument, Mifid II) registreras hos en värdepapperscentral (VPC), medan en distribuerad liggare skulle kunna användas som en decentraliserad version av en sådan central. Det skulle därför vara motiverat att tillåta en DLT-MTF-plattform att utföra viss verksamhet som normalt utförs av en värdepapperscentral. När ett eller flera relevanta undantag beviljas bör en DLT-MTF-plattform därför tillåtas att säkerställa den inledande registreringen av överförbara värdepapper med teknik för distribuerade liggare, avvecklingen av transaktioner av överförbara värdepapper med teknik för distribuerade liggare och förvaringen av överförbara värdepapper med teknik för distribuerade liggare.</w:t>
            </w:r>
          </w:p>
        </w:tc>
        <w:tc>
          <w:tcPr>
            <w:tcW w:w="4876" w:type="dxa"/>
          </w:tcPr>
          <w:p w:rsidR="00DF3EFC" w:rsidRPr="00DF3EFC" w:rsidRDefault="00DF3EFC" w:rsidP="00DF3EFC">
            <w:pPr>
              <w:pStyle w:val="Normal6a"/>
            </w:pPr>
            <w:r w:rsidRPr="00DF3EFC">
              <w:lastRenderedPageBreak/>
              <w:t>(9)</w:t>
            </w:r>
            <w:r w:rsidRPr="00DF3EFC">
              <w:tab/>
              <w:t>Användningen av teknik för distribuerade liggare, där alla transaktioner registreras i en</w:t>
            </w:r>
            <w:r w:rsidRPr="00DF3EFC">
              <w:rPr>
                <w:b/>
                <w:i/>
              </w:rPr>
              <w:t xml:space="preserve"> distribuerad </w:t>
            </w:r>
            <w:r w:rsidRPr="00DF3EFC">
              <w:t xml:space="preserve">liggare kan påskynda och nästan slå samman handel </w:t>
            </w:r>
            <w:r w:rsidRPr="00DF3EFC">
              <w:lastRenderedPageBreak/>
              <w:t>och avveckling i realtid och skulle kunna möjliggöra en sammanslagning av handels- och efterhandelsverksamhet. Enligt de nuvarande reglerna ska emellertid handels- och avvecklingsverksamhet utföras av separata marknadsinfrastrukturer. Enligt Europaparlamentets och rådets förordning (EU) nr 909/2014 (förordningen om värdepapperscentraler) ska finansiella instrument som tas upp till handel på en handelsplats i den mening som avses i direktiv 2014/65/EU (direktivet om marknader för finansiella instrument, Mifid II) registreras hos en värdepapperscentral (VPC), medan en distribuerad liggare skulle kunna användas som en decentraliserad version av en sådan central. Det skulle därför vara motiverat att tillåta en DLT-MTF-plattform att utföra viss verksamhet som normalt utförs av en värdepapperscentral. När ett eller flera relevanta undantag beviljas bör en DLT-MTF-plattform därför tillåtas att säkerställa den inledande registreringen av överförbara värdepapper med teknik för distribuerade liggare, avvecklingen av transaktioner av överförbara värdepapper med teknik för distribuerade liggare och förvaringen av överförbara värdepapper med teknik för distribuerade liggare.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171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(10)</w:t>
            </w:r>
            <w:r w:rsidRPr="00DF3EFC">
              <w:tab/>
              <w:t xml:space="preserve">Ett värdepappersavvecklingssystem med teknik för distribuerade liggare bör vara ett avvecklingssystem för värdepapper som drivs av en värdepapperscentral som auktoriserats enligt förordning (EU) </w:t>
            </w:r>
            <w:r w:rsidRPr="00DF3EFC">
              <w:lastRenderedPageBreak/>
              <w:t xml:space="preserve">nr 909/2014 (förordningen om värdepapperscentraler) och som har fått ett särskilt tillstånd enligt denna förordning. Ett värdepappersavvecklingssystem med teknik för distribuerade liggare, och den värdepapperscentral som driver det, bör omfattas av de relevanta kraven i förordning (EU) nr 909/2014 (förordningen om värdepapperscentraler), utom </w:t>
            </w:r>
            <w:r w:rsidRPr="00DF3EFC">
              <w:rPr>
                <w:b/>
                <w:i/>
              </w:rPr>
              <w:t>när den nationella behöriga myndigheten</w:t>
            </w:r>
            <w:r w:rsidRPr="00DF3EFC">
              <w:t xml:space="preserve">, i enlighet med denna förordning, </w:t>
            </w:r>
            <w:r w:rsidRPr="00DF3EFC">
              <w:rPr>
                <w:b/>
                <w:i/>
              </w:rPr>
              <w:t>har beviljat</w:t>
            </w:r>
            <w:r w:rsidRPr="00DF3EFC">
              <w:t xml:space="preserve"> den värdepapperscentral som driver värdepappersavvecklingssystemet med teknik för distribuerade liggare</w:t>
            </w:r>
            <w:r w:rsidRPr="00DF3EFC">
              <w:rPr>
                <w:b/>
                <w:i/>
              </w:rPr>
              <w:t xml:space="preserve"> ett eller flera undantag</w:t>
            </w:r>
            <w:r w:rsidRPr="00DF3EFC">
              <w:t>.</w:t>
            </w:r>
          </w:p>
        </w:tc>
        <w:tc>
          <w:tcPr>
            <w:tcW w:w="4876" w:type="dxa"/>
          </w:tcPr>
          <w:p w:rsidR="00DF3EFC" w:rsidRPr="00DF3EFC" w:rsidRDefault="00DF3EFC" w:rsidP="00DF3EFC">
            <w:pPr>
              <w:pStyle w:val="Normal6a"/>
            </w:pPr>
            <w:r w:rsidRPr="00DF3EFC">
              <w:lastRenderedPageBreak/>
              <w:t>(10)</w:t>
            </w:r>
            <w:r w:rsidRPr="00DF3EFC">
              <w:tab/>
              <w:t xml:space="preserve">Ett värdepappersavvecklingssystem med teknik för distribuerade liggare bör vara ett avvecklingssystem för värdepapper som drivs av en värdepapperscentral som auktoriserats enligt förordning (EU) </w:t>
            </w:r>
            <w:r w:rsidRPr="00DF3EFC">
              <w:lastRenderedPageBreak/>
              <w:t xml:space="preserve">nr 909/2014 (förordningen om värdepapperscentraler) och som har fått ett särskilt tillstånd enligt denna förordning. Ett värdepappersavvecklingssystem med teknik för distribuerade liggare, och den värdepapperscentral som driver det, bör omfattas av de relevanta kraven i förordning (EU) nr 909/2014 (förordningen om värdepapperscentraler), utom </w:t>
            </w:r>
            <w:r w:rsidRPr="00DF3EFC">
              <w:rPr>
                <w:b/>
                <w:i/>
              </w:rPr>
              <w:t>de krav för vilka ett undantag har beviljats av Esma</w:t>
            </w:r>
            <w:r w:rsidRPr="00DF3EFC">
              <w:t xml:space="preserve">, i enlighet med denna förordning, </w:t>
            </w:r>
            <w:r w:rsidRPr="00DF3EFC">
              <w:rPr>
                <w:b/>
                <w:i/>
              </w:rPr>
              <w:t>till</w:t>
            </w:r>
            <w:r w:rsidRPr="00DF3EFC">
              <w:t xml:space="preserve"> den värdepapperscentral som driver värdepappersavvecklingssystemet med teknik för distribuerade liggare. </w:t>
            </w:r>
            <w:r w:rsidRPr="00DF3EFC">
              <w:rPr>
                <w:b/>
                <w:i/>
              </w:rPr>
              <w:t>För att tillåta konkurrens samtidigt som man behåller lika villkor och höga standarder när det gäller investerarskydd, marknadsintegritet och finansiell stabilitet bör nya deltagare kunna komma åt pilotordningen, så länge de uppfyller de krav som gäller för en auktoriserad värdepapperscentral enligt förordning (EU) nr 909/2014, på ett sätt som står i proportion till deras verksamhets art, omfattning och risker, och med annan unionslagtiftning om finansiella tjänster, utom de undantag som beviljas i enlighet med denna förordning. För att säkerställa verksamhetskontinuitet, samtidigt som även rättvis konkurrens säkerställs bör nya deltagare ingå avtal med auktoriserade värdepapperscentraler, vilka bör erbjuda sig att ingå sådana avtal på ett icke-diskriminerande sätt mot en skälig handelsavgift baserad på faktiska kostnader.</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172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lastRenderedPageBreak/>
              <w:t>(10)</w:t>
            </w:r>
            <w:r w:rsidRPr="00DF3EFC">
              <w:tab/>
              <w:t>Ett värdepappersavvecklingssystem med teknik för distribuerade liggare bör vara ett avvecklingssystem för värdepapper som drivs av en värdepapperscentral som auktoriserats enligt förordning (EU) nr 909/2014 (förordningen om värdepapperscentraler) och som har fått ett särskilt tillstånd enligt denna förordning. Ett värdepappersavvecklingssystem med teknik för distribuerade liggare, och den värdepapperscentral som driver det, bör omfattas av de relevanta kraven i förordning (EU) nr 909/2014 (förordningen om värdepapperscentraler), utom när den nationella behöriga myndigheten, i enlighet med denna förordning, har beviljat den värdepapperscentral som driver värdepappersavvecklingssystemet med teknik för distribuerade liggare ett eller flera undantag.</w:t>
            </w:r>
          </w:p>
        </w:tc>
        <w:tc>
          <w:tcPr>
            <w:tcW w:w="4876" w:type="dxa"/>
          </w:tcPr>
          <w:p w:rsidR="00DF3EFC" w:rsidRPr="00DF3EFC" w:rsidRDefault="00DF3EFC" w:rsidP="00DF3EFC">
            <w:pPr>
              <w:pStyle w:val="Normal6a"/>
            </w:pPr>
            <w:r w:rsidRPr="00DF3EFC">
              <w:t>(10)</w:t>
            </w:r>
            <w:r w:rsidRPr="00DF3EFC">
              <w:tab/>
              <w:t xml:space="preserve">Ett värdepappersavvecklingssystem med teknik för distribuerade liggare bör vara ett avvecklingssystem för värdepapper som drivs av en värdepapperscentral som auktoriserats enligt förordning (EU) nr 909/2014 (förordningen om värdepapperscentraler) och som har fått ett särskilt tillstånd enligt denna förordning. Ett värdepappersavvecklingssystem med teknik för distribuerade liggare, och den värdepapperscentral som driver det, bör omfattas av de relevanta kraven i förordning (EU) nr 909/2014 (förordningen om värdepapperscentraler) </w:t>
            </w:r>
            <w:r w:rsidRPr="00DF3EFC">
              <w:rPr>
                <w:b/>
                <w:i/>
              </w:rPr>
              <w:t>och annan tillämplig unionslagstiftning om finansiella tjänster</w:t>
            </w:r>
            <w:r w:rsidRPr="00DF3EFC">
              <w:t>, utom när den nationella behöriga myndigheten, i enlighet med denna förordning, har beviljat den värdepapperscentral som driver värdepappersavvecklingssystemet med teknik för distribuerade liggare ett eller flera undantag.</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173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(10)</w:t>
            </w:r>
            <w:r w:rsidRPr="00DF3EFC">
              <w:tab/>
              <w:t xml:space="preserve">Ett värdepappersavvecklingssystem med teknik för distribuerade liggare bör vara ett avvecklingssystem för värdepapper som drivs av en värdepapperscentral som auktoriserats enligt förordning (EU) nr 909/2014 (förordningen om värdepapperscentraler) och som har fått ett särskilt tillstånd enligt denna förordning. Ett värdepappersavvecklingssystem med teknik för distribuerade liggare, och den </w:t>
            </w:r>
            <w:r w:rsidRPr="00DF3EFC">
              <w:rPr>
                <w:b/>
                <w:i/>
              </w:rPr>
              <w:t xml:space="preserve">värdepapperscentral </w:t>
            </w:r>
            <w:r w:rsidRPr="00DF3EFC">
              <w:t xml:space="preserve">som driver det, bör omfattas av de relevanta kraven i förordning (EU) nr 909/2014 (förordningen om värdepapperscentraler), utom när den </w:t>
            </w:r>
            <w:r w:rsidRPr="00DF3EFC">
              <w:lastRenderedPageBreak/>
              <w:t xml:space="preserve">nationella behöriga myndigheten, i enlighet med denna förordning, har beviljat den </w:t>
            </w:r>
            <w:r w:rsidRPr="00DF3EFC">
              <w:rPr>
                <w:b/>
                <w:i/>
              </w:rPr>
              <w:t xml:space="preserve">värdepapperscentral </w:t>
            </w:r>
            <w:r w:rsidRPr="00DF3EFC">
              <w:t>som driver värdepappersavvecklingssystemet med teknik för distribuerade liggare ett eller flera undantag.</w:t>
            </w:r>
          </w:p>
        </w:tc>
        <w:tc>
          <w:tcPr>
            <w:tcW w:w="4876" w:type="dxa"/>
          </w:tcPr>
          <w:p w:rsidR="00DF3EFC" w:rsidRPr="00DF3EFC" w:rsidRDefault="00DF3EFC" w:rsidP="00DF3EFC">
            <w:pPr>
              <w:pStyle w:val="Normal6a"/>
            </w:pPr>
            <w:r w:rsidRPr="00DF3EFC">
              <w:lastRenderedPageBreak/>
              <w:t>(10)</w:t>
            </w:r>
            <w:r w:rsidRPr="00DF3EFC">
              <w:tab/>
              <w:t xml:space="preserve">Ett värdepappersavvecklingssystem med teknik för distribuerade liggare bör vara </w:t>
            </w:r>
            <w:r w:rsidRPr="00DF3EFC">
              <w:rPr>
                <w:b/>
                <w:i/>
              </w:rPr>
              <w:t>en enhet, inklusive men inte begränsat till</w:t>
            </w:r>
            <w:r w:rsidRPr="00DF3EFC">
              <w:t xml:space="preserve"> ett avvecklingssystem för värdepapper som drivs av en värdepapperscentral som auktoriserats enligt förordning (EU) nr 909/2014 (förordningen om värdepapperscentraler) och som har fått ett särskilt tillstånd enligt denna förordning. Ett värdepappersavvecklingssystem med teknik för distribuerade liggare, och den </w:t>
            </w:r>
            <w:r w:rsidRPr="00DF3EFC">
              <w:rPr>
                <w:b/>
                <w:i/>
              </w:rPr>
              <w:t xml:space="preserve">enhet </w:t>
            </w:r>
            <w:r w:rsidRPr="00DF3EFC">
              <w:t xml:space="preserve">som driver det, bör omfattas av de relevanta kraven i förordning (EU) </w:t>
            </w:r>
            <w:r w:rsidRPr="00DF3EFC">
              <w:lastRenderedPageBreak/>
              <w:t xml:space="preserve">nr 909/2014 (förordningen om värdepapperscentraler), utom när den nationella behöriga myndigheten, i enlighet med denna förordning, har beviljat den </w:t>
            </w:r>
            <w:r w:rsidRPr="00DF3EFC">
              <w:rPr>
                <w:b/>
                <w:i/>
              </w:rPr>
              <w:t>enhet</w:t>
            </w:r>
            <w:r w:rsidRPr="00DF3EFC">
              <w:t xml:space="preserve"> som driver värdepappersavvecklingssystemet med teknik för distribuerade liggare ett eller flera undantag.</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174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(10)</w:t>
            </w:r>
            <w:r w:rsidRPr="00DF3EFC">
              <w:tab/>
              <w:t>Ett värdepappersavvecklingssystem med teknik för distribuerade liggare bör vara ett avvecklingssystem för värdepapper som drivs av en värdepapperscentral som auktoriserats enligt förordning (EU) nr 909/2014 (förordningen om värdepapperscentraler) och som har fått ett särskilt tillstånd enligt denna förordning. Ett värdepappersavvecklingssystem med teknik för distribuerade liggare, och den värdepapperscentral som driver det, bör omfattas av de relevanta kraven i förordning (EU) nr 909/2014 (förordningen om värdepapperscentraler), utom när den nationella behöriga myndigheten, i enlighet med denna förordning, har beviljat den värdepapperscentral som driver värdepappersavvecklingssystemet med teknik för distribuerade liggare ett eller flera undantag.</w:t>
            </w:r>
          </w:p>
        </w:tc>
        <w:tc>
          <w:tcPr>
            <w:tcW w:w="4876" w:type="dxa"/>
          </w:tcPr>
          <w:p w:rsidR="00DF3EFC" w:rsidRPr="00DF3EFC" w:rsidRDefault="00DF3EFC" w:rsidP="00DF3EFC">
            <w:pPr>
              <w:pStyle w:val="Normal6a"/>
            </w:pPr>
            <w:r w:rsidRPr="00DF3EFC">
              <w:t>(10)</w:t>
            </w:r>
            <w:r w:rsidRPr="00DF3EFC">
              <w:tab/>
              <w:t xml:space="preserve">Ett värdepappersavvecklingssystem med teknik för distribuerade liggare bör vara ett avvecklingssystem för värdepapper som drivs av en värdepapperscentral som auktoriserats enligt förordning (EU) nr 909/2014 (förordningen om värdepapperscentraler) och som har fått ett särskilt tillstånd enligt denna förordning. Ett värdepappersavvecklingssystem med teknik för distribuerade liggare, och den värdepapperscentral som driver det, bör omfattas av de relevanta kraven i förordning (EU) nr 909/2014 (förordningen om värdepapperscentraler), utom när den nationella behöriga myndigheten, i enlighet med denna förordning, har beviljat den värdepapperscentral som driver värdepappersavvecklingssystemet med teknik för distribuerade liggare ett eller flera undantag. </w:t>
            </w:r>
            <w:r w:rsidRPr="00DF3EFC">
              <w:rPr>
                <w:b/>
                <w:i/>
              </w:rPr>
              <w:t xml:space="preserve">Nya marknadsdeltagare eller reglerade enheter, exempelvis värdepappersföretag eller kreditinstitut, som vill driva en DLT-SSS-plattform enligt denna förordning bör ha rätt att </w:t>
            </w:r>
            <w:r w:rsidRPr="00DF3EFC">
              <w:rPr>
                <w:b/>
                <w:i/>
              </w:rPr>
              <w:lastRenderedPageBreak/>
              <w:t>följa ett enstegsförfarande för ansökan genom att ansöka till sin nationella behöriga myndighet som ska vara auktoriserad enligt förordning (EU) nr 909/2014 (CSDR) och samtidigt uppge eventuella undantag som de vill ha beviljade, i enlighet med denna förordning och med Europaparlamentet och rådets direktiv (EU) .../...</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Redaktionell kommentar. Vissa krav är tillämpliga på operatören av marknadsinfrastrukturen. Det är dessutom av yttersta vikt att föreskriva ett auktoriseringsförfarande i ett steg för nya deltagare som vill delta i pilotordningen genom att driva en DLT-SSS-plattform. Målet är att undvika ett resurs- och tidskrävande dubbelt auktoriseringsförfarande som skulle utgöra en stor börda för en ny marknadsdeltagare.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175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Paul Tang, Jonás Fernández,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(10)</w:t>
            </w:r>
            <w:r w:rsidRPr="00DF3EFC">
              <w:tab/>
              <w:t xml:space="preserve">Ett värdepappersavvecklingssystem med teknik för distribuerade liggare bör vara ett avvecklingssystem för värdepapper som drivs av en värdepapperscentral som auktoriserats enligt förordning (EU) nr 909/2014 (förordningen om värdepapperscentraler) och som har fått ett särskilt tillstånd enligt denna förordning. Ett värdepappersavvecklingssystem med teknik för distribuerade liggare, och den värdepapperscentral som driver det, bör omfattas av de relevanta kraven i förordning (EU) nr 909/2014 (förordningen om värdepapperscentraler), utom när den nationella behöriga myndigheten, i enlighet med denna förordning, har beviljat den värdepapperscentral som driver värdepappersavvecklingssystemet med teknik för distribuerade liggare ett eller </w:t>
            </w:r>
            <w:r w:rsidRPr="00DF3EFC">
              <w:lastRenderedPageBreak/>
              <w:t>flera undantag.</w:t>
            </w:r>
          </w:p>
        </w:tc>
        <w:tc>
          <w:tcPr>
            <w:tcW w:w="4876" w:type="dxa"/>
          </w:tcPr>
          <w:p w:rsidR="00DF3EFC" w:rsidRPr="00DF3EFC" w:rsidRDefault="00DF3EFC" w:rsidP="00DF3EFC">
            <w:pPr>
              <w:pStyle w:val="Normal6a"/>
            </w:pPr>
            <w:r w:rsidRPr="00DF3EFC">
              <w:lastRenderedPageBreak/>
              <w:t>(10)</w:t>
            </w:r>
            <w:r w:rsidRPr="00DF3EFC">
              <w:tab/>
              <w:t xml:space="preserve">Ett värdepappersavvecklingssystem med teknik för distribuerade liggare bör vara ett avvecklingssystem för värdepapper som drivs av en värdepapperscentral som auktoriserats enligt förordning (EU) nr 909/2014 (förordningen om värdepapperscentraler) och som har fått ett särskilt tillstånd enligt denna förordning. Ett värdepappersavvecklingssystem med teknik för distribuerade liggare, och den värdepapperscentral som driver det, bör omfattas av de relevanta kraven i förordning (EU) nr 909/2014 (förordningen om värdepapperscentraler), utom när den nationella behöriga myndigheten, i enlighet med denna förordning, har beviljat den värdepapperscentral som driver värdepappersavvecklingssystemet med teknik för distribuerade liggare ett eller </w:t>
            </w:r>
            <w:r w:rsidRPr="00DF3EFC">
              <w:lastRenderedPageBreak/>
              <w:t xml:space="preserve">flera undantag. </w:t>
            </w:r>
            <w:r w:rsidRPr="00DF3EFC">
              <w:rPr>
                <w:b/>
                <w:i/>
              </w:rPr>
              <w:t>Ett sådant undantag kan endast beviljas under förutsättning att värdepappersavvecklingssystemet med teknik för distribuerade liggare drivs på ett energivänligt sätt.</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176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10a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(10a)</w:t>
            </w:r>
            <w:r w:rsidRPr="00DF3EFC">
              <w:tab/>
            </w:r>
            <w:r w:rsidRPr="00DF3EFC">
              <w:rPr>
                <w:b/>
                <w:i/>
              </w:rPr>
              <w:t>Enheter som inte är auktoriserade enligt förordning (EU) nr 909/2014 bör ha rätt att ansöka om ett specifikt tillstånd enligt denna förordning att driva ett värdepappersavvecklingssystem med teknik för distribuerade liggare, enligt ett påskyndat förfarande.</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Påskyndat förfarande för nya deltagare som inte är auktoriserade som en CSD-plattform vid tiden för ansökan.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177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(11)</w:t>
            </w:r>
            <w:r w:rsidRPr="00DF3EFC">
              <w:tab/>
              <w:t xml:space="preserve">En DLT-MTF-plattform eller en värdepapperscentral som driver ett </w:t>
            </w:r>
            <w:r w:rsidRPr="00DF3EFC">
              <w:rPr>
                <w:b/>
                <w:i/>
              </w:rPr>
              <w:t xml:space="preserve">värdepappersavvecklingssystemet </w:t>
            </w:r>
            <w:r w:rsidRPr="00DF3EFC">
              <w:t xml:space="preserve">med teknik för distribuerade liggare bör endast ta upp till handel eller registrera överförbara värdepapper med tekniken i </w:t>
            </w:r>
            <w:r w:rsidRPr="00DF3EFC">
              <w:rPr>
                <w:b/>
                <w:i/>
              </w:rPr>
              <w:lastRenderedPageBreak/>
              <w:t>sina</w:t>
            </w:r>
            <w:r w:rsidRPr="00DF3EFC">
              <w:t xml:space="preserve"> distribuerade liggare. Överförbara värdepapper med teknik för distribuerade liggare bör vara kryptotillgångar som klassificeras som ”överlåtbara värdepapper” i den mening som avses i direktiv 2014/65/EU (direktivet om marknader för finansiella instrument, Mifid II) och som emitteras, överförs och lagras i en distribuerad liggare.</w:t>
            </w:r>
          </w:p>
        </w:tc>
        <w:tc>
          <w:tcPr>
            <w:tcW w:w="4876" w:type="dxa"/>
          </w:tcPr>
          <w:p w:rsidR="00DF3EFC" w:rsidRPr="00DF3EFC" w:rsidRDefault="00DF3EFC" w:rsidP="00DF3EFC">
            <w:pPr>
              <w:pStyle w:val="Normal6a"/>
            </w:pPr>
            <w:r w:rsidRPr="00DF3EFC">
              <w:lastRenderedPageBreak/>
              <w:t>(11)</w:t>
            </w:r>
            <w:r w:rsidRPr="00DF3EFC">
              <w:tab/>
              <w:t xml:space="preserve">En DLT-MTF-plattform eller en värdepapperscentral som driver ett </w:t>
            </w:r>
            <w:r w:rsidRPr="00DF3EFC">
              <w:rPr>
                <w:b/>
                <w:i/>
              </w:rPr>
              <w:t xml:space="preserve">värdepappersavvecklingssystem </w:t>
            </w:r>
            <w:r w:rsidRPr="00DF3EFC">
              <w:t xml:space="preserve">med teknik för distribuerade liggare bör endast ta upp till handel eller registrera överförbara värdepapper med tekniken i </w:t>
            </w:r>
            <w:r w:rsidRPr="00DF3EFC">
              <w:rPr>
                <w:b/>
                <w:i/>
              </w:rPr>
              <w:t>en</w:t>
            </w:r>
            <w:r w:rsidRPr="00DF3EFC">
              <w:t xml:space="preserve"> </w:t>
            </w:r>
            <w:r w:rsidRPr="00DF3EFC">
              <w:lastRenderedPageBreak/>
              <w:t>distribuerade liggare. Överförbara värdepapper med teknik för distribuerade liggare bör vara kryptotillgångar som klassificeras som ”överlåtbara värdepapper” i den mening som avses i direktiv 2014/65/EU (direktivet om marknader för finansiella instrument, Mifid II) och som emitteras, överförs och lagras i en distribuerad liggare.</w:t>
            </w:r>
            <w:r w:rsidRPr="00DF3EFC">
              <w:rPr>
                <w:b/>
                <w:i/>
              </w:rPr>
              <w:t> I denna förordning bör det preciseras vilka värdepapper som kan överföras med teknik för distribuerade liggare som får handlas eller registreras.</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Eftersom definitionen av ”överförbara värdepapper med teknik för distribuerade liggare” avser artikel 4.1.44 a och b i Mifid II, vilken omfattar mer än vad som föreskrivs i artikel 3.1 i denna förordning.</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178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 Christophe Hansen</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(11)</w:t>
            </w:r>
            <w:r w:rsidRPr="00DF3EFC">
              <w:tab/>
              <w:t xml:space="preserve">En DLT-MTF-plattform eller en värdepapperscentral som driver ett värdepappersavvecklingssystemet med teknik för distribuerade liggare bör endast ta upp till handel eller registrera överförbara värdepapper med tekniken i </w:t>
            </w:r>
            <w:r w:rsidRPr="00DF3EFC">
              <w:rPr>
                <w:b/>
                <w:i/>
              </w:rPr>
              <w:t>sina</w:t>
            </w:r>
            <w:r w:rsidRPr="00DF3EFC">
              <w:t xml:space="preserve"> </w:t>
            </w:r>
            <w:r w:rsidRPr="00DF3EFC">
              <w:rPr>
                <w:b/>
                <w:i/>
              </w:rPr>
              <w:t>distribuerade</w:t>
            </w:r>
            <w:r w:rsidRPr="00DF3EFC">
              <w:t xml:space="preserve"> liggare. Överförbara värdepapper med teknik för distribuerade liggare bör vara kryptotillgångar som klassificeras som ”överlåtbara värdepapper” i den mening som avses i direktiv 2014/65/EU (direktivet om marknader för finansiella instrument, Mifid II) och som emitteras, överförs och lagras i en distribuerad liggare.</w:t>
            </w:r>
          </w:p>
        </w:tc>
        <w:tc>
          <w:tcPr>
            <w:tcW w:w="4876" w:type="dxa"/>
          </w:tcPr>
          <w:p w:rsidR="00DF3EFC" w:rsidRPr="00DF3EFC" w:rsidRDefault="00DF3EFC" w:rsidP="00DF3EFC">
            <w:pPr>
              <w:pStyle w:val="Normal6a"/>
            </w:pPr>
            <w:r w:rsidRPr="00DF3EFC">
              <w:t>(11)</w:t>
            </w:r>
            <w:r w:rsidRPr="00DF3EFC">
              <w:tab/>
              <w:t xml:space="preserve">En DLT-MTF-plattform eller en värdepapperscentral som driver ett värdepappersavvecklingssystemet med teknik för distribuerade liggare bör endast ta upp till handel eller registrera överförbara värdepapper med tekniken i </w:t>
            </w:r>
            <w:r w:rsidRPr="00DF3EFC">
              <w:rPr>
                <w:b/>
                <w:i/>
              </w:rPr>
              <w:t xml:space="preserve">en distribuerad </w:t>
            </w:r>
            <w:r w:rsidRPr="00DF3EFC">
              <w:t>liggare. Överförbara värdepapper med teknik för distribuerade liggare bör vara kryptotillgångar som klassificeras som ”överlåtbara värdepapper” i den mening som avses i direktiv 2014/65/EU (direktivet om marknader för finansiella instrument, Mifid II) och som emitteras, överförs och lagras i en distribuerad liggare.</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lastRenderedPageBreak/>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179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(11)</w:t>
            </w:r>
            <w:r w:rsidRPr="00DF3EFC">
              <w:tab/>
              <w:t xml:space="preserve">En DLT-MTF-plattform eller en </w:t>
            </w:r>
            <w:r w:rsidRPr="00DF3EFC">
              <w:rPr>
                <w:b/>
                <w:i/>
              </w:rPr>
              <w:t xml:space="preserve">värdepapperscentral </w:t>
            </w:r>
            <w:r w:rsidRPr="00DF3EFC">
              <w:t>som driver ett värdepappersavvecklingssystemet med teknik för distribuerade liggare bör endast ta upp till handel eller registrera överförbara värdepapper med tekniken i sina distribuerade liggare. Överförbara värdepapper med teknik för distribuerade liggare bör vara kryptotillgångar som klassificeras som ”överlåtbara värdepapper” i den mening som avses i direktiv 2014/65/EU (direktivet om marknader för finansiella instrument, Mifid II) och som emitteras, överförs och lagras i en distribuerad liggare.</w:t>
            </w:r>
          </w:p>
        </w:tc>
        <w:tc>
          <w:tcPr>
            <w:tcW w:w="4876" w:type="dxa"/>
          </w:tcPr>
          <w:p w:rsidR="00DF3EFC" w:rsidRPr="00DF3EFC" w:rsidRDefault="00DF3EFC" w:rsidP="00DF3EFC">
            <w:pPr>
              <w:pStyle w:val="Normal6a"/>
            </w:pPr>
            <w:r w:rsidRPr="00DF3EFC">
              <w:t>(11)</w:t>
            </w:r>
            <w:r w:rsidRPr="00DF3EFC">
              <w:tab/>
              <w:t xml:space="preserve">En DLT-MTF-plattform eller en </w:t>
            </w:r>
            <w:r w:rsidRPr="00DF3EFC">
              <w:rPr>
                <w:b/>
                <w:i/>
              </w:rPr>
              <w:t xml:space="preserve">enhet </w:t>
            </w:r>
            <w:r w:rsidRPr="00DF3EFC">
              <w:t>som driver ett värdepappersavvecklingssystemet med teknik för distribuerade liggare bör endast ta upp till handel eller registrera överförbara värdepapper med tekniken i sina distribuerade liggare. Överförbara värdepapper med teknik för distribuerade liggare bör vara kryptotillgångar som klassificeras som ”överlåtbara värdepapper” i den mening som avses i direktiv 2014/65/EU (direktivet om marknader för finansiella instrument, Mifid II) och som emitteras, överförs och lagras i en distribuerad liggare.</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180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Jonás Fernández,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(11)</w:t>
            </w:r>
            <w:r w:rsidRPr="00DF3EFC">
              <w:tab/>
              <w:t xml:space="preserve">En DLT-MTF-plattform eller en värdepapperscentral som driver ett värdepappersavvecklingssystemet med teknik för distribuerade liggare bör endast ta upp till handel eller registrera överförbara värdepapper med tekniken i sina distribuerade liggare. Överförbara värdepapper med teknik för distribuerade </w:t>
            </w:r>
            <w:r w:rsidRPr="00DF3EFC">
              <w:lastRenderedPageBreak/>
              <w:t>liggare bör vara kryptotillgångar som klassificeras som ”överlåtbara värdepapper” i den mening som avses i direktiv 2014/65/EU (direktivet om marknader för finansiella instrument, Mifid II) och som emitteras, överförs och lagras i en distribuerad liggare.</w:t>
            </w:r>
          </w:p>
        </w:tc>
        <w:tc>
          <w:tcPr>
            <w:tcW w:w="4876" w:type="dxa"/>
          </w:tcPr>
          <w:p w:rsidR="00DF3EFC" w:rsidRPr="00DF3EFC" w:rsidRDefault="00DF3EFC" w:rsidP="00DF3EFC">
            <w:pPr>
              <w:pStyle w:val="Normal6a"/>
            </w:pPr>
            <w:r w:rsidRPr="00DF3EFC">
              <w:lastRenderedPageBreak/>
              <w:t>(11)</w:t>
            </w:r>
            <w:r w:rsidRPr="00DF3EFC">
              <w:tab/>
              <w:t xml:space="preserve">En DLT-MTF-plattform eller en värdepapperscentral som driver ett värdepappersavvecklingssystemet med teknik för distribuerade liggare bör endast ta upp till handel eller registrera överförbara värdepapper med tekniken i sina distribuerade liggare. Överförbara värdepapper med teknik för distribuerade </w:t>
            </w:r>
            <w:r w:rsidRPr="00DF3EFC">
              <w:lastRenderedPageBreak/>
              <w:t>liggare bör vara kryptotillgångar som klassificeras som ”överlåtbara värdepapper” i den mening som avses i direktiv 2014/65/EU (direktivet om marknader för finansiella instrument, Mifid II) och som emitteras, överförs och lagras i en distribuerad liggare.</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DLT-marknadsinfrastrukturer bör bära ansvaret för risker i samband med driften av den DLT-teknik som de driver, särskilt risker avseende transparens i liggare, cyberrisker och operativa risker.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181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(12)</w:t>
            </w:r>
            <w:r w:rsidRPr="00DF3EFC">
              <w:tab/>
              <w:t xml:space="preserve">För att möjliggöra innovation och experiment i ett sunt regelverk samtidigt som den finansiella stabiliteten bevaras bör den typ av överlåtbara värdepapper som tas upp till handel </w:t>
            </w:r>
            <w:r w:rsidRPr="00DF3EFC">
              <w:rPr>
                <w:b/>
                <w:i/>
              </w:rPr>
              <w:t>på en DLT-MTF-plattform</w:t>
            </w:r>
            <w:r w:rsidRPr="00DF3EFC">
              <w:t xml:space="preserve"> eller registreras </w:t>
            </w:r>
            <w:r w:rsidRPr="00DF3EFC">
              <w:rPr>
                <w:b/>
                <w:i/>
              </w:rPr>
              <w:t>hos en värdepapperscentral som driver ett värdepappersavvecklingssystem</w:t>
            </w:r>
            <w:r w:rsidRPr="00DF3EFC">
              <w:t xml:space="preserve"> med teknik för distribuerade liggare begränsas till värdepapper, såsom aktier </w:t>
            </w:r>
            <w:r w:rsidRPr="00DF3EFC">
              <w:rPr>
                <w:b/>
                <w:i/>
              </w:rPr>
              <w:t>och obligationer som inte är likvida</w:t>
            </w:r>
            <w:r w:rsidRPr="00DF3EFC">
              <w:t>. För att avgöra om en aktie</w:t>
            </w:r>
            <w:r w:rsidRPr="00DF3EFC">
              <w:rPr>
                <w:b/>
                <w:i/>
              </w:rPr>
              <w:t xml:space="preserve"> eller obligation</w:t>
            </w:r>
            <w:r w:rsidRPr="00DF3EFC">
              <w:t xml:space="preserve"> är likvid eller inte bör det i denna förordning fastställas vissa tröskelvärden. För att undvika att det uppstår någon risk för den finansiella stabiliteten bör det totala marknadsvärdet för överförbara värdepapper med teknik för distribuerade liggare som registrerats av en värdepapperscentral som driver ett värdepappersavvecklingssystem med teknik för distribuerade liggare eller som tagits upp till handel av en DLT-MTF-</w:t>
            </w:r>
            <w:r w:rsidRPr="00DF3EFC">
              <w:lastRenderedPageBreak/>
              <w:t>plattform också begränsas.</w:t>
            </w:r>
            <w:r w:rsidRPr="00DF3EFC">
              <w:rPr>
                <w:b/>
                <w:i/>
              </w:rPr>
              <w:t xml:space="preserve"> Marknadsinfrastrukturer med teknik för distribuerade liggare bör också hindras från att ta upp statsobligationer till handel eller registrera dem i distribuerade liggare.</w:t>
            </w:r>
            <w:r w:rsidRPr="00DF3EFC">
              <w:t xml:space="preserve"> För att kontrollera att de överförbara värdepapper med teknik för distribuerade liggare som handlas på eller registreras av en marknadsinfrastruktur med teknik för distribuerade liggare uppfyller villkoren i denna förordning bör de nationella behöriga myndigheterna ha rätt att kräva att sådana marknadsinfrastrukturer med tekniken lämnar in rapporter.</w:t>
            </w:r>
          </w:p>
        </w:tc>
        <w:tc>
          <w:tcPr>
            <w:tcW w:w="4876" w:type="dxa"/>
          </w:tcPr>
          <w:p w:rsidR="00DF3EFC" w:rsidRPr="00DF3EFC" w:rsidRDefault="00DF3EFC" w:rsidP="00DF3EFC">
            <w:pPr>
              <w:pStyle w:val="Normal6a"/>
            </w:pPr>
            <w:r w:rsidRPr="00DF3EFC">
              <w:lastRenderedPageBreak/>
              <w:t>(12)</w:t>
            </w:r>
            <w:r w:rsidRPr="00DF3EFC">
              <w:tab/>
              <w:t>För att möjliggöra innovation och experiment i ett sunt regelverk samtidigt som den finansiella stabiliteten bevaras bör den typ av överlåtbara värdepapper som tas upp till handel eller registreras</w:t>
            </w:r>
            <w:r w:rsidRPr="00DF3EFC">
              <w:rPr>
                <w:b/>
                <w:i/>
              </w:rPr>
              <w:t xml:space="preserve"> i en DLT-marknadsinfrastruktur</w:t>
            </w:r>
            <w:r w:rsidRPr="00DF3EFC">
              <w:t xml:space="preserve"> begränsas till värdepapper, såsom aktier</w:t>
            </w:r>
            <w:r w:rsidRPr="00DF3EFC">
              <w:rPr>
                <w:b/>
                <w:i/>
              </w:rPr>
              <w:t>, obligationer, inklusive statsobligationer, och börshandlade fonder upp till de tröskelvärden som anges i denna förordning</w:t>
            </w:r>
            <w:r w:rsidRPr="00DF3EFC">
              <w:t>. För att avgöra om en aktie</w:t>
            </w:r>
            <w:r w:rsidRPr="00DF3EFC">
              <w:rPr>
                <w:b/>
                <w:i/>
              </w:rPr>
              <w:t xml:space="preserve">, obligation, börshandlad fond, fondföretag eller alternativ investeringsfond </w:t>
            </w:r>
            <w:r w:rsidRPr="00DF3EFC">
              <w:t xml:space="preserve">är likvid eller inte bör det i denna förordning fastställas vissa tröskelvärden. För att undvika att det uppstår någon risk för den finansiella stabiliteten bör det totala marknadsvärdet för överförbara värdepapper med teknik för distribuerade liggare som registrerats av en värdepapperscentral som driver ett värdepappersavvecklingssystem med teknik för distribuerade liggare eller som </w:t>
            </w:r>
            <w:r w:rsidRPr="00DF3EFC">
              <w:lastRenderedPageBreak/>
              <w:t xml:space="preserve">tagits upp till handel av en DLT-MTF-plattform också begränsas. För att kontrollera att de överförbara värdepapper med teknik för distribuerade liggare som handlas på eller registreras av en marknadsinfrastruktur med teknik för distribuerade liggare uppfyller villkoren i denna förordning </w:t>
            </w:r>
            <w:r w:rsidRPr="00DF3EFC">
              <w:rPr>
                <w:b/>
                <w:i/>
              </w:rPr>
              <w:t>under hela tidsperioden för deras godkända deltagande i pilotordningen</w:t>
            </w:r>
            <w:r w:rsidRPr="00DF3EFC">
              <w:t xml:space="preserve"> bör de nationella behöriga myndigheterna ha rätt att kräva att sådana marknadsinfrastrukturer med tekniken lämnar in rapporter </w:t>
            </w:r>
            <w:r w:rsidRPr="00DF3EFC">
              <w:rPr>
                <w:b/>
                <w:i/>
              </w:rPr>
              <w:t>regelbundet, på det sätt som föreskrivs i denna förordning</w:t>
            </w:r>
            <w:r w:rsidRPr="00DF3EFC">
              <w:t>.</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 föreslås att omfattningen av de tillåtliga överförbara värdepapperen ska utvidgas så att de omfattar börshandlade fonder som investerar i överförbara värdepapper med teknik för distribuerade liggare och/eller handlas, avvecklas och lagras med hjälp av teknik för distribuerade liggare för att möjliggöra en bredare experimentell omkrets, som respekterar de tröskelvärden som anges här. Sist men inte minst bör det uttryckligen anges att DLT-marknadsinfrastrukturer permanent måste respektera dessa tröskelvärden, så länge som de verkar under det tillstånd som föreskrivs här.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182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(12)</w:t>
            </w:r>
            <w:r w:rsidRPr="00DF3EFC">
              <w:tab/>
              <w:t xml:space="preserve">För att möjliggöra innovation och experiment i ett sunt regelverk samtidigt som den finansiella stabiliteten bevaras bör den typ av överlåtbara värdepapper som tas upp till handel på en DLT-MTF-plattform eller registreras hos en värdepapperscentral som driver ett värdepappersavvecklingssystem med teknik för distribuerade liggare begränsas till värdepapper, såsom aktier och obligationer </w:t>
            </w:r>
            <w:r w:rsidRPr="00DF3EFC">
              <w:rPr>
                <w:b/>
                <w:i/>
              </w:rPr>
              <w:t>som inte är likvida</w:t>
            </w:r>
            <w:r w:rsidRPr="00DF3EFC">
              <w:t xml:space="preserve">. För att </w:t>
            </w:r>
            <w:r w:rsidRPr="00DF3EFC">
              <w:lastRenderedPageBreak/>
              <w:t>avgöra om en aktie eller obligation är likvid eller inte bör det i denna förordning fastställas vissa tröskelvärden. För att undvika att det uppstår någon risk för den finansiella stabiliteten bör det totala marknadsvärdet för överförbara värdepapper med teknik för distribuerade liggare som registrerats av en värdepapperscentral som driver ett värdepappersavvecklingssystem med teknik för distribuerade liggare eller som tagits upp till handel av en DLT-MTF-plattform också begränsas. Marknadsinfrastrukturer med teknik för distribuerade liggare bör också hindras från att ta upp statsobligationer till handel eller registrera dem i distribuerade liggare. För att kontrollera att de överförbara värdepapper med teknik för distribuerade liggare som handlas på eller registreras av en marknadsinfrastruktur med teknik för distribuerade liggare uppfyller villkoren i denna förordning bör de nationella behöriga myndigheterna ha rätt att kräva att sådana marknadsinfrastrukturer med tekniken lämnar in rapporter.</w:t>
            </w:r>
          </w:p>
        </w:tc>
        <w:tc>
          <w:tcPr>
            <w:tcW w:w="4876" w:type="dxa"/>
          </w:tcPr>
          <w:p w:rsidR="00DF3EFC" w:rsidRPr="00DF3EFC" w:rsidRDefault="00DF3EFC" w:rsidP="00DF3EFC">
            <w:pPr>
              <w:pStyle w:val="Normal6a"/>
            </w:pPr>
            <w:r w:rsidRPr="00DF3EFC">
              <w:lastRenderedPageBreak/>
              <w:t>(12)</w:t>
            </w:r>
            <w:r w:rsidRPr="00DF3EFC">
              <w:tab/>
              <w:t>För att möjliggöra innovation och experiment i ett sunt regelverk samtidigt som den finansiella stabiliteten bevaras bör den typ av överlåtbara värdepapper som tas upp till handel på en DLT-MTF-plattform eller registreras hos en värdepapperscentral som driver ett värdepappersavvecklingssystem med teknik för distribuerade liggare begränsas till värdepapper, såsom aktier och obligationer</w:t>
            </w:r>
            <w:r w:rsidRPr="00DF3EFC">
              <w:rPr>
                <w:b/>
                <w:i/>
              </w:rPr>
              <w:t xml:space="preserve">, med förbehåll för de </w:t>
            </w:r>
            <w:r w:rsidRPr="00DF3EFC">
              <w:rPr>
                <w:b/>
                <w:i/>
              </w:rPr>
              <w:lastRenderedPageBreak/>
              <w:t>tröskelvärden som föreskrivs i denna förordning</w:t>
            </w:r>
            <w:r w:rsidRPr="00DF3EFC">
              <w:t>. För att avgöra om en aktie eller obligation är likvid eller inte bör det i denna förordning fastställas vissa tröskelvärden. För att undvika att det uppstår någon risk för den finansiella stabiliteten bör det totala marknadsvärdet för överförbara värdepapper med teknik för distribuerade liggare som registrerats av en värdepapperscentral som driver ett värdepappersavvecklingssystem med teknik för distribuerade liggare eller som tagits upp till handel av en DLT-MTF-plattform också begränsas. Marknadsinfrastrukturer med teknik för distribuerade liggare bör också hindras från att ta upp statsobligationer till handel eller registrera dem i distribuerade liggare. För att kontrollera att de överförbara värdepapper med teknik för distribuerade liggare som handlas på eller registreras av en marknadsinfrastruktur med teknik för distribuerade liggare uppfyller villkoren i denna förordning bör de nationella behöriga myndigheterna ha rätt att kräva att sådana marknadsinfrastrukturer med tekniken lämnar in rapporter.</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183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(12)</w:t>
            </w:r>
            <w:r w:rsidRPr="00DF3EFC">
              <w:tab/>
              <w:t xml:space="preserve">För att möjliggöra innovation och experiment i ett sunt regelverk samtidigt som den finansiella stabiliteten bevaras bör den typ av överlåtbara värdepapper som tas upp till handel på en DLT-MTF-plattform eller registreras hos en </w:t>
            </w:r>
            <w:r w:rsidRPr="00DF3EFC">
              <w:rPr>
                <w:b/>
                <w:i/>
              </w:rPr>
              <w:t xml:space="preserve">värdepapperscentral </w:t>
            </w:r>
            <w:r w:rsidRPr="00DF3EFC">
              <w:t xml:space="preserve">som driver ett värdepappersavvecklingssystem med teknik för distribuerade liggare begränsas </w:t>
            </w:r>
            <w:r w:rsidRPr="00DF3EFC">
              <w:lastRenderedPageBreak/>
              <w:t xml:space="preserve">till värdepapper, såsom aktier och obligationer som inte är likvida. För att avgöra om en aktie eller obligation är likvid eller inte bör det i denna förordning fastställas vissa tröskelvärden. För att undvika att det uppstår någon risk för den finansiella stabiliteten bör det totala marknadsvärdet för överförbara värdepapper med teknik för distribuerade liggare som registrerats av en </w:t>
            </w:r>
            <w:r w:rsidRPr="00DF3EFC">
              <w:rPr>
                <w:b/>
                <w:i/>
              </w:rPr>
              <w:t>värdepapperscentral</w:t>
            </w:r>
            <w:r w:rsidRPr="00DF3EFC">
              <w:t xml:space="preserve"> som driver ett värdepappersavvecklingssystem med teknik för distribuerade liggare eller som tagits upp till handel av en DLT-MTF-plattform också begränsas. Marknadsinfrastrukturer med teknik för distribuerade liggare bör också hindras från att ta upp statsobligationer till handel eller registrera dem i distribuerade liggare. För att kontrollera att de överförbara värdepapper med teknik för distribuerade liggare som handlas på eller registreras av en marknadsinfrastruktur med teknik för distribuerade liggare uppfyller villkoren i denna förordning bör de nationella behöriga myndigheterna ha rätt att kräva att sådana marknadsinfrastrukturer med tekniken lämnar in rapporter.</w:t>
            </w:r>
          </w:p>
        </w:tc>
        <w:tc>
          <w:tcPr>
            <w:tcW w:w="4876" w:type="dxa"/>
          </w:tcPr>
          <w:p w:rsidR="00DF3EFC" w:rsidRPr="00DF3EFC" w:rsidRDefault="00DF3EFC" w:rsidP="00DF3EFC">
            <w:pPr>
              <w:pStyle w:val="Normal6a"/>
            </w:pPr>
            <w:r w:rsidRPr="00DF3EFC">
              <w:lastRenderedPageBreak/>
              <w:t>(12)</w:t>
            </w:r>
            <w:r w:rsidRPr="00DF3EFC">
              <w:tab/>
              <w:t xml:space="preserve">För att möjliggöra innovation och experiment i ett sunt regelverk samtidigt som den finansiella stabiliteten bevaras bör den typ av överlåtbara värdepapper som tas upp till handel på en DLT-MTF-plattform eller registreras hos en </w:t>
            </w:r>
            <w:r w:rsidRPr="00DF3EFC">
              <w:rPr>
                <w:b/>
                <w:i/>
              </w:rPr>
              <w:t>enhet</w:t>
            </w:r>
            <w:r w:rsidRPr="00DF3EFC">
              <w:t xml:space="preserve"> som driver ett värdepappersavvecklingssystem med teknik för distribuerade liggare begränsas till värdepapper, såsom aktier och </w:t>
            </w:r>
            <w:r w:rsidRPr="00DF3EFC">
              <w:lastRenderedPageBreak/>
              <w:t xml:space="preserve">obligationer som inte är likvida. För att avgöra om en aktie eller obligation är likvid eller inte bör det i denna förordning fastställas vissa tröskelvärden. För att undvika att det uppstår någon risk för den finansiella stabiliteten bör det totala marknadsvärdet för överförbara värdepapper med teknik för distribuerade liggare som registrerats av en </w:t>
            </w:r>
            <w:r w:rsidRPr="00DF3EFC">
              <w:rPr>
                <w:b/>
                <w:i/>
              </w:rPr>
              <w:t>enhet</w:t>
            </w:r>
            <w:r w:rsidRPr="00DF3EFC">
              <w:t xml:space="preserve"> som driver ett värdepappersavvecklingssystem med teknik för distribuerade liggare eller som tagits upp till handel av en DLT-MTF-plattform också begränsas. Marknadsinfrastrukturer med teknik för distribuerade liggare bör också hindras från att ta upp statsobligationer till handel eller registrera dem i distribuerade liggare. För att kontrollera att de överförbara värdepapper med teknik för distribuerade liggare som handlas på eller registreras av en marknadsinfrastruktur med teknik för distribuerade liggare uppfyller villkoren i denna förordning bör de nationella behöriga myndigheterna ha rätt att kräva att sådana marknadsinfrastrukturer med tekniken lämnar in rapporter.</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184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(13)</w:t>
            </w:r>
            <w:r w:rsidRPr="00DF3EFC">
              <w:tab/>
              <w:t xml:space="preserve">För att säkerställa lika spelregler för överlåtbara värdepapper som tas upp till handel på en traditionell handelsplats i den mening som avses i direktiv 2014/65/EU </w:t>
            </w:r>
            <w:r w:rsidRPr="00DF3EFC">
              <w:lastRenderedPageBreak/>
              <w:t xml:space="preserve">(direktivet om marknader för finansiella instrument, Mifid II) och </w:t>
            </w:r>
            <w:r w:rsidRPr="00DF3EFC">
              <w:rPr>
                <w:b/>
                <w:i/>
              </w:rPr>
              <w:t>en hög nivå</w:t>
            </w:r>
            <w:r w:rsidRPr="00DF3EFC">
              <w:t xml:space="preserve"> av marknadsintegritet bör de överförbara värdepapper med teknik för distribuerade liggare som tas upp till handel på en DLT-MTF-plattform alltid omfattas av bestämmelserna om förbud mot marknadsmissbruk i förordning (EU) nr 596/2014 (marknadsmissbruksförordningen).</w:t>
            </w:r>
          </w:p>
        </w:tc>
        <w:tc>
          <w:tcPr>
            <w:tcW w:w="4876" w:type="dxa"/>
          </w:tcPr>
          <w:p w:rsidR="00DF3EFC" w:rsidRPr="00DF3EFC" w:rsidRDefault="00DF3EFC" w:rsidP="00DF3EFC">
            <w:pPr>
              <w:pStyle w:val="Normal6a"/>
            </w:pPr>
            <w:r w:rsidRPr="00DF3EFC">
              <w:lastRenderedPageBreak/>
              <w:t>(13)</w:t>
            </w:r>
            <w:r w:rsidRPr="00DF3EFC">
              <w:tab/>
              <w:t xml:space="preserve">För att säkerställa lika spelregler för överlåtbara värdepapper som tas upp till handel på en traditionell handelsplats i den mening som avses i direktiv 2014/65/EU </w:t>
            </w:r>
            <w:r w:rsidRPr="00DF3EFC">
              <w:lastRenderedPageBreak/>
              <w:t xml:space="preserve">(direktivet om marknader för finansiella instrument, Mifid II) och </w:t>
            </w:r>
            <w:r w:rsidRPr="00DF3EFC">
              <w:rPr>
                <w:b/>
                <w:i/>
              </w:rPr>
              <w:t xml:space="preserve">säkerställa höga nivåer </w:t>
            </w:r>
            <w:r w:rsidRPr="00DF3EFC">
              <w:t>av marknadsintegritet</w:t>
            </w:r>
            <w:r w:rsidRPr="00DF3EFC">
              <w:rPr>
                <w:b/>
                <w:i/>
              </w:rPr>
              <w:t>, investerarskydd och finansiell stabilitet,</w:t>
            </w:r>
            <w:r w:rsidRPr="00DF3EFC">
              <w:t xml:space="preserve"> bör de överförbara värdepapper med teknik för distribuerade liggare som tas upp till handel på en DLT-MTF-plattform alltid omfattas av bestämmelserna om förbud mot marknadsmissbruk i förordning (EU) nr 596/2014 (marknadsmissbruksförordningen).</w:t>
            </w:r>
          </w:p>
        </w:tc>
      </w:tr>
    </w:tbl>
    <w:p w:rsidR="00DF3EFC" w:rsidRPr="00DF3EFC" w:rsidRDefault="00DF3EFC" w:rsidP="00DF3EFC">
      <w:pPr>
        <w:pStyle w:val="AmOrLang"/>
        <w:rPr>
          <w:lang w:val="pt-PT"/>
        </w:rPr>
      </w:pPr>
      <w:r w:rsidRPr="00DF3EFC">
        <w:rPr>
          <w:lang w:val="pt-PT"/>
        </w:rPr>
        <w:lastRenderedPageBreak/>
        <w:t xml:space="preserve">Or. </w:t>
      </w:r>
      <w:r w:rsidRPr="00DF3EFC">
        <w:rPr>
          <w:rStyle w:val="HideTWBExt"/>
          <w:lang w:val="pt-PT"/>
        </w:rPr>
        <w:t>&lt;Original&gt;</w:t>
      </w:r>
      <w:r w:rsidRPr="00DF3EFC">
        <w:rPr>
          <w:rStyle w:val="HideTWBInt"/>
          <w:rFonts w:eastAsiaTheme="majorEastAsia"/>
          <w:lang w:val="pt-PT"/>
        </w:rPr>
        <w:t>{EN}</w:t>
      </w:r>
      <w:r w:rsidRPr="00DF3EFC">
        <w:rPr>
          <w:lang w:val="pt-PT"/>
        </w:rPr>
        <w:t>en</w:t>
      </w:r>
      <w:r w:rsidRPr="00DF3EFC">
        <w:rPr>
          <w:rStyle w:val="HideTWBExt"/>
          <w:lang w:val="pt-PT"/>
        </w:rPr>
        <w:t>&lt;/Original&gt;</w:t>
      </w:r>
    </w:p>
    <w:p w:rsidR="00DF3EFC" w:rsidRPr="00DF3EFC" w:rsidRDefault="00DF3EFC" w:rsidP="00DF3EFC">
      <w:pPr>
        <w:rPr>
          <w:lang w:val="pt-PT"/>
        </w:rPr>
      </w:pPr>
      <w:r w:rsidRPr="00DF3EFC">
        <w:rPr>
          <w:rStyle w:val="HideTWBExt"/>
          <w:lang w:val="pt-PT"/>
        </w:rPr>
        <w:t>&lt;/AmendB&gt;</w:t>
      </w:r>
    </w:p>
    <w:p w:rsidR="00DF3EFC" w:rsidRPr="00DF3EFC" w:rsidRDefault="00DF3EFC" w:rsidP="00DF3EFC">
      <w:pPr>
        <w:pStyle w:val="AmNumberTabs"/>
        <w:rPr>
          <w:lang w:val="pt-PT"/>
        </w:rPr>
      </w:pPr>
      <w:r w:rsidRPr="00DF3EFC">
        <w:rPr>
          <w:rStyle w:val="HideTWBExt"/>
          <w:b w:val="0"/>
          <w:lang w:val="pt-PT"/>
        </w:rPr>
        <w:t>&lt;AmendB&gt;</w:t>
      </w:r>
      <w:r w:rsidRPr="00DF3EFC">
        <w:rPr>
          <w:lang w:val="pt-PT"/>
        </w:rPr>
        <w:t>Ändringsförslag</w:t>
      </w:r>
      <w:r w:rsidRPr="00DF3EFC">
        <w:rPr>
          <w:lang w:val="pt-PT"/>
        </w:rPr>
        <w:tab/>
      </w:r>
      <w:r w:rsidRPr="00DF3EFC">
        <w:rPr>
          <w:lang w:val="pt-PT"/>
        </w:rPr>
        <w:tab/>
      </w:r>
      <w:r w:rsidRPr="00DF3EFC">
        <w:rPr>
          <w:rStyle w:val="HideTWBExt"/>
          <w:b w:val="0"/>
          <w:lang w:val="pt-PT"/>
        </w:rPr>
        <w:t>&lt;NumAmB&gt;</w:t>
      </w:r>
      <w:r w:rsidRPr="00DF3EFC">
        <w:rPr>
          <w:lang w:val="pt-PT"/>
        </w:rPr>
        <w:t>185</w:t>
      </w:r>
      <w:r w:rsidRPr="00DF3EFC">
        <w:rPr>
          <w:rStyle w:val="HideTWBExt"/>
          <w:b w:val="0"/>
          <w:lang w:val="pt-PT"/>
        </w:rPr>
        <w:t>&lt;/NumAmB&gt;</w:t>
      </w:r>
    </w:p>
    <w:p w:rsidR="00DF3EFC" w:rsidRPr="00DF3EFC" w:rsidRDefault="00DF3EFC" w:rsidP="00DF3EFC">
      <w:pPr>
        <w:pStyle w:val="NormalBold"/>
        <w:rPr>
          <w:lang w:val="pt-PT"/>
        </w:rPr>
      </w:pPr>
      <w:r w:rsidRPr="00DF3EFC">
        <w:rPr>
          <w:rStyle w:val="HideTWBExt"/>
          <w:b w:val="0"/>
          <w:lang w:val="pt-PT"/>
        </w:rPr>
        <w:t>&lt;RepeatBlock-By&gt;&lt;Members&gt;</w:t>
      </w:r>
      <w:r w:rsidRPr="00DF3EFC">
        <w:rPr>
          <w:lang w:val="pt-PT"/>
        </w:rPr>
        <w:t>Eero Heinäluoma, Jonás Fernández, Pedro Marques</w:t>
      </w:r>
      <w:r w:rsidRPr="00DF3EFC">
        <w:rPr>
          <w:rStyle w:val="HideTWBExt"/>
          <w:b w:val="0"/>
          <w:lang w:val="pt-PT"/>
        </w:rPr>
        <w:t>&lt;/Members&gt;</w:t>
      </w:r>
    </w:p>
    <w:p w:rsidR="00DF3EFC" w:rsidRPr="00DF3EFC" w:rsidRDefault="00DF3EFC" w:rsidP="00DF3EFC">
      <w:pPr>
        <w:pStyle w:val="NormalBold"/>
        <w:rPr>
          <w:lang w:val="pt-PT"/>
        </w:rPr>
      </w:pPr>
      <w:r w:rsidRPr="00DF3EFC">
        <w:rPr>
          <w:rStyle w:val="HideTWBExt"/>
          <w:b w:val="0"/>
          <w:lang w:val="pt-P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(13)</w:t>
            </w:r>
            <w:r w:rsidRPr="00DF3EFC">
              <w:tab/>
              <w:t xml:space="preserve">För att säkerställa lika spelregler för överlåtbara värdepapper som tas upp till handel på en traditionell handelsplats i den mening som avses i direktiv 2014/65/EU (direktivet om marknader för finansiella instrument, Mifid II) och </w:t>
            </w:r>
            <w:r w:rsidRPr="00DF3EFC">
              <w:rPr>
                <w:b/>
                <w:i/>
              </w:rPr>
              <w:t>en hög nivå</w:t>
            </w:r>
            <w:r w:rsidRPr="00DF3EFC">
              <w:t xml:space="preserve"> av marknadsintegritet bör de överförbara värdepapper med teknik för distribuerade liggare som tas upp till handel på en DLT-MTF-plattform alltid omfattas av bestämmelserna om förbud mot marknadsmissbruk i förordning (EU) nr 596/2014 (marknadsmissbruksförordningen).</w:t>
            </w:r>
          </w:p>
        </w:tc>
        <w:tc>
          <w:tcPr>
            <w:tcW w:w="4876" w:type="dxa"/>
          </w:tcPr>
          <w:p w:rsidR="00DF3EFC" w:rsidRPr="00DF3EFC" w:rsidRDefault="00DF3EFC" w:rsidP="00DF3EFC">
            <w:pPr>
              <w:pStyle w:val="Normal6a"/>
            </w:pPr>
            <w:r w:rsidRPr="00DF3EFC">
              <w:t>(13)</w:t>
            </w:r>
            <w:r w:rsidRPr="00DF3EFC">
              <w:tab/>
              <w:t xml:space="preserve">För att säkerställa lika spelregler för överlåtbara värdepapper som tas upp till handel på en traditionell handelsplats i den mening som avses i direktiv 2014/65/EU (direktivet om marknader för finansiella instrument, Mifid II) och </w:t>
            </w:r>
            <w:r w:rsidRPr="00DF3EFC">
              <w:rPr>
                <w:b/>
                <w:i/>
              </w:rPr>
              <w:t xml:space="preserve">säkerställa höga nivåer </w:t>
            </w:r>
            <w:r w:rsidRPr="00DF3EFC">
              <w:t>av marknadsintegritet</w:t>
            </w:r>
            <w:r w:rsidRPr="00DF3EFC">
              <w:rPr>
                <w:b/>
                <w:i/>
              </w:rPr>
              <w:t>, investerarskydd och finansiell stabilitet,</w:t>
            </w:r>
            <w:r w:rsidRPr="00DF3EFC">
              <w:t xml:space="preserve"> bör de överförbara värdepapper med teknik för distribuerade liggare som tas upp till handel på en DLT-MTF-plattform alltid omfattas av bestämmelserna om förbud mot marknadsmissbruk i förordning (EU) nr 596/2014 (marknadsmissbruksförordningen).</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186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14</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(14)</w:t>
            </w:r>
            <w:r w:rsidRPr="00DF3EFC">
              <w:tab/>
              <w:t xml:space="preserve">En DLT-MTF-plattform bör kunna ansöka om ett eller flera tillfälliga undantag, enligt förteckningen i denna förordning, som ska beviljas av den behöriga myndigheten, om den uppfyller de villkor som är knutna till sådana undantag samt de ytterligare krav som fastställs i denna förordning för att hantera nya former av risker som uppkommer till följd av användningen av teknik för distribuerade liggare. DLT-MTF-plattformen bör också följa eventuella </w:t>
            </w:r>
            <w:r w:rsidRPr="00DF3EFC">
              <w:rPr>
                <w:b/>
                <w:i/>
              </w:rPr>
              <w:t>kompensationsåtgärder</w:t>
            </w:r>
            <w:r w:rsidRPr="00DF3EFC">
              <w:rPr>
                <w:b/>
              </w:rPr>
              <w:t xml:space="preserve"> </w:t>
            </w:r>
            <w:r w:rsidRPr="00DF3EFC">
              <w:t>som den behöriga myndigheten vidtar för att uppfylla de mål som eftersträvas med den bestämmelse för vilken ett undantag har begärts.</w:t>
            </w:r>
          </w:p>
        </w:tc>
        <w:tc>
          <w:tcPr>
            <w:tcW w:w="4876" w:type="dxa"/>
          </w:tcPr>
          <w:p w:rsidR="00DF3EFC" w:rsidRPr="00DF3EFC" w:rsidRDefault="00DF3EFC" w:rsidP="00DF3EFC">
            <w:pPr>
              <w:pStyle w:val="Normal6a"/>
            </w:pPr>
            <w:r w:rsidRPr="00DF3EFC">
              <w:t>(14)</w:t>
            </w:r>
            <w:r w:rsidRPr="00DF3EFC">
              <w:tab/>
              <w:t xml:space="preserve">En DLT-MTF-plattform bör kunna ansöka om ett eller flera tillfälliga undantag, enligt förteckningen i denna förordning, som ska beviljas av den behöriga myndigheten, </w:t>
            </w:r>
            <w:r w:rsidRPr="00DF3EFC">
              <w:rPr>
                <w:b/>
                <w:i/>
              </w:rPr>
              <w:t>efter en rekommendation utfärdad av Esma,</w:t>
            </w:r>
            <w:r w:rsidRPr="00DF3EFC">
              <w:t xml:space="preserve"> om den uppfyller de villkor som är knutna till sådana undantag samt de ytterligare krav som fastställs i denna förordning för att hantera nya former av risker som uppkommer till följd av användningen av teknik för distribuerade liggare. DLT-MTF-plattformen bör också följa eventuella </w:t>
            </w:r>
            <w:r w:rsidRPr="00DF3EFC">
              <w:rPr>
                <w:b/>
                <w:i/>
              </w:rPr>
              <w:t>kompensations- eller korrigeringsåtgärder</w:t>
            </w:r>
            <w:r w:rsidRPr="00DF3EFC">
              <w:t xml:space="preserve"> som den behöriga myndigheten vidtar</w:t>
            </w:r>
            <w:r w:rsidRPr="00DF3EFC">
              <w:rPr>
                <w:b/>
                <w:i/>
              </w:rPr>
              <w:t>, eller som Esma rekommenderar,</w:t>
            </w:r>
            <w:r w:rsidRPr="00DF3EFC">
              <w:t xml:space="preserve"> för att uppfylla de mål som eftersträvas med den bestämmelse för vilken ett undantag har begärts.</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För att uppnå tillsynskonvergens, konsekvens och proportionalitet för de undantag som beviljas enligt denna förordning av olika nationella behöriga myndigheter i unionen, som kanske inte har samma tekniska skicklighet, vilket främjar lika villkor och avskräcker från regelarbitrage, föreslås en förstärkt roll för Esma. I linje med åtgärd 16 i kommissionens nya handlingsplan för kapitalunionen.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187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Paul Tang, Jonás Fernández,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14</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(14)</w:t>
            </w:r>
            <w:r w:rsidRPr="00DF3EFC">
              <w:tab/>
              <w:t xml:space="preserve">En DLT-MTF-plattform bör kunna ansöka om ett eller flera tillfälliga undantag, enligt förteckningen i denna förordning, som ska beviljas av den behöriga myndigheten, om den uppfyller de villkor som är knutna till sådana </w:t>
            </w:r>
            <w:r w:rsidRPr="00DF3EFC">
              <w:lastRenderedPageBreak/>
              <w:t xml:space="preserve">undantag samt de ytterligare krav som fastställs i denna förordning för att hantera nya former av risker som uppkommer till följd av användningen av teknik för distribuerade liggare. </w:t>
            </w:r>
            <w:r w:rsidRPr="00DF3EFC">
              <w:rPr>
                <w:b/>
                <w:i/>
              </w:rPr>
              <w:t>DLT-MTF-plattformen</w:t>
            </w:r>
            <w:r w:rsidRPr="00DF3EFC">
              <w:t xml:space="preserve"> bör också följa eventuella</w:t>
            </w:r>
            <w:r w:rsidRPr="00DF3EFC">
              <w:rPr>
                <w:b/>
                <w:i/>
              </w:rPr>
              <w:t xml:space="preserve"> kompensationsåtgärder </w:t>
            </w:r>
            <w:r w:rsidRPr="00DF3EFC">
              <w:t>som den behöriga myndigheten vidtar för att uppfylla de mål som eftersträvas med den bestämmelse för vilken ett undantag har begärts.</w:t>
            </w:r>
          </w:p>
        </w:tc>
        <w:tc>
          <w:tcPr>
            <w:tcW w:w="4876" w:type="dxa"/>
          </w:tcPr>
          <w:p w:rsidR="00DF3EFC" w:rsidRPr="00DF3EFC" w:rsidRDefault="00DF3EFC" w:rsidP="00DF3EFC">
            <w:pPr>
              <w:pStyle w:val="Normal6a"/>
            </w:pPr>
            <w:r w:rsidRPr="00DF3EFC">
              <w:lastRenderedPageBreak/>
              <w:t>(14)</w:t>
            </w:r>
            <w:r w:rsidRPr="00DF3EFC">
              <w:tab/>
              <w:t xml:space="preserve">En DLT-MTF-plattform bör kunna ansöka om ett eller flera tillfälliga undantag, enligt förteckningen i denna förordning, som ska beviljas av den behöriga myndigheten </w:t>
            </w:r>
            <w:r w:rsidRPr="00DF3EFC">
              <w:rPr>
                <w:b/>
                <w:i/>
              </w:rPr>
              <w:t>efter det att Esma har utfärdat sin rekommendation</w:t>
            </w:r>
            <w:r w:rsidRPr="00DF3EFC">
              <w:t xml:space="preserve">, om den </w:t>
            </w:r>
            <w:r w:rsidRPr="00DF3EFC">
              <w:lastRenderedPageBreak/>
              <w:t xml:space="preserve">uppfyller de villkor som är knutna till sådana undantag samt de ytterligare krav som fastställs i denna förordning för att hantera nya former av risker som uppkommer till följd av användningen av teknik för distribuerade liggare. </w:t>
            </w:r>
            <w:r w:rsidRPr="00DF3EFC">
              <w:rPr>
                <w:b/>
                <w:i/>
              </w:rPr>
              <w:t>En DLT-MTF-plattform</w:t>
            </w:r>
            <w:r w:rsidRPr="00DF3EFC">
              <w:t xml:space="preserve"> bör också följa eventuella </w:t>
            </w:r>
            <w:r w:rsidRPr="00DF3EFC">
              <w:rPr>
                <w:b/>
                <w:i/>
              </w:rPr>
              <w:t>kompensations- eller korrigeringsåtgärder</w:t>
            </w:r>
            <w:r w:rsidRPr="00DF3EFC">
              <w:t xml:space="preserve"> som den behöriga myndigheten vidtar för att uppfylla de mål som eftersträvas med den bestämmelse för vilken ett undantag har begärts.</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188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Christophe Hansen, Lídia Pereira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14</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(14)</w:t>
            </w:r>
            <w:r w:rsidRPr="00DF3EFC">
              <w:tab/>
              <w:t>En DLT-MTF-plattform bör kunna ansöka om ett eller flera tillfälliga undantag, enligt förteckningen i denna förordning, som ska beviljas av den behöriga myndigheten, om den uppfyller de villkor som är knutna till sådana undantag samt de ytterligare krav som fastställs i denna förordning för att hantera nya former av risker som uppkommer till följd av användningen av teknik för distribuerade liggare. DLT-MTF-plattformen bör också följa eventuella kompensationsåtgärder som den behöriga myndigheten vidtar för att uppfylla de mål som eftersträvas med den bestämmelse för vilken ett undantag har begärts.</w:t>
            </w:r>
          </w:p>
        </w:tc>
        <w:tc>
          <w:tcPr>
            <w:tcW w:w="4876" w:type="dxa"/>
          </w:tcPr>
          <w:p w:rsidR="00DF3EFC" w:rsidRPr="00DF3EFC" w:rsidRDefault="00DF3EFC" w:rsidP="00DF3EFC">
            <w:pPr>
              <w:pStyle w:val="Normal6a"/>
            </w:pPr>
            <w:r w:rsidRPr="00DF3EFC">
              <w:t>(14)</w:t>
            </w:r>
            <w:r w:rsidRPr="00DF3EFC">
              <w:tab/>
              <w:t>En DLT-MTF-plattform bör kunna ansöka om ett eller flera tillfälliga undantag, enligt förteckningen i denna förordning, som ska beviljas av den behöriga myndigheten</w:t>
            </w:r>
            <w:r w:rsidRPr="00DF3EFC">
              <w:rPr>
                <w:b/>
                <w:i/>
              </w:rPr>
              <w:t xml:space="preserve"> efter det att Esma har utfärdat ett icke bindande yttrande</w:t>
            </w:r>
            <w:r w:rsidRPr="00DF3EFC">
              <w:t>, om den uppfyller de villkor som är knutna till sådana undantag samt de ytterligare krav som fastställs i denna förordning för att hantera nya former av risker som uppkommer till följd av användningen av teknik för distribuerade liggare. DLT-MTF-plattformen bör också följa eventuella kompensationsåtgärder som den behöriga myndigheten vidtar för att uppfylla de mål som eftersträvas med den bestämmelse för vilken ett undantag har begärts.</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189</w:t>
      </w:r>
      <w:r w:rsidRPr="00DF3EFC">
        <w:rPr>
          <w:rStyle w:val="HideTWBExt"/>
          <w:b w:val="0"/>
        </w:rPr>
        <w:t>&lt;/NumAmB&gt;</w:t>
      </w:r>
    </w:p>
    <w:p w:rsidR="00DF3EFC" w:rsidRPr="00DF3EFC" w:rsidRDefault="00DF3EFC" w:rsidP="00DF3EFC">
      <w:pPr>
        <w:pStyle w:val="NormalBold"/>
      </w:pPr>
      <w:r w:rsidRPr="00DF3EFC">
        <w:rPr>
          <w:rStyle w:val="HideTWBExt"/>
          <w:b w:val="0"/>
        </w:rPr>
        <w:lastRenderedPageBreak/>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(15)</w:t>
            </w:r>
            <w:r w:rsidRPr="00DF3EFC">
              <w:tab/>
              <w:t>Om ett finansiellt instrument tas upp till handel på en MTF-plattform ska det registreras hos en auktoriserad värdepapperscentral i enlighet med förordning (EU) nr 909/2014 (</w:t>
            </w:r>
            <w:r w:rsidRPr="00DF3EFC">
              <w:rPr>
                <w:b/>
                <w:i/>
              </w:rPr>
              <w:t>förordningen om värdepapperscentraler</w:t>
            </w:r>
            <w:r w:rsidRPr="00DF3EFC">
              <w:t xml:space="preserve">). Även om registrering av ett överlåtbart värdepapper och avveckling av relaterade transaktioner eventuellt skulle kunna utföras i en distribuerad liggare, föreskrivs i förordning (EU) nr 909/2014 en förmedling genom en värdepapperscentral, vilket skulle leda till att man måste kopiera registreringen i den distribuerade liggaren till värdepapperscentralsnivå, vilket skulle kunna medföra en funktionellt överflödig överlappning av livscykeln för handeln av det finansiella instrument som hanteras av marknadsinfrastrukturer med teknik för distribuerade liggare som omfattas av denna förordning. Därför bör en DLT-MTF-plattform kunna begära ett undantag från kravet på registrering i kontobaserad form hos en värdepapperscentral enligt förordning (EU) nr 909/2014, om DLT-MTF-plattformen uppfyller krav som är likvärdiga med dem som gäller för en värdepapperscentral. DLT-MTF-plattformen bör registrera de överlåtbara värdepapperen i </w:t>
            </w:r>
            <w:r w:rsidRPr="00DF3EFC">
              <w:rPr>
                <w:b/>
                <w:i/>
              </w:rPr>
              <w:t xml:space="preserve">sin distribuerade </w:t>
            </w:r>
            <w:r w:rsidRPr="00DF3EFC">
              <w:t>liggare, säkerställa integriteten i emissionerna i den distribuerade liggaren, inrätta och upprätthålla förfaranden för att säkerställa förvaringen av de överförbara värdepappren med teknik för distribuerade liggare, slutföra avvecklingen av transaktioner och förhindra utebliven avveckling.</w:t>
            </w:r>
          </w:p>
        </w:tc>
        <w:tc>
          <w:tcPr>
            <w:tcW w:w="4876" w:type="dxa"/>
          </w:tcPr>
          <w:p w:rsidR="00DF3EFC" w:rsidRPr="00DF3EFC" w:rsidRDefault="00DF3EFC" w:rsidP="00DF3EFC">
            <w:pPr>
              <w:pStyle w:val="Normal6a"/>
            </w:pPr>
            <w:r w:rsidRPr="00DF3EFC">
              <w:t>(15)</w:t>
            </w:r>
            <w:r w:rsidRPr="00DF3EFC">
              <w:tab/>
              <w:t xml:space="preserve">Om ett finansiellt instrument tas upp till handel på en MTF-plattform ska det registreras hos en auktoriserad värdepapperscentral </w:t>
            </w:r>
            <w:r w:rsidRPr="00DF3EFC">
              <w:rPr>
                <w:b/>
                <w:i/>
              </w:rPr>
              <w:t>(CSD)</w:t>
            </w:r>
            <w:r w:rsidRPr="00DF3EFC">
              <w:t xml:space="preserve"> i enlighet med förordning (EU) nr 909/2014</w:t>
            </w:r>
            <w:r w:rsidRPr="00DF3EFC">
              <w:rPr>
                <w:b/>
                <w:i/>
              </w:rPr>
              <w:t xml:space="preserve"> (CSDR)</w:t>
            </w:r>
            <w:r w:rsidRPr="00DF3EFC">
              <w:t xml:space="preserve">. Även om registrering av ett överlåtbart värdepapper och avveckling av relaterade transaktioner eventuellt skulle kunna utföras i en distribuerad liggare, föreskrivs i förordning (EU) nr 909/2014 en förmedling genom en värdepapperscentral, vilket skulle leda till att man måste kopiera registreringen i den distribuerade liggaren till värdepapperscentralsnivå, vilket skulle kunna medföra en funktionellt överflödig överlappning av livscykeln för handeln av det finansiella instrument som hanteras av marknadsinfrastrukturer med teknik för distribuerade liggare som omfattas av denna förordning. Därför bör en DLT-MTF-plattform kunna begära ett undantag från kravet på registrering i kontobaserad form hos en värdepapperscentral enligt förordning (EU) nr 909/2014, om DLT-MTF-plattformen uppfyller krav som är likvärdiga med dem som gäller för en värdepapperscentral. DLT-MTF-plattformen bör registrera de överlåtbara värdepapperen i </w:t>
            </w:r>
            <w:r w:rsidRPr="00DF3EFC">
              <w:rPr>
                <w:b/>
                <w:i/>
              </w:rPr>
              <w:t>en distribuerad</w:t>
            </w:r>
            <w:r w:rsidRPr="00DF3EFC">
              <w:t xml:space="preserve"> liggare, säkerställa integriteten i emissionerna i den distribuerade liggaren, inrätta och upprätthålla förfaranden för att säkerställa förvaringen av de överförbara värdepappren med teknik för distribuerade liggare, slutföra avvecklingen av transaktioner och förhindra utebliven avveckling.</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lastRenderedPageBreak/>
        <w:t>&lt;TitreJust&gt;</w:t>
      </w:r>
      <w:r w:rsidRPr="00DF3EFC">
        <w:t>Motivering</w:t>
      </w:r>
      <w:r w:rsidRPr="00DF3EFC">
        <w:rPr>
          <w:rStyle w:val="HideTWBExt"/>
          <w:i w:val="0"/>
        </w:rPr>
        <w:t>&lt;/TitreJust&gt;</w:t>
      </w:r>
    </w:p>
    <w:p w:rsidR="00DF3EFC" w:rsidRPr="00DF3EFC" w:rsidRDefault="00DF3EFC" w:rsidP="00DF3EFC">
      <w:pPr>
        <w:pStyle w:val="AmJustText"/>
      </w:pPr>
      <w:r w:rsidRPr="00DF3EFC">
        <w:t>Möjligheten att använda offentlig, tillåten blockkedja eller konsortiers blockkedja, som redan har används i europeiska projekt med teknik för distribuerade liggare skulle göra det möjligt för pilotordningen att testa och utveckla nya modeller/roller och bli framtidssäker. För varje typ av teknik med distribuerad liggare som väljs (antingen den är offentlig, genom konsortier eller privat), under auktoriseringsprocessen av de nationella behöriga myndigheterna och Esma, skulle DLT-MTF-plattformen eller DLT-värdepappersavvecklingssystemet behöva dokumentera och säkerställa investerarskydd, marknadsintegritet och finansiell stabilitet.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190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(15)</w:t>
            </w:r>
            <w:r w:rsidRPr="00DF3EFC">
              <w:tab/>
              <w:t xml:space="preserve">Om ett finansiellt instrument tas upp till handel på en MTF-plattform ska det registreras hos en auktoriserad värdepapperscentral i enlighet med förordning (EU) nr 909/2014 (förordningen om värdepapperscentraler). Även om registrering av ett överlåtbart värdepapper och avveckling av relaterade transaktioner eventuellt skulle kunna utföras i en distribuerad liggare, föreskrivs i förordning (EU) nr 909/2014 en förmedling genom en värdepapperscentral, vilket skulle leda till att man måste kopiera registreringen i den distribuerade liggaren till värdepapperscentralsnivå, vilket skulle kunna medföra en funktionellt överflödig överlappning av livscykeln för handeln av det finansiella instrument som hanteras av marknadsinfrastrukturer med teknik för distribuerade liggare som omfattas av denna förordning. Därför bör en DLT-MTF-plattform kunna begära ett undantag från kravet på registrering i kontobaserad form hos en värdepapperscentral enligt förordning (EU) nr 909/2014, om DLT-MTF-plattformen uppfyller krav som är likvärdiga med dem som gäller för en värdepapperscentral. DLT-MTF-plattformen bör registrera de överlåtbara </w:t>
            </w:r>
            <w:r w:rsidRPr="00DF3EFC">
              <w:lastRenderedPageBreak/>
              <w:t xml:space="preserve">värdepapperen i </w:t>
            </w:r>
            <w:r w:rsidRPr="00DF3EFC">
              <w:rPr>
                <w:b/>
                <w:i/>
              </w:rPr>
              <w:t xml:space="preserve">sin distribuerade </w:t>
            </w:r>
            <w:r w:rsidRPr="00DF3EFC">
              <w:t>liggare, säkerställa integriteten i emissionerna i den distribuerade liggaren, inrätta och upprätthålla förfaranden för att säkerställa förvaringen av de överförbara värdepappren med teknik för distribuerade liggare, slutföra avvecklingen av transaktioner och förhindra utebliven avveckling.</w:t>
            </w:r>
          </w:p>
        </w:tc>
        <w:tc>
          <w:tcPr>
            <w:tcW w:w="4876" w:type="dxa"/>
          </w:tcPr>
          <w:p w:rsidR="00DF3EFC" w:rsidRPr="00DF3EFC" w:rsidRDefault="00DF3EFC" w:rsidP="00DF3EFC">
            <w:pPr>
              <w:pStyle w:val="Normal6a"/>
            </w:pPr>
            <w:r w:rsidRPr="00DF3EFC">
              <w:lastRenderedPageBreak/>
              <w:t>(15)</w:t>
            </w:r>
            <w:r w:rsidRPr="00DF3EFC">
              <w:tab/>
              <w:t xml:space="preserve">Om ett finansiellt instrument tas upp till handel på en MTF-plattform ska det registreras hos en auktoriserad värdepapperscentral i enlighet med förordning (EU) nr 909/2014 (förordningen om värdepapperscentraler). Även om registrering av ett överlåtbart värdepapper och avveckling av relaterade transaktioner eventuellt skulle kunna utföras i en distribuerad liggare, föreskrivs i förordning (EU) nr 909/2014 en förmedling genom en värdepapperscentral, vilket skulle leda till att man måste kopiera registreringen i den distribuerade liggaren till värdepapperscentralsnivå, vilket skulle kunna medföra en funktionellt överflödig överlappning av livscykeln för handeln av det finansiella instrument som hanteras av marknadsinfrastrukturer med teknik för distribuerade liggare som omfattas av denna förordning. Därför bör en DLT-MTF-plattform kunna begära ett undantag från kravet på registrering i kontobaserad form hos en värdepapperscentral enligt förordning (EU) nr 909/2014, om DLT-MTF-plattformen uppfyller krav som är likvärdiga med dem som gäller för en värdepapperscentral. DLT-MTF-plattformen bör registrera de överlåtbara </w:t>
            </w:r>
            <w:r w:rsidRPr="00DF3EFC">
              <w:lastRenderedPageBreak/>
              <w:t xml:space="preserve">värdepapperen i </w:t>
            </w:r>
            <w:r w:rsidRPr="00DF3EFC">
              <w:rPr>
                <w:b/>
                <w:i/>
              </w:rPr>
              <w:t xml:space="preserve">en distribuerad </w:t>
            </w:r>
            <w:r w:rsidRPr="00DF3EFC">
              <w:t>liggare, säkerställa integriteten i emissionerna i den distribuerade liggaren, inrätta och upprätthålla förfaranden för att säkerställa förvaringen av de överförbara värdepappren med teknik för distribuerade liggare, slutföra avvecklingen av transaktioner och förhindra utebliven avveckling.</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191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16</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(16)</w:t>
            </w:r>
            <w:r w:rsidRPr="00DF3EFC">
              <w:tab/>
              <w:t xml:space="preserve">Vid avveckling av transaktioner som omfattar överförbara värdepapper med teknik för distribuerade liggare bör DLT-MTF-plattformen säkerställa att betalningen för de överförbara värdepappren med tekniken från köparen sker samtidigt som de överförbara värdepappren med tekniken levereras från säljaren (leverans mot betalning ). Om det är praktiskt genomförbart och möjligt bör </w:t>
            </w:r>
            <w:r w:rsidRPr="00DF3EFC">
              <w:rPr>
                <w:b/>
                <w:i/>
              </w:rPr>
              <w:t xml:space="preserve">kontantbetalningarna </w:t>
            </w:r>
            <w:r w:rsidRPr="00DF3EFC">
              <w:t xml:space="preserve">avvecklas via baspengar och, om detta inte är praktiskt genomförbart eller möjligt, genom pengar från kommersiella banker. För att testa innovativa lösningar och göra det möjligt att göra </w:t>
            </w:r>
            <w:r w:rsidRPr="00DF3EFC">
              <w:rPr>
                <w:b/>
                <w:i/>
              </w:rPr>
              <w:t>kontantbetalningar</w:t>
            </w:r>
            <w:r w:rsidRPr="00DF3EFC">
              <w:t xml:space="preserve"> i en distribuerad liggare bör man också tillåta DLT-MTF-plattformar att använda så kallade avvecklingsmynt, dvs. pengar från kommersiella banker i tokeniserad form, eller e-pengartokens enligt definitionen i förordning 2021/XX om marknader för kryptotillgångar</w:t>
            </w:r>
            <w:r w:rsidRPr="00DF3EFC">
              <w:rPr>
                <w:rStyle w:val="SupBoldItalic"/>
              </w:rPr>
              <w:t>43</w:t>
            </w:r>
            <w:r w:rsidRPr="00DF3EFC">
              <w:t xml:space="preserve">. Om pengar från kommersiella banker används för </w:t>
            </w:r>
            <w:r w:rsidRPr="00DF3EFC">
              <w:rPr>
                <w:b/>
                <w:i/>
              </w:rPr>
              <w:t>kontantbetalningar</w:t>
            </w:r>
            <w:r w:rsidRPr="00DF3EFC">
              <w:t xml:space="preserve"> bör DLT-MTF-plattformen begränsa motpartsrisken genom att fastställa och övervaka att de </w:t>
            </w:r>
            <w:r w:rsidRPr="00DF3EFC">
              <w:lastRenderedPageBreak/>
              <w:t>kreditinstitut som används för avveckling av kontantbetalningar följer strikta kriterier, såsom reglering och tillsyn, kreditvärdighet, kapitalisering, tillgång till likviditet och tillförlitlighet under drift.</w:t>
            </w:r>
          </w:p>
        </w:tc>
        <w:tc>
          <w:tcPr>
            <w:tcW w:w="4876" w:type="dxa"/>
          </w:tcPr>
          <w:p w:rsidR="00DF3EFC" w:rsidRPr="00DF3EFC" w:rsidRDefault="00DF3EFC" w:rsidP="00DF3EFC">
            <w:pPr>
              <w:pStyle w:val="Normal6a"/>
            </w:pPr>
            <w:r w:rsidRPr="00DF3EFC">
              <w:lastRenderedPageBreak/>
              <w:t>(16)</w:t>
            </w:r>
            <w:r w:rsidRPr="00DF3EFC">
              <w:tab/>
              <w:t>Vid avveckling av transaktioner som omfattar överförbara värdepapper med teknik för distribuerade liggare bör DLT-MTF-plattformen säkerställa att betalningen för de överförbara värdepappren med tekniken från köparen sker samtidigt som de överförbara värdepappren med tekniken levereras från säljaren (leverans mot betalning</w:t>
            </w:r>
            <w:r w:rsidRPr="00DF3EFC">
              <w:rPr>
                <w:b/>
                <w:i/>
              </w:rPr>
              <w:t>, DvP</w:t>
            </w:r>
            <w:r w:rsidRPr="00DF3EFC">
              <w:t xml:space="preserve">). Om det är praktiskt genomförbart och möjligt bör </w:t>
            </w:r>
            <w:r w:rsidRPr="00DF3EFC">
              <w:rPr>
                <w:b/>
                <w:i/>
              </w:rPr>
              <w:t xml:space="preserve">betalningsdelen </w:t>
            </w:r>
            <w:r w:rsidRPr="00DF3EFC">
              <w:t xml:space="preserve">avvecklas via baspengar eller, om detta inte är praktiskt genomförbart eller möjligt, genom pengar från kommersiella banker. För att testa innovativa lösningar och göra det möjligt att göra </w:t>
            </w:r>
            <w:r w:rsidRPr="00DF3EFC">
              <w:rPr>
                <w:b/>
                <w:i/>
              </w:rPr>
              <w:t>betalningsdelen</w:t>
            </w:r>
            <w:r w:rsidRPr="00DF3EFC">
              <w:t xml:space="preserve"> i en distribuerad liggare bör man också tillåta DLT-MTF-plattformar att använda så kallade avvecklingsmynt, dvs. pengar från kommersiella banker i tokeniserad form, eller e-pengartokens </w:t>
            </w:r>
            <w:r w:rsidRPr="00DF3EFC">
              <w:rPr>
                <w:b/>
                <w:i/>
              </w:rPr>
              <w:t>(EMT)</w:t>
            </w:r>
            <w:r w:rsidRPr="00DF3EFC">
              <w:t xml:space="preserve"> enligt definitionen i förordning 2021/XX om marknader för kryptotillgångar. Om pengar från kommersiella banker används för </w:t>
            </w:r>
            <w:r w:rsidRPr="00DF3EFC">
              <w:rPr>
                <w:b/>
                <w:i/>
              </w:rPr>
              <w:t>betalningsdelen</w:t>
            </w:r>
            <w:r w:rsidRPr="00DF3EFC">
              <w:t xml:space="preserve"> bör DLT-MTF-plattformen begränsa motpartsrisken genom att fastställa och övervaka att de </w:t>
            </w:r>
            <w:r w:rsidRPr="00DF3EFC">
              <w:lastRenderedPageBreak/>
              <w:t xml:space="preserve">kreditinstitut som används för avveckling av kontantbetalningar följer strikta kriterier, såsom reglering och tillsyn, kreditvärdighet, kapitalisering, tillgång till likviditet och tillförlitlighet under drift. </w:t>
            </w:r>
            <w:r w:rsidRPr="00DF3EFC">
              <w:rPr>
                <w:b/>
                <w:i/>
              </w:rPr>
              <w:t>När EMT används för betalningsdelen bör deltagarna i en DLT-MTF-plattform kunna öppna konton direkt hos DLT-MTF-plattformen för att avveckla betalningsdelen i EMT, eller alternativt bör DLT-MTF-plattformen och dess deltagare kunna öppna ett konto hos en tredje part som tillhandahåller tjänster i samband med EMT. I dessa fall bör DLT-MTF-plattformen eller den tredje parten vara emittenten av EMT och säkerställa att avvecklingen av betalningsdelen äger rum i EMF. Eftersom EMT endast kan emitteras av antingen kreditinstitut eller e-penningsinstitut enligt förordning nr 2021/XX om marknader för kryptotillgångar har det undantag som föreskrivs i denna förordning avseende bestämmelserna om betalningsavveckling i CSDR inte till syfte att undanta en DLT-MTF-plattform eller en tredje part som emitterar EMT och avvecklar betalningsdelen av värdepapperstransaktioner genom sina egna konton från licensieringskraven enligt förordning nr 2021/XX om marknader för kryptotillgångar.</w:t>
            </w:r>
          </w:p>
        </w:tc>
      </w:tr>
      <w:tr w:rsidR="00DF3EFC" w:rsidRPr="00DF3EFC" w:rsidTr="00DF3EFC">
        <w:trPr>
          <w:jc w:val="center"/>
        </w:trPr>
        <w:tc>
          <w:tcPr>
            <w:tcW w:w="4876" w:type="dxa"/>
          </w:tcPr>
          <w:p w:rsidR="00DF3EFC" w:rsidRPr="00DF3EFC" w:rsidRDefault="00DF3EFC" w:rsidP="00DF3EFC">
            <w:pPr>
              <w:pStyle w:val="Normal6a"/>
            </w:pPr>
            <w:r w:rsidRPr="00DF3EFC">
              <w:lastRenderedPageBreak/>
              <w:t>_________________</w:t>
            </w:r>
          </w:p>
        </w:tc>
        <w:tc>
          <w:tcPr>
            <w:tcW w:w="4876" w:type="dxa"/>
          </w:tcPr>
          <w:p w:rsidR="00DF3EFC" w:rsidRPr="00DF3EFC" w:rsidRDefault="00DF3EFC" w:rsidP="00DF3EFC">
            <w:pPr>
              <w:pStyle w:val="Normal6a"/>
            </w:pPr>
          </w:p>
        </w:tc>
      </w:tr>
      <w:tr w:rsidR="00DF3EFC" w:rsidRPr="00DF3EFC" w:rsidTr="00DF3EFC">
        <w:trPr>
          <w:jc w:val="center"/>
        </w:trPr>
        <w:tc>
          <w:tcPr>
            <w:tcW w:w="4876" w:type="dxa"/>
          </w:tcPr>
          <w:p w:rsidR="00DF3EFC" w:rsidRPr="00DF3EFC" w:rsidRDefault="00DF3EFC" w:rsidP="00DF3EFC">
            <w:pPr>
              <w:pStyle w:val="Normal6a"/>
            </w:pPr>
            <w:r w:rsidRPr="00DF3EFC">
              <w:rPr>
                <w:rStyle w:val="SupBoldItalic"/>
              </w:rPr>
              <w:t>43</w:t>
            </w:r>
            <w:r w:rsidRPr="00DF3EFC">
              <w:rPr>
                <w:b/>
                <w:i/>
              </w:rPr>
              <w:t xml:space="preserve"> Förslag till Europaparlamentets och rådets förordning om marknader för kryptotillgångar och om ändring av direktiv (EU) 2019/1937 – COM(2020)593.</w:t>
            </w:r>
          </w:p>
        </w:tc>
        <w:tc>
          <w:tcPr>
            <w:tcW w:w="4876" w:type="dxa"/>
          </w:tcPr>
          <w:p w:rsidR="00DF3EFC" w:rsidRPr="00DF3EFC" w:rsidRDefault="00DF3EFC" w:rsidP="00DF3EFC">
            <w:pPr>
              <w:pStyle w:val="Normal6a"/>
            </w:pP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Redaktionell kommentar. Det föreslås vidare att punkt 3.3.7 i ECB:s yttrande om DLT-pilotordningen från den 28 april införlivas när det gäller avvecklingen i e-pengartokens.</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lastRenderedPageBreak/>
        <w:t>&lt;AmendB&gt;</w:t>
      </w:r>
      <w:r w:rsidRPr="00DF3EFC">
        <w:t>Ändringsförslag</w:t>
      </w:r>
      <w:r w:rsidRPr="00DF3EFC">
        <w:tab/>
      </w:r>
      <w:r w:rsidRPr="00DF3EFC">
        <w:tab/>
      </w:r>
      <w:r w:rsidRPr="00DF3EFC">
        <w:rPr>
          <w:rStyle w:val="HideTWBExt"/>
          <w:b w:val="0"/>
        </w:rPr>
        <w:t>&lt;NumAmB&gt;</w:t>
      </w:r>
      <w:r w:rsidRPr="00DF3EFC">
        <w:t>192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(18)</w:t>
            </w:r>
            <w:r w:rsidRPr="00DF3EFC">
              <w:tab/>
              <w:t>För att beviljas ett undantag enligt denna förordning bör DLT-MTF-plattformen visa att undantaget är proportionerligt och begränsat till användningen av teknik för distribuerade liggare enligt beskrivningen i dess affärsplan och att det begärda undantaget är begränsat till DLT-MTF-plattformen och inte utvidgas till någon annan MTF-plattform som drivs av samma värdepappersföretag eller marknadsaktör.</w:t>
            </w:r>
          </w:p>
        </w:tc>
        <w:tc>
          <w:tcPr>
            <w:tcW w:w="4876" w:type="dxa"/>
          </w:tcPr>
          <w:p w:rsidR="00DF3EFC" w:rsidRPr="00DF3EFC" w:rsidRDefault="00DF3EFC" w:rsidP="00DF3EFC">
            <w:pPr>
              <w:pStyle w:val="Normal6a"/>
            </w:pPr>
            <w:r w:rsidRPr="00DF3EFC">
              <w:t>(18)</w:t>
            </w:r>
            <w:r w:rsidRPr="00DF3EFC">
              <w:tab/>
              <w:t xml:space="preserve">För att beviljas ett undantag enligt denna förordning bör DLT-MTF-plattformen visa att </w:t>
            </w:r>
            <w:r w:rsidRPr="00DF3EFC">
              <w:rPr>
                <w:b/>
                <w:i/>
              </w:rPr>
              <w:t xml:space="preserve">det begärda </w:t>
            </w:r>
            <w:r w:rsidRPr="00DF3EFC">
              <w:t xml:space="preserve">undantaget är proportionerligt och begränsat till användningen av teknik för distribuerade liggare enligt beskrivningen i dess affärsplan och att det begärda undantaget är begränsat till DLT-MTF-plattformen och inte utvidgas till någon annan MTF-plattform som drivs av samma värdepappersföretag eller marknadsaktör. </w:t>
            </w:r>
            <w:r w:rsidRPr="00DF3EFC">
              <w:rPr>
                <w:b/>
                <w:i/>
              </w:rPr>
              <w:t>Om operatören av DLT-MTF-plattformen driver en annan MTF-plattform bör det vidare visas att driften av DLT-MTF-plattformen inte under några omständigheter kommer att påverka någon annan MTF-plattforms verksamhet eller robusthet, exempelvis om en eller flera enheter deltar i både en vanlig MTF-plattform och en DLT-MTF-plattform som drivs av samma operatör. Under sådana omständigheter bör DLT-MTF-plattformen tydligt förklara de risker för insolvens och slutgiltig avveckling som dess deltagare är exponerade för, samt eventuella åtgärder som den har infört för att minska dessa risker.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Redaktionella kommentarer. Det föreslås vidare att den andra anmärkningen i punkt 3.4 i ”ECB:s yttrande om DLT-pilotordningen” av den 28 april införlivas för att tillhandahålla ”öronmärkning” av DLT-MTF-plattformar om deras operatör även driver andra MTF-plattformar.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193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lastRenderedPageBreak/>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(18)</w:t>
            </w:r>
            <w:r w:rsidRPr="00DF3EFC">
              <w:tab/>
              <w:t>För att beviljas ett undantag enligt denna förordning bör DLT-MTF-plattformen visa att undantaget är proportionerligt och begränsat till användningen av teknik för distribuerade liggare enligt beskrivningen i dess affärsplan och att det begärda undantaget är begränsat till DLT-MTF-plattformen och inte utvidgas till någon annan MTF-plattform som drivs av samma värdepappersföretag eller marknadsaktör.</w:t>
            </w:r>
          </w:p>
        </w:tc>
        <w:tc>
          <w:tcPr>
            <w:tcW w:w="4876" w:type="dxa"/>
          </w:tcPr>
          <w:p w:rsidR="00DF3EFC" w:rsidRPr="00DF3EFC" w:rsidRDefault="00DF3EFC" w:rsidP="00DF3EFC">
            <w:pPr>
              <w:pStyle w:val="Normal6a"/>
            </w:pPr>
            <w:r w:rsidRPr="00DF3EFC">
              <w:t>(18)</w:t>
            </w:r>
            <w:r w:rsidRPr="00DF3EFC">
              <w:tab/>
              <w:t>För att beviljas ett undantag enligt denna förordning bör DLT-MTF-plattformen visa att undantaget är proportionerligt och begränsat till användningen av teknik för distribuerade liggare enligt beskrivningen i dess affärsplan och att det begärda undantaget är begränsat till DLT-MTF-plattformen och</w:t>
            </w:r>
            <w:r w:rsidRPr="00DF3EFC">
              <w:rPr>
                <w:b/>
                <w:i/>
              </w:rPr>
              <w:t>, om den enhet som driver DLT-MTF-plattformen är ett värdepappersföretag eller en marknadsaktör,</w:t>
            </w:r>
            <w:r w:rsidRPr="00DF3EFC">
              <w:t xml:space="preserve"> inte utvidgas till någon annan MTF-plattform som drivs av samma värdepappersföretag eller marknadsaktör.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194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19</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(19)</w:t>
            </w:r>
            <w:r w:rsidRPr="00DF3EFC">
              <w:tab/>
              <w:t xml:space="preserve">En värdepapperscentral som driver ett värdepappersavvecklingssystem med teknik för distribuerade liggare bör kunna ansöka om ett eller flera tillfälliga undantag, enligt förteckningen i denna förordning, som ska beviljas av den relevanta behöriga myndigheten, om den </w:t>
            </w:r>
            <w:r w:rsidRPr="00DF3EFC">
              <w:rPr>
                <w:b/>
                <w:i/>
              </w:rPr>
              <w:t xml:space="preserve">uppfyllde </w:t>
            </w:r>
            <w:r w:rsidRPr="00DF3EFC">
              <w:t>villkoren</w:t>
            </w:r>
            <w:r w:rsidRPr="00DF3EFC">
              <w:rPr>
                <w:b/>
                <w:i/>
              </w:rPr>
              <w:t xml:space="preserve"> för </w:t>
            </w:r>
            <w:r w:rsidRPr="00DF3EFC">
              <w:t xml:space="preserve">dessa undantag samt ytterligare krav för att hantera nya former av risker som uppkommer till följd av användningen av teknik för distribuerade liggare. En </w:t>
            </w:r>
            <w:r w:rsidRPr="00DF3EFC">
              <w:lastRenderedPageBreak/>
              <w:t xml:space="preserve">värdepapperscentral som driver ett värdepappersavvecklingssystem med teknik för distribuerade liggare bör också följa eventuella </w:t>
            </w:r>
            <w:r w:rsidRPr="00DF3EFC">
              <w:rPr>
                <w:b/>
                <w:i/>
              </w:rPr>
              <w:t xml:space="preserve">kompensationsåtgärder </w:t>
            </w:r>
            <w:r w:rsidRPr="00DF3EFC">
              <w:t>som den behöriga myndigheten vidtar för att uppfylla de mål som eftersträvas med den bestämmelse för vilken ett undantag har begärts.</w:t>
            </w:r>
          </w:p>
        </w:tc>
        <w:tc>
          <w:tcPr>
            <w:tcW w:w="4876" w:type="dxa"/>
          </w:tcPr>
          <w:p w:rsidR="00DF3EFC" w:rsidRPr="00DF3EFC" w:rsidRDefault="00DF3EFC" w:rsidP="00DF3EFC">
            <w:pPr>
              <w:pStyle w:val="Normal6a"/>
            </w:pPr>
            <w:r w:rsidRPr="00DF3EFC">
              <w:lastRenderedPageBreak/>
              <w:t>(19)</w:t>
            </w:r>
            <w:r w:rsidRPr="00DF3EFC">
              <w:tab/>
              <w:t xml:space="preserve">En värdepapperscentral som driver ett värdepappersavvecklingssystem med teknik för distribuerade liggare bör kunna ansöka om ett eller flera tillfälliga undantag, enligt förteckningen i denna förordning, som ska beviljas av den behöriga myndigheten </w:t>
            </w:r>
            <w:r w:rsidRPr="00DF3EFC">
              <w:rPr>
                <w:b/>
                <w:i/>
              </w:rPr>
              <w:t>i enlighet med rekommendationen från Esma,</w:t>
            </w:r>
            <w:r w:rsidRPr="00DF3EFC">
              <w:t xml:space="preserve"> om den </w:t>
            </w:r>
            <w:r w:rsidRPr="00DF3EFC">
              <w:rPr>
                <w:b/>
                <w:i/>
              </w:rPr>
              <w:t xml:space="preserve">uppfyller </w:t>
            </w:r>
            <w:r w:rsidRPr="00DF3EFC">
              <w:t xml:space="preserve">villkoren </w:t>
            </w:r>
            <w:r w:rsidRPr="00DF3EFC">
              <w:rPr>
                <w:b/>
                <w:i/>
              </w:rPr>
              <w:t>som är knutna till</w:t>
            </w:r>
            <w:r w:rsidRPr="00DF3EFC">
              <w:t xml:space="preserve"> dessa undantag samt ytterligare krav </w:t>
            </w:r>
            <w:r w:rsidRPr="00DF3EFC">
              <w:rPr>
                <w:b/>
                <w:i/>
              </w:rPr>
              <w:t>som föreskrivs i denna förordning</w:t>
            </w:r>
            <w:r w:rsidRPr="00DF3EFC">
              <w:t xml:space="preserve"> för att hantera nya former av risker som </w:t>
            </w:r>
            <w:r w:rsidRPr="00DF3EFC">
              <w:lastRenderedPageBreak/>
              <w:t xml:space="preserve">uppkommer till följd av användningen av teknik för distribuerade liggare. En värdepapperscentral som driver ett värdepappersavvecklingssystem med teknik för distribuerade liggare bör också följa eventuella </w:t>
            </w:r>
            <w:r w:rsidRPr="00DF3EFC">
              <w:rPr>
                <w:b/>
                <w:i/>
              </w:rPr>
              <w:t>kompensations- eller korrigeringsåtgärder</w:t>
            </w:r>
            <w:r w:rsidRPr="00DF3EFC">
              <w:t xml:space="preserve"> som den behöriga myndigheten vidtar</w:t>
            </w:r>
            <w:r w:rsidRPr="00DF3EFC">
              <w:rPr>
                <w:b/>
                <w:i/>
              </w:rPr>
              <w:t>, eller som Esma rekommenderar,</w:t>
            </w:r>
            <w:r w:rsidRPr="00DF3EFC">
              <w:t xml:space="preserve"> för att uppfylla de mål som eftersträvas med den bestämmelse för vilken ett undantag har begärts.</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195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19</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(19)</w:t>
            </w:r>
            <w:r w:rsidRPr="00DF3EFC">
              <w:tab/>
              <w:t xml:space="preserve">En </w:t>
            </w:r>
            <w:r w:rsidRPr="00DF3EFC">
              <w:rPr>
                <w:b/>
                <w:i/>
              </w:rPr>
              <w:t xml:space="preserve">värdepapperscentral </w:t>
            </w:r>
            <w:r w:rsidRPr="00DF3EFC">
              <w:t xml:space="preserve">som driver ett värdepappersavvecklingssystem med teknik för distribuerade liggare bör kunna ansöka om ett eller flera tillfälliga undantag, enligt förteckningen i denna förordning, som ska beviljas av den relevanta behöriga myndigheten, om den uppfyllde villkoren för dessa undantag samt ytterligare krav för att hantera nya former av risker som uppkommer till följd av användningen av teknik för distribuerade liggare. </w:t>
            </w:r>
            <w:r w:rsidRPr="00DF3EFC">
              <w:rPr>
                <w:b/>
                <w:i/>
              </w:rPr>
              <w:t xml:space="preserve">En värdepapperscentral </w:t>
            </w:r>
            <w:r w:rsidRPr="00DF3EFC">
              <w:t>som driver ett värdepappersavvecklingssystem med teknik för distribuerade liggare bör också följa eventuella kompensationsåtgärder som den behöriga myndigheten vidtar för att uppfylla de mål som eftersträvas med den bestämmelse för vilken ett undantag har begärts.</w:t>
            </w:r>
          </w:p>
        </w:tc>
        <w:tc>
          <w:tcPr>
            <w:tcW w:w="4876" w:type="dxa"/>
          </w:tcPr>
          <w:p w:rsidR="00DF3EFC" w:rsidRPr="00DF3EFC" w:rsidRDefault="00DF3EFC" w:rsidP="00DF3EFC">
            <w:pPr>
              <w:pStyle w:val="Normal6a"/>
            </w:pPr>
            <w:r w:rsidRPr="00DF3EFC">
              <w:t>(19)</w:t>
            </w:r>
            <w:r w:rsidRPr="00DF3EFC">
              <w:tab/>
              <w:t xml:space="preserve">En </w:t>
            </w:r>
            <w:r w:rsidRPr="00DF3EFC">
              <w:rPr>
                <w:b/>
                <w:i/>
              </w:rPr>
              <w:t>enhet</w:t>
            </w:r>
            <w:r w:rsidRPr="00DF3EFC">
              <w:t xml:space="preserve"> som driver ett värdepappersavvecklingssystem med teknik för distribuerade liggare bör kunna ansöka om ett eller flera tillfälliga undantag, enligt förteckningen i denna förordning, som ska beviljas av den relevanta behöriga myndigheten, om den uppfyllde villkoren för dessa undantag samt ytterligare krav för att hantera nya former av risker som uppkommer till följd av användningen av teknik för distribuerade liggare. </w:t>
            </w:r>
            <w:r w:rsidRPr="00DF3EFC">
              <w:rPr>
                <w:b/>
                <w:i/>
              </w:rPr>
              <w:t>Den enhet</w:t>
            </w:r>
            <w:r w:rsidRPr="00DF3EFC">
              <w:t xml:space="preserve"> som driver ett värdepappersavvecklingssystem med teknik för distribuerade liggare bör också följa eventuella kompensationsåtgärder som den behöriga myndigheten vidtar för att uppfylla de mål som eftersträvas med den bestämmelse för vilken ett undantag har begärts.</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lastRenderedPageBreak/>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196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(20)</w:t>
            </w:r>
            <w:r w:rsidRPr="00DF3EFC">
              <w:tab/>
              <w:t>En värdepapperscentral som driver ett värdepappersavvecklingssystem bör ha rätt att begära undantag från olika bestämmelser som sannolikt skapar regleringshinder för utvecklingen av avvecklingssystem för överlåtbara värdepapper. En värdepapperscentral bör till exempel kunna begära ett undantag från vissa definitioner i förordning (EU) nr 909/2014 (förordningen om värdepapperscentraler), såsom begreppet ”dematerialiserad form”, ”värdepapperskonto”, ”överföringsuppdrag” samt undantag från bestämmelser som hänvisar till begreppet ”värdepapperskonto”, såsom reglerna om registrering av värdepapper, emissionens integritet eller separering av konton. Värdepapperscentraler driver avvecklingssystem för värdepapper genom att kreditera och debitera sina deltagares värdepapperskonton. Det är dock inte alltid möjligt att i ett system med teknik för distribuerade liggare ha dubbel bokföring (eller flera poster) av värdepapperskonton. Därför bör en värdepapperscentral som driver ett värdepappersavvecklingssystem med teknik för distribuerade liggare kunna begära ett undantag från de regler som hänvisar till begreppet ”värdepapperskonto” eller ”kontobaserad form” om det skulle vara nödvändigt att tillåta registrering av överförbara värdepapper med tekniken i en distribuerad liggare</w:t>
            </w:r>
            <w:r w:rsidRPr="00DF3EFC">
              <w:rPr>
                <w:b/>
                <w:i/>
              </w:rPr>
              <w:t>,</w:t>
            </w:r>
            <w:r w:rsidRPr="00DF3EFC">
              <w:t xml:space="preserve"> </w:t>
            </w:r>
            <w:r w:rsidRPr="00DF3EFC">
              <w:rPr>
                <w:b/>
                <w:i/>
              </w:rPr>
              <w:t>för att</w:t>
            </w:r>
            <w:r w:rsidRPr="00DF3EFC">
              <w:t xml:space="preserve"> säkerställa integriteten vid </w:t>
            </w:r>
            <w:r w:rsidRPr="00DF3EFC">
              <w:lastRenderedPageBreak/>
              <w:t>emission av överförbara värdepapper med tekniken i den distribuerade liggaren i fråga och separering av de överförbara värdepappren med tekniken och som tillhör olika deltagare.</w:t>
            </w:r>
          </w:p>
        </w:tc>
        <w:tc>
          <w:tcPr>
            <w:tcW w:w="4876" w:type="dxa"/>
          </w:tcPr>
          <w:p w:rsidR="00DF3EFC" w:rsidRPr="00DF3EFC" w:rsidRDefault="00DF3EFC" w:rsidP="00DF3EFC">
            <w:pPr>
              <w:pStyle w:val="Normal6a"/>
            </w:pPr>
            <w:r w:rsidRPr="00DF3EFC">
              <w:lastRenderedPageBreak/>
              <w:t>(20)</w:t>
            </w:r>
            <w:r w:rsidRPr="00DF3EFC">
              <w:tab/>
              <w:t>En värdepapperscentral som driver ett värdepappersavvecklingssystem bör ha rätt att begära undantag från olika bestämmelser som sannolikt skapar regleringshinder för utvecklingen av avvecklingssystem för överlåtbara värdepapper. En värdepapperscentral bör till exempel kunna begära ett undantag från vissa definitioner i förordning (EU) nr 909/2014 (förordningen om värdepapperscentraler), såsom begreppet ”dematerialiserad form”, ”värdepapperskonto”, ”överföringsuppdrag” samt undantag från bestämmelser som hänvisar till begreppet ”värdepapperskonto”, såsom reglerna om registrering av värdepapper, emissionens integritet eller separering av konton. Värdepapperscentraler driver avvecklingssystem för värdepapper genom att kreditera och debitera sina deltagares värdepapperskonton. Det är dock inte alltid möjligt att i ett system med teknik för distribuerade liggare ha dubbel bokföring (eller flera poster) av värdepapperskonton. Därför bör en värdepapperscentral som driver ett DLT-värdepappersavvecklingssystem kunna begära ett undantag från de regler som hänvisar till begreppet ”värdepapperskonto” eller ”kontobaserad form” om det skulle vara nödvändigt att tillåta registrering av överförbara värdepapper med tekniken i en distribuerad liggare.</w:t>
            </w:r>
            <w:r w:rsidRPr="00DF3EFC">
              <w:rPr>
                <w:b/>
                <w:i/>
              </w:rPr>
              <w:t xml:space="preserve"> En värdepapperscentral som </w:t>
            </w:r>
            <w:r w:rsidRPr="00DF3EFC">
              <w:rPr>
                <w:b/>
                <w:i/>
              </w:rPr>
              <w:lastRenderedPageBreak/>
              <w:t>driver ett DLT-värdepappersavvecklingssystem skulle dock fortfarande behöva</w:t>
            </w:r>
            <w:r w:rsidRPr="00DF3EFC">
              <w:t xml:space="preserve"> säkerställa integriteten vid emission av överförbara värdepapper med tekniken i den distribuerade liggaren i fråga och separering av de överförbara värdepappren med tekniken och som tillhör olika deltagare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Redaktionell kommentar. Det måste säkerställas att värdepapperscentraler som driver DLT-värdepappersavvecklingssystem har mandat att säkerställa integriteten när det gäller DLT-överlåtbara värdepapper på något annat sätt om de inte använder värdepapperskonton, eftersom detta redan krävs för MTF-plattformar.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197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(20)</w:t>
            </w:r>
            <w:r w:rsidRPr="00DF3EFC">
              <w:tab/>
              <w:t xml:space="preserve">En värdepapperscentral som driver ett värdepappersavvecklingssystem bör ha rätt att begära undantag från </w:t>
            </w:r>
            <w:r w:rsidRPr="00DF3EFC">
              <w:rPr>
                <w:b/>
                <w:i/>
              </w:rPr>
              <w:t xml:space="preserve">olika </w:t>
            </w:r>
            <w:r w:rsidRPr="00DF3EFC">
              <w:t xml:space="preserve">bestämmelser som sannolikt skapar regleringshinder för utvecklingen av avvecklingssystem för överlåtbara värdepapper. En värdepapperscentral bör till exempel kunna begära ett undantag från vissa definitioner i förordning (EU) nr 909/2014 (förordningen om värdepapperscentraler), såsom begreppet ”dematerialiserad form”, ”värdepapperskonto”, ”överföringsuppdrag” samt undantag från bestämmelser som hänvisar till begreppet ”värdepapperskonto”, såsom reglerna om registrering av värdepapper, emissionens integritet eller separering av konton. Värdepapperscentraler driver avvecklingssystem för värdepapper genom </w:t>
            </w:r>
            <w:r w:rsidRPr="00DF3EFC">
              <w:lastRenderedPageBreak/>
              <w:t>att kreditera och debitera sina deltagares värdepapperskonton. Det är dock inte alltid möjligt att i ett system med teknik för distribuerade liggare ha dubbel bokföring (eller flera poster) av värdepapperskonton. Därför bör en värdepapperscentral som driver ett värdepappersavvecklingssystem med teknik för distribuerade liggare kunna begära ett undantag från de regler som hänvisar till begreppet ”värdepapperskonto” eller ”kontobaserad form” om det skulle vara nödvändigt att tillåta registrering av överförbara värdepapper med tekniken i en distribuerad liggare, för att säkerställa integriteten vid emission av överförbara värdepapper med tekniken i den distribuerade liggaren i fråga och separering av de överförbara värdepappren med tekniken och som tillhör olika deltagare.</w:t>
            </w:r>
          </w:p>
        </w:tc>
        <w:tc>
          <w:tcPr>
            <w:tcW w:w="4876" w:type="dxa"/>
          </w:tcPr>
          <w:p w:rsidR="00DF3EFC" w:rsidRPr="00DF3EFC" w:rsidRDefault="00DF3EFC" w:rsidP="00DF3EFC">
            <w:pPr>
              <w:pStyle w:val="Normal6a"/>
            </w:pPr>
            <w:r w:rsidRPr="00DF3EFC">
              <w:lastRenderedPageBreak/>
              <w:t>(20)</w:t>
            </w:r>
            <w:r w:rsidRPr="00DF3EFC">
              <w:tab/>
              <w:t xml:space="preserve">En värdepapperscentral som driver ett värdepappersavvecklingssystem bör ha rätt att begära undantag från </w:t>
            </w:r>
            <w:r w:rsidRPr="00DF3EFC">
              <w:rPr>
                <w:b/>
                <w:i/>
              </w:rPr>
              <w:t>vissa</w:t>
            </w:r>
            <w:r w:rsidRPr="00DF3EFC">
              <w:t xml:space="preserve"> bestämmelser som sannolikt skapar regleringshinder för utvecklingen av avvecklingssystem för överlåtbara värdepapper. En värdepapperscentral bör till exempel kunna begära ett undantag från vissa definitioner i förordning (EU) nr 909/2014 (förordningen om värdepapperscentraler), såsom begreppet ”dematerialiserad form”, ”värdepapperskonto”, ”överföringsuppdrag” samt undantag från bestämmelser som hänvisar till begreppet ”värdepapperskonto”, såsom reglerna om registrering av värdepapper, emissionens integritet eller separering av konton. Värdepapperscentraler driver avvecklingssystem för värdepapper genom </w:t>
            </w:r>
            <w:r w:rsidRPr="00DF3EFC">
              <w:lastRenderedPageBreak/>
              <w:t>att kreditera och debitera sina deltagares värdepapperskonton. Det är dock inte alltid möjligt att i ett system med teknik för distribuerade liggare ha dubbel bokföring (eller flera poster) av värdepapperskonton. Därför bör en värdepapperscentral som driver ett värdepappersavvecklingssystem med teknik för distribuerade liggare kunna begära ett undantag från de regler som hänvisar till begreppet ”värdepapperskonto” eller ”kontobaserad form” om det skulle vara nödvändigt att tillåta registrering av överförbara värdepapper med tekniken i en distribuerad liggare, för att säkerställa integriteten vid emission av överförbara värdepapper med tekniken i den distribuerade liggaren i fråga och separering av de överförbara värdepappren med tekniken och som tillhör olika deltagare.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198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(21)</w:t>
            </w:r>
            <w:r w:rsidRPr="00DF3EFC">
              <w:tab/>
              <w:t>Enligt förordning (EU) nr 909/2014 (</w:t>
            </w:r>
            <w:r w:rsidRPr="00DF3EFC">
              <w:rPr>
                <w:b/>
                <w:i/>
              </w:rPr>
              <w:t>förordningen om värdepapperscentraler</w:t>
            </w:r>
            <w:r w:rsidRPr="00DF3EFC">
              <w:t xml:space="preserve">) får en värdepapperscentral endast utkontraktera en av sina huvudtjänster efter det att den erhållit auktorisation från den behöriga myndigheten. Värdepapperscentralen måste också uppfylla flera villkor, så att utkontrakteringen inte leder till en delegering av dess ansvar eller till en ändring av värdepapperscentralens skyldigheter gentemot sina deltagare eller emittenter. Beroende på affärsplanen skulle en värdepapperscentral som driver ett värdepappersavvecklingssystem med teknik för distribuerade liggare kunna vara </w:t>
            </w:r>
            <w:r w:rsidRPr="00DF3EFC">
              <w:lastRenderedPageBreak/>
              <w:t xml:space="preserve">villig att dela ansvaret för att driva sin distribuerade liggare i vilken de överlåtbara värdepappren registreras med andra enheter, också med sina deltagare. </w:t>
            </w:r>
            <w:r w:rsidRPr="00DF3EFC">
              <w:rPr>
                <w:b/>
                <w:i/>
              </w:rPr>
              <w:t>Värdepappersavvecklingssystem</w:t>
            </w:r>
            <w:r w:rsidRPr="00DF3EFC">
              <w:t xml:space="preserve"> med teknik för distribuerade liggare bör kunna begära undantag från utkontrakteringskraven för att utveckla sådana innovativa affärsmodeller. I sådana fall bör de visa att bestämmelserna om utkontraktering är oförenliga med användningen av teknik för distribuerade liggare i enlighet med deras affärsplan och de bör också visa att vissa minimikrav för utkontraktering är uppfyllda.</w:t>
            </w:r>
          </w:p>
        </w:tc>
        <w:tc>
          <w:tcPr>
            <w:tcW w:w="4876" w:type="dxa"/>
          </w:tcPr>
          <w:p w:rsidR="00DF3EFC" w:rsidRPr="00DF3EFC" w:rsidRDefault="00DF3EFC" w:rsidP="00DF3EFC">
            <w:pPr>
              <w:pStyle w:val="Normal6a"/>
            </w:pPr>
            <w:r w:rsidRPr="00DF3EFC">
              <w:lastRenderedPageBreak/>
              <w:t>(21)</w:t>
            </w:r>
            <w:r w:rsidRPr="00DF3EFC">
              <w:tab/>
              <w:t>Enligt förordning (EU) nr 909/2014 (</w:t>
            </w:r>
            <w:r w:rsidRPr="00DF3EFC">
              <w:rPr>
                <w:b/>
                <w:i/>
              </w:rPr>
              <w:t>CSDR</w:t>
            </w:r>
            <w:r w:rsidRPr="00DF3EFC">
              <w:t xml:space="preserve">) får en värdepapperscentral endast utkontraktera en av sina huvudtjänster efter det att den erhållit auktorisation från den behöriga myndigheten. Värdepapperscentralen måste också uppfylla flera villkor, så att utkontrakteringen inte leder till en delegering av dess ansvar eller till en ändring av värdepapperscentralens skyldigheter gentemot sina deltagare eller emittenter. Beroende på affärsplanen skulle en värdepapperscentral som driver ett värdepappersavvecklingssystem med teknik för distribuerade liggare kunna vara villig att dela ansvaret för att driva sin </w:t>
            </w:r>
            <w:r w:rsidRPr="00DF3EFC">
              <w:lastRenderedPageBreak/>
              <w:t xml:space="preserve">distribuerade liggare i vilken de överlåtbara värdepappren registreras med andra enheter, också med sina deltagare. </w:t>
            </w:r>
            <w:r w:rsidRPr="00DF3EFC">
              <w:rPr>
                <w:b/>
                <w:i/>
              </w:rPr>
              <w:t xml:space="preserve">Den värdepapperscentral som driver ett värdepappersavvecklingssystem </w:t>
            </w:r>
            <w:r w:rsidRPr="00DF3EFC">
              <w:t>med teknik för distribuerade liggare bör kunna begära undantag från utkontrakteringskraven för att utveckla sådana innovativa affärsmodeller. I sådana fall bör de visa att bestämmelserna om utkontraktering är oförenliga med användningen av teknik för distribuerade liggare i enlighet med deras affärsplan och de bör också visa att vissa minimikrav för utkontraktering är uppfyllda.</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199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(21)</w:t>
            </w:r>
            <w:r w:rsidRPr="00DF3EFC">
              <w:tab/>
              <w:t xml:space="preserve">Enligt förordning (EU) nr 909/2014 (förordningen om värdepapperscentraler) får en värdepapperscentral endast utkontraktera en av sina huvudtjänster efter det att den erhållit auktorisation från den behöriga myndigheten. Värdepapperscentralen måste också uppfylla flera villkor, så att utkontrakteringen inte leder till en delegering av dess ansvar eller till en ändring av värdepapperscentralens skyldigheter gentemot sina deltagare eller emittenter. Beroende på affärsplanen skulle en </w:t>
            </w:r>
            <w:r w:rsidRPr="00DF3EFC">
              <w:rPr>
                <w:b/>
                <w:i/>
              </w:rPr>
              <w:t xml:space="preserve">värdepapperscentral </w:t>
            </w:r>
            <w:r w:rsidRPr="00DF3EFC">
              <w:t xml:space="preserve">som driver ett värdepappersavvecklingssystem med teknik för distribuerade liggare kunna vara villig att dela ansvaret för att driva </w:t>
            </w:r>
            <w:r w:rsidRPr="00DF3EFC">
              <w:rPr>
                <w:b/>
                <w:i/>
              </w:rPr>
              <w:t>sin</w:t>
            </w:r>
            <w:r w:rsidRPr="00DF3EFC">
              <w:t xml:space="preserve"> distribuerade</w:t>
            </w:r>
            <w:r w:rsidRPr="00DF3EFC">
              <w:rPr>
                <w:b/>
                <w:i/>
              </w:rPr>
              <w:t xml:space="preserve"> liggare </w:t>
            </w:r>
            <w:r w:rsidRPr="00DF3EFC">
              <w:t xml:space="preserve">i vilken de överlåtbara värdepappren registreras med andra enheter, också med sina deltagare. Värdepappersavvecklingssystem med </w:t>
            </w:r>
            <w:r w:rsidRPr="00DF3EFC">
              <w:lastRenderedPageBreak/>
              <w:t>teknik för distribuerade liggare bör kunna begära undantag från utkontrakteringskraven för att utveckla sådana innovativa affärsmodeller. I sådana fall bör de visa att bestämmelserna om utkontraktering är oförenliga med användningen av teknik för distribuerade liggare i enlighet med deras affärsplan och de bör också visa att vissa minimikrav för utkontraktering är uppfyllda.</w:t>
            </w:r>
          </w:p>
        </w:tc>
        <w:tc>
          <w:tcPr>
            <w:tcW w:w="4876" w:type="dxa"/>
          </w:tcPr>
          <w:p w:rsidR="00DF3EFC" w:rsidRPr="00DF3EFC" w:rsidRDefault="00DF3EFC" w:rsidP="00DF3EFC">
            <w:pPr>
              <w:pStyle w:val="Normal6a"/>
            </w:pPr>
            <w:r w:rsidRPr="00DF3EFC">
              <w:lastRenderedPageBreak/>
              <w:t>(21)</w:t>
            </w:r>
            <w:r w:rsidRPr="00DF3EFC">
              <w:tab/>
              <w:t xml:space="preserve">Enligt förordning (EU) nr 909/2014 (förordningen om värdepapperscentraler) får en värdepapperscentral endast utkontraktera en av sina huvudtjänster efter det att den erhållit auktorisation från den behöriga myndigheten. Värdepapperscentralen måste också uppfylla flera villkor, så att utkontrakteringen inte leder till en delegering av dess ansvar eller till en ändring av värdepapperscentralens skyldigheter gentemot sina deltagare eller emittenter. Beroende på affärsplanen skulle en </w:t>
            </w:r>
            <w:r w:rsidRPr="00DF3EFC">
              <w:rPr>
                <w:b/>
                <w:i/>
              </w:rPr>
              <w:t xml:space="preserve">enhet </w:t>
            </w:r>
            <w:r w:rsidRPr="00DF3EFC">
              <w:t xml:space="preserve">som driver ett värdepappersavvecklingssystem med teknik för distribuerade liggare kunna vara villig att dela ansvaret för att driva </w:t>
            </w:r>
            <w:r w:rsidRPr="00DF3EFC">
              <w:rPr>
                <w:b/>
                <w:i/>
              </w:rPr>
              <w:t>den</w:t>
            </w:r>
            <w:r w:rsidRPr="00DF3EFC">
              <w:t xml:space="preserve"> distribuerade </w:t>
            </w:r>
            <w:r w:rsidRPr="00DF3EFC">
              <w:rPr>
                <w:b/>
                <w:i/>
              </w:rPr>
              <w:t xml:space="preserve">liggaren </w:t>
            </w:r>
            <w:r w:rsidRPr="00DF3EFC">
              <w:t xml:space="preserve">i vilken de överlåtbara värdepappren registreras med andra enheter, också med sina deltagare. Värdepappersavvecklingssystem med </w:t>
            </w:r>
            <w:r w:rsidRPr="00DF3EFC">
              <w:lastRenderedPageBreak/>
              <w:t>teknik för distribuerade liggare bör kunna begära undantag från utkontrakteringskraven för att utveckla sådana innovativa affärsmodeller. I sådana fall bör de visa att bestämmelserna om utkontraktering är oförenliga med användningen av teknik för distribuerade liggare i enlighet med deras affärsplan och de bör också visa att vissa minimikrav för utkontraktering är uppfyllda.</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 och tekniskt neutral i förhållande till privat och offentlig teknik för distribuerade liggare.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200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(21)</w:t>
            </w:r>
            <w:r w:rsidRPr="00DF3EFC">
              <w:tab/>
              <w:t xml:space="preserve">Enligt förordning (EU) nr 909/2014 (förordningen om värdepapperscentraler) får en värdepapperscentral endast utkontraktera en av sina huvudtjänster efter det att den erhållit auktorisation från den behöriga myndigheten. Värdepapperscentralen måste också uppfylla flera villkor, så att utkontrakteringen inte leder till en delegering av dess ansvar eller till en ändring av värdepapperscentralens skyldigheter gentemot sina deltagare eller emittenter. Beroende på affärsplanen skulle en värdepapperscentral som driver ett värdepappersavvecklingssystem med teknik för distribuerade liggare kunna vara villig att dela ansvaret för att driva </w:t>
            </w:r>
            <w:r w:rsidRPr="00DF3EFC">
              <w:rPr>
                <w:b/>
                <w:i/>
              </w:rPr>
              <w:t>sin</w:t>
            </w:r>
            <w:r w:rsidRPr="00DF3EFC">
              <w:t xml:space="preserve"> distribuerade</w:t>
            </w:r>
            <w:r w:rsidRPr="00DF3EFC">
              <w:rPr>
                <w:b/>
                <w:i/>
              </w:rPr>
              <w:t xml:space="preserve"> liggare</w:t>
            </w:r>
            <w:r w:rsidRPr="00DF3EFC">
              <w:t xml:space="preserve"> i vilken de överlåtbara värdepappren registreras med andra enheter, också med sina deltagare. Värdepappersavvecklingssystem med </w:t>
            </w:r>
            <w:r w:rsidRPr="00DF3EFC">
              <w:lastRenderedPageBreak/>
              <w:t>teknik för distribuerade liggare bör kunna begära undantag från utkontrakteringskraven för att utveckla sådana innovativa affärsmodeller. I sådana fall bör de visa att bestämmelserna om utkontraktering är oförenliga med användningen av teknik för distribuerade liggare i enlighet med deras affärsplan och de bör också visa att vissa minimikrav för utkontraktering är uppfyllda.</w:t>
            </w:r>
          </w:p>
        </w:tc>
        <w:tc>
          <w:tcPr>
            <w:tcW w:w="4876" w:type="dxa"/>
          </w:tcPr>
          <w:p w:rsidR="00DF3EFC" w:rsidRPr="00DF3EFC" w:rsidRDefault="00DF3EFC" w:rsidP="00DF3EFC">
            <w:pPr>
              <w:pStyle w:val="Normal6a"/>
            </w:pPr>
            <w:r w:rsidRPr="00DF3EFC">
              <w:lastRenderedPageBreak/>
              <w:t>(21)</w:t>
            </w:r>
            <w:r w:rsidRPr="00DF3EFC">
              <w:tab/>
              <w:t xml:space="preserve">Enligt förordning (EU) nr 909/2014 (förordningen om värdepapperscentraler) får en värdepapperscentral endast utkontraktera en av sina huvudtjänster efter det att den erhållit auktorisation från den behöriga myndigheten. Värdepapperscentralen måste också uppfylla flera villkor, så att utkontrakteringen inte leder till en delegering av dess ansvar eller till en ändring av värdepapperscentralens skyldigheter gentemot sina deltagare eller emittenter. Beroende på affärsplanen skulle en värdepapperscentral som driver ett värdepappersavvecklingssystem med teknik för distribuerade liggare kunna vara villig att dela ansvaret för att driva </w:t>
            </w:r>
            <w:r w:rsidRPr="00DF3EFC">
              <w:rPr>
                <w:b/>
                <w:i/>
              </w:rPr>
              <w:t xml:space="preserve">den </w:t>
            </w:r>
            <w:r w:rsidRPr="00DF3EFC">
              <w:t xml:space="preserve">distribuerade </w:t>
            </w:r>
            <w:r w:rsidRPr="00DF3EFC">
              <w:rPr>
                <w:b/>
                <w:i/>
              </w:rPr>
              <w:t>liggaren</w:t>
            </w:r>
            <w:r w:rsidRPr="00DF3EFC">
              <w:t xml:space="preserve"> i vilken de överlåtbara värdepappren registreras med andra enheter, också med sina deltagare. Värdepappersavvecklingssystem med </w:t>
            </w:r>
            <w:r w:rsidRPr="00DF3EFC">
              <w:lastRenderedPageBreak/>
              <w:t>teknik för distribuerade liggare bör kunna begära undantag från utkontrakteringskraven för att utveckla sådana innovativa affärsmodeller. I sådana fall bör de visa att bestämmelserna om utkontraktering är oförenliga med användningen av teknik för distribuerade liggare i enlighet med deras affärsplan och de bör också visa att vissa minimikrav för utkontraktering är uppfyllda.</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201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(22)</w:t>
            </w:r>
            <w:r w:rsidRPr="00DF3EFC">
              <w:tab/>
              <w:t>Förmedlingsskyldigheten genom ett kreditinstitut eller ett värdepappersföretag, så att privata investerare inte kan få direkt tillträde till de avvecklings- och leveranssystem som drivs av en värdepapperscentral, skulle kunna skapa ett regleringshinder för utvecklingen av alternativa avvecklingsmodeller baserade på teknik för distribuerade liggare som möjliggör direkt tillträde för privata kunder. Därför bör den värdepapperscentral som driver ett värdepappersavvecklingssystem med teknik för distribuerade liggare ha rätt att begära ett undantag från begreppet deltagare, i enlighet med förordning (EU) nr 909/2014 (</w:t>
            </w:r>
            <w:r w:rsidRPr="00DF3EFC">
              <w:rPr>
                <w:b/>
                <w:i/>
              </w:rPr>
              <w:t>förordningen om värdepapperscentraler</w:t>
            </w:r>
            <w:r w:rsidRPr="00DF3EFC">
              <w:t>). Vid ansökan om undantag från förmedlingsskyldigheten enligt förordning (EU) nr 909/2014 (</w:t>
            </w:r>
            <w:r w:rsidRPr="00DF3EFC">
              <w:rPr>
                <w:b/>
                <w:i/>
              </w:rPr>
              <w:t>förordningen om värdepapperscentraler</w:t>
            </w:r>
            <w:r w:rsidRPr="00DF3EFC">
              <w:t xml:space="preserve">) bör den värdepapperscentral som driver ett avvecklingssystem för värdepapper säkerställa att dessa personer har tillräckligt gott anseende och är lämpliga för bekämpning av penningtvätt och </w:t>
            </w:r>
            <w:r w:rsidRPr="00DF3EFC">
              <w:lastRenderedPageBreak/>
              <w:t>finansiering av terrorism. Den värdepapperscentral som driver avvecklingssystemet för värdepapper bör också säkerställa att dessa deltagare har tillräcklig förmåga, kompetens, erfarenhet och kunskap om efterhandel och drift av teknik för distribuerade liggare.</w:t>
            </w:r>
          </w:p>
        </w:tc>
        <w:tc>
          <w:tcPr>
            <w:tcW w:w="4876" w:type="dxa"/>
          </w:tcPr>
          <w:p w:rsidR="00DF3EFC" w:rsidRPr="00DF3EFC" w:rsidRDefault="00DF3EFC" w:rsidP="00DF3EFC">
            <w:pPr>
              <w:pStyle w:val="Normal6a"/>
            </w:pPr>
            <w:r w:rsidRPr="00DF3EFC">
              <w:lastRenderedPageBreak/>
              <w:t>(22)</w:t>
            </w:r>
            <w:r w:rsidRPr="00DF3EFC">
              <w:tab/>
              <w:t>Förmedlingsskyldigheten genom ett kreditinstitut eller ett värdepappersföretag, så att privata investerare inte kan få direkt tillträde till de avvecklings- och leveranssystem som drivs av en värdepapperscentral, skulle kunna skapa ett regleringshinder för utvecklingen av alternativa avvecklingsmodeller baserade på teknik för distribuerade liggare som möjliggör direkt tillträde för privata kunder. Därför bör den värdepapperscentral som driver ett värdepappersavvecklingssystem med teknik för distribuerade liggare ha rätt att begära ett undantag från begreppet deltagare, i enlighet med förordning (EU) nr 909/2014 (</w:t>
            </w:r>
            <w:r w:rsidRPr="00DF3EFC">
              <w:rPr>
                <w:b/>
                <w:i/>
              </w:rPr>
              <w:t>CSDR</w:t>
            </w:r>
            <w:r w:rsidRPr="00DF3EFC">
              <w:t>). Vid ansökan om undantag från förmedlingsskyldigheten enligt förordning (EU) nr 909/2014 (</w:t>
            </w:r>
            <w:r w:rsidRPr="00DF3EFC">
              <w:rPr>
                <w:b/>
                <w:i/>
              </w:rPr>
              <w:t>CSDR</w:t>
            </w:r>
            <w:r w:rsidRPr="00DF3EFC">
              <w:t xml:space="preserve">) bör den värdepapperscentral som driver ett avvecklingssystem för värdepapper säkerställa att dessa personer har tillräckligt gott anseende och är lämpliga för bekämpning av penningtvätt och finansiering av terrorism. Den värdepapperscentral som driver </w:t>
            </w:r>
            <w:r w:rsidRPr="00DF3EFC">
              <w:lastRenderedPageBreak/>
              <w:t>avvecklingssystemet för värdepapper bör också säkerställa att dessa deltagare har tillräcklig förmåga, kompetens, erfarenhet och kunskap om efterhandel och drift av teknik för distribuerade liggare.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202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(23)</w:t>
            </w:r>
            <w:r w:rsidRPr="00DF3EFC">
              <w:tab/>
              <w:t>De enheter som får delta i en värdepapperscentral som omfattas av förordning (EU) nr 909/2014 (</w:t>
            </w:r>
            <w:r w:rsidRPr="00DF3EFC">
              <w:rPr>
                <w:b/>
                <w:i/>
              </w:rPr>
              <w:t>förordningen om värdepapperscentraler</w:t>
            </w:r>
            <w:r w:rsidRPr="00DF3EFC">
              <w:t>)  är baserade på de enheter som har rätt att delta i ett avvecklingssystem för värdepapper som har utsetts och anmälts i enlighet med direktiv 98/26/EG (direktivet om slutgiltig avveckling) eftersom förordning (EU) nr 909/2014 (</w:t>
            </w:r>
            <w:r w:rsidRPr="00DF3EFC">
              <w:rPr>
                <w:b/>
                <w:i/>
              </w:rPr>
              <w:t>förordningen om värdepapperscentraler</w:t>
            </w:r>
            <w:r w:rsidRPr="00DF3EFC">
              <w:t>) kräver att avvecklingssystem för värdepapper som drivs av värdepapperscentraler ska utses och anmälas enligt direktiv 98/26/EG. Ett värdepappersavvecklingssystem med teknik för distribuerade liggare som ansöker om undantag från kraven för deltagande i förordning (EU) nr 909/2014 (</w:t>
            </w:r>
            <w:r w:rsidRPr="00DF3EFC">
              <w:rPr>
                <w:b/>
                <w:i/>
              </w:rPr>
              <w:t>förordningen om värdepapperscentraler</w:t>
            </w:r>
            <w:r w:rsidRPr="00DF3EFC">
              <w:t xml:space="preserve">)  skulle inte uppfylla kraven för deltagande i direktiv 98/26/EG. Följaktligen kan ett sådant värdepappersavvecklingssystem med teknik för distribuerade liggare inte utses och anmälas enligt det direktivet. Detta skulle dock inte hindra att ett värdepappersavvecklingssystem med teknik för distribuerade liggare som uppfyller alla krav i direktiv 98/26/EG </w:t>
            </w:r>
            <w:r w:rsidRPr="00DF3EFC">
              <w:lastRenderedPageBreak/>
              <w:t>utses och anmäls.</w:t>
            </w:r>
          </w:p>
        </w:tc>
        <w:tc>
          <w:tcPr>
            <w:tcW w:w="4876" w:type="dxa"/>
          </w:tcPr>
          <w:p w:rsidR="00DF3EFC" w:rsidRPr="00DF3EFC" w:rsidRDefault="00DF3EFC" w:rsidP="00DF3EFC">
            <w:pPr>
              <w:pStyle w:val="Normal6a"/>
            </w:pPr>
            <w:r w:rsidRPr="00DF3EFC">
              <w:lastRenderedPageBreak/>
              <w:t>(23)</w:t>
            </w:r>
            <w:r w:rsidRPr="00DF3EFC">
              <w:tab/>
              <w:t>De enheter som får delta i en värdepapperscentral som omfattas av förordning (EU) nr 909/2014 (</w:t>
            </w:r>
            <w:r w:rsidRPr="00DF3EFC">
              <w:rPr>
                <w:b/>
                <w:i/>
              </w:rPr>
              <w:t>CSDR</w:t>
            </w:r>
            <w:r w:rsidRPr="00DF3EFC">
              <w:t>) är baserade på de enheter som har rätt att delta i ett avvecklingssystem för värdepapper som har utsetts och anmälts i enlighet med direktiv 98/26/EG (direktivet om slutgiltig avveckling) eftersom förordning (EU) nr 909/2014 (</w:t>
            </w:r>
            <w:r w:rsidRPr="00DF3EFC">
              <w:rPr>
                <w:b/>
                <w:i/>
              </w:rPr>
              <w:t>CSDR</w:t>
            </w:r>
            <w:r w:rsidRPr="00DF3EFC">
              <w:t>) kräver att avvecklingssystem för värdepapper som drivs av värdepapperscentraler ska utses och anmälas enligt direktiv 98/26/EG. Ett värdepappersavvecklingssystem med teknik för distribuerade liggare som ansöker om undantag från kraven för deltagande i förordning (EU) nr 909/2014 (</w:t>
            </w:r>
            <w:r w:rsidRPr="00DF3EFC">
              <w:rPr>
                <w:b/>
                <w:i/>
              </w:rPr>
              <w:t>CSDR</w:t>
            </w:r>
            <w:r w:rsidRPr="00DF3EFC">
              <w:t xml:space="preserve">) skulle inte uppfylla kraven för deltagande i direktiv 98/26/EG. Följaktligen kan ett sådant värdepappersavvecklingssystem med teknik för distribuerade liggare inte utses och anmälas enligt det direktivet. Detta skulle dock inte hindra att ett värdepappersavvecklingssystem med teknik för distribuerade liggare som uppfyller alla krav i direktiv 98/26/EG utses och anmäls. </w:t>
            </w:r>
            <w:r w:rsidRPr="00DF3EFC">
              <w:rPr>
                <w:b/>
                <w:i/>
              </w:rPr>
              <w:t xml:space="preserve">Om ett värdepappersavvecklingssystem med </w:t>
            </w:r>
            <w:r w:rsidRPr="00DF3EFC">
              <w:rPr>
                <w:b/>
                <w:i/>
              </w:rPr>
              <w:lastRenderedPageBreak/>
              <w:t>teknik för distribuerade liggare inte utgör drift av ett  ”system” i enlighet med definitionen i direktivet om slutgiltig avveckling, inte minst på grund av att fysiska personer har rätt att delta i ett värdepappersavvecklingssystem med teknik för distribuerade liggare, bör insolvensskydden i detta system vidare  inte vara tillämpliga på värdepappersavvecklingssystemet med teknik för distribuerade liggare självt. Om operatören av värdepappersavvecklingssystemet med teknik för distribuerade liggare driver en annan värdepapperscentral bör det vidare visas att driften av värdepappersavvecklingssystemet med teknik för distribuerade liggare inte under några omständigheter kommer att påverka någon annan värdepapperscentrals verksamhet eller robusthet, exempelvis om en eller flera enheter deltar i både ett vanlig värdepappersavvecklingssystem och ett värdepappersavvecklingssystem med teknik för distribuerade liggare som drivs av samma värdepapperscentral. Under sådana omständigheter bör den värdepapperscentral som driver värdepappersavvecklingssystemet med teknik för distribuerade liggare tydligt förklara de risker för insolvens och slutgiltig avveckling som dess deltagare är exponerade för, samt de åtgärder som har införts för att minska dessa risker.</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Redaktionella kommentarer. Det föreslås vidare att en viss kontext i punkt 3.4 i ”ECB:s yttrande om DLT-pilotordningen” av den 28 april införlivas för att tillhandahålla ”öronmärkning” av värdepappersavvecklingssystem med teknik för distribuerade liggare om deras operatör även driver andra värdepapperscentraler.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203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lastRenderedPageBreak/>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24</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(24)</w:t>
            </w:r>
            <w:r w:rsidRPr="00DF3EFC">
              <w:tab/>
              <w:t>Förordning (EU) nr 909/2014 (</w:t>
            </w:r>
            <w:r w:rsidRPr="00DF3EFC">
              <w:rPr>
                <w:b/>
                <w:i/>
              </w:rPr>
              <w:t>förordningen om värdepapperscentraler</w:t>
            </w:r>
            <w:r w:rsidRPr="00DF3EFC">
              <w:t xml:space="preserve">) uppmuntrar avveckling av transaktioner i baspengar. Om avvecklingen av </w:t>
            </w:r>
            <w:r w:rsidRPr="00DF3EFC">
              <w:rPr>
                <w:b/>
                <w:i/>
              </w:rPr>
              <w:t>kontantbetalningar</w:t>
            </w:r>
            <w:r w:rsidRPr="00DF3EFC">
              <w:t xml:space="preserve"> i baspengar inte är tillgänglig och praktiskt genomförbar kan avvecklingen ske med pengar från kommersiella banker. Denna bestämmelse kan vara svår att tillämpa för en värdepapperscentral som driver ett </w:t>
            </w:r>
            <w:r w:rsidRPr="00DF3EFC">
              <w:rPr>
                <w:b/>
                <w:i/>
              </w:rPr>
              <w:t>värdepappersavvecklingssystem med teknik för distribuerade liggare</w:t>
            </w:r>
            <w:r w:rsidRPr="00DF3EFC">
              <w:t xml:space="preserve">, eftersom en sådan värdepapperscentral skulle behöva genomföra kontorörelser samtidigt som värdepapper levereras </w:t>
            </w:r>
            <w:r w:rsidRPr="00DF3EFC">
              <w:rPr>
                <w:b/>
                <w:i/>
              </w:rPr>
              <w:t>med teknik för distribuerade liggare</w:t>
            </w:r>
            <w:r w:rsidRPr="00DF3EFC">
              <w:t>. En värdepapperscentral som driver ett värdepappersavvecklingssystem med teknik för distribuerade liggare bör ha rätt att begära ett undantag från bestämmelserna i förordning (EU) nr 909/2014 (förordningen om värdepapperscentraler) om kontantavveckling för att utveckla innovativa lösningar, såsom användning av avvecklingsmynt eller ”e-pengartokens” enligt definitionen i förordning nr 2021/XX om marknader för kryptotillgångar</w:t>
            </w:r>
            <w:r w:rsidRPr="00DF3EFC">
              <w:rPr>
                <w:rStyle w:val="SupBoldItalic"/>
              </w:rPr>
              <w:t>45</w:t>
            </w:r>
            <w:r w:rsidRPr="00DF3EFC">
              <w:t>.</w:t>
            </w:r>
          </w:p>
        </w:tc>
        <w:tc>
          <w:tcPr>
            <w:tcW w:w="4876" w:type="dxa"/>
          </w:tcPr>
          <w:p w:rsidR="00DF3EFC" w:rsidRPr="00DF3EFC" w:rsidRDefault="00DF3EFC" w:rsidP="00DF3EFC">
            <w:pPr>
              <w:pStyle w:val="Normal6a"/>
            </w:pPr>
            <w:r w:rsidRPr="00DF3EFC">
              <w:t>(24)</w:t>
            </w:r>
            <w:r w:rsidRPr="00DF3EFC">
              <w:tab/>
              <w:t>Förordning (EU) nr 909/2014 (</w:t>
            </w:r>
            <w:r w:rsidRPr="00DF3EFC">
              <w:rPr>
                <w:b/>
                <w:i/>
              </w:rPr>
              <w:t>CSDR</w:t>
            </w:r>
            <w:r w:rsidRPr="00DF3EFC">
              <w:t xml:space="preserve">) uppmuntrar avveckling av transaktioner i baspengar. Om avvecklingen av </w:t>
            </w:r>
            <w:r w:rsidRPr="00DF3EFC">
              <w:rPr>
                <w:b/>
                <w:i/>
              </w:rPr>
              <w:t xml:space="preserve">betalningsdelen </w:t>
            </w:r>
            <w:r w:rsidRPr="00DF3EFC">
              <w:t xml:space="preserve">i baspengar inte är tillgänglig och praktiskt genomförbar kan avvecklingen ske med pengar från kommersiella banker. Denna bestämmelse kan vara svår att tillämpa för en värdepapperscentral som driver ett värdepappersavvecklingssystem med teknik för distribuerade liggare, eftersom en sådan värdepapperscentral skulle behöva genomföra kontorörelser samtidigt som värdepapper levereras </w:t>
            </w:r>
            <w:r w:rsidRPr="00DF3EFC">
              <w:rPr>
                <w:b/>
                <w:i/>
              </w:rPr>
              <w:t>i den distribuerade liggaren</w:t>
            </w:r>
            <w:r w:rsidRPr="00DF3EFC">
              <w:t xml:space="preserve">. En värdepapperscentral som driver ett värdepappersavvecklingssystem med teknik för distribuerade liggare bör ha rätt att begära ett undantag från bestämmelserna i förordning (EU) nr 909/2014 (förordningen om värdepapperscentraler) om kontantavveckling för att utveckla innovativa lösningar, såsom användning av avvecklingsmynt eller ”e-pengartokens” </w:t>
            </w:r>
            <w:r w:rsidRPr="00DF3EFC">
              <w:rPr>
                <w:b/>
                <w:i/>
              </w:rPr>
              <w:t>(EMT)</w:t>
            </w:r>
            <w:r w:rsidRPr="00DF3EFC">
              <w:t xml:space="preserve"> enligt definitionen i förordning nr 2021/XX om marknader för kryptotillgångar.</w:t>
            </w:r>
            <w:r w:rsidRPr="00DF3EFC">
              <w:rPr>
                <w:b/>
                <w:i/>
              </w:rPr>
              <w:t xml:space="preserve"> När EMT används för betalningsdelen bör deltagarna i ett värdepappersavvecklingssystem med teknik för distribuerade liggare kunna öppna konton.</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p>
        </w:tc>
      </w:tr>
      <w:tr w:rsidR="00DF3EFC" w:rsidRPr="00DF3EFC" w:rsidTr="00DF3EFC">
        <w:trPr>
          <w:jc w:val="center"/>
        </w:trPr>
        <w:tc>
          <w:tcPr>
            <w:tcW w:w="4876" w:type="dxa"/>
          </w:tcPr>
          <w:p w:rsidR="00DF3EFC" w:rsidRPr="00DF3EFC" w:rsidRDefault="00DF3EFC" w:rsidP="00DF3EFC">
            <w:pPr>
              <w:pStyle w:val="Normal6a"/>
            </w:pPr>
            <w:r w:rsidRPr="00DF3EFC">
              <w:rPr>
                <w:rStyle w:val="SupBoldItalic"/>
              </w:rPr>
              <w:t>45</w:t>
            </w:r>
            <w:r w:rsidRPr="00DF3EFC">
              <w:rPr>
                <w:b/>
                <w:i/>
              </w:rPr>
              <w:t xml:space="preserve"> Förslag till Europaparlamentets och rådets förordning om marknader för kryptotillgångar och om ändring av direktiv (EU) 2019/1937 – COM(2020)593.</w:t>
            </w:r>
          </w:p>
        </w:tc>
        <w:tc>
          <w:tcPr>
            <w:tcW w:w="4876" w:type="dxa"/>
          </w:tcPr>
          <w:p w:rsidR="00DF3EFC" w:rsidRPr="00DF3EFC" w:rsidRDefault="00DF3EFC" w:rsidP="00DF3EFC">
            <w:pPr>
              <w:pStyle w:val="Normal6a"/>
            </w:pP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lastRenderedPageBreak/>
        <w:t>&lt;TitreJust&gt;</w:t>
      </w:r>
      <w:r w:rsidRPr="00DF3EFC">
        <w:t>Motivering</w:t>
      </w:r>
      <w:r w:rsidRPr="00DF3EFC">
        <w:rPr>
          <w:rStyle w:val="HideTWBExt"/>
          <w:i w:val="0"/>
        </w:rPr>
        <w:t>&lt;/TitreJust&gt;</w:t>
      </w:r>
    </w:p>
    <w:p w:rsidR="00DF3EFC" w:rsidRPr="00DF3EFC" w:rsidRDefault="00DF3EFC" w:rsidP="00DF3EFC">
      <w:pPr>
        <w:pStyle w:val="AmJustText"/>
      </w:pPr>
      <w:r w:rsidRPr="00DF3EFC">
        <w:t>Redaktionell kommentar. Det föreslås vidare att punkt 3.3.7 i ECB:s yttrande om DLT-pilotordningen från den 28 april införlivas när det gäller avvecklingen i EMT.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204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24a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(24a)</w:t>
            </w:r>
            <w:r w:rsidRPr="00DF3EFC">
              <w:tab/>
            </w:r>
            <w:r w:rsidRPr="00DF3EFC">
              <w:rPr>
                <w:b/>
                <w:i/>
              </w:rPr>
              <w:t>Fysiska personer skulle kunna delta direkt i marknadsinfrastrukturer med teknik för distribuerade liggare och om betalningsdelen i de överförbara transaktionerna med värdepapper med teknik för distribuerade liggare skulle ske i bokföringen för en person som inte är ett licensierat kreditinstitut skulle resultatet bli att kassakonton innehas av fysiska personer och av juridiska personer som mikroföretag, små och medelstora företag, där marknadsinfrastrukturerna med teknik för distribuerade liggare inte gynnas av insättningsgarantisystemets skydd enligt Europaparlamentets och rådets direktiv 2014/49/EU (direktivet om insättningsgarantisystem, DGSD) och av prioriteringen av insättaren enligt Europaparlamentets och rådets direktiv 2014/59/EU (BRRD). DGSD och prioriteringen av insättaren enligt BRRD gäller endast för insättningar i form av en kreditbalans som är ett resultat av att medel lämnas på ett konto eller av tillfälliga situationer efter normala banktransaktioner och som ett kreditinstitut är skyldigt att återbetala. Under dessa omständigheter bör marknadsinfrastrukturerna med teknik för distribuerade liggare uttryckligen visa deltagarna att de inte är skyddade enligt de relevanta bestämmelserna i DGSD och BRRD.</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Baserat på punkt 3.3.9 i ECB:s yttrande om teknik för distribuerade liggare av den 28 april är det av yttersta vikt i en anda av förstärkt investerarskydd, marknadsintegritet och bestämmelser om finansiell stabilitet, att för marknadsinfrastrukturer med teknik för distribuerade liggare tydliggöra skyldigheten att uppge alla fall då insättningsgarantisystem kanske inte gäller.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205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(25)</w:t>
            </w:r>
            <w:r w:rsidRPr="00DF3EFC">
              <w:tab/>
              <w:t>Enligt förordning (EU) nr 909/2014 (</w:t>
            </w:r>
            <w:r w:rsidRPr="00DF3EFC">
              <w:rPr>
                <w:b/>
                <w:i/>
              </w:rPr>
              <w:t>förordningen om värdepapperscentraler</w:t>
            </w:r>
            <w:r w:rsidRPr="00DF3EFC">
              <w:t>) krävs att en värdepapperscentral ger tillträde till en annan värdepapperscentral eller till andra marknadsinfrastrukturer. Tillträdet till en värdepapperscentral som driver ett värdepappersavvecklingssystem med teknik för distribuerade liggare kan vara betungande eller svårt att uppnå, eftersom driftskompatibiliteten mellan befintliga system och med teknik för distribuerade liggare ännu inte har testats. Ett värdepappersavvecklingssystem med teknik för distribuerade liggare bör också kunna begära ett undantag från sådana bestämmelser, om det kan visa att tillämpningen av sådana bestämmelser inte står i proportion till storleken på värdepappersavvecklingssystemet med teknik för distribuerade liggare.</w:t>
            </w:r>
          </w:p>
        </w:tc>
        <w:tc>
          <w:tcPr>
            <w:tcW w:w="4876" w:type="dxa"/>
          </w:tcPr>
          <w:p w:rsidR="00DF3EFC" w:rsidRPr="00DF3EFC" w:rsidRDefault="00DF3EFC" w:rsidP="00DF3EFC">
            <w:pPr>
              <w:pStyle w:val="Normal6a"/>
            </w:pPr>
            <w:r w:rsidRPr="00DF3EFC">
              <w:t>(25)</w:t>
            </w:r>
            <w:r w:rsidRPr="00DF3EFC">
              <w:tab/>
              <w:t>Enligt förordning (EU) nr 909/2014 (</w:t>
            </w:r>
            <w:r w:rsidRPr="00DF3EFC">
              <w:rPr>
                <w:b/>
                <w:i/>
              </w:rPr>
              <w:t>CSDR</w:t>
            </w:r>
            <w:r w:rsidRPr="00DF3EFC">
              <w:t xml:space="preserve">) krävs att en värdepapperscentral ger tillträde till en annan värdepapperscentral eller till andra marknadsinfrastrukturer. Tillträdet till en värdepapperscentral som driver ett värdepappersavvecklingssystem med teknik för distribuerade liggare kan vara </w:t>
            </w:r>
            <w:r w:rsidRPr="00DF3EFC">
              <w:rPr>
                <w:b/>
                <w:i/>
              </w:rPr>
              <w:t xml:space="preserve">mer tekniskt utmanande, </w:t>
            </w:r>
            <w:r w:rsidRPr="00DF3EFC">
              <w:t>betungande eller svårt att uppnå, eftersom driftskompatibiliteten mellan befintliga system och med teknik för distribuerade liggare ännu inte har testats. Ett värdepappersavvecklingssystem med teknik för distribuerade liggare bör också kunna begära ett undantag från sådana bestämmelser, om det kan visa att tillämpningen av sådana bestämmelser inte står i proportion till storleken på värdepappersavvecklingssystemet med teknik för distribuerade liggare.</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Redaktionella kommentarer. Det föreslås vidare att en potentiell standardisering av datadefinitioner eller meddelandeprotokoll som är nödvändiga för att möjliggöra åtkomst till olika system och främja driftskompatibilitet övervägs.</w:t>
      </w:r>
    </w:p>
    <w:p w:rsidR="00DF3EFC" w:rsidRPr="00DF3EFC" w:rsidRDefault="00DF3EFC" w:rsidP="00DF3EFC">
      <w:r w:rsidRPr="00DF3EFC">
        <w:rPr>
          <w:rStyle w:val="HideTWBExt"/>
        </w:rPr>
        <w:lastRenderedPageBreak/>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206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26</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(26)</w:t>
            </w:r>
            <w:r w:rsidRPr="00DF3EFC">
              <w:tab/>
              <w:t>Oberoende av den bestämmelse för vilken ett undantag begärs bör en värdepapperscentral som driver ett värdepappersavvecklingssystem med teknik för distribuerade liggare visa att det begärda undantaget är proportionerligt och motiverat genom användning av tekniken. Undantaget bör också begränsas till värdepappersavvecklingssystem med teknik för distribuerade liggare och inte omfatta andra avvecklingssystem för värdepapper som drivs av samma värdepapperscentral.</w:t>
            </w:r>
          </w:p>
        </w:tc>
        <w:tc>
          <w:tcPr>
            <w:tcW w:w="4876" w:type="dxa"/>
          </w:tcPr>
          <w:p w:rsidR="00DF3EFC" w:rsidRPr="00DF3EFC" w:rsidRDefault="00DF3EFC" w:rsidP="00DF3EFC">
            <w:pPr>
              <w:pStyle w:val="Normal6a"/>
            </w:pPr>
            <w:r w:rsidRPr="00DF3EFC">
              <w:rPr>
                <w:i/>
              </w:rPr>
              <w:t>(Berör inte den svenska versionen.)</w:t>
            </w:r>
            <w:r w:rsidRPr="00DF3EFC">
              <w:tab/>
              <w:t xml:space="preserve"> </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207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27</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(27)</w:t>
            </w:r>
            <w:r w:rsidRPr="00DF3EFC">
              <w:tab/>
              <w:t xml:space="preserve">Marknadsinfrastrukturer med teknik för distribuerade liggare bör också omfattas av ytterligare krav, jämfört med traditionella marknadsinfrastrukturer. Dessa krav är nödvändiga för att undvika risker till följd av användningen av teknik för distribuerade liggare eller det nya sätt på vilket marknadsinfrastruktur med teknik för distribuerade liggare ska bedriva sin verksamhet. Därför bör </w:t>
            </w:r>
            <w:r w:rsidRPr="00DF3EFC">
              <w:rPr>
                <w:b/>
                <w:i/>
              </w:rPr>
              <w:t xml:space="preserve">marknadsinfrastruktur </w:t>
            </w:r>
            <w:r w:rsidRPr="00DF3EFC">
              <w:t xml:space="preserve">med teknik för distribuerade liggare fastställa en tydlig affärsplan där det anges hur teknik för </w:t>
            </w:r>
            <w:r w:rsidRPr="00DF3EFC">
              <w:lastRenderedPageBreak/>
              <w:t>distribuerade liggare ska användas och vilka rättsliga arrangemang som ska införas.</w:t>
            </w:r>
          </w:p>
        </w:tc>
        <w:tc>
          <w:tcPr>
            <w:tcW w:w="4876" w:type="dxa"/>
          </w:tcPr>
          <w:p w:rsidR="00DF3EFC" w:rsidRPr="00DF3EFC" w:rsidRDefault="00DF3EFC" w:rsidP="00DF3EFC">
            <w:pPr>
              <w:pStyle w:val="Normal6a"/>
            </w:pPr>
            <w:r w:rsidRPr="00DF3EFC">
              <w:lastRenderedPageBreak/>
              <w:t>(27)</w:t>
            </w:r>
            <w:r w:rsidRPr="00DF3EFC">
              <w:tab/>
              <w:t xml:space="preserve">Marknadsinfrastrukturer med teknik för distribuerade liggare </w:t>
            </w:r>
            <w:r w:rsidRPr="00DF3EFC">
              <w:rPr>
                <w:b/>
                <w:i/>
              </w:rPr>
              <w:t>och deras operatörer</w:t>
            </w:r>
            <w:r w:rsidRPr="00DF3EFC">
              <w:t xml:space="preserve"> bör också omfattas av ytterligare krav, jämfört med traditionella marknadsinfrastrukturer. Dessa krav är nödvändiga för att undvika risker till följd av användningen av teknik för distribuerade liggare eller det nya sätt på vilket marknadsinfrastruktur med teknik för distribuerade liggare ska bedriva sin verksamhet. Därför bör </w:t>
            </w:r>
            <w:r w:rsidRPr="00DF3EFC">
              <w:rPr>
                <w:b/>
                <w:i/>
              </w:rPr>
              <w:t xml:space="preserve">marknadsinfrastrukturer </w:t>
            </w:r>
            <w:r w:rsidRPr="00DF3EFC">
              <w:t>med teknik för distribuerade liggare</w:t>
            </w:r>
            <w:r w:rsidRPr="00DF3EFC">
              <w:rPr>
                <w:b/>
                <w:i/>
              </w:rPr>
              <w:t xml:space="preserve"> och deras operatörer</w:t>
            </w:r>
            <w:r w:rsidRPr="00DF3EFC">
              <w:t xml:space="preserve"> </w:t>
            </w:r>
            <w:r w:rsidRPr="00DF3EFC">
              <w:lastRenderedPageBreak/>
              <w:t>fastställa en tydlig affärsplan där det anges hur teknik för distribuerade liggare ska användas och vilka rättsliga arrangemang som ska införas.</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Vissa krav är tillämpliga på operatören av DLT-marknadsinfrastrukturen.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208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27</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(27)</w:t>
            </w:r>
            <w:r w:rsidRPr="00DF3EFC">
              <w:tab/>
              <w:t xml:space="preserve">Marknadsinfrastrukturer med teknik för distribuerade liggare bör också omfattas av ytterligare krav, jämfört med traditionella marknadsinfrastrukturer. Dessa krav är nödvändiga för att undvika risker </w:t>
            </w:r>
            <w:r w:rsidRPr="00DF3EFC">
              <w:rPr>
                <w:b/>
                <w:i/>
              </w:rPr>
              <w:t xml:space="preserve">till följd av </w:t>
            </w:r>
            <w:r w:rsidRPr="00DF3EFC">
              <w:t>användningen av teknik för distribuerade liggare eller det nya sätt på vilket marknadsinfrastruktur med teknik för distribuerade liggare ska bedriva sin verksamhet. Därför bör marknadsinfrastruktur med teknik för distribuerade liggare fastställa en tydlig affärsplan där det anges hur teknik för distribuerade liggare ska användas och vilka rättsliga arrangemang som ska införas.</w:t>
            </w:r>
          </w:p>
        </w:tc>
        <w:tc>
          <w:tcPr>
            <w:tcW w:w="4876" w:type="dxa"/>
          </w:tcPr>
          <w:p w:rsidR="00DF3EFC" w:rsidRPr="00DF3EFC" w:rsidRDefault="00DF3EFC" w:rsidP="00DF3EFC">
            <w:pPr>
              <w:pStyle w:val="Normal6a"/>
            </w:pPr>
            <w:r w:rsidRPr="00DF3EFC">
              <w:t>(27)</w:t>
            </w:r>
            <w:r w:rsidRPr="00DF3EFC">
              <w:tab/>
              <w:t xml:space="preserve">Marknadsinfrastrukturer med teknik för distribuerade liggare bör också omfattas av ytterligare krav, jämfört med traditionella marknadsinfrastrukturer. Dessa krav är nödvändiga för att undvika risker </w:t>
            </w:r>
            <w:r w:rsidRPr="00DF3EFC">
              <w:rPr>
                <w:b/>
                <w:i/>
              </w:rPr>
              <w:t>i samband med</w:t>
            </w:r>
            <w:r w:rsidRPr="00DF3EFC">
              <w:t xml:space="preserve"> användningen av teknik för distribuerade liggare eller det nya sätt på vilket marknadsinfrastruktur med teknik för distribuerade liggare ska bedriva sin verksamhet. Därför bör marknadsinfrastruktur med teknik för distribuerade liggare fastställa en tydlig affärsplan där det anges hur teknik för distribuerade liggare ska användas och vilka rättsliga arrangemang som ska införas.</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209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lastRenderedPageBreak/>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(28)</w:t>
            </w:r>
            <w:r w:rsidRPr="00DF3EFC">
              <w:tab/>
            </w:r>
            <w:r w:rsidRPr="00DF3EFC">
              <w:rPr>
                <w:b/>
                <w:i/>
              </w:rPr>
              <w:t xml:space="preserve">En värdepapperscentral </w:t>
            </w:r>
            <w:r w:rsidRPr="00DF3EFC">
              <w:t xml:space="preserve">som driver ett värdepappersavvecklingssystem med teknik för distribuerade liggare eller DLT MTF-plattform, där de själva får avveckla transaktionerna i överförbara värdepapper med teknik i en distribuerad liggare, </w:t>
            </w:r>
            <w:r w:rsidRPr="00DF3EFC">
              <w:rPr>
                <w:b/>
                <w:i/>
              </w:rPr>
              <w:t>bör</w:t>
            </w:r>
            <w:r w:rsidRPr="00DF3EFC">
              <w:t xml:space="preserve"> fastställa regler för hur den teknik för en distribuerad liggare som de själva driver fungerar, inbegripet regler för tillträde till tekniken, regler för deltagande noder och regler för hantering av potentiella intressekonflikter samt riskhanteringsåtgärder.</w:t>
            </w:r>
          </w:p>
        </w:tc>
        <w:tc>
          <w:tcPr>
            <w:tcW w:w="4876" w:type="dxa"/>
          </w:tcPr>
          <w:p w:rsidR="00DF3EFC" w:rsidRPr="00DF3EFC" w:rsidRDefault="00DF3EFC" w:rsidP="00DF3EFC">
            <w:pPr>
              <w:pStyle w:val="Normal6a"/>
            </w:pPr>
            <w:r w:rsidRPr="00DF3EFC">
              <w:t>(28)</w:t>
            </w:r>
            <w:r w:rsidRPr="00DF3EFC">
              <w:tab/>
            </w:r>
            <w:r w:rsidRPr="00DF3EFC">
              <w:rPr>
                <w:b/>
                <w:i/>
              </w:rPr>
              <w:t xml:space="preserve">Om en enhet använder en teknik för en distribuerad liggare som den själv driver bör enheten </w:t>
            </w:r>
            <w:r w:rsidRPr="00DF3EFC">
              <w:t xml:space="preserve">som driver ett värdepappersavvecklingssystem med teknik för distribuerade liggare eller DLT MTF-plattform, där de själva får avveckla transaktionerna i överförbara värdepapper med teknik i en distribuerad liggare, fastställa regler för hur den teknik för en distribuerad liggare som de själva driver fungerar, inbegripet regler för tillträde till tekniken, regler för deltagande noder och regler för hantering av potentiella intressekonflikter </w:t>
            </w:r>
            <w:r w:rsidR="0053605E">
              <w:t>samt riskhanteringsåtgärder.</w:t>
            </w:r>
            <w:r w:rsidR="0053605E">
              <w:br/>
            </w:r>
            <w:r w:rsidRPr="00DF3EFC">
              <w:br/>
            </w:r>
            <w:r w:rsidRPr="00DF3EFC">
              <w:rPr>
                <w:b/>
                <w:i/>
              </w:rPr>
              <w:t>Om en enhet använder en teknik för en offentlig distribuerad liggare bör enheten som driver ett DLT-värdepappersavvecklingssystem eller en DLT-MTF-plattform, där de själva får avveckla transaktionerna i överförbara värdepapper med teknik i en distribuerad liggare, för de relevanta behöriga myndigheterna ge en korrekt beskrivning av hur den teknik för en distribuerad liggare som den använder fungerar, hur den hanterar potentiella intressekonflikter samt riskhanteringsåtgärder.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 och tekniskt neutral i förhållande till privat och offentlig teknik för distribuerade liggare.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210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lastRenderedPageBreak/>
              <w:t>(28)</w:t>
            </w:r>
            <w:r w:rsidRPr="00DF3EFC">
              <w:tab/>
              <w:t>En värdepapperscentral som driver ett värdepappersavvecklingssystem med teknik för distribuerade liggare eller DLT MTF-plattform, där de själva får avveckla transaktionerna i överförbara värdepapper med teknik i en distribuerad liggare, bör fastställa regler för hur den teknik för en distribuerad liggare som de själva driver fungerar, inbegripet regler för tillträde till tekniken, regler för deltagande noder och regler för hantering av potentiella intressekonflikter samt riskhanteringsåtgärder.</w:t>
            </w:r>
          </w:p>
        </w:tc>
        <w:tc>
          <w:tcPr>
            <w:tcW w:w="4876" w:type="dxa"/>
          </w:tcPr>
          <w:p w:rsidR="00DF3EFC" w:rsidRPr="00DF3EFC" w:rsidRDefault="00DF3EFC" w:rsidP="00DF3EFC">
            <w:pPr>
              <w:pStyle w:val="Normal6a"/>
            </w:pPr>
            <w:r w:rsidRPr="00DF3EFC">
              <w:t>(28)</w:t>
            </w:r>
            <w:r w:rsidRPr="00DF3EFC">
              <w:tab/>
              <w:t xml:space="preserve">En värdepapperscentral som driver ett värdepappersavvecklingssystem med teknik för distribuerade liggare eller DLT MTF-plattform, där de själva får avveckla transaktionerna i överförbara värdepapper med teknik i en distribuerad liggare, bör fastställa </w:t>
            </w:r>
            <w:r w:rsidRPr="00DF3EFC">
              <w:rPr>
                <w:b/>
                <w:i/>
              </w:rPr>
              <w:t>eller dokumentera</w:t>
            </w:r>
            <w:r w:rsidRPr="00DF3EFC">
              <w:t xml:space="preserve"> regler för hur den teknik för en distribuerad liggare som de själva driver fungerar, inbegripet regler för tillträde till tekniken, regler för deltagande noder och regler för hantering av potentiella intressekonflikter samt riskhanteringsåtgärder.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Principen om teknisk neutralitet bör respekteras för att lämna utrymme för att testa olika modeller med teknik för distribuerade liggare. Korrekt styrning av en marknadsinfrastruktur är viktig för att säkerställa dess säkerhet och effektivitet. Det måste säkerställas att ansvarsområdena avseende datahantering är tydliga och att en ram för it-resiliens kan antas på ett sätt som säkerställer att alla är fullt engagerade. Ansvaret för att den teknik för distribuerade liggare som används fungerar bör stanna kvar hos marknadsinfrastrukturen med teknik för distribuerade liggare oavsett typen av teknik för distribuerade liggare.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211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(28)</w:t>
            </w:r>
            <w:r w:rsidRPr="00DF3EFC">
              <w:tab/>
              <w:t xml:space="preserve">En värdepapperscentral som driver ett värdepappersavvecklingssystem med teknik för distribuerade liggare eller DLT MTF-plattform, där de själva får avveckla transaktionerna i överförbara värdepapper med teknik i en distribuerad liggare, bör fastställa regler för hur den teknik för en distribuerad liggare som de </w:t>
            </w:r>
            <w:r w:rsidRPr="00DF3EFC">
              <w:rPr>
                <w:b/>
                <w:i/>
              </w:rPr>
              <w:t xml:space="preserve">själva driver </w:t>
            </w:r>
            <w:r w:rsidRPr="00DF3EFC">
              <w:t>fungerar, inbegripet regler för tillträde till tekniken, regler för deltagande noder och regler för hantering av potentiella intressekonflikter samt riskhanteringsåtgärder.</w:t>
            </w:r>
          </w:p>
        </w:tc>
        <w:tc>
          <w:tcPr>
            <w:tcW w:w="4876" w:type="dxa"/>
          </w:tcPr>
          <w:p w:rsidR="00DF3EFC" w:rsidRPr="00DF3EFC" w:rsidRDefault="00DF3EFC" w:rsidP="00DF3EFC">
            <w:pPr>
              <w:pStyle w:val="Normal6a"/>
            </w:pPr>
            <w:r w:rsidRPr="00DF3EFC">
              <w:t>(28)</w:t>
            </w:r>
            <w:r w:rsidRPr="00DF3EFC">
              <w:tab/>
              <w:t xml:space="preserve">En värdepapperscentral som driver ett värdepappersavvecklingssystem med teknik för distribuerade liggare eller DLT MTF-plattform, där de själva får avveckla transaktionerna i överförbara värdepapper med teknik i en distribuerad liggare, bör fastställa </w:t>
            </w:r>
            <w:r w:rsidRPr="00DF3EFC">
              <w:rPr>
                <w:b/>
                <w:i/>
              </w:rPr>
              <w:t>och i förekommande fall dokumentera</w:t>
            </w:r>
            <w:r w:rsidRPr="00DF3EFC">
              <w:t xml:space="preserve"> regler för hur den teknik för en distribuerad liggare som de </w:t>
            </w:r>
            <w:r w:rsidRPr="00DF3EFC">
              <w:rPr>
                <w:b/>
                <w:i/>
              </w:rPr>
              <w:t>använder</w:t>
            </w:r>
            <w:r w:rsidRPr="00DF3EFC">
              <w:t xml:space="preserve"> fungerar, inbegripet regler för tillträde till tekniken, regler för deltagande noder och regler för hantering av potentiella intressekonflikter samt </w:t>
            </w:r>
            <w:r w:rsidRPr="00DF3EFC">
              <w:lastRenderedPageBreak/>
              <w:t>riskhanteringsåtgärder.</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212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29</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(29)</w:t>
            </w:r>
            <w:r w:rsidRPr="00DF3EFC">
              <w:tab/>
              <w:t xml:space="preserve">En marknadsinfrastruktur med teknik för distribuerade liggare bör vara skyldig att informera medlemmar, deltagare, emittenter och kunder om hur </w:t>
            </w:r>
            <w:r w:rsidRPr="00DF3EFC">
              <w:rPr>
                <w:b/>
                <w:i/>
              </w:rPr>
              <w:t xml:space="preserve">de </w:t>
            </w:r>
            <w:r w:rsidRPr="00DF3EFC">
              <w:t>avser att bedriva sin verksamhet och hur användningen av teknik för distribuerade liggare kommer att skapa avvikelser jämfört med hur tjänsten normalt tillhandahålls av en traditionell MTF-plattform eller en värdepapperscentral som driver ett avvecklingssystem för värdepapper.</w:t>
            </w:r>
          </w:p>
        </w:tc>
        <w:tc>
          <w:tcPr>
            <w:tcW w:w="4876" w:type="dxa"/>
          </w:tcPr>
          <w:p w:rsidR="00DF3EFC" w:rsidRPr="00DF3EFC" w:rsidRDefault="00DF3EFC" w:rsidP="00DF3EFC">
            <w:pPr>
              <w:pStyle w:val="Normal6a"/>
            </w:pPr>
            <w:r w:rsidRPr="00DF3EFC">
              <w:t>(29)</w:t>
            </w:r>
            <w:r w:rsidRPr="00DF3EFC">
              <w:tab/>
              <w:t xml:space="preserve">En marknadsinfrastruktur med teknik för distribuerade liggare bör vara skyldig att informera medlemmar, deltagare, emittenter och kunder om hur </w:t>
            </w:r>
            <w:r w:rsidRPr="00DF3EFC">
              <w:rPr>
                <w:b/>
                <w:i/>
              </w:rPr>
              <w:t xml:space="preserve">den </w:t>
            </w:r>
            <w:r w:rsidRPr="00DF3EFC">
              <w:t>avser att bedriva sin verksamhet och hur användningen av teknik för distribuerade liggare kommer att skapa avvikelser jämfört med hur tjänsten normalt tillhandahålls av en traditionell MTF-plattform eller en värdepapperscentral som driver ett avvecklingssystem för värdepapper.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213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Paul Tang,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(30)</w:t>
            </w:r>
            <w:r w:rsidRPr="00DF3EFC">
              <w:tab/>
              <w:t xml:space="preserve">Marknadsinfrastrukturer med teknik för distribuerade liggare bör också ha specifika och robusta it- och cyberarrangemang i samband med användningen av tekniken. Dessa arrangemang bör </w:t>
            </w:r>
            <w:r w:rsidRPr="00DF3EFC">
              <w:rPr>
                <w:b/>
                <w:i/>
              </w:rPr>
              <w:t>stå</w:t>
            </w:r>
            <w:r w:rsidRPr="00DF3EFC">
              <w:t xml:space="preserve"> i proportion till arten, omfattningen och komplexiteten i marknadsinfrastrukturens affärsplan. Dessa arrangemang bör också säkerställa fortsatt tillförlitlighet, kontinuitet och säkerhet för </w:t>
            </w:r>
            <w:r w:rsidRPr="00DF3EFC">
              <w:lastRenderedPageBreak/>
              <w:t xml:space="preserve">de tjänster som tillhandahålls, inbegripet tillförlitligheten hos de smarta kontrakt som kan användas. Marknadsinfrastrukturer med teknik för distribuerade liggare bör också säkerställa integritet, säkerhet, konfidentialitet, tillgång och tillgänglighet för de uppgifter som lagras genom tekniken. </w:t>
            </w:r>
            <w:r w:rsidRPr="00DF3EFC">
              <w:rPr>
                <w:b/>
                <w:i/>
              </w:rPr>
              <w:t>Den behöriga myndigheten för en marknadsinfrastruktur med teknik för distribuerade liggare bör ha rätt att begära en revision för att säkerställa att de övergripande it- och cyberarrangemangen är ändamålsenliga. Kostnaderna för en sådan revision bör bäras av marknadsinfrastrukturen med teknik för distribuerade liggare.</w:t>
            </w:r>
          </w:p>
        </w:tc>
        <w:tc>
          <w:tcPr>
            <w:tcW w:w="4876" w:type="dxa"/>
          </w:tcPr>
          <w:p w:rsidR="00DF3EFC" w:rsidRPr="00DF3EFC" w:rsidRDefault="00DF3EFC" w:rsidP="00DF3EFC">
            <w:pPr>
              <w:pStyle w:val="Normal6a"/>
            </w:pPr>
            <w:r w:rsidRPr="00DF3EFC">
              <w:lastRenderedPageBreak/>
              <w:t>(30)</w:t>
            </w:r>
            <w:r w:rsidRPr="00DF3EFC">
              <w:tab/>
              <w:t xml:space="preserve">Marknadsinfrastrukturer med teknik för distribuerade liggare bör också ha specifika och robusta it- och cyberarrangemang i samband med användningen av tekniken. Dessa arrangemang bör </w:t>
            </w:r>
            <w:r w:rsidRPr="00DF3EFC">
              <w:rPr>
                <w:b/>
                <w:i/>
              </w:rPr>
              <w:t>revideras av den behöriga myndigheten innan något undantag ges, för att kontrollera om de är lämpliga för syftet och står</w:t>
            </w:r>
            <w:r w:rsidRPr="00DF3EFC">
              <w:t xml:space="preserve"> i proportion till arten, omfattningen och komplexiteten i </w:t>
            </w:r>
            <w:r w:rsidRPr="00DF3EFC">
              <w:lastRenderedPageBreak/>
              <w:t>marknadsinfrastrukturens affärsplan.</w:t>
            </w:r>
            <w:r w:rsidRPr="00DF3EFC">
              <w:rPr>
                <w:b/>
                <w:i/>
              </w:rPr>
              <w:t xml:space="preserve"> Kostnaderna för en sådan revision bör bäras av marknadsinfrastrukturen med teknik för distribuerade liggare.</w:t>
            </w:r>
            <w:r w:rsidRPr="00DF3EFC">
              <w:t xml:space="preserve"> Dessa arrangemang bör också säkerställa fortsatt tillförlitlighet, kontinuitet och säkerhet för de tjänster som tillhandahålls, inbegripet tillförlitligheten hos de smarta kontrakt som kan användas. Marknadsinfrastrukturer med teknik för distribuerade liggare bör också säkerställa integritet, säkerhet, konfidentialitet, tillgång och tillgänglighet för de uppgifter som lagras genom tekniken.</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214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Antonio Maria Rinaldi, Francesca Donato, Valentino Grant, Marco Zanni, Gunnar Beck</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(30)</w:t>
            </w:r>
            <w:r w:rsidRPr="00DF3EFC">
              <w:tab/>
              <w:t xml:space="preserve">Marknadsinfrastrukturer med teknik för distribuerade liggare bör också ha specifika och robusta it- och cyberarrangemang i samband med användningen av tekniken. Dessa arrangemang bör stå i proportion till arten, omfattningen och komplexiteten i marknadsinfrastrukturens affärsplan. Dessa arrangemang bör också säkerställa fortsatt tillförlitlighet, kontinuitet och säkerhet för de tjänster som tillhandahålls, inbegripet tillförlitligheten hos de smarta kontrakt som kan användas. Marknadsinfrastrukturer med teknik för distribuerade liggare bör också säkerställa integritet, säkerhet, konfidentialitet, tillgång och tillgänglighet för de uppgifter som lagras genom tekniken. Den behöriga </w:t>
            </w:r>
            <w:r w:rsidRPr="00DF3EFC">
              <w:lastRenderedPageBreak/>
              <w:t>myndigheten för en marknadsinfrastruktur med teknik för distribuerade liggare bör ha rätt att begära en revision för att säkerställa att de övergripande it- och cyberarrangemangen är ändamålsenliga. Kostnaderna för en sådan revision bör bäras av marknadsinfrastrukturen med teknik för distribuerade liggare.</w:t>
            </w:r>
          </w:p>
        </w:tc>
        <w:tc>
          <w:tcPr>
            <w:tcW w:w="4876" w:type="dxa"/>
          </w:tcPr>
          <w:p w:rsidR="00DF3EFC" w:rsidRPr="00DF3EFC" w:rsidRDefault="00DF3EFC" w:rsidP="00DF3EFC">
            <w:pPr>
              <w:pStyle w:val="Normal6a"/>
            </w:pPr>
            <w:r w:rsidRPr="00DF3EFC">
              <w:lastRenderedPageBreak/>
              <w:t>(30)</w:t>
            </w:r>
            <w:r w:rsidRPr="00DF3EFC">
              <w:tab/>
              <w:t xml:space="preserve">Marknadsinfrastrukturer med teknik för distribuerade liggare bör också ha specifika och robusta it- och cyberarrangemang i samband med användningen av tekniken. Dessa arrangemang bör stå i proportion till arten, omfattningen och komplexiteten i marknadsinfrastrukturens affärsplan. Dessa arrangemang bör också säkerställa fortsatt tillförlitlighet, kontinuitet och säkerhet för de tjänster som tillhandahålls, inbegripet tillförlitligheten hos de smarta kontrakt som kan användas. Marknadsinfrastrukturer med teknik för distribuerade liggare bör också säkerställa integritet, säkerhet, konfidentialitet, tillgång och tillgänglighet för de uppgifter som lagras genom tekniken. </w:t>
            </w:r>
            <w:r w:rsidRPr="00DF3EFC">
              <w:rPr>
                <w:b/>
                <w:i/>
              </w:rPr>
              <w:t xml:space="preserve">Dessa </w:t>
            </w:r>
            <w:r w:rsidRPr="00DF3EFC">
              <w:rPr>
                <w:b/>
                <w:i/>
              </w:rPr>
              <w:lastRenderedPageBreak/>
              <w:t>åtgärder bör uppfylla kraven i artikel 32 i förordning (EU) 2016/679 (den allmänna dataskyddsförordningen) så att genomförandet av tekniska och organisatoriska åtgärder kan säkerställa en säkerhetsnivå som är lämplig i förhållande till risken. När det gäller smarta kontrakt bör det som fastställts i artikel 22.1 i den allmänna dataskyddsförordningen tillämpas, så att den registrerade har rätt att inte bli föremål för ett beslut som enbart grundas på automatiserad behandling, inbegripet profilering, vilket har rättsliga följder för honom eller henne eller på liknande sätt i betydande grad påverkar honom eller henne.</w:t>
            </w:r>
            <w:r w:rsidRPr="00DF3EFC">
              <w:t xml:space="preserve"> Den behöriga myndigheten för en marknadsinfrastruktur med teknik för distribuerade liggare bör ha rätt att begära en revision för att säkerställa att de övergripande it- och cyberarrangemangen är ändamålsenliga. Kostnaderna för en sådan revision bör bäras av marknadsinfrastrukturen med teknik för distribuerade liggare.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{IT}</w:t>
      </w:r>
      <w:r w:rsidRPr="00DF3EFC">
        <w:t>it</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215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(30)</w:t>
            </w:r>
            <w:r w:rsidRPr="00DF3EFC">
              <w:tab/>
              <w:t xml:space="preserve">Marknadsinfrastrukturer med teknik för distribuerade liggare bör också ha specifika och robusta it- och cyberarrangemang i samband med användningen av tekniken. Dessa arrangemang bör stå i proportion till arten, omfattningen och komplexiteten i marknadsinfrastrukturens affärsplan. Dessa arrangemang bör också säkerställa fortsatt tillförlitlighet, kontinuitet och säkerhet för de tjänster som tillhandahålls, inbegripet </w:t>
            </w:r>
            <w:r w:rsidRPr="00DF3EFC">
              <w:lastRenderedPageBreak/>
              <w:t xml:space="preserve">tillförlitligheten hos de smarta kontrakt som kan användas. Marknadsinfrastrukturer med teknik för distribuerade liggare bör också säkerställa integritet, säkerhet, konfidentialitet, tillgång och tillgänglighet för de uppgifter som lagras genom tekniken. Den behöriga myndigheten för en marknadsinfrastruktur med teknik för distribuerade liggare bör ha rätt att </w:t>
            </w:r>
            <w:r w:rsidRPr="00DF3EFC">
              <w:rPr>
                <w:b/>
                <w:i/>
              </w:rPr>
              <w:t xml:space="preserve">begära </w:t>
            </w:r>
            <w:r w:rsidRPr="00DF3EFC">
              <w:t>en revision för att säkerställa att de övergripande it- och cyberarrangemangen är ändamålsenliga. Kostnaderna för en sådan revision bör bäras av marknadsinfrastrukturen med teknik för distribuerade liggare.</w:t>
            </w:r>
          </w:p>
        </w:tc>
        <w:tc>
          <w:tcPr>
            <w:tcW w:w="4876" w:type="dxa"/>
          </w:tcPr>
          <w:p w:rsidR="00DF3EFC" w:rsidRPr="00DF3EFC" w:rsidRDefault="00DF3EFC" w:rsidP="00DF3EFC">
            <w:pPr>
              <w:pStyle w:val="Normal6a"/>
            </w:pPr>
            <w:r w:rsidRPr="00DF3EFC">
              <w:lastRenderedPageBreak/>
              <w:t>(30)</w:t>
            </w:r>
            <w:r w:rsidRPr="00DF3EFC">
              <w:tab/>
              <w:t xml:space="preserve">Marknadsinfrastrukturer med teknik för distribuerade liggare bör också ha specifika och robusta it- och cyberarrangemang i samband med användningen av tekniken. Dessa arrangemang bör stå i proportion till arten, omfattningen och komplexiteten i marknadsinfrastrukturens affärsplan. Dessa arrangemang bör också säkerställa fortsatt tillförlitlighet, kontinuitet och säkerhet för de tjänster som tillhandahålls, inbegripet </w:t>
            </w:r>
            <w:r w:rsidRPr="00DF3EFC">
              <w:lastRenderedPageBreak/>
              <w:t>tillförlitligheten hos de smarta kontrakt som kan användas</w:t>
            </w:r>
            <w:r w:rsidRPr="00DF3EFC">
              <w:rPr>
                <w:b/>
                <w:i/>
              </w:rPr>
              <w:t>, som antingen skapas av marknadsinfrastrukturen själv eller av en tredje part efter kontraktsupphandlingsförfaranden</w:t>
            </w:r>
            <w:r w:rsidRPr="00DF3EFC">
              <w:t xml:space="preserve">. Marknadsinfrastrukturer med teknik för distribuerade liggare bör också säkerställa integritet, säkerhet, konfidentialitet, tillgång och tillgänglighet för de uppgifter som lagras genom tekniken. Den behöriga myndigheten för en marknadsinfrastruktur med teknik för distribuerade liggare bör ha rätt att </w:t>
            </w:r>
            <w:r w:rsidRPr="00DF3EFC">
              <w:rPr>
                <w:b/>
                <w:i/>
              </w:rPr>
              <w:t xml:space="preserve">uppdra efterlevnad av vissa standarder som är lämpliga för verksamhet med teknik för distribuerade liggare eller </w:t>
            </w:r>
            <w:r w:rsidRPr="00DF3EFC">
              <w:t xml:space="preserve">en revision för att säkerställa att de övergripande it- och cyberarrangemangen är ändamålsenliga. Kostnaderna för en sådan </w:t>
            </w:r>
            <w:r w:rsidRPr="00DF3EFC">
              <w:rPr>
                <w:b/>
                <w:i/>
              </w:rPr>
              <w:t>efterlevnad av standarder eller en sådan</w:t>
            </w:r>
            <w:r w:rsidRPr="00DF3EFC">
              <w:t xml:space="preserve"> revision bör bäras av marknadsinfrastrukturen med teknik för distribuerade liggare.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 måste säkerställas att det ansvar som härrör från ett smart kontrakt som används av DLT-marknadsinfrastrukturen stannar kvar, oavsett om detta smarta kontrakt skapas av DLT-marknadsinfrastrukturen själv eller av en tredje part efter kontraktsupphandlingsförfaranden. Det föreslås vidare att efterlevnad av vissa standarder ska föreskrivas, exempelvis SOC2 eller ISO27001, på lämpligt sätt för verksamhet med teknik för distribuerade liggare.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216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Antonio Maria Rinaldi, Francesca Donato, Valentino Grant, Marco Zanni, Gunnar Beck</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30a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(30a)</w:t>
            </w:r>
            <w:r w:rsidRPr="00DF3EFC">
              <w:tab/>
            </w:r>
            <w:r w:rsidRPr="00DF3EFC">
              <w:rPr>
                <w:b/>
                <w:i/>
              </w:rPr>
              <w:t xml:space="preserve">Vid personuppgiftsincidenter bör DLT-marknadsoperatörer också underrätta den berörda dataskyddstillsynsmyndigheten, i enlighet med den allmänna </w:t>
            </w:r>
            <w:r w:rsidRPr="00DF3EFC">
              <w:rPr>
                <w:b/>
                <w:i/>
              </w:rPr>
              <w:lastRenderedPageBreak/>
              <w:t>dataskyddsförordningen. Anmälan enligt artikel 9.1 b bör inte tolkas som ett alternativ till eller ersättning för anmälan enligt artikel 33 i ovannämnda förordning.</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{IT}</w:t>
      </w:r>
      <w:r w:rsidRPr="00DF3EFC">
        <w:t>it</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217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(31)</w:t>
            </w:r>
            <w:r w:rsidRPr="00DF3EFC">
              <w:tab/>
              <w:t xml:space="preserve">Om affärsplanen för en DLT-marknadsinfrastruktur omfattar förvaring av kundmedel såsom kontanter och likvida tillgångar, eller DLT-överlåtbara värdepapper, eller metoder för tillträde till sådana DLT-överlåtbara värdepapper, bland annat i form av krypteringsnycklar, bör DLT-marknadsinfrastrukturen ha lämpliga arrangemang för att skydda sina kunders tillgångar. </w:t>
            </w:r>
            <w:r w:rsidRPr="00DF3EFC">
              <w:rPr>
                <w:b/>
                <w:i/>
              </w:rPr>
              <w:t xml:space="preserve">De </w:t>
            </w:r>
            <w:r w:rsidRPr="00DF3EFC">
              <w:t>bör inte använda kundernas tillgångar för egen räkning, utom i det fall de i förväg erhållit sina kunders uttryckliga godkännande till detta. DLT-marknadsinfrastrukturen bör segregera sina kunders medel och DLT-överlåtbara värdepapper, eller metoderna för tillträde till sådana tillgångar, från sina egna tillgångar och andra kunders tillgångar. DLT-marknadsinfrastrukturens övergripande it- och cyberarrangemang bör garantera att kundernas tillgångar är skyddade mot bedrägerier, cyberhot eller andra funktionsfel.</w:t>
            </w:r>
          </w:p>
        </w:tc>
        <w:tc>
          <w:tcPr>
            <w:tcW w:w="4876" w:type="dxa"/>
          </w:tcPr>
          <w:p w:rsidR="00DF3EFC" w:rsidRPr="00DF3EFC" w:rsidRDefault="00DF3EFC" w:rsidP="00DF3EFC">
            <w:pPr>
              <w:pStyle w:val="Normal6a"/>
            </w:pPr>
            <w:r w:rsidRPr="00DF3EFC">
              <w:t>(31)</w:t>
            </w:r>
            <w:r w:rsidRPr="00DF3EFC">
              <w:tab/>
              <w:t xml:space="preserve">Om affärsplanen för en DLT-marknadsinfrastruktur omfattar förvaring av kundmedel såsom kontanter och likvida tillgångar, eller DLT-överlåtbara värdepapper, eller metoder för tillträde till sådana DLT-överlåtbara värdepapper, bland annat i form av krypteringsnycklar, bör DLT-marknadsinfrastrukturen ha lämpliga arrangemang för att skydda sina kunders tillgångar. </w:t>
            </w:r>
            <w:r w:rsidRPr="00DF3EFC">
              <w:rPr>
                <w:b/>
                <w:i/>
              </w:rPr>
              <w:t>Dessa arrangemang ska minimera risken för förlust av klientens medel, exempelvis likvida medel, eller överförbara värdepapper med teknik för distribuerade liggare eller de rättigheter som hör samman med dem, eller metoderna för tillträde till dem, på grund av bedrägeri, cyberhot eller försumlighet. DLT-marknadsinfrastrukturer</w:t>
            </w:r>
            <w:r w:rsidRPr="00DF3EFC">
              <w:t xml:space="preserve"> bör inte använda kundernas tillgångar för egen räkning, utom i det fall de i förväg erhållit sina kunders uttryckliga godkännande till detta. DLT-marknadsinfrastrukturen bör segregera sina kunders medel och DLT-överlåtbara värdepapper, eller metoderna för tillträde till sådana tillgångar, från sina egna tillgångar och andra kunders tillgångar. DLT-marknadsinfrastrukturens övergripande it- och cyberarrangemang bör garantera att kundernas tillgångar är skyddade mot bedrägerier, cyberhot eller </w:t>
            </w:r>
            <w:r w:rsidRPr="00DF3EFC">
              <w:lastRenderedPageBreak/>
              <w:t>andra funktionsfel.</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 måste säkerställas att dessa arrangemang minimerar risken för förlust av klientens medel, exempelvis likvida medel, eller överförbara värdepapper med teknik för distribuerade liggare eller de rättigheter som hör samman med dem, eller metoderna för tillträde till dem, på grund av bedrägeri, cyberhot eller försumlighet.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218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Paul Tang, Jonás Fernández,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(31)</w:t>
            </w:r>
            <w:r w:rsidRPr="00DF3EFC">
              <w:tab/>
              <w:t>Om affärsplanen för en DLT-marknadsinfrastruktur omfattar förvaring av kundmedel såsom kontanter och likvida tillgångar, eller DLT-överlåtbara värdepapper, eller metoder för tillträde till sådana DLT-överlåtbara värdepapper, bland annat i form av krypteringsnycklar, bör DLT-marknadsinfrastrukturen ha lämpliga arrangemang för att skydda sina kunders tillgångar. De bör inte använda kundernas tillgångar för egen räkning, utom i det fall de i förväg erhållit sina kunders uttryckliga godkännande till detta. DLT-marknadsinfrastrukturen bör segregera sina kunders medel och DLT-överlåtbara värdepapper, eller metoderna för tillträde till sådana tillgångar, från sina egna tillgångar och andra kunders tillgångar. DLT-marknadsinfrastrukturens övergripande it- och cyberarrangemang bör garantera att kundernas tillgångar är skyddade mot bedrägerier, cyberhot eller andra funktionsfel.</w:t>
            </w:r>
          </w:p>
        </w:tc>
        <w:tc>
          <w:tcPr>
            <w:tcW w:w="4876" w:type="dxa"/>
          </w:tcPr>
          <w:p w:rsidR="00DF3EFC" w:rsidRPr="00DF3EFC" w:rsidRDefault="00DF3EFC" w:rsidP="00DF3EFC">
            <w:pPr>
              <w:pStyle w:val="Normal6a"/>
            </w:pPr>
            <w:r w:rsidRPr="00DF3EFC">
              <w:t>(31)</w:t>
            </w:r>
            <w:r w:rsidRPr="00DF3EFC">
              <w:tab/>
              <w:t>Om affärsplanen för en DLT-marknadsinfrastruktur omfattar förvaring av kundmedel såsom kontanter och likvida tillgångar, eller DLT-överlåtbara värdepapper, eller metoder för tillträde till sådana DLT-överlåtbara värdepapper, bland annat i form av krypteringsnycklar, bör DLT-marknadsinfrastrukturen ha lämpliga arrangemang för att skydda sina kunders tillgångar</w:t>
            </w:r>
            <w:r w:rsidRPr="00DF3EFC">
              <w:rPr>
                <w:b/>
                <w:i/>
              </w:rPr>
              <w:t>, vilka bör vara godkända av den behöriga myndigheten innan något undantag beviljas</w:t>
            </w:r>
            <w:r w:rsidRPr="00DF3EFC">
              <w:t>. De bör inte använda kundernas tillgångar för egen räkning, utom i det fall de i förväg erhållit sina kunders uttryckliga godkännande till detta. DLT-marknadsinfrastrukturen bör segregera sina kunders medel och DLT-överlåtbara värdepapper, eller metoderna för tillträde till sådana tillgångar, från sina egna tillgångar och andra kunders tillgångar. DLT-marknadsinfrastrukturens övergripande it- och cyberarrangemang bör garantera att kundernas tillgångar är skyddade mot bedrägerier, cyberhot eller andra funktionsfel.</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lastRenderedPageBreak/>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219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(32)</w:t>
            </w:r>
            <w:r w:rsidRPr="00DF3EFC">
              <w:tab/>
              <w:t>Vid tidpunkten för beviljandet av ett specifikt tillstånd bör DLT-marknadsinfrastrukturen även ha en trovärdig utträdesstrategi för det fall att ordningen för DLT-marknadsinfrastrukturer skulle upphöra eller att ett specifikt tillstånd eller något av de undantag som beviljats skulle återkallas.</w:t>
            </w:r>
          </w:p>
        </w:tc>
        <w:tc>
          <w:tcPr>
            <w:tcW w:w="4876" w:type="dxa"/>
          </w:tcPr>
          <w:p w:rsidR="00DF3EFC" w:rsidRPr="00DF3EFC" w:rsidRDefault="00DF3EFC" w:rsidP="00DF3EFC">
            <w:pPr>
              <w:pStyle w:val="Normal6a"/>
            </w:pPr>
            <w:r w:rsidRPr="00DF3EFC">
              <w:t>(32)</w:t>
            </w:r>
            <w:r w:rsidRPr="00DF3EFC">
              <w:tab/>
              <w:t>Vid tidpunkten för beviljandet av ett specifikt tillstånd bör DLT-marknadsinfrastrukturen även ha en trovärdig utträdesstrategi</w:t>
            </w:r>
            <w:r w:rsidRPr="00DF3EFC">
              <w:rPr>
                <w:b/>
                <w:i/>
              </w:rPr>
              <w:t>, inbegripet överföring eller omställning av dess DLT-verksamhet till traditionella infrastrukturer,</w:t>
            </w:r>
            <w:r w:rsidRPr="00DF3EFC">
              <w:t xml:space="preserve"> för det fall att ordningen för DLT-marknadsinfrastrukturer skulle upphöra eller att ett specifikt tillstånd eller något av de undantag som beviljats skulle återkallas </w:t>
            </w:r>
            <w:r w:rsidRPr="00DF3EFC">
              <w:rPr>
                <w:b/>
                <w:i/>
              </w:rPr>
              <w:t>eller de tröskelvärden som föreskrivs i denna förordning har uppnåtts</w:t>
            </w:r>
            <w:r w:rsidRPr="00DF3EFC">
              <w: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I alla händelser måste det finnas DLT-marknadsinfrastrukturer för att återgå till traditionella marknadsinfrastrukturer, enligt en tydlig strategi för utträde och reversion/omställning.</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220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(33)</w:t>
            </w:r>
            <w:r w:rsidRPr="00DF3EFC">
              <w:tab/>
              <w:t xml:space="preserve">Beviljandet av ett specifikt tillstånd för en DLT-marknadsinfrastruktur bör följa samma förfaranden som gäller för traditionella multilaterala handelsplattformar (MTF) eller för en värdepapperscentral när den ansöker om att driva ett nytt system för värdepappersavveckling. </w:t>
            </w:r>
            <w:r w:rsidRPr="00DF3EFC">
              <w:rPr>
                <w:b/>
                <w:i/>
              </w:rPr>
              <w:t>Dock bör den</w:t>
            </w:r>
            <w:r w:rsidRPr="00DF3EFC">
              <w:rPr>
                <w:b/>
              </w:rPr>
              <w:t xml:space="preserve"> </w:t>
            </w:r>
            <w:r w:rsidRPr="00DF3EFC">
              <w:t xml:space="preserve">ansökande DLT-marknadsinfrastrukturen i </w:t>
            </w:r>
            <w:r w:rsidRPr="00DF3EFC">
              <w:lastRenderedPageBreak/>
              <w:t xml:space="preserve">sin ansökan om tillstånd ange vilka undantag den ämnar ansöka om. </w:t>
            </w:r>
            <w:r w:rsidRPr="00DF3EFC">
              <w:rPr>
                <w:b/>
                <w:i/>
              </w:rPr>
              <w:t>Den behöriga myndigheten ska samråda med Esma innan den beviljar tillstånd för en DLT-marknadsinfrastruktur. Esma bör avge ett icke bindande yttrande och lämna rekommendationer rörande ansökan eller de begärda undantagen. Esma bör även samråda med de övriga medlemsstaternas behöriga myndigheter. När Esma avger sitt icke bindande yttrande bör den ha som mål att garantera finansiell stabilitet, marknadsintegritet och investerarskydd. I syfte att garantera lika villkor och rättvis konkurrens på hela den inre marknaden bör Esmas icke bindande yttrande även ha som mål att garantera att de undantag som beviljas av de olika behöriga myndigheterna inom hela unionen är enhetliga och proportionella.</w:t>
            </w:r>
          </w:p>
        </w:tc>
        <w:tc>
          <w:tcPr>
            <w:tcW w:w="4876" w:type="dxa"/>
          </w:tcPr>
          <w:p w:rsidR="00DF3EFC" w:rsidRPr="00DF3EFC" w:rsidRDefault="00DF3EFC" w:rsidP="00DF3EFC">
            <w:pPr>
              <w:pStyle w:val="Normal6a"/>
            </w:pPr>
            <w:r w:rsidRPr="00DF3EFC">
              <w:lastRenderedPageBreak/>
              <w:t>(33)</w:t>
            </w:r>
            <w:r w:rsidRPr="00DF3EFC">
              <w:tab/>
              <w:t>Beviljandet av ett specifikt tillstånd för en DLT-marknadsinfrastruktur bör följa samma förfaranden som gäller för traditionella multilaterala handelsplattformar (MTF)</w:t>
            </w:r>
            <w:r w:rsidRPr="00DF3EFC">
              <w:rPr>
                <w:b/>
                <w:i/>
              </w:rPr>
              <w:t>, där den enhet som driver DLT MTF-plattformen är ett värdepappersföretag eller en marknadsoperatör,</w:t>
            </w:r>
            <w:r w:rsidRPr="00DF3EFC">
              <w:t xml:space="preserve"> eller för en värdepapperscentral när den ansöker om att </w:t>
            </w:r>
            <w:r w:rsidRPr="00DF3EFC">
              <w:lastRenderedPageBreak/>
              <w:t xml:space="preserve">driva ett nytt system för värdepappersavveckling. </w:t>
            </w:r>
            <w:r w:rsidRPr="00DF3EFC">
              <w:rPr>
                <w:b/>
                <w:i/>
              </w:rPr>
              <w:t>De behöriga myndigheterna bör dock införa påskyndade förfaranden för enheter som inte är auktoriserade som MTF-plattform eller värdepapperscentral vid tidpunkten för ansökan om ett särskilt tillstånd enligt denna förordning.</w:t>
            </w:r>
            <w:r w:rsidRPr="00DF3EFC">
              <w:t xml:space="preserve"> </w:t>
            </w:r>
            <w:r w:rsidRPr="00DF3EFC">
              <w:rPr>
                <w:b/>
                <w:i/>
              </w:rPr>
              <w:t>Den</w:t>
            </w:r>
            <w:r w:rsidRPr="00DF3EFC">
              <w:t xml:space="preserve"> ansökande DLT-marknadsinfrastrukturen </w:t>
            </w:r>
            <w:r w:rsidRPr="00DF3EFC">
              <w:rPr>
                <w:b/>
                <w:i/>
              </w:rPr>
              <w:t>bör</w:t>
            </w:r>
            <w:r w:rsidRPr="00DF3EFC">
              <w:t xml:space="preserve"> i sin ansökan om tillstånd ange vilka undantag den ämnar ansöka om.</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Påskyndat förfarande för nya deltagare som inte är auktoriserade som en MTF-plattform eller värdepapperscentral vid tiden för ansökan.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221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(33)</w:t>
            </w:r>
            <w:r w:rsidRPr="00DF3EFC">
              <w:tab/>
              <w:t xml:space="preserve">Beviljandet av ett specifikt tillstånd för en DLT-marknadsinfrastruktur bör följa samma förfaranden som gäller för traditionella multilaterala handelsplattformar (MTF) eller för en värdepapperscentral när den ansöker om att driva ett nytt system för värdepappersavveckling. Dock bör den ansökande DLT-marknadsinfrastrukturen i sin ansökan om tillstånd ange vilka </w:t>
            </w:r>
            <w:r w:rsidRPr="00DF3EFC">
              <w:lastRenderedPageBreak/>
              <w:t xml:space="preserve">undantag den ämnar ansöka om. </w:t>
            </w:r>
            <w:r w:rsidRPr="00DF3EFC">
              <w:rPr>
                <w:b/>
                <w:i/>
              </w:rPr>
              <w:t xml:space="preserve">Den behöriga myndigheten ska samråda med Esma innan den beviljar </w:t>
            </w:r>
            <w:r w:rsidRPr="00DF3EFC">
              <w:t>tillstånd för en DLT-marknadsinfrastruktur.</w:t>
            </w:r>
            <w:r w:rsidRPr="00DF3EFC">
              <w:rPr>
                <w:b/>
                <w:i/>
              </w:rPr>
              <w:t xml:space="preserve"> Esma bör avge ett icke bindande yttrande och lämna rekommendationer rörande ansökan eller de begärda undantagen. Esma bör även samråda med de övriga medlemsstaternas behöriga myndigheter. </w:t>
            </w:r>
            <w:r w:rsidRPr="00DF3EFC">
              <w:t xml:space="preserve">När Esma </w:t>
            </w:r>
            <w:r w:rsidRPr="00DF3EFC">
              <w:rPr>
                <w:b/>
                <w:i/>
              </w:rPr>
              <w:t>avger sitt icke bindande yttrande</w:t>
            </w:r>
            <w:r w:rsidRPr="00DF3EFC">
              <w:t xml:space="preserve"> bör den ha som mål att garantera finansiell stabilitet, marknadsintegritet och investerarskydd</w:t>
            </w:r>
            <w:r w:rsidRPr="00DF3EFC">
              <w:rPr>
                <w:b/>
                <w:i/>
              </w:rPr>
              <w:t>. I syfte att garantera</w:t>
            </w:r>
            <w:r w:rsidRPr="00DF3EFC">
              <w:t xml:space="preserve"> lika villkor och rättvis konkurrens på hela den inre marknaden </w:t>
            </w:r>
            <w:r w:rsidRPr="00DF3EFC">
              <w:rPr>
                <w:b/>
                <w:i/>
              </w:rPr>
              <w:t>bör Esmas icke bindande yttrande även ha som mål att garantera att de undantag som beviljas av de olika behöriga myndigheterna inom hela unionen är enhetliga och proportionella</w:t>
            </w:r>
            <w:r w:rsidRPr="00DF3EFC">
              <w:t>.</w:t>
            </w:r>
          </w:p>
        </w:tc>
        <w:tc>
          <w:tcPr>
            <w:tcW w:w="4876" w:type="dxa"/>
          </w:tcPr>
          <w:p w:rsidR="00DF3EFC" w:rsidRPr="00DF3EFC" w:rsidRDefault="00DF3EFC" w:rsidP="00DF3EFC">
            <w:pPr>
              <w:pStyle w:val="Normal6a"/>
            </w:pPr>
            <w:r w:rsidRPr="00DF3EFC">
              <w:lastRenderedPageBreak/>
              <w:t>(33)</w:t>
            </w:r>
            <w:r w:rsidRPr="00DF3EFC">
              <w:tab/>
              <w:t xml:space="preserve">Beviljandet av ett specifikt tillstånd för en DLT-marknadsinfrastruktur bör följa samma förfaranden som gäller för traditionella multilaterala handelsplattformar (MTF) eller för en värdepapperscentral när den ansöker om att driva ett nytt system för värdepappersavveckling. Dock bör den ansökande DLT-marknadsinfrastrukturen i sin ansökan om tillstånd ange vilka </w:t>
            </w:r>
            <w:r w:rsidRPr="00DF3EFC">
              <w:lastRenderedPageBreak/>
              <w:t xml:space="preserve">undantag den ämnar ansöka om. </w:t>
            </w:r>
            <w:r w:rsidRPr="00DF3EFC">
              <w:rPr>
                <w:b/>
                <w:i/>
              </w:rPr>
              <w:t xml:space="preserve">I enlighet med unionens mål att göra framsteg mot en verklig kapitalmarknadsunion och för att säkerställa en konsekvent och enhetlig tillämpning av pilotordningen samtidigt som fragmentering av tillsynen förhindras bör Esma ha ett direkt tillsynsuppdrag för att bevilja </w:t>
            </w:r>
            <w:r w:rsidRPr="00DF3EFC">
              <w:t xml:space="preserve">tillstånd för en DLT-marknadsinfrastruktur </w:t>
            </w:r>
            <w:r w:rsidRPr="00DF3EFC">
              <w:rPr>
                <w:b/>
                <w:i/>
              </w:rPr>
              <w:t>och eventuella undantag enligt denna förordning</w:t>
            </w:r>
            <w:r w:rsidRPr="00DF3EFC">
              <w:t>.</w:t>
            </w:r>
            <w:r w:rsidRPr="00DF3EFC">
              <w:rPr>
                <w:b/>
                <w:i/>
              </w:rPr>
              <w:t xml:space="preserve"> För att säkerställa effektivt samarbete och utbyte av relevant information bör Esma konsultera de nationella behöriga myndigheterna och andra relevanta myndigheter, när det är lämpligt, om operatörerna av DLT-marknadsinfrastrukturer som är godkända i deras medlemsstater. </w:t>
            </w:r>
            <w:r w:rsidRPr="00DF3EFC">
              <w:t xml:space="preserve">När Esma </w:t>
            </w:r>
            <w:r w:rsidRPr="00DF3EFC">
              <w:rPr>
                <w:b/>
                <w:i/>
              </w:rPr>
              <w:t>bedömer ansökan och de begärda undantagen</w:t>
            </w:r>
            <w:r w:rsidRPr="00DF3EFC">
              <w:t xml:space="preserve"> bör den ha som mål att garantera finansiell stabilitet, marknadsintegritet och investerarskydd</w:t>
            </w:r>
            <w:r w:rsidRPr="00DF3EFC">
              <w:rPr>
                <w:b/>
                <w:i/>
              </w:rPr>
              <w:t xml:space="preserve"> samt</w:t>
            </w:r>
            <w:r w:rsidRPr="00DF3EFC">
              <w:t xml:space="preserve"> lika villkor och rättvis konkurrens på hela den inre marknaden.</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222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(33)</w:t>
            </w:r>
            <w:r w:rsidRPr="00DF3EFC">
              <w:tab/>
              <w:t xml:space="preserve">Beviljandet av ett specifikt tillstånd för en DLT-marknadsinfrastruktur bör följa samma förfaranden som gäller för traditionella multilaterala handelsplattformar (MTF) eller för en värdepapperscentral när den ansöker om att driva ett nytt system för värdepappersavveckling. Dock bör den ansökande DLT-marknadsinfrastrukturen i sin ansökan om tillstånd ange vilka undantag den ämnar ansöka om. Den behöriga myndigheten ska samråda med </w:t>
            </w:r>
            <w:r w:rsidRPr="00DF3EFC">
              <w:lastRenderedPageBreak/>
              <w:t xml:space="preserve">Esma innan den beviljar tillstånd för en DLT-marknadsinfrastruktur. Esma bör avge </w:t>
            </w:r>
            <w:r w:rsidRPr="00DF3EFC">
              <w:rPr>
                <w:b/>
                <w:i/>
              </w:rPr>
              <w:t>ett icke bindande yttrande och lämna rekommendationer</w:t>
            </w:r>
            <w:r w:rsidRPr="00DF3EFC">
              <w:t xml:space="preserve"> rörande ansökan eller de begärda undantagen. Esma bör även samråda med de övriga medlemsstaternas behöriga myndigheter. När Esma avger </w:t>
            </w:r>
            <w:r w:rsidRPr="00DF3EFC">
              <w:rPr>
                <w:b/>
                <w:i/>
              </w:rPr>
              <w:t>sitt icke bindande yttrande</w:t>
            </w:r>
            <w:r w:rsidRPr="00DF3EFC">
              <w:t xml:space="preserve"> bör den ha som mål att garantera finansiell stabilitet, marknadsintegritet och investerarskydd. I syfte att garantera lika villkor och rättvis konkurrens på hela den inre marknaden bör Esmas </w:t>
            </w:r>
            <w:r w:rsidRPr="00DF3EFC">
              <w:rPr>
                <w:b/>
                <w:i/>
              </w:rPr>
              <w:t xml:space="preserve">icke bindande yttrande </w:t>
            </w:r>
            <w:r w:rsidRPr="00DF3EFC">
              <w:t>även ha som mål att garantera att de undantag som beviljas av de olika behöriga myndigheterna inom hela unionen är enhetliga och proportionella.</w:t>
            </w:r>
          </w:p>
        </w:tc>
        <w:tc>
          <w:tcPr>
            <w:tcW w:w="4876" w:type="dxa"/>
          </w:tcPr>
          <w:p w:rsidR="00DF3EFC" w:rsidRPr="00DF3EFC" w:rsidRDefault="00DF3EFC" w:rsidP="00DF3EFC">
            <w:pPr>
              <w:pStyle w:val="Normal6a"/>
            </w:pPr>
            <w:r w:rsidRPr="00DF3EFC">
              <w:lastRenderedPageBreak/>
              <w:t>(33)</w:t>
            </w:r>
            <w:r w:rsidRPr="00DF3EFC">
              <w:tab/>
              <w:t xml:space="preserve">Beviljandet av ett specifikt tillstånd för en DLT-marknadsinfrastruktur bör följa samma förfaranden som gäller för traditionella multilaterala handelsplattformar (MTF) eller för en värdepapperscentral när den ansöker om att driva ett nytt system för värdepappersavveckling. Dock bör den ansökande DLT-marknadsinfrastrukturen i sin ansökan om tillstånd ange vilka undantag den ämnar ansöka om. Den behöriga myndigheten ska samråda med </w:t>
            </w:r>
            <w:r w:rsidRPr="00DF3EFC">
              <w:lastRenderedPageBreak/>
              <w:t xml:space="preserve">Esma innan den beviljar tillstånd för en DLT-marknadsinfrastruktur. Esma bör avge </w:t>
            </w:r>
            <w:r w:rsidRPr="00DF3EFC">
              <w:rPr>
                <w:b/>
                <w:i/>
              </w:rPr>
              <w:t>en rekommendation</w:t>
            </w:r>
            <w:r w:rsidRPr="00DF3EFC">
              <w:t xml:space="preserve"> rörande ansökan eller de begärda undantagen. Esma bör även samråda med de övriga medlemsstaternas behöriga myndigheter. När Esma avger </w:t>
            </w:r>
            <w:r w:rsidRPr="00DF3EFC">
              <w:rPr>
                <w:b/>
                <w:i/>
              </w:rPr>
              <w:t>sin rekommendation</w:t>
            </w:r>
            <w:r w:rsidRPr="00DF3EFC">
              <w:t xml:space="preserve"> bör den ha som mål att garantera finansiell stabilitet, marknadsintegritet och investerarskydd. I syfte att garantera lika villkor och rättvis konkurrens på hela den inre marknaden bör Esmas </w:t>
            </w:r>
            <w:r w:rsidRPr="00DF3EFC">
              <w:rPr>
                <w:b/>
                <w:i/>
              </w:rPr>
              <w:t xml:space="preserve">rekommendation </w:t>
            </w:r>
            <w:r w:rsidRPr="00DF3EFC">
              <w:t xml:space="preserve">även ha som mål att garantera att de undantag som beviljas av de olika behöriga myndigheterna inom hela unionen är </w:t>
            </w:r>
            <w:r w:rsidRPr="00DF3EFC">
              <w:rPr>
                <w:b/>
                <w:i/>
              </w:rPr>
              <w:t>samstämmiga i tillsynshänseende,</w:t>
            </w:r>
            <w:r w:rsidRPr="00DF3EFC">
              <w:t xml:space="preserve"> enhetliga och proportionella.</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En förstärkt roll för Esma krävs för att undvika regelarbitrage och säkerställa samstämmighet i tillsynshänseende och enhetlighet i tillämpningen/verkställandet i hela EU. I detta avseende är det av yttersta vikt att Esma avger en rekommendation (”uppfyll eller förklara”) i stället för ett icke bindande yttrande. Detta är mer relevant med tanke på att alla medlemsstater/nationella behöriga myndigheter inte har samma tekniska kunskapsnivå, såsom redan har förklarats i skäl 14.</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223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Christophe Hansen, Lídia Pereira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(33)</w:t>
            </w:r>
            <w:r w:rsidRPr="00DF3EFC">
              <w:tab/>
              <w:t xml:space="preserve">Beviljandet av ett specifikt tillstånd för en DLT-marknadsinfrastruktur bör följa samma förfaranden som gäller för traditionella multilaterala handelsplattformar (MTF) eller för en värdepapperscentral när den ansöker om att driva ett nytt system för värdepappersavveckling. Dock bör den ansökande DLT-marknadsinfrastrukturen i </w:t>
            </w:r>
            <w:r w:rsidRPr="00DF3EFC">
              <w:lastRenderedPageBreak/>
              <w:t>sin ansökan om tillstånd ange vilka undantag den ämnar ansöka om. Den behöriga myndigheten ska samråda med Esma innan den beviljar tillstånd för en DLT-marknadsinfrastruktur. Esma bör avge ett icke bindande yttrande och lämna rekommendationer rörande ansökan eller de begärda undantagen. Esma bör även samråda med de övriga medlemsstaternas behöriga myndigheter. När Esma avger sitt icke bindande yttrande bör den ha som mål att garantera finansiell stabilitet, marknadsintegritet och investerarskydd. I syfte att garantera lika villkor och rättvis konkurrens på hela den inre marknaden bör Esmas icke bindande yttrande även ha som mål att garantera att de undantag som beviljas av de olika behöriga myndigheterna inom hela unionen är enhetliga och proportionella.</w:t>
            </w:r>
          </w:p>
        </w:tc>
        <w:tc>
          <w:tcPr>
            <w:tcW w:w="4876" w:type="dxa"/>
          </w:tcPr>
          <w:p w:rsidR="00DF3EFC" w:rsidRPr="00DF3EFC" w:rsidRDefault="00DF3EFC" w:rsidP="00DF3EFC">
            <w:pPr>
              <w:pStyle w:val="Normal6a"/>
            </w:pPr>
            <w:r w:rsidRPr="00DF3EFC">
              <w:lastRenderedPageBreak/>
              <w:t>(33)</w:t>
            </w:r>
            <w:r w:rsidRPr="00DF3EFC">
              <w:tab/>
              <w:t xml:space="preserve">Beviljandet av ett specifikt tillstånd för en DLT-marknadsinfrastruktur bör följa samma förfaranden som gäller för traditionella multilaterala handelsplattformar (MTF) eller för en värdepapperscentral när den ansöker om att driva ett nytt system för värdepappersavveckling. Dock bör den ansökande DLT-marknadsinfrastrukturen i </w:t>
            </w:r>
            <w:r w:rsidRPr="00DF3EFC">
              <w:lastRenderedPageBreak/>
              <w:t xml:space="preserve">sin ansökan om tillstånd ange vilka undantag den ämnar ansöka om. Den behöriga myndigheten ska samråda med Esma innan den beviljar tillstånd för en DLT-marknadsinfrastruktur. Esma bör avge ett icke bindande yttrande och lämna </w:t>
            </w:r>
            <w:r w:rsidRPr="00DF3EFC">
              <w:rPr>
                <w:b/>
                <w:i/>
              </w:rPr>
              <w:t>icke bindande</w:t>
            </w:r>
            <w:r w:rsidRPr="00DF3EFC">
              <w:t xml:space="preserve"> rekommendationer rörande ansökan eller de begärda undantagen. Esma bör även samråda med de övriga medlemsstaternas behöriga myndigheter. När Esma avger sitt icke bindande yttrande bör den ha som mål att garantera finansiell stabilitet, marknadsintegritet och investerarskydd. I syfte att garantera lika villkor och rättvis konkurrens på hela den inre marknaden bör Esmas icke bindande yttrande även ha som mål att garantera att de undantag som beviljas av de olika behöriga myndigheterna inom hela unionen är enhetliga och proportionella.</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224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33a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(33a)</w:t>
            </w:r>
            <w:r w:rsidRPr="00DF3EFC">
              <w:tab/>
            </w:r>
            <w:r w:rsidRPr="00DF3EFC">
              <w:rPr>
                <w:b/>
                <w:i/>
              </w:rPr>
              <w:t xml:space="preserve">Den behöriga myndigheten ska samråda med Esma innan den beviljar tillstånd för en DLT-marknadsinfrastruktur. Esma bör avge ett icke bindande yttrande och lämna rekommendationer rörande ansökan eller de begärda undantagen. Esma bör även samråda med de övriga medlemsstaternas behöriga myndigheter. När Esma avger sitt icke bindande yttrande bör den ha som mål att garantera finansiell stabilitet, marknadsintegritet och investerarskydd. I syfte att garantera lika villkor och rättvis konkurrens på hela den inre marknaden bör Esmas icke bindande yttrande även ha som mål att garantera att de undantag </w:t>
            </w:r>
            <w:r w:rsidRPr="00DF3EFC">
              <w:rPr>
                <w:b/>
                <w:i/>
              </w:rPr>
              <w:lastRenderedPageBreak/>
              <w:t>som beviljas av de olika behöriga myndigheterna inom hela unionen är enhetliga och proportionella. Esma får anta riktlinjer för att ytterligare precisera villkoren för att bevilja undantag och kräva kompenserande åtgärder, baserat på relevant erfarenhet från behöriga myndigheter och på sina icke bindande yttranden.</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Nytt skäl för tydlighet. Utöver icke bindande yttranden kan Esma vilja anta ytterligare vägledning i form av riktlinjer, i händelse av brist på gemensam, enhetlig och konsekvent tillämpning av pilotordningen i hela unionen.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225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 Christophe Hansen</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33a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53605E">
            <w:pPr>
              <w:pStyle w:val="Normal6a"/>
            </w:pPr>
            <w:r w:rsidRPr="00DF3EFC">
              <w:rPr>
                <w:b/>
                <w:i/>
              </w:rPr>
              <w:t>(33a)</w:t>
            </w:r>
            <w:r w:rsidRPr="00DF3EFC">
              <w:tab/>
            </w:r>
            <w:r w:rsidRPr="00DF3EFC">
              <w:rPr>
                <w:b/>
                <w:i/>
              </w:rPr>
              <w:t>Tillgången till pilo</w:t>
            </w:r>
            <w:r w:rsidR="0053605E">
              <w:rPr>
                <w:b/>
                <w:i/>
              </w:rPr>
              <w:t>t</w:t>
            </w:r>
            <w:r w:rsidRPr="00DF3EFC">
              <w:rPr>
                <w:b/>
                <w:i/>
              </w:rPr>
              <w:t xml:space="preserve">ordningen bör inte begränsas till väletablerade aktörer, utan bör i stället vara öppen för nya deltagare. Om en enhet som inte är auktoriserad enligt Mifid II eller förordningen om värdepapperscentraler ansöker om auktorisation enligt dessa rättsakter och samtidigt ansöker om ett särskilt tillstånd enligt denna förordningen bör den behöriga myndigheten, vid bedömningen av ansökan om auktorisation enligt Mifid II eller förordningen om värdepapperscentraler, endast kontrollera efterlevnaden av krav för vilka ett undantag inte har begärts och beviljats under pilotordningen. I sådana fall bör auktorisation enligt Mifid II eller förordningen om värdepapperscentraler endast ges för driften av en DLT-marknadsinfrastruktur enligt denna </w:t>
            </w:r>
            <w:r w:rsidRPr="00DF3EFC">
              <w:rPr>
                <w:b/>
                <w:i/>
              </w:rPr>
              <w:lastRenderedPageBreak/>
              <w:t>förordning.</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226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Paul Tang, Jonás Fernández,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34</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(34)</w:t>
            </w:r>
            <w:r w:rsidRPr="00DF3EFC">
              <w:tab/>
              <w:t xml:space="preserve">Den behöriga myndighet som kommer att pröva en ansökan som inlämnats av en framtida DLT-marknadsinfrastruktur bör </w:t>
            </w:r>
            <w:r w:rsidRPr="00DF3EFC">
              <w:rPr>
                <w:b/>
                <w:i/>
              </w:rPr>
              <w:t>ha möjlighet att</w:t>
            </w:r>
            <w:r w:rsidRPr="00DF3EFC">
              <w:t xml:space="preserve"> avslå ansökan om det finns skäl att tro att denna DLT-marknadsinfrastruktur kommer att hota den finansiella stabiliteten, investerarskyddet eller marknadsintegriteten eller att ansökan utgör ett försök att kringgå gällande krav.</w:t>
            </w:r>
          </w:p>
        </w:tc>
        <w:tc>
          <w:tcPr>
            <w:tcW w:w="4876" w:type="dxa"/>
          </w:tcPr>
          <w:p w:rsidR="00DF3EFC" w:rsidRPr="00DF3EFC" w:rsidRDefault="00DF3EFC" w:rsidP="00DF3EFC">
            <w:pPr>
              <w:pStyle w:val="Normal6a"/>
            </w:pPr>
            <w:r w:rsidRPr="00DF3EFC">
              <w:t>(34)</w:t>
            </w:r>
            <w:r w:rsidRPr="00DF3EFC">
              <w:tab/>
              <w:t>Den behöriga myndighet som kommer att pröva en ansökan som inlämnats av en framtida DLT-marknadsinfrastruktur bör avslå ansökan om det finns skäl att tro att denna DLT-marknadsinfrastruktur kommer att hota den finansiella stabiliteten, investerarskyddet eller marknadsintegriteten eller att ansökan utgör ett försök att kringgå gällande krav.</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227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34</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(34)</w:t>
            </w:r>
            <w:r w:rsidRPr="00DF3EFC">
              <w:tab/>
              <w:t>Den behöriga myndighet som kommer att pröva en ansökan som inlämnats av en framtida DLT-marknadsinfrastruktur bör ha möjlighet att avslå ansökan om det finns skäl att tro att denna DLT-marknadsinfrastruktur kommer att hota den finansiella stabiliteten, investerarskyddet eller marknadsintegriteten eller att ansökan utgör ett försök att kringgå gällande krav.</w:t>
            </w:r>
          </w:p>
        </w:tc>
        <w:tc>
          <w:tcPr>
            <w:tcW w:w="4876" w:type="dxa"/>
          </w:tcPr>
          <w:p w:rsidR="00DF3EFC" w:rsidRPr="00DF3EFC" w:rsidRDefault="00DF3EFC" w:rsidP="00DF3EFC">
            <w:pPr>
              <w:pStyle w:val="Normal6a"/>
            </w:pPr>
            <w:r w:rsidRPr="00DF3EFC">
              <w:rPr>
                <w:i/>
              </w:rPr>
              <w:t>(Berör inte den svenska versionen.)</w:t>
            </w:r>
            <w:r w:rsidRPr="00DF3EFC">
              <w:tab/>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lastRenderedPageBreak/>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228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(35)</w:t>
            </w:r>
            <w:r w:rsidRPr="00DF3EFC">
              <w:tab/>
              <w:t>Det specifika tillstånd som en behörig myndighet beviljar en viss DLT-marknadsinfrastruktur bör ange vilka undantag som beviljats denna DLT-marknadsinfrastruktur. Tillståndet bör vara giltigt inom unionen. Esma bör offentliggöra förteckningen över DLT-marknadsinfrastrukturerna och förteckningen över de undantag som beviljats för var och en av dessa på sin webbplats.</w:t>
            </w:r>
          </w:p>
        </w:tc>
        <w:tc>
          <w:tcPr>
            <w:tcW w:w="4876" w:type="dxa"/>
          </w:tcPr>
          <w:p w:rsidR="00DF3EFC" w:rsidRPr="00DF3EFC" w:rsidRDefault="00DF3EFC" w:rsidP="00DF3EFC">
            <w:pPr>
              <w:pStyle w:val="Normal6a"/>
            </w:pPr>
            <w:r w:rsidRPr="00DF3EFC">
              <w:t>(35)</w:t>
            </w:r>
            <w:r w:rsidRPr="00DF3EFC">
              <w:tab/>
              <w:t xml:space="preserve">Det specifika tillstånd som en behörig myndighet beviljar en viss DLT-marknadsinfrastruktur bör ange vilka undantag som beviljats denna DLT-marknadsinfrastruktur. Tillståndet bör vara giltigt inom unionen </w:t>
            </w:r>
            <w:r w:rsidRPr="00DF3EFC">
              <w:rPr>
                <w:b/>
                <w:i/>
              </w:rPr>
              <w:t>och endast under den tidsperiod då DLT-pilotordningen skulle vara i drift</w:t>
            </w:r>
            <w:r w:rsidRPr="00DF3EFC">
              <w:t>. Esma bör offentliggöra förteckningen över DLT-marknadsinfrastrukturerna och förteckningen över de undantag som beviljats för var och en av dessa på sin webbplats.</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 bör vara tydligt att tillståndet är föremål för den tidsperiod då pilotordningen är i drift utan att det påverkar den bedömning för tidigt utträde som beskrivs i skäl 36.</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229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36</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(36)</w:t>
            </w:r>
            <w:r w:rsidRPr="00DF3EFC">
              <w:tab/>
              <w:t xml:space="preserve">De specifika tillstånd som beviljats av nationella behöriga myndigheter bör vara tillfälliga och beviljas för en period på högst sex år räknat från och med dagen för det specifika tillståndet. </w:t>
            </w:r>
            <w:r w:rsidRPr="00DF3EFC">
              <w:rPr>
                <w:b/>
                <w:i/>
              </w:rPr>
              <w:t xml:space="preserve">Fem år efter det att </w:t>
            </w:r>
            <w:r w:rsidRPr="00DF3EFC">
              <w:t xml:space="preserve">denna förordning börjat tillämpas bör Esma och kommissionen </w:t>
            </w:r>
            <w:r w:rsidRPr="00DF3EFC">
              <w:rPr>
                <w:b/>
                <w:i/>
              </w:rPr>
              <w:t xml:space="preserve">vara skyldiga att utvärdera denna pilotordning för marknadsinfrastrukturer som grundar sig </w:t>
            </w:r>
            <w:r w:rsidRPr="00DF3EFC">
              <w:rPr>
                <w:b/>
                <w:i/>
              </w:rPr>
              <w:lastRenderedPageBreak/>
              <w:t>på teknik för digitala liggare.</w:t>
            </w:r>
            <w:r w:rsidRPr="00DF3EFC">
              <w:t xml:space="preserve"> Den ovannämnda sexårsperioden är tillräckligt lång för att DLT-marknadsinfrastrukturerna ska hinna anpassa sina affärsmodeller till alla eventuella ändringar av denna ordning och driva pilotordningen på ett kommersiellt bärkraftigt sätt. Detta ger Esma och kommissionen möjlighet att samla in ett användbart dataset som täcker tiden kring de tre kalenderår under vilka pilotordningen tillämpas, från det att det beviljats en kritisk massa av specifika tillstånd och därmed sammanhängande undantag samt att rapportera om detta. Detta ger även DLT-marknadsinfrastrukturerna tid att vidta de åtgärder som är nödvändiga för att antingen avveckla sin verksamhet eller övergå till en ny rättslig ram efter Esmas och kommissionens rapporter.</w:t>
            </w:r>
          </w:p>
        </w:tc>
        <w:tc>
          <w:tcPr>
            <w:tcW w:w="4876" w:type="dxa"/>
          </w:tcPr>
          <w:p w:rsidR="00DF3EFC" w:rsidRPr="00DF3EFC" w:rsidRDefault="00DF3EFC" w:rsidP="00DF3EFC">
            <w:pPr>
              <w:pStyle w:val="Normal6a"/>
            </w:pPr>
            <w:r w:rsidRPr="00DF3EFC">
              <w:lastRenderedPageBreak/>
              <w:t>(36)</w:t>
            </w:r>
            <w:r w:rsidRPr="00DF3EFC">
              <w:tab/>
              <w:t>De specifika tillstånd som beviljats av nationella behöriga myndigheter</w:t>
            </w:r>
            <w:r w:rsidRPr="00DF3EFC">
              <w:rPr>
                <w:b/>
                <w:i/>
              </w:rPr>
              <w:t>, efter en rekommendation från Esma,</w:t>
            </w:r>
            <w:r w:rsidRPr="00DF3EFC">
              <w:t xml:space="preserve"> bör vara tillfälliga och beviljas för en period på högst sex år räknat från och med dagen för det specifika tillståndet </w:t>
            </w:r>
            <w:r w:rsidRPr="00DF3EFC">
              <w:rPr>
                <w:b/>
                <w:i/>
              </w:rPr>
              <w:t xml:space="preserve">och bör endast vara tillämpliga under den tid då DLT-pilotordningen är i drift, efter de bedömningar som har föreskrivits av </w:t>
            </w:r>
            <w:r w:rsidRPr="00DF3EFC">
              <w:rPr>
                <w:b/>
                <w:i/>
              </w:rPr>
              <w:lastRenderedPageBreak/>
              <w:t>Esma och kommissionen</w:t>
            </w:r>
            <w:r w:rsidRPr="00DF3EFC">
              <w:t xml:space="preserve">. </w:t>
            </w:r>
            <w:r w:rsidRPr="00DF3EFC">
              <w:rPr>
                <w:b/>
                <w:i/>
              </w:rPr>
              <w:t xml:space="preserve">Efter en treårsperiod och en femårsperiod från den dag då </w:t>
            </w:r>
            <w:r w:rsidRPr="00DF3EFC">
              <w:t xml:space="preserve">denna förordning börjat tillämpas bör Esma och kommissionen </w:t>
            </w:r>
            <w:r w:rsidRPr="00DF3EFC">
              <w:rPr>
                <w:b/>
                <w:i/>
              </w:rPr>
              <w:t>göra en utvärdering avseende ett förtidsavslutande respektive en slututvärdering av DLT-pilotordningen. Treårsutvärderingen för förtidsavslutande bör beräknas från ikraftträdandedagen för denna förordning, vilket inbegriper den tolvmånadersperiod som behövs för att framställa förslaget till rättsliga tekniska standarder, på det sätt som föreskrivs i denna förordning.</w:t>
            </w:r>
            <w:r w:rsidRPr="00DF3EFC">
              <w:t xml:space="preserve"> Den ovannämnda sexårsperioden är tillräckligt lång för att DLT-marknadsinfrastrukturerna ska hinna anpassa sina affärsmodeller till alla eventuella ändringar av denna ordning och driva pilotordningen på ett kommersiellt bärkraftigt sätt. Detta ger Esma och kommissionen möjlighet att samla in ett användbart dataset som täcker tiden kring de tre kalenderår under vilka pilotordningen tillämpas, från det att det beviljats en kritisk massa av specifika tillstånd och därmed sammanhängande undantag samt att rapportera om detta. Detta ger även DLT-marknadsinfrastrukturerna tid att vidta de åtgärder som är nödvändiga för att antingen avveckla sin verksamhet eller övergå till en ny rättslig ram </w:t>
            </w:r>
            <w:r w:rsidRPr="00DF3EFC">
              <w:rPr>
                <w:b/>
                <w:i/>
              </w:rPr>
              <w:t>vilken bland annat bör föreskriva förfarandet för att anta de permanenta tillstånd som passar för det nya regelverket,</w:t>
            </w:r>
            <w:r w:rsidRPr="00DF3EFC">
              <w:t xml:space="preserve"> efter Esmas och kommissionens rapporter.</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Med tanke på den snabba tekniska utvecklingen och för att skapa ett framtidssäkrat regelverk ser vi fördelar med att introducera en utvärdering avseende ett förtidsavslutande av Esma som skulle informera och ge råd till kommissionen, för att ge Europaparlamentet och rådet en inledande utvärdering av en potentiell justering eller avslutning av DLT-pilotordningen efter tre år.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lastRenderedPageBreak/>
        <w:t>&lt;AmendB&gt;</w:t>
      </w:r>
      <w:r w:rsidRPr="00DF3EFC">
        <w:t>Ändringsförslag</w:t>
      </w:r>
      <w:r w:rsidRPr="00DF3EFC">
        <w:tab/>
      </w:r>
      <w:r w:rsidRPr="00DF3EFC">
        <w:tab/>
      </w:r>
      <w:r w:rsidRPr="00DF3EFC">
        <w:rPr>
          <w:rStyle w:val="HideTWBExt"/>
          <w:b w:val="0"/>
        </w:rPr>
        <w:t>&lt;NumAmB&gt;</w:t>
      </w:r>
      <w:r w:rsidRPr="00DF3EFC">
        <w:t>230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37</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(37)</w:t>
            </w:r>
            <w:r w:rsidRPr="00DF3EFC">
              <w:tab/>
              <w:t>Utan att det påverkar tillämpningen av de relevanta bestämmelserna i direktiv 2014/65/EU (</w:t>
            </w:r>
            <w:r w:rsidRPr="00DF3EFC">
              <w:rPr>
                <w:b/>
                <w:i/>
              </w:rPr>
              <w:t xml:space="preserve">direktivet om marknader för finansiella instrument, </w:t>
            </w:r>
            <w:r w:rsidRPr="00DF3EFC">
              <w:t>MiFID II) och förordning (EU) nr 909/2014(</w:t>
            </w:r>
            <w:r w:rsidRPr="00DF3EFC">
              <w:rPr>
                <w:b/>
                <w:i/>
              </w:rPr>
              <w:t>förordningen om värdepapperscentraler</w:t>
            </w:r>
            <w:r w:rsidRPr="00DF3EFC">
              <w:t xml:space="preserve">) bör de behöriga myndigheterna ha befogenhet att återkalla ett specifikt tillstånd eller något av de undantag som beviljats en DLT-marknadsinfrastruktur om det upptäckts en brist i den underliggande tekniken eller de tjänster eller den verksamhet som DLT-marknadsinfrastrukturen tillhandahåller, under förutsättning att denna brist väger tyngre än fördelarna som tjänsten i fråga ger, eller om DLT-marknadsinfrastrukturen har brutit mot något av de villkor som är knutna till de undantag som den behöriga myndigheten fastställde vid tidpunkten för beviljandet av det specifika tillståndet, eller om DLT-marknadsinfrastrukturen har registrerat finansiella instrument som inte uppfyller villkoren för att anses vara DLT-överlåtbara värdepapper enligt denna förordning. En DLT-marknadsinfrastruktur bör inom ramen för sin verksamhet ha möjlighet att begära ytterligare undantag utöver dem som begärts vid tidpunkten för tillståndet. I ett sådant fall bör </w:t>
            </w:r>
            <w:r w:rsidRPr="00DF3EFC">
              <w:rPr>
                <w:b/>
                <w:i/>
              </w:rPr>
              <w:t>de</w:t>
            </w:r>
            <w:r w:rsidRPr="00DF3EFC">
              <w:t xml:space="preserve"> ytterligare undantag </w:t>
            </w:r>
            <w:r w:rsidRPr="00DF3EFC">
              <w:rPr>
                <w:b/>
                <w:i/>
              </w:rPr>
              <w:t xml:space="preserve">som begärs av DLT-marknadsinfrastrukturen vara föremål för ett specifikt tillstånd </w:t>
            </w:r>
            <w:r w:rsidRPr="00DF3EFC">
              <w:t>från de behöriga myndigheterna, på samma sätt som för de som begärts vid tidpunkten för det ursprungliga tillståndet för DLT-marknadsinfrastrukturen.</w:t>
            </w:r>
          </w:p>
        </w:tc>
        <w:tc>
          <w:tcPr>
            <w:tcW w:w="4876" w:type="dxa"/>
          </w:tcPr>
          <w:p w:rsidR="00DF3EFC" w:rsidRPr="00DF3EFC" w:rsidRDefault="00DF3EFC" w:rsidP="00DF3EFC">
            <w:pPr>
              <w:pStyle w:val="Normal6a"/>
            </w:pPr>
            <w:r w:rsidRPr="00DF3EFC">
              <w:t>(37)</w:t>
            </w:r>
            <w:r w:rsidRPr="00DF3EFC">
              <w:tab/>
              <w:t>Utan att det påverkar tillämpningen av de relevanta bestämmelserna i direktiv 2014/65/EU (direktivet om marknader för finansiella instrument (Mifid II)) och förordning (EU) nr 909/2014 (</w:t>
            </w:r>
            <w:r w:rsidRPr="00DF3EFC">
              <w:rPr>
                <w:b/>
                <w:i/>
              </w:rPr>
              <w:t>CSDR</w:t>
            </w:r>
            <w:r w:rsidRPr="00DF3EFC">
              <w:t xml:space="preserve">) bör de behöriga myndigheterna ha befogenhet att återkalla ett specifikt tillstånd eller något av de undantag som beviljats en DLT-marknadsinfrastruktur om det upptäckts en brist i den underliggande tekniken eller de tjänster eller den verksamhet som DLT-marknadsinfrastrukturen tillhandahåller, under förutsättning att denna brist väger tyngre än fördelarna som tjänsten i fråga ger, eller om DLT-marknadsinfrastrukturen har brutit mot något av de villkor som är knutna till de undantag som den behöriga myndigheten fastställde vid tidpunkten för beviljandet av det specifika tillståndet, eller om DLT-marknadsinfrastrukturen har registrerat finansiella instrument som </w:t>
            </w:r>
            <w:r w:rsidRPr="00DF3EFC">
              <w:rPr>
                <w:b/>
                <w:i/>
              </w:rPr>
              <w:t>överskrider tröskelvärdena eller</w:t>
            </w:r>
            <w:r w:rsidRPr="00DF3EFC">
              <w:t xml:space="preserve"> inte uppfyller villkoren för att anses vara DLT-överlåtbara värdepapper enligt denna förordning. En DLT-marknadsinfrastruktur bör inom ramen för sin verksamhet ha möjlighet att begära ytterligare undantag utöver dem som begärts vid tidpunkten för </w:t>
            </w:r>
            <w:r w:rsidRPr="00DF3EFC">
              <w:rPr>
                <w:b/>
                <w:i/>
              </w:rPr>
              <w:t>det ursprungliga</w:t>
            </w:r>
            <w:r w:rsidRPr="00DF3EFC">
              <w:t xml:space="preserve"> tillståndet. I ett sådant fall bör </w:t>
            </w:r>
            <w:r w:rsidRPr="00DF3EFC">
              <w:rPr>
                <w:b/>
                <w:i/>
              </w:rPr>
              <w:t xml:space="preserve">dessa </w:t>
            </w:r>
            <w:r w:rsidRPr="00DF3EFC">
              <w:t xml:space="preserve">ytterligare undantag </w:t>
            </w:r>
            <w:r w:rsidRPr="00DF3EFC">
              <w:rPr>
                <w:b/>
                <w:i/>
              </w:rPr>
              <w:t>begäras</w:t>
            </w:r>
            <w:r w:rsidRPr="00DF3EFC">
              <w:t xml:space="preserve"> från de behöriga myndigheterna, på samma sätt som för de som begärts vid tidpunkten för det ursprungliga tillståndet för DLT-marknadsinfrastrukturen.</w:t>
            </w:r>
          </w:p>
        </w:tc>
      </w:tr>
    </w:tbl>
    <w:p w:rsidR="00DF3EFC" w:rsidRPr="00DF3EFC" w:rsidRDefault="00DF3EFC" w:rsidP="00DF3EFC">
      <w:pPr>
        <w:pStyle w:val="AmOrLang"/>
        <w:rPr>
          <w:lang w:val="pt-PT"/>
        </w:rPr>
      </w:pPr>
      <w:r w:rsidRPr="00DF3EFC">
        <w:rPr>
          <w:lang w:val="pt-PT"/>
        </w:rPr>
        <w:t xml:space="preserve">Or. </w:t>
      </w:r>
      <w:r w:rsidRPr="00DF3EFC">
        <w:rPr>
          <w:rStyle w:val="HideTWBExt"/>
          <w:lang w:val="pt-PT"/>
        </w:rPr>
        <w:t>&lt;Original&gt;</w:t>
      </w:r>
      <w:r w:rsidRPr="00DF3EFC">
        <w:rPr>
          <w:rStyle w:val="HideTWBInt"/>
          <w:rFonts w:eastAsiaTheme="majorEastAsia"/>
          <w:lang w:val="pt-PT"/>
        </w:rPr>
        <w:t>{EN}</w:t>
      </w:r>
      <w:r w:rsidRPr="00DF3EFC">
        <w:rPr>
          <w:lang w:val="pt-PT"/>
        </w:rPr>
        <w:t>en</w:t>
      </w:r>
      <w:r w:rsidRPr="00DF3EFC">
        <w:rPr>
          <w:rStyle w:val="HideTWBExt"/>
          <w:lang w:val="pt-PT"/>
        </w:rPr>
        <w:t>&lt;/Original&gt;</w:t>
      </w:r>
    </w:p>
    <w:p w:rsidR="00DF3EFC" w:rsidRPr="00DF3EFC" w:rsidRDefault="00DF3EFC" w:rsidP="00DF3EFC">
      <w:pPr>
        <w:rPr>
          <w:lang w:val="pt-PT"/>
        </w:rPr>
      </w:pPr>
      <w:r w:rsidRPr="00DF3EFC">
        <w:rPr>
          <w:rStyle w:val="HideTWBExt"/>
          <w:lang w:val="pt-PT"/>
        </w:rPr>
        <w:t>&lt;/AmendB&gt;</w:t>
      </w:r>
    </w:p>
    <w:p w:rsidR="00DF3EFC" w:rsidRPr="00DF3EFC" w:rsidRDefault="00DF3EFC" w:rsidP="00DF3EFC">
      <w:pPr>
        <w:pStyle w:val="AmNumberTabs"/>
        <w:rPr>
          <w:lang w:val="pt-PT"/>
        </w:rPr>
      </w:pPr>
      <w:r w:rsidRPr="00DF3EFC">
        <w:rPr>
          <w:rStyle w:val="HideTWBExt"/>
          <w:b w:val="0"/>
          <w:lang w:val="pt-PT"/>
        </w:rPr>
        <w:lastRenderedPageBreak/>
        <w:t>&lt;AmendB&gt;</w:t>
      </w:r>
      <w:r w:rsidRPr="00DF3EFC">
        <w:rPr>
          <w:lang w:val="pt-PT"/>
        </w:rPr>
        <w:t>Ändringsförslag</w:t>
      </w:r>
      <w:r w:rsidRPr="00DF3EFC">
        <w:rPr>
          <w:lang w:val="pt-PT"/>
        </w:rPr>
        <w:tab/>
      </w:r>
      <w:r w:rsidRPr="00DF3EFC">
        <w:rPr>
          <w:lang w:val="pt-PT"/>
        </w:rPr>
        <w:tab/>
      </w:r>
      <w:r w:rsidRPr="00DF3EFC">
        <w:rPr>
          <w:rStyle w:val="HideTWBExt"/>
          <w:b w:val="0"/>
          <w:lang w:val="pt-PT"/>
        </w:rPr>
        <w:t>&lt;NumAmB&gt;</w:t>
      </w:r>
      <w:r w:rsidRPr="00DF3EFC">
        <w:rPr>
          <w:lang w:val="pt-PT"/>
        </w:rPr>
        <w:t>231</w:t>
      </w:r>
      <w:r w:rsidRPr="00DF3EFC">
        <w:rPr>
          <w:rStyle w:val="HideTWBExt"/>
          <w:b w:val="0"/>
          <w:lang w:val="pt-PT"/>
        </w:rPr>
        <w:t>&lt;/NumAmB&gt;</w:t>
      </w:r>
    </w:p>
    <w:p w:rsidR="00DF3EFC" w:rsidRPr="00DF3EFC" w:rsidRDefault="00DF3EFC" w:rsidP="00DF3EFC">
      <w:pPr>
        <w:pStyle w:val="NormalBold"/>
        <w:rPr>
          <w:lang w:val="pt-PT"/>
        </w:rPr>
      </w:pPr>
      <w:r w:rsidRPr="00DF3EFC">
        <w:rPr>
          <w:rStyle w:val="HideTWBExt"/>
          <w:b w:val="0"/>
          <w:lang w:val="pt-PT"/>
        </w:rPr>
        <w:t>&lt;RepeatBlock-By&gt;&lt;Members&gt;</w:t>
      </w:r>
      <w:r w:rsidRPr="00DF3EFC">
        <w:rPr>
          <w:lang w:val="pt-PT"/>
        </w:rPr>
        <w:t>Eero Heinäluoma, Jonás Fernández, Pedro Marques</w:t>
      </w:r>
      <w:r w:rsidRPr="00DF3EFC">
        <w:rPr>
          <w:rStyle w:val="HideTWBExt"/>
          <w:b w:val="0"/>
          <w:lang w:val="pt-PT"/>
        </w:rPr>
        <w:t>&lt;/Members&gt;</w:t>
      </w:r>
    </w:p>
    <w:p w:rsidR="00DF3EFC" w:rsidRPr="00DF3EFC" w:rsidRDefault="00DF3EFC" w:rsidP="00DF3EFC">
      <w:pPr>
        <w:pStyle w:val="NormalBold"/>
        <w:rPr>
          <w:lang w:val="pt-PT"/>
        </w:rPr>
      </w:pPr>
      <w:r w:rsidRPr="00DF3EFC">
        <w:rPr>
          <w:rStyle w:val="HideTWBExt"/>
          <w:b w:val="0"/>
          <w:lang w:val="pt-P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(38)</w:t>
            </w:r>
            <w:r w:rsidRPr="00DF3EFC">
              <w:tab/>
              <w:t xml:space="preserve">Eftersom DLT-marknadsinfrastrukturer kan beviljas tillfälliga undantag från gällande unionslagstiftning bör de ha ett nära samarbete med de behöriga myndigheterna och Europeiska värdepappers- och marknadsmyndigheten (Esma) under giltighetstiden för sina specifika tillstånd. DLT-marknadsinfrastrukturerna bör underrätta de behöriga myndigheterna och Esma om alla väsentliga förändringar av sina affärsplaner och kritiska personal, alla bevis för cyberhot eller attacker, bedrägerier och oegentligheter, alla förändringar av den information som lämnats vid tidpunkten för den ursprungliga ansökan om tillstånd, alla tekniska problem, särskilt sådana som är kopplade till användningen av DLT, och om alla nya risker för investerarskyddet, marknadsintegriteten och den finansiella stabiliteten som inte förutsetts vid tidpunkten för beviljandet av det specifika tillståndet. När en behörig myndighet underrättats om en sådan väsentlig förändring ska den begära att DLT-marknadsinfrastrukturen ansöker om ett nytt tillstånd eller undantag eller så ska den vidta de korrigerande åtgärder den anser vara lämpliga. DLT-marknadsinfrastrukturen bör även lämna alla relevanta uppgifter till de behöriga myndigheterna och Esma när sådana uppgifter begärs. För att garantera investerarskyddet, marknadsintegritet och finansiell stabilitet bör den behöriga myndighet som beviljade DLT-marknadsinfrastrukturen det specifika tillståndet ha möjlighet att rekommendera korrigerande åtgärder efter </w:t>
            </w:r>
            <w:r w:rsidRPr="00DF3EFC">
              <w:rPr>
                <w:b/>
                <w:i/>
              </w:rPr>
              <w:t xml:space="preserve">samråd med </w:t>
            </w:r>
            <w:r w:rsidRPr="00DF3EFC">
              <w:t>Esma.</w:t>
            </w:r>
          </w:p>
        </w:tc>
        <w:tc>
          <w:tcPr>
            <w:tcW w:w="4876" w:type="dxa"/>
          </w:tcPr>
          <w:p w:rsidR="00DF3EFC" w:rsidRPr="00DF3EFC" w:rsidRDefault="00DF3EFC" w:rsidP="00DF3EFC">
            <w:pPr>
              <w:pStyle w:val="Normal6a"/>
            </w:pPr>
            <w:r w:rsidRPr="00DF3EFC">
              <w:t>(38)</w:t>
            </w:r>
            <w:r w:rsidRPr="00DF3EFC">
              <w:tab/>
              <w:t xml:space="preserve">Eftersom DLT-marknadsinfrastrukturer kan beviljas tillfälliga undantag från gällande unionslagstiftning bör de ha ett nära samarbete med de behöriga myndigheterna och Europeiska värdepappers- och marknadsmyndigheten (Esma) under giltighetstiden för sina specifika tillstånd. DLT-marknadsinfrastrukturerna bör underrätta de behöriga myndigheterna och Esma om alla väsentliga förändringar av sina affärsplaner och kritiska personal, alla bevis för cyberhot eller attacker, bedrägerier och oegentligheter, alla förändringar av den information som lämnats vid tidpunkten för den ursprungliga ansökan om tillstånd, alla tekniska problem, särskilt sådana som är kopplade till användningen av DLT, och om alla nya risker för investerarskyddet, marknadsintegriteten och den finansiella stabiliteten som inte förutsetts vid tidpunkten för beviljandet av det specifika tillståndet. När en behörig myndighet underrättats om en sådan väsentlig förändring ska den begära att DLT-marknadsinfrastrukturen ansöker om ett nytt tillstånd eller undantag eller så ska den vidta de korrigerande åtgärder den anser vara lämpliga. DLT-marknadsinfrastrukturen bör även lämna alla relevanta uppgifter till de behöriga myndigheterna och Esma när sådana uppgifter begärs. För att garantera investerarskyddet, marknadsintegritet och finansiell stabilitet bör den </w:t>
            </w:r>
            <w:r w:rsidRPr="00DF3EFC">
              <w:rPr>
                <w:b/>
                <w:i/>
              </w:rPr>
              <w:t xml:space="preserve">behöriga myndigheten, när den underrättats om en sådan väsentlig förändring, begära att Esma avger en rekommendation och på grundval av denna begära att DLT-marknadsinfrastrukturen ansöker om ett </w:t>
            </w:r>
            <w:r w:rsidRPr="00DF3EFC">
              <w:rPr>
                <w:b/>
                <w:i/>
              </w:rPr>
              <w:lastRenderedPageBreak/>
              <w:t>nytt tillstånd eller undantag eller så ska den vidta de korrigerande åtgärder den anser vara lämpliga. DLT-marknadsinfrastrukturen bör även lämna alla relevanta uppgifter till de behöriga myndigheterna och Esma när sådana uppgifter begärs.</w:t>
            </w:r>
            <w:r w:rsidRPr="00DF3EFC">
              <w:t xml:space="preserve"> </w:t>
            </w:r>
            <w:r w:rsidRPr="00DF3EFC">
              <w:rPr>
                <w:b/>
                <w:i/>
              </w:rPr>
              <w:t>Den</w:t>
            </w:r>
            <w:r w:rsidRPr="00DF3EFC">
              <w:t xml:space="preserve"> behöriga myndighet som beviljade DLT-marknadsinfrastrukturen det specifika tillståndet </w:t>
            </w:r>
            <w:r w:rsidRPr="00DF3EFC">
              <w:rPr>
                <w:b/>
                <w:i/>
              </w:rPr>
              <w:t>bör</w:t>
            </w:r>
            <w:r w:rsidRPr="00DF3EFC">
              <w:t xml:space="preserve"> ha möjlighet att rekommendera korrigerande åtgärder efter </w:t>
            </w:r>
            <w:r w:rsidRPr="00DF3EFC">
              <w:rPr>
                <w:b/>
                <w:i/>
              </w:rPr>
              <w:t>det att en rekommendation utfärdats av</w:t>
            </w:r>
            <w:r w:rsidRPr="00DF3EFC">
              <w:t xml:space="preserve"> Esma.</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232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38</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(38)</w:t>
            </w:r>
            <w:r w:rsidRPr="00DF3EFC">
              <w:tab/>
              <w:t xml:space="preserve">Eftersom DLT-marknadsinfrastrukturer kan beviljas tillfälliga undantag från gällande unionslagstiftning bör de ha ett nära samarbete med de behöriga myndigheterna och Europeiska värdepappers- och marknadsmyndigheten (Esma) under giltighetstiden för sina specifika tillstånd. DLT-marknadsinfrastrukturerna bör underrätta de behöriga myndigheterna och Esma om alla väsentliga förändringar av sina affärsplaner och kritiska personal, alla bevis för cyberhot eller attacker, bedrägerier och oegentligheter, alla förändringar av den information som lämnats vid tidpunkten för den ursprungliga ansökan om tillstånd, alla tekniska problem, särskilt sådana som är kopplade till användningen av DLT, och om alla nya risker för investerarskyddet, marknadsintegriteten och den finansiella stabiliteten som inte förutsetts vid tidpunkten för beviljandet av </w:t>
            </w:r>
            <w:r w:rsidRPr="00DF3EFC">
              <w:rPr>
                <w:b/>
                <w:i/>
              </w:rPr>
              <w:t xml:space="preserve">det specifika </w:t>
            </w:r>
            <w:r w:rsidRPr="00DF3EFC">
              <w:rPr>
                <w:b/>
                <w:i/>
              </w:rPr>
              <w:lastRenderedPageBreak/>
              <w:t>tillståndet</w:t>
            </w:r>
            <w:r w:rsidRPr="00DF3EFC">
              <w:t xml:space="preserve">. </w:t>
            </w:r>
            <w:r w:rsidRPr="00DF3EFC">
              <w:rPr>
                <w:b/>
                <w:i/>
              </w:rPr>
              <w:t>När en behörig myndighet</w:t>
            </w:r>
            <w:r w:rsidRPr="00DF3EFC">
              <w:t xml:space="preserve"> underrättats om en sådan väsentlig förändring ska den begära att DLT-marknadsinfrastrukturen ansöker om ett nytt tillstånd eller undantag eller </w:t>
            </w:r>
            <w:r w:rsidRPr="00DF3EFC">
              <w:rPr>
                <w:b/>
                <w:i/>
              </w:rPr>
              <w:t>så ska den vidta</w:t>
            </w:r>
            <w:r w:rsidRPr="00DF3EFC">
              <w:t xml:space="preserve"> </w:t>
            </w:r>
            <w:r w:rsidRPr="00DF3EFC">
              <w:rPr>
                <w:b/>
                <w:i/>
              </w:rPr>
              <w:t xml:space="preserve">de </w:t>
            </w:r>
            <w:r w:rsidRPr="00DF3EFC">
              <w:t xml:space="preserve">korrigerande åtgärder </w:t>
            </w:r>
            <w:r w:rsidRPr="00DF3EFC">
              <w:rPr>
                <w:b/>
                <w:i/>
              </w:rPr>
              <w:t>den anser vara lämpliga</w:t>
            </w:r>
            <w:r w:rsidRPr="00DF3EFC">
              <w:t xml:space="preserve">. DLT-marknadsinfrastrukturen bör även lämna alla relevanta uppgifter till de behöriga myndigheterna och Esma när sådana uppgifter begärs. </w:t>
            </w:r>
            <w:r w:rsidRPr="00DF3EFC">
              <w:rPr>
                <w:b/>
                <w:i/>
              </w:rPr>
              <w:t>För att garantera investerarskyddet, marknadsintegritet och finansiell stabilitet</w:t>
            </w:r>
            <w:r w:rsidRPr="00DF3EFC">
              <w:t xml:space="preserve"> bör den behöriga myndighet som beviljade DLT-marknadsinfrastrukturen det specifika tillståndet ha möjlighet att </w:t>
            </w:r>
            <w:r w:rsidRPr="00DF3EFC">
              <w:rPr>
                <w:b/>
                <w:i/>
              </w:rPr>
              <w:t>rekommendera korrigerande åtgärder efter samråd med Esma</w:t>
            </w:r>
            <w:r w:rsidRPr="00DF3EFC">
              <w:t>.</w:t>
            </w:r>
          </w:p>
        </w:tc>
        <w:tc>
          <w:tcPr>
            <w:tcW w:w="4876" w:type="dxa"/>
          </w:tcPr>
          <w:p w:rsidR="00DF3EFC" w:rsidRPr="00DF3EFC" w:rsidRDefault="00DF3EFC" w:rsidP="00DF3EFC">
            <w:pPr>
              <w:pStyle w:val="Normal6a"/>
            </w:pPr>
            <w:r w:rsidRPr="00DF3EFC">
              <w:lastRenderedPageBreak/>
              <w:t>(38)</w:t>
            </w:r>
            <w:r w:rsidRPr="00DF3EFC">
              <w:tab/>
              <w:t xml:space="preserve">Eftersom DLT-marknadsinfrastrukturer kan beviljas tillfälliga undantag från gällande unionslagstiftning bör de ha ett nära samarbete med de behöriga myndigheterna och Europeiska värdepappers- och marknadsmyndigheten (Esma) under giltighetstiden för sina specifika tillstånd. DLT-marknadsinfrastrukturerna bör underrätta de behöriga myndigheterna och Esma om alla väsentliga förändringar av sina affärsplaner och kritiska personal, alla bevis för cyberhot eller attacker, bedrägerier och oegentligheter, alla förändringar av den information som lämnats vid tidpunkten för den ursprungliga ansökan om tillstånd, alla tekniska problem, särskilt sådana som är kopplade till användningen av DLT, och om alla nya risker för investerarskyddet, marknadsintegriteten och den finansiella stabiliteten som inte förutsetts vid tidpunkten för beviljandet av </w:t>
            </w:r>
            <w:r w:rsidRPr="00DF3EFC">
              <w:rPr>
                <w:b/>
                <w:i/>
              </w:rPr>
              <w:t xml:space="preserve">det specifika </w:t>
            </w:r>
            <w:r w:rsidRPr="00DF3EFC">
              <w:rPr>
                <w:b/>
                <w:i/>
              </w:rPr>
              <w:lastRenderedPageBreak/>
              <w:t>tillståndet</w:t>
            </w:r>
            <w:r w:rsidRPr="00DF3EFC">
              <w:t xml:space="preserve">. </w:t>
            </w:r>
            <w:r w:rsidRPr="00DF3EFC">
              <w:rPr>
                <w:b/>
                <w:i/>
              </w:rPr>
              <w:t>För att garantera investerarskyddet, marknadsintegritet och finansiell stabilitet bör den behöriga myndigheten, när den har</w:t>
            </w:r>
            <w:r w:rsidRPr="00DF3EFC">
              <w:t xml:space="preserve"> underrättats om en sådan väsentlig förändring</w:t>
            </w:r>
            <w:r w:rsidRPr="00DF3EFC">
              <w:rPr>
                <w:b/>
                <w:i/>
              </w:rPr>
              <w:t>, meddela de behöriga myndigheterna i de medlemsstater där DLT-marknadsinfrastrukturen verkar och begära att Esma utfärdar en rekommendation, och på denna grund</w:t>
            </w:r>
            <w:r w:rsidRPr="00DF3EFC">
              <w:t xml:space="preserve"> begära att DLT-marknadsinfrastrukturen </w:t>
            </w:r>
            <w:r w:rsidRPr="00DF3EFC">
              <w:rPr>
                <w:b/>
                <w:i/>
              </w:rPr>
              <w:t>antingen</w:t>
            </w:r>
            <w:r w:rsidRPr="00DF3EFC">
              <w:t xml:space="preserve"> ansöker om ett nytt tillstånd eller undantag eller </w:t>
            </w:r>
            <w:r w:rsidRPr="00DF3EFC">
              <w:rPr>
                <w:b/>
                <w:i/>
              </w:rPr>
              <w:t xml:space="preserve">vidta </w:t>
            </w:r>
            <w:r w:rsidRPr="00DF3EFC">
              <w:t xml:space="preserve">korrigerande åtgärder </w:t>
            </w:r>
            <w:r w:rsidRPr="00DF3EFC">
              <w:rPr>
                <w:b/>
                <w:i/>
              </w:rPr>
              <w:t>efter Esmas rekommendation</w:t>
            </w:r>
            <w:r w:rsidRPr="00DF3EFC">
              <w:t xml:space="preserve">. DLT-marknadsinfrastrukturen bör även lämna alla relevanta uppgifter till de behöriga myndigheterna och Esma när sådana uppgifter begärs. </w:t>
            </w:r>
            <w:r w:rsidRPr="00DF3EFC">
              <w:rPr>
                <w:b/>
                <w:i/>
              </w:rPr>
              <w:t>Efter samråd med Esma</w:t>
            </w:r>
            <w:r w:rsidRPr="00DF3EFC">
              <w:t xml:space="preserve"> bör den behöriga myndighet som beviljade DLT-marknadsinfrastrukturen det specifika tillståndet ha möjlighet att </w:t>
            </w:r>
            <w:r w:rsidRPr="00DF3EFC">
              <w:rPr>
                <w:b/>
                <w:i/>
              </w:rPr>
              <w:t>kräva att DLT-marknadsinfrastrukturen vidtar en tillfällig korrigerande åtgärd tills Esma avger en rekommendation</w:t>
            </w:r>
            <w:r w:rsidRPr="00DF3EFC">
              <w:t>.</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Redaktionella kommentarer och förtydliganden. Om de väsentliga förändringar som beskrivs här sker bör dessutom värdmedlemsstaternas behöriga myndigheter meddelas och Esma bör konsulteras för en rekommendation. Om det bedöms som nödvändigt bör behöriga myndigheter kunna kräva – och inte bara ”rekommendera” i fall då investerarskydd, marknadsintegritet och finansiella stabilitetsproblem uppstår – att DLT-marknadsstrukturen vidtar tillfälliga åtgärder tills Esma avger sin rekommendation.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233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38a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(38a)</w:t>
            </w:r>
            <w:r w:rsidRPr="00DF3EFC">
              <w:tab/>
            </w:r>
            <w:r w:rsidR="0053605E">
              <w:rPr>
                <w:b/>
                <w:i/>
              </w:rPr>
              <w:t>Esma bör inrätta en konsultativ ad </w:t>
            </w:r>
            <w:r w:rsidRPr="00DF3EFC">
              <w:rPr>
                <w:b/>
                <w:i/>
              </w:rPr>
              <w:t xml:space="preserve">hoc-kommitté, i form av en intressentgrupp, som skulle föra samman </w:t>
            </w:r>
            <w:r w:rsidRPr="00DF3EFC">
              <w:rPr>
                <w:b/>
                <w:i/>
              </w:rPr>
              <w:lastRenderedPageBreak/>
              <w:t>företrädare från både offentliga och privata intressenter under en begränsad tidsperiod som motsvarar pilotordningens varaktighet. En sådan konsultativ ad hoc-kommitté bör få i uppdrag att utföra det förberedande och konsulterande arbete som behövs för att stödja Esma vid utfärdandet av de rekommendationer som beskrivs enligt denna förordning, genom att överföra ett skriftligt utlåtande till Esma med beskrivning av orsakerna till att ett undantag avvisas, eller till ett tillstånd som kommittén anser vara otillräckligt motiverat eller olämpligt för kraven i denna förordning. Dessutom bör en sådan konsulterande ad hoc-kommitté undersöka klagomål som lämnas direkt till Esma i fall då en sökande anser att dess begäran om undantag eller tillstånd att delta i pilotordningen har nekats på otillbörlig grund av dennes relevanta nationella behöriga myndighet. För att undvika att felaktiga klagomål lämnas in till Esma av sökande bör dock ett särskilt förfarande tillämpas för att endast analysera fullständiga och väldokumenterade klagomål som överförs till den konsultativa kommittén. Detta förfarande bör föreskriva en kortare fördröjning av överföringen på den konsultativa kommitténs begäran efter svaret från den relevanta nationella behöriga myndigheten och en uppsättning dokument som ska skickas till den konsultativa kommittén, vilken särskilt skulle innehålla en sammanfattning av den sökandes aktiviteter och det eller de begärda undantagen. De relevanta dokument som lämnas in, samt beslutet av den nationella behöriga myndighet som avvisar det eller de begärda undantagen eller tillstånden bör översättas till engelska.</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 xml:space="preserve">För att uppnå tillsynskonvergens, konsekvens och proportionalitet för de undantag som </w:t>
      </w:r>
      <w:r w:rsidRPr="00DF3EFC">
        <w:lastRenderedPageBreak/>
        <w:t>beviljas enligt denna förordning av olika nationella behöriga myndigheter i unionen, som kanske inte har samma tekniska skicklighet, vilket främjar lika villkor och avskräcker från regelarbitrage, föreslås en förstärkt roll för Esma. I linje med åtgärd 16 i kommissionens nya handlingsplan för kapitalunionen.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234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39</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(39)</w:t>
            </w:r>
            <w:r w:rsidRPr="00DF3EFC">
              <w:tab/>
              <w:t>DLT-marknadsinfrastrukturerna ska även regelbundet avge rapporter till sina behöriga myndigheter och Esma. Esma bör anordna diskussioner om dessa rapporter för att alla behöriga myndigheter inom unionen ska få kunskap om vilka verkningar användningen av DLT har och om eventuella anpassningar av unionslagstiftningen om finansiella tjänster som kan bli nödvändiga för att möjliggöra användningen av DLT i större skala.</w:t>
            </w:r>
          </w:p>
        </w:tc>
        <w:tc>
          <w:tcPr>
            <w:tcW w:w="4876" w:type="dxa"/>
          </w:tcPr>
          <w:p w:rsidR="00DF3EFC" w:rsidRPr="00DF3EFC" w:rsidRDefault="00DF3EFC" w:rsidP="00DF3EFC">
            <w:pPr>
              <w:pStyle w:val="Normal6a"/>
            </w:pPr>
            <w:r w:rsidRPr="00DF3EFC">
              <w:t>(39)</w:t>
            </w:r>
            <w:r w:rsidRPr="00DF3EFC">
              <w:tab/>
              <w:t xml:space="preserve">DLT-marknadsinfrastrukturerna ska även regelbundet avge rapporter till sina behöriga myndigheter och Esma. </w:t>
            </w:r>
            <w:r w:rsidRPr="00DF3EFC">
              <w:rPr>
                <w:b/>
                <w:i/>
              </w:rPr>
              <w:t>Nationella behöriga myndigheter som har inrättat ett innovationsnav eller en regelsandlåda bör organisera diskussioner mellan sina behöriga avdelningar för att få en förståelse och sprida den kunskap de har inhämtat. Genom sitt deltagande i det europeiska forumet för underlättare</w:t>
            </w:r>
            <w:r w:rsidR="0053605E">
              <w:rPr>
                <w:b/>
                <w:i/>
              </w:rPr>
              <w:t xml:space="preserve"> av innovation bö</w:t>
            </w:r>
            <w:r w:rsidRPr="00DF3EFC">
              <w:rPr>
                <w:b/>
                <w:i/>
              </w:rPr>
              <w:t>r nationella behöriga myndigheter kunna diskutera fall i syfte att utbyta kunskaper och etablera bästa praxis.</w:t>
            </w:r>
            <w:r w:rsidRPr="00DF3EFC">
              <w:t xml:space="preserve"> Esma bör anordna diskussioner om dessa rapporter för att alla behöriga myndigheter inom unionen ska få kunskap om vilka verkningar användningen av DLT </w:t>
            </w:r>
            <w:r w:rsidRPr="00DF3EFC">
              <w:rPr>
                <w:b/>
                <w:i/>
              </w:rPr>
              <w:t>på finansmarknader</w:t>
            </w:r>
            <w:r w:rsidRPr="00DF3EFC">
              <w:t xml:space="preserve"> har och om eventuella anpassningar av unionslagstiftningen om finansiella tjänster som kan bli nödvändiga för att möjliggöra användningen av DLT i större skala.</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 xml:space="preserve">Det föreslås att underlättare av innovation (innovationsnav och regelsandlådor) som har inrättats av de nationella behöriga myndigheterna samt det europeiska forumet för underlättare av innovation som har inrättats av kommissionen i samarbete med de tre europeiska tillsynsmyndigheterna för att förbättra den gemensamma förståelsen, kunskapsdelningen och tekniköverföringen mellan nationella behöriga myndigheter och europeiska tillsynsmyndigheter, utnyttjas för en snabb anpassning till EU-förordningen om </w:t>
      </w:r>
      <w:r w:rsidRPr="00DF3EFC">
        <w:lastRenderedPageBreak/>
        <w:t>finansiella tjänster.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235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40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(40)</w:t>
            </w:r>
            <w:r w:rsidRPr="00DF3EFC">
              <w:tab/>
            </w:r>
            <w:r w:rsidRPr="00DF3EFC">
              <w:rPr>
                <w:b/>
                <w:i/>
              </w:rPr>
              <w:t xml:space="preserve">Fem år </w:t>
            </w:r>
            <w:r w:rsidRPr="00DF3EFC">
              <w:t xml:space="preserve">efter denna förordnings ikraftträdande bör Esma </w:t>
            </w:r>
            <w:r w:rsidRPr="00DF3EFC">
              <w:rPr>
                <w:b/>
                <w:i/>
              </w:rPr>
              <w:t>rapportera till kommissionen om</w:t>
            </w:r>
            <w:r w:rsidRPr="00DF3EFC">
              <w:t xml:space="preserve"> </w:t>
            </w:r>
            <w:r w:rsidRPr="00DF3EFC">
              <w:rPr>
                <w:b/>
                <w:i/>
              </w:rPr>
              <w:t>denna pilotordning</w:t>
            </w:r>
            <w:r w:rsidRPr="00DF3EFC">
              <w:t xml:space="preserve"> för DLT-marknadsinfrastrukturer, </w:t>
            </w:r>
            <w:r w:rsidRPr="00DF3EFC">
              <w:rPr>
                <w:b/>
                <w:i/>
              </w:rPr>
              <w:t>inbegripet om</w:t>
            </w:r>
            <w:r w:rsidRPr="00DF3EFC">
              <w:t xml:space="preserve"> eventuella fördelar kopplade till användningen av DLT, möjliga risker och tekniska problem. </w:t>
            </w:r>
            <w:r w:rsidRPr="00DF3EFC">
              <w:rPr>
                <w:b/>
                <w:i/>
              </w:rPr>
              <w:t xml:space="preserve">På grundval av Esmas rapporter bör kommissionen </w:t>
            </w:r>
            <w:r w:rsidRPr="00DF3EFC">
              <w:t xml:space="preserve">avlägga en rapport till </w:t>
            </w:r>
            <w:r w:rsidRPr="00DF3EFC">
              <w:rPr>
                <w:b/>
                <w:i/>
              </w:rPr>
              <w:t xml:space="preserve">rådet och </w:t>
            </w:r>
            <w:r w:rsidRPr="00DF3EFC">
              <w:t>Europaparlamentet.</w:t>
            </w:r>
            <w:r w:rsidRPr="00DF3EFC">
              <w:rPr>
                <w:b/>
                <w:i/>
              </w:rPr>
              <w:t xml:space="preserve"> Denna rapport ska </w:t>
            </w:r>
            <w:r w:rsidRPr="00DF3EFC">
              <w:t xml:space="preserve">innehålla en bedömning av vilka kostnader respektive fördelar som fås av att denna </w:t>
            </w:r>
            <w:r w:rsidRPr="00DF3EFC">
              <w:rPr>
                <w:b/>
                <w:i/>
              </w:rPr>
              <w:t>ordning</w:t>
            </w:r>
            <w:r w:rsidRPr="00DF3EFC">
              <w:t xml:space="preserve"> för DLT-marknadsinfrastrukturer förlängs</w:t>
            </w:r>
            <w:r w:rsidRPr="00DF3EFC">
              <w:rPr>
                <w:b/>
                <w:i/>
              </w:rPr>
              <w:t xml:space="preserve"> i tiden</w:t>
            </w:r>
            <w:r w:rsidRPr="00DF3EFC">
              <w:t>, av att denna ordning utvidgas till att även omfatta nya typer av finansiella instrument, av att denna ordning görs permanent, med eller utan ändringar, av att det görs ändringar i unionslagstiftningen om finansiella tjänster och av att denna ordning avslutas.</w:t>
            </w:r>
          </w:p>
        </w:tc>
        <w:tc>
          <w:tcPr>
            <w:tcW w:w="4876" w:type="dxa"/>
          </w:tcPr>
          <w:p w:rsidR="00DF3EFC" w:rsidRPr="00DF3EFC" w:rsidRDefault="00DF3EFC" w:rsidP="00DF3EFC">
            <w:pPr>
              <w:pStyle w:val="Normal6a"/>
            </w:pPr>
            <w:r w:rsidRPr="00DF3EFC">
              <w:t>(40)</w:t>
            </w:r>
            <w:r w:rsidRPr="00DF3EFC">
              <w:tab/>
            </w:r>
            <w:r w:rsidRPr="00DF3EFC">
              <w:rPr>
                <w:b/>
                <w:i/>
              </w:rPr>
              <w:t>Senast ... [36 månader</w:t>
            </w:r>
            <w:r w:rsidRPr="00DF3EFC">
              <w:t xml:space="preserve"> efter </w:t>
            </w:r>
            <w:r w:rsidRPr="00DF3EFC">
              <w:rPr>
                <w:b/>
                <w:i/>
              </w:rPr>
              <w:t>dagen för</w:t>
            </w:r>
            <w:r w:rsidRPr="00DF3EFC">
              <w:t xml:space="preserve"> denna förordnings ikraftträdande</w:t>
            </w:r>
            <w:r w:rsidRPr="00DF3EFC">
              <w:rPr>
                <w:b/>
                <w:i/>
              </w:rPr>
              <w:t xml:space="preserve">] </w:t>
            </w:r>
            <w:r w:rsidRPr="00DF3EFC">
              <w:t xml:space="preserve">bör Esma </w:t>
            </w:r>
            <w:r w:rsidRPr="00DF3EFC">
              <w:rPr>
                <w:b/>
                <w:i/>
              </w:rPr>
              <w:t>lägga fram en utvärderingsrapport avseende ett förtidsavslutande för kommissionen så att kommissionen kan besluta om huruvida pilotordningen</w:t>
            </w:r>
            <w:r w:rsidRPr="00DF3EFC">
              <w:t xml:space="preserve"> för DLT-marknadsinfrastrukturer </w:t>
            </w:r>
            <w:r w:rsidRPr="00DF3EFC">
              <w:rPr>
                <w:b/>
                <w:i/>
              </w:rPr>
              <w:t>ska utvidgas till ... [fem år efter dagen för denna förordnings ikraftträdande]. Utvärderingsrapporten avseende ett förtidsavslutande bör inkludera</w:t>
            </w:r>
            <w:r w:rsidRPr="00DF3EFC">
              <w:t xml:space="preserve"> eventuella fördelar kopplade till användningen av DLT, möjliga risker och eventuella tekniska problem </w:t>
            </w:r>
            <w:r w:rsidRPr="00DF3EFC">
              <w:rPr>
                <w:b/>
                <w:i/>
              </w:rPr>
              <w:t>som uppstått</w:t>
            </w:r>
            <w:r w:rsidRPr="00DF3EFC">
              <w:t xml:space="preserve">. </w:t>
            </w:r>
            <w:r w:rsidRPr="00DF3EFC">
              <w:rPr>
                <w:b/>
                <w:i/>
              </w:rPr>
              <w:t>Utvärderingsrapporten avseende ett förtidsavslutande bör framställas på grundval av årliga delrapporter, varav den första bör framställas 12 månader efter offentliggörandet av de rättsliga tekniska standarder som föreskrivs i denna förordning. Utvärderingsrapporten avseende ett förtidsavslutande bör ge möjlighet till utvärdering och tolkande kommunikationer som förbättrar rättssäkerheten och den regelmässiga tydligheten baserat på information som samlas in om bland annat marknadsstorlek, lärdomar som har gjorts och utveckling av DLT-teknik. Om kommissionen förlänger pilotordningen bör Esma överlämna sin slutrapport om DLT-pilotordningen till kommissionen senast den ... [fem år efter dagen för denna förordnings ikraftträdande]. Slutrapporten bör utarbetas på samma sätt som utvärderingsrapporten avseende ett förtidsavslutande.</w:t>
            </w:r>
            <w:r w:rsidRPr="00DF3EFC">
              <w:t xml:space="preserve"> </w:t>
            </w:r>
            <w:r w:rsidRPr="00DF3EFC">
              <w:rPr>
                <w:b/>
                <w:i/>
              </w:rPr>
              <w:t xml:space="preserve">Kommissionen bör </w:t>
            </w:r>
            <w:r w:rsidRPr="00DF3EFC">
              <w:lastRenderedPageBreak/>
              <w:t xml:space="preserve">avlägga en rapport till Europaparlamentet </w:t>
            </w:r>
            <w:r w:rsidRPr="00DF3EFC">
              <w:rPr>
                <w:b/>
                <w:i/>
              </w:rPr>
              <w:t>och rådet på grundval av Esmas utvärderingsrapport avseende ett förtidsavslutande och därefter, i tillämpliga fall, en rapport baserad på Esmas slutrapport</w:t>
            </w:r>
            <w:r w:rsidRPr="00DF3EFC">
              <w:t>.</w:t>
            </w:r>
            <w:r w:rsidRPr="00DF3EFC">
              <w:rPr>
                <w:b/>
                <w:i/>
              </w:rPr>
              <w:t xml:space="preserve"> Kommissionens rapport bör i varje enskilt fall </w:t>
            </w:r>
            <w:r w:rsidRPr="00DF3EFC">
              <w:t xml:space="preserve">innehålla en bedömning av vilka kostnader respektive fördelar som fås av att denna </w:t>
            </w:r>
            <w:r w:rsidRPr="00DF3EFC">
              <w:rPr>
                <w:b/>
                <w:i/>
              </w:rPr>
              <w:t xml:space="preserve">pilotordning </w:t>
            </w:r>
            <w:r w:rsidRPr="00DF3EFC">
              <w:t xml:space="preserve">för DLT-marknadsinfrastrukturer förlängs </w:t>
            </w:r>
            <w:r w:rsidRPr="00DF3EFC">
              <w:rPr>
                <w:b/>
                <w:i/>
              </w:rPr>
              <w:t>för ytterligare en tidsperiod</w:t>
            </w:r>
            <w:r w:rsidRPr="00DF3EFC">
              <w:t xml:space="preserve">, av att denna ordning utvidgas till att även omfatta nya typer av finansiella instrument, av att denna ordning görs permanent, med eller utan ändringar, av att det görs ändringar i unionslagstiftningen om finansiella tjänster och av att denna ordning avslutas. </w:t>
            </w:r>
            <w:r w:rsidRPr="00DF3EFC">
              <w:rPr>
                <w:b/>
                <w:i/>
              </w:rPr>
              <w:t xml:space="preserve">Dessutom bör det antingen i utvärderingen avseende ett förtidsavslutande eller i slutvärderingen klargöras hur omställningen från pilotordningen till en fullt harmoniserad rättslig ordning för DLT-värdepapper bör förvaltas, hur risker bör mildras, hur instrument som mognar efter omställningsperiodens slut bör behandlas och hur separationen av MTF-plattformar, som ger ett antal funktioner som för närvarande är separerade, bör bedrivas efter pilotordningens avslutning.  </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Med tanke på den snabba utvecklingen av teknik och finansiell innovation föreslås det att Esma bör lämna in en detaljerad utvärdering till kommissionen avseende ett förtidsavslutande om en potentiell justering eller avslutning av pilotordningen efter en treårsperiod. Kommissionen bör, efter Esmas utvärdering avseende ett förtidsavslutande lämna in sin egen till Europaparlamentet och rådet. Om pilotordningen inte upphävs bör Esmas och kommissionens andra bedömningsrapporter lämnas in efter fem år.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236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 MacManus</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{The Left}</w:t>
      </w:r>
      <w:r w:rsidRPr="00DF3EFC">
        <w:t>för The Left-gruppen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lastRenderedPageBreak/>
        <w:t>&lt;Article&gt;</w:t>
      </w:r>
      <w:r w:rsidRPr="00DF3EFC">
        <w:t>Skäl 40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(40)</w:t>
            </w:r>
            <w:r w:rsidRPr="00DF3EFC">
              <w:tab/>
            </w:r>
            <w:r w:rsidRPr="00DF3EFC">
              <w:rPr>
                <w:b/>
                <w:i/>
              </w:rPr>
              <w:t>Fem</w:t>
            </w:r>
            <w:r w:rsidRPr="00DF3EFC">
              <w:t xml:space="preserve"> år efter denna förordnings ikraftträdande bör Esma rapportera till kommissionen om denna pilotordning för DLT-marknadsinfrastrukturer, inbegripet om eventuella fördelar kopplade till användningen av DLT, möjliga risker och tekniska problem. På grundval av Esmas rapporter bör kommissionen avlägga en rapport till rådet och Europaparlamentet. Denna rapport ska </w:t>
            </w:r>
            <w:r w:rsidRPr="00DF3EFC">
              <w:rPr>
                <w:b/>
                <w:i/>
              </w:rPr>
              <w:t>innehålla en bedömning av vilka kostnader respektive fördelar som fås av att denna ordning för DLT-marknadsinfrastrukturer förlängs i tiden, av att denna ordning utvidgas till att även omfatta nya typer av finansiella instrument, av att denna ordning görs permanent, med eller utan ändringar, av att det görs ändringar i unionslagstiftningen om finansiella tjänster och av att denna ordning avslutas.</w:t>
            </w:r>
          </w:p>
        </w:tc>
        <w:tc>
          <w:tcPr>
            <w:tcW w:w="4876" w:type="dxa"/>
          </w:tcPr>
          <w:p w:rsidR="00DF3EFC" w:rsidRPr="00DF3EFC" w:rsidRDefault="00DF3EFC" w:rsidP="00DF3EFC">
            <w:pPr>
              <w:pStyle w:val="Normal6a"/>
            </w:pPr>
            <w:r w:rsidRPr="00DF3EFC">
              <w:t>(40)</w:t>
            </w:r>
            <w:r w:rsidRPr="00DF3EFC">
              <w:tab/>
            </w:r>
            <w:r w:rsidRPr="00DF3EFC">
              <w:rPr>
                <w:b/>
                <w:i/>
              </w:rPr>
              <w:t>Två</w:t>
            </w:r>
            <w:r w:rsidRPr="00DF3EFC">
              <w:t xml:space="preserve"> år efter denna förordnings ikraftträdande bör Esma rapportera till kommissionen om denna pilotordning för DLT-marknadsinfrastrukturer, inbegripet om eventuella fördelar kopplade till användningen av DLT, möjliga risker och tekniska problem. På grundval av Esmas rapporter bör kommissionen avlägga en rapport till rådet och Europaparlamentet. Denna rapport ska </w:t>
            </w:r>
            <w:r w:rsidRPr="00DF3EFC">
              <w:rPr>
                <w:b/>
                <w:i/>
              </w:rPr>
              <w:t>visa hur den har för avsikt att införliva de lärdomar som har dragits i befintlig lagstiftning.</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237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Christophe Hansen, Lídia Pereira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40</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(40)</w:t>
            </w:r>
            <w:r w:rsidRPr="00DF3EFC">
              <w:tab/>
              <w:t xml:space="preserve">Fem år efter denna förordnings ikraftträdande bör Esma rapportera till kommissionen om denna pilotordning för DLT-marknadsinfrastrukturer, inbegripet om eventuella fördelar kopplade till användningen av DLT, möjliga risker och tekniska problem. På grundval av Esmas rapporter bör kommissionen avlägga en rapport till rådet och Europaparlamentet. Denna rapport ska innehålla en bedömning av vilka kostnader respektive fördelar som </w:t>
            </w:r>
            <w:r w:rsidRPr="00DF3EFC">
              <w:lastRenderedPageBreak/>
              <w:t>fås av att denna ordning för DLT-marknadsinfrastrukturer förlängs i tiden, av att denna ordning utvidgas till att även omfatta nya typer av finansiella instrument, av att denna ordning görs permanent, med eller utan ändringar, av att det görs ändringar i unionslagstiftningen om finansiella tjänster och av att denna ordning avslutas.</w:t>
            </w:r>
          </w:p>
        </w:tc>
        <w:tc>
          <w:tcPr>
            <w:tcW w:w="4876" w:type="dxa"/>
          </w:tcPr>
          <w:p w:rsidR="00DF3EFC" w:rsidRPr="00DF3EFC" w:rsidRDefault="00DF3EFC" w:rsidP="00DF3EFC">
            <w:pPr>
              <w:pStyle w:val="Normal6a"/>
            </w:pPr>
            <w:r w:rsidRPr="00DF3EFC">
              <w:lastRenderedPageBreak/>
              <w:t>(40)</w:t>
            </w:r>
            <w:r w:rsidRPr="00DF3EFC">
              <w:tab/>
              <w:t>Fem år efter denna förordnings ikraftträdande bör Esma</w:t>
            </w:r>
            <w:r w:rsidRPr="00DF3EFC">
              <w:rPr>
                <w:b/>
                <w:i/>
              </w:rPr>
              <w:t>, efter samråd med de nationella behöriga myndigheterna,</w:t>
            </w:r>
            <w:r w:rsidRPr="00DF3EFC">
              <w:t xml:space="preserve"> rapportera till kommissionen om denna pilotordning för DLT-marknadsinfrastrukturer, inbegripet om eventuella fördelar kopplade till användningen av DLT, möjliga risker och tekniska problem. På grundval av Esmas rapporter bör kommissionen avlägga en rapport till rådet och Europaparlamentet. </w:t>
            </w:r>
            <w:r w:rsidRPr="00DF3EFC">
              <w:lastRenderedPageBreak/>
              <w:t>Denna rapport ska innehålla en bedömning av vilka kostnader respektive fördelar som fås av att denna ordning för DLT-marknadsinfrastrukturer förlängs i tiden, av att denna ordning utvidgas till att även omfatta nya typer av finansiella instrument, av att denna ordning görs permanent, med eller utan ändringar, av att det görs ändringar i unionslagstiftningen om finansiella tjänster och av att denna ordning avslutas.</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238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40a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(40a)</w:t>
            </w:r>
            <w:r w:rsidRPr="00DF3EFC">
              <w:tab/>
            </w:r>
            <w:r w:rsidRPr="00DF3EFC">
              <w:rPr>
                <w:b/>
                <w:i/>
              </w:rPr>
              <w:t>Esma bör offentliggöra årsrapporter för att ge marknadsdeltagarna en bättre förståelse av marknadernas funktion och utveckling och för att ge ett förtydligande av tillämpningen av pilotordningen. Rapporterna bör också innehålla en uppdatering om pilotordningens framsteg när det gäller trender och nya risker och överlämnas till Europaparlamentet, rådet och kommissionen.</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239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Markus Ferber</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40a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(40a)</w:t>
            </w:r>
            <w:r w:rsidRPr="00DF3EFC">
              <w:tab/>
            </w:r>
            <w:r w:rsidRPr="00DF3EFC">
              <w:rPr>
                <w:b/>
                <w:i/>
              </w:rPr>
              <w:t xml:space="preserve">Det vore inte önskvärt att ha två </w:t>
            </w:r>
            <w:r w:rsidRPr="00DF3EFC">
              <w:rPr>
                <w:b/>
                <w:i/>
              </w:rPr>
              <w:lastRenderedPageBreak/>
              <w:t>parallella ordningar för DLT-baserade och icke DLT-baserade marknadsinfrastrukturer. Om den pilotordning som föreskrivs i denna förordning blir framgångsrik skulle den kunna göras permanent genom ändring av unionens relevanta lagstiftning om finansiella tjänster på ett sätt som etablerar en gemensam, sammanhängande ram.</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240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Markus Ferber</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40b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(40b)</w:t>
            </w:r>
            <w:r w:rsidRPr="00DF3EFC">
              <w:tab/>
            </w:r>
            <w:r w:rsidRPr="00DF3EFC">
              <w:rPr>
                <w:b/>
                <w:i/>
              </w:rPr>
              <w:t>För att övervaka framstegen med pilotordningen bör Esma förse kommissionen, Europaparlamentet och rådet med en årsrapport om de viktigaste trenderna, riskerna och sårbarheterna i förhållande till pilotordningen.</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241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Johan Van Overtveldt</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Skäl 44a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(44a)</w:t>
            </w:r>
            <w:r w:rsidRPr="00DF3EFC">
              <w:tab/>
            </w:r>
            <w:r w:rsidRPr="00DF3EFC">
              <w:rPr>
                <w:b/>
                <w:i/>
              </w:rPr>
              <w:t xml:space="preserve">Driften av DLT-marknadsinfrastrukturer skulle kunna inbegripa behandling av personuppgifter. All behandling av personuppgifter enligt denna förordning bör utföras i enlighet med den gällande unionslagstiftningen om skydd av personuppgifter. Denna </w:t>
            </w:r>
            <w:r w:rsidRPr="00DF3EFC">
              <w:rPr>
                <w:b/>
                <w:i/>
              </w:rPr>
              <w:lastRenderedPageBreak/>
              <w:t>förordning påverkar inte rättigheterna och skyldigheterna enligt förordningarna (EU) 2016/679</w:t>
            </w:r>
            <w:r w:rsidRPr="00DF3EFC">
              <w:rPr>
                <w:rStyle w:val="SupBoldItalic"/>
              </w:rPr>
              <w:t>1a</w:t>
            </w:r>
            <w:r w:rsidRPr="00DF3EFC">
              <w:rPr>
                <w:b/>
                <w:i/>
              </w:rPr>
              <w:t xml:space="preserve"> och (EU) 2018/1725</w:t>
            </w:r>
            <w:r w:rsidRPr="00DF3EFC">
              <w:rPr>
                <w:rStyle w:val="SupBoldItalic"/>
              </w:rPr>
              <w:t>1b</w:t>
            </w:r>
            <w:r w:rsidRPr="00DF3EFC">
              <w:rPr>
                <w:b/>
                <w:i/>
              </w:rPr>
              <w:t>.</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rStyle w:val="SupBoldItalic"/>
              </w:rPr>
              <w:t>1a</w:t>
            </w:r>
            <w:r w:rsidRPr="00DF3EFC">
              <w:t xml:space="preserve"> </w:t>
            </w:r>
            <w:r w:rsidRPr="00DF3EFC">
              <w:rPr>
                <w:b/>
                <w:i/>
              </w:rPr>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rStyle w:val="SupBoldItalic"/>
              </w:rPr>
              <w:t>1b</w:t>
            </w:r>
            <w:r w:rsidRPr="00DF3EFC">
              <w:t xml:space="preserve"> </w:t>
            </w:r>
            <w:r w:rsidRPr="00DF3EFC">
              <w:rPr>
                <w:b/>
                <w:i/>
              </w:rPr>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Detta ändringsförslag syftar till att ta hänsyn tilldet centrala budskapet i Europeiska datatillsynsmannens (EDPS) yttrande 6/2021, närmare bestämt behovet av efterlevnad av den allmänna dataskyddsförordningen (GDPR).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242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1 – punkt 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 xml:space="preserve">I denna förordning fastställs de krav som gäller för </w:t>
            </w:r>
            <w:r w:rsidRPr="00DF3EFC">
              <w:rPr>
                <w:b/>
                <w:i/>
              </w:rPr>
              <w:t>multilaterala handelsplattformar och avvecklingssystem för värdepapper som använder teknik för distribuerade liggare, ”</w:t>
            </w:r>
            <w:r w:rsidRPr="00DF3EFC">
              <w:t>DLT- marknadsinfrastrukturer</w:t>
            </w:r>
            <w:r w:rsidRPr="00DF3EFC">
              <w:rPr>
                <w:b/>
                <w:i/>
              </w:rPr>
              <w:t>”</w:t>
            </w:r>
            <w:r w:rsidRPr="00DF3EFC">
              <w:t xml:space="preserve">, vilka beviljas </w:t>
            </w:r>
            <w:r w:rsidRPr="00DF3EFC">
              <w:lastRenderedPageBreak/>
              <w:t xml:space="preserve">genom </w:t>
            </w:r>
            <w:r w:rsidRPr="00DF3EFC">
              <w:rPr>
                <w:b/>
                <w:i/>
              </w:rPr>
              <w:t>specifika</w:t>
            </w:r>
            <w:r w:rsidRPr="00DF3EFC">
              <w:t xml:space="preserve"> driftstillstånd i enlighet med artiklarna 7 och 8.</w:t>
            </w:r>
          </w:p>
        </w:tc>
        <w:tc>
          <w:tcPr>
            <w:tcW w:w="4876" w:type="dxa"/>
          </w:tcPr>
          <w:p w:rsidR="00DF3EFC" w:rsidRPr="00DF3EFC" w:rsidRDefault="00DF3EFC" w:rsidP="00DF3EFC">
            <w:pPr>
              <w:pStyle w:val="Normal6a"/>
            </w:pPr>
            <w:r w:rsidRPr="00DF3EFC">
              <w:lastRenderedPageBreak/>
              <w:t>(1)</w:t>
            </w:r>
            <w:r w:rsidRPr="00DF3EFC">
              <w:tab/>
              <w:t xml:space="preserve">I denna förordning fastställs de krav som gäller för DLT-marknadsinfrastrukturer, vilka beviljas genom </w:t>
            </w:r>
            <w:r w:rsidRPr="00DF3EFC">
              <w:rPr>
                <w:b/>
                <w:i/>
              </w:rPr>
              <w:t xml:space="preserve">ett specifikt </w:t>
            </w:r>
            <w:r w:rsidRPr="00DF3EFC">
              <w:t>driftstillstånd i enlighet med artiklarna 7 och 8.</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I artikel 2 definieras DLT-marknadsinfrastrukturer.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243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 Christophe Hansen</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1 – punkt 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 xml:space="preserve">I denna förordning fastställs de krav som gäller för </w:t>
            </w:r>
            <w:r w:rsidRPr="00DF3EFC">
              <w:rPr>
                <w:b/>
                <w:i/>
              </w:rPr>
              <w:t>multilaterala handelsplattformar och avvecklingssystem för värdepapper som använder teknik för distribuerade liggare,</w:t>
            </w:r>
            <w:r w:rsidRPr="00DF3EFC">
              <w:t xml:space="preserve"> ”DLT- marknadsinfrastrukturer”, vilka beviljas genom specifika driftstillstånd i enlighet med artiklarna 7 och 8.</w:t>
            </w:r>
          </w:p>
        </w:tc>
        <w:tc>
          <w:tcPr>
            <w:tcW w:w="4876" w:type="dxa"/>
          </w:tcPr>
          <w:p w:rsidR="00DF3EFC" w:rsidRPr="00DF3EFC" w:rsidRDefault="00DF3EFC" w:rsidP="00DF3EFC">
            <w:pPr>
              <w:pStyle w:val="Normal6a"/>
            </w:pPr>
            <w:r w:rsidRPr="00DF3EFC">
              <w:t>(1)</w:t>
            </w:r>
            <w:r w:rsidRPr="00DF3EFC">
              <w:tab/>
              <w:t>I denna förordning fastställs de krav som gäller för ”DLT-marknadsinfrastrukturer”, vilka beviljas genom specifika driftstillstånd i enlighet med artiklarna 7 och 8.</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244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1 – punkt 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 xml:space="preserve">I denna förordning fastställs de krav som gäller för </w:t>
            </w:r>
            <w:r w:rsidRPr="00DF3EFC">
              <w:rPr>
                <w:b/>
                <w:i/>
              </w:rPr>
              <w:t xml:space="preserve">multilaterala handelsplattformar och avvecklingssystem för värdepapper </w:t>
            </w:r>
            <w:r w:rsidRPr="00DF3EFC">
              <w:t>som använder teknik för distribuerade liggare, ”DLT- marknadsinfrastrukturer”, vilka beviljas genom specifika driftstillstånd i enlighet med artiklarna 7 och 8.</w:t>
            </w:r>
          </w:p>
        </w:tc>
        <w:tc>
          <w:tcPr>
            <w:tcW w:w="4876" w:type="dxa"/>
          </w:tcPr>
          <w:p w:rsidR="00DF3EFC" w:rsidRPr="00DF3EFC" w:rsidRDefault="00DF3EFC" w:rsidP="00DF3EFC">
            <w:pPr>
              <w:pStyle w:val="Normal6a"/>
            </w:pPr>
            <w:r w:rsidRPr="00DF3EFC">
              <w:t>(1)</w:t>
            </w:r>
            <w:r w:rsidRPr="00DF3EFC">
              <w:tab/>
              <w:t xml:space="preserve">I denna förordning fastställs de krav som gäller för </w:t>
            </w:r>
            <w:r w:rsidRPr="00DF3EFC">
              <w:rPr>
                <w:b/>
                <w:i/>
              </w:rPr>
              <w:t xml:space="preserve">enheters system </w:t>
            </w:r>
            <w:r w:rsidRPr="00DF3EFC">
              <w:t>som använder teknik för distribuerade liggare, ”DLT- marknadsinfrastrukturer”, vilka beviljas genom specifika driftstillstånd i enlighet med artiklarna 7 och 8.</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245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1 – punkt 2 – led f</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(f)</w:t>
            </w:r>
            <w:r w:rsidRPr="00DF3EFC">
              <w:tab/>
              <w:t>samarbete mellan DLT-marknadsinfrastrukturer, de behöriga myndigheterna och Esma.</w:t>
            </w:r>
          </w:p>
        </w:tc>
        <w:tc>
          <w:tcPr>
            <w:tcW w:w="4876" w:type="dxa"/>
          </w:tcPr>
          <w:p w:rsidR="00DF3EFC" w:rsidRPr="00DF3EFC" w:rsidRDefault="00DF3EFC" w:rsidP="00DF3EFC">
            <w:pPr>
              <w:pStyle w:val="Normal6a"/>
            </w:pPr>
            <w:r w:rsidRPr="00DF3EFC">
              <w:t>(f)</w:t>
            </w:r>
            <w:r w:rsidRPr="00DF3EFC">
              <w:tab/>
              <w:t xml:space="preserve">samarbete mellan DLT-marknadsinfrastrukturer, de behöriga </w:t>
            </w:r>
            <w:r w:rsidRPr="00DF3EFC">
              <w:rPr>
                <w:b/>
                <w:i/>
              </w:rPr>
              <w:t xml:space="preserve">nationella </w:t>
            </w:r>
            <w:r w:rsidRPr="00DF3EFC">
              <w:t>myndigheterna och Esma.</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246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 Christophe Hansen</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1 – punkt 2 – led f</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(f)</w:t>
            </w:r>
            <w:r w:rsidRPr="00DF3EFC">
              <w:tab/>
              <w:t>samarbete mellan DLT-marknadsinfrastrukturer, de behöriga myndigheterna och Esma.</w:t>
            </w:r>
          </w:p>
        </w:tc>
        <w:tc>
          <w:tcPr>
            <w:tcW w:w="4876" w:type="dxa"/>
          </w:tcPr>
          <w:p w:rsidR="00DF3EFC" w:rsidRPr="00DF3EFC" w:rsidRDefault="00DF3EFC" w:rsidP="00DF3EFC">
            <w:pPr>
              <w:pStyle w:val="Normal6a"/>
            </w:pPr>
            <w:r w:rsidRPr="00DF3EFC">
              <w:t>(f)</w:t>
            </w:r>
            <w:r w:rsidRPr="00DF3EFC">
              <w:tab/>
              <w:t xml:space="preserve">samarbete mellan DLT-marknadsinfrastrukturer, de behöriga </w:t>
            </w:r>
            <w:r w:rsidRPr="00DF3EFC">
              <w:rPr>
                <w:b/>
                <w:i/>
              </w:rPr>
              <w:t xml:space="preserve">nationella </w:t>
            </w:r>
            <w:r w:rsidRPr="00DF3EFC">
              <w:t>myndigheterna och Esma.</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247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Markus Ferber</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teknik för distribuerade liggare eller DLT: en typ av teknik som</w:t>
            </w:r>
            <w:r w:rsidRPr="00DF3EFC">
              <w:rPr>
                <w:b/>
                <w:i/>
              </w:rPr>
              <w:t xml:space="preserve"> stödjer </w:t>
            </w:r>
            <w:r w:rsidRPr="00DF3EFC">
              <w:rPr>
                <w:b/>
                <w:i/>
              </w:rPr>
              <w:lastRenderedPageBreak/>
              <w:t>distribuerad registrering av krypterade data.</w:t>
            </w:r>
          </w:p>
        </w:tc>
        <w:tc>
          <w:tcPr>
            <w:tcW w:w="4876" w:type="dxa"/>
          </w:tcPr>
          <w:p w:rsidR="00DF3EFC" w:rsidRPr="00DF3EFC" w:rsidRDefault="00DF3EFC" w:rsidP="00DF3EFC">
            <w:pPr>
              <w:pStyle w:val="Normal6a"/>
            </w:pPr>
            <w:r w:rsidRPr="00DF3EFC">
              <w:lastRenderedPageBreak/>
              <w:t>(1)</w:t>
            </w:r>
            <w:r w:rsidRPr="00DF3EFC">
              <w:tab/>
              <w:t xml:space="preserve">teknik för distribuerad liggare eller DLT: en typ av teknik som </w:t>
            </w:r>
            <w:r w:rsidRPr="00DF3EFC">
              <w:rPr>
                <w:b/>
                <w:i/>
              </w:rPr>
              <w:t xml:space="preserve">hänför sig till </w:t>
            </w:r>
            <w:r w:rsidRPr="00DF3EFC">
              <w:rPr>
                <w:b/>
                <w:i/>
              </w:rPr>
              <w:lastRenderedPageBreak/>
              <w:t>protokoll och stödinfrastruktur som gör det möjligt för datorer på olika platser att föreslå och validera transaktioner och synkroniserat uppdatera datamängder via ett nätverk.</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För att bli framtidssäkra bör vi välja en definition som är tekniskt neutral och internationellt avtalad. Det föreslås därför att definitionen av DLT från Banken för internationell betalningsutjämning används (jfr BIS kvartalsöversyn, september 2017).</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248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teknik för distribuerade liggare eller DLT: en typ av teknik som</w:t>
            </w:r>
            <w:r w:rsidRPr="00DF3EFC">
              <w:rPr>
                <w:b/>
                <w:i/>
              </w:rPr>
              <w:t xml:space="preserve"> stödjer</w:t>
            </w:r>
            <w:r w:rsidRPr="00DF3EFC">
              <w:t xml:space="preserve"> distribuerad registrering av</w:t>
            </w:r>
            <w:r w:rsidRPr="00DF3EFC">
              <w:rPr>
                <w:b/>
                <w:i/>
              </w:rPr>
              <w:t xml:space="preserve"> krypterade </w:t>
            </w:r>
            <w:r w:rsidRPr="00DF3EFC">
              <w:t>data.</w:t>
            </w:r>
          </w:p>
        </w:tc>
        <w:tc>
          <w:tcPr>
            <w:tcW w:w="4876" w:type="dxa"/>
          </w:tcPr>
          <w:p w:rsidR="00DF3EFC" w:rsidRPr="00DF3EFC" w:rsidRDefault="00DF3EFC" w:rsidP="00DF3EFC">
            <w:pPr>
              <w:pStyle w:val="Normal6a"/>
            </w:pPr>
            <w:r w:rsidRPr="00DF3EFC">
              <w:t>(1)</w:t>
            </w:r>
            <w:r w:rsidRPr="00DF3EFC">
              <w:tab/>
              <w:t>teknik för distribuerade liggare eller DLT: en typ av teknik som</w:t>
            </w:r>
            <w:r w:rsidRPr="00DF3EFC">
              <w:rPr>
                <w:b/>
                <w:i/>
              </w:rPr>
              <w:t xml:space="preserve"> möjliggör</w:t>
            </w:r>
            <w:r w:rsidRPr="00DF3EFC">
              <w:t xml:space="preserve"> distribuerad registrering av data </w:t>
            </w:r>
            <w:r w:rsidRPr="00DF3EFC">
              <w:rPr>
                <w:b/>
                <w:i/>
              </w:rPr>
              <w:t>via säkra mekanismer såsom kryptografi</w:t>
            </w:r>
            <w:r w:rsidRPr="00DF3EFC">
              <w: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 föreslås att den bredare termen kryptografi används, vilken omfattar kryptering, hashing och andra tekniker, samtidigt som den är framtidssäker. Kryptering är exempelvis en tvåvägsfunktion. Det som är krypterat han dekrypteras med rätt nyckel. Hashing är dock en envägsfunktion som kastar om vanlig text för att framställa ett unikt meddelande. ... En angripare som stjäl en fil med hashade lösenord måste sedan gissa lösenordet. Båda används, bland andra, i teknik för distribuerade liggare. Vi bör också vara försiktiga med att anpassa användningen av definitioner i den här förordningen efter dem som finns i förslaget till förordning om marknader för kryptotillgångar.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249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lastRenderedPageBreak/>
        <w:t>&lt;Article&gt;</w:t>
      </w:r>
      <w:r w:rsidRPr="00DF3EFC">
        <w:t>Artikel 2 – stycke 1 – led 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teknik för distribuerade liggare eller DLT: en</w:t>
            </w:r>
            <w:r w:rsidRPr="00DF3EFC">
              <w:rPr>
                <w:b/>
                <w:i/>
              </w:rPr>
              <w:t xml:space="preserve"> typ av teknik som stödjer distribuerad registrering av krypterade data.</w:t>
            </w:r>
          </w:p>
        </w:tc>
        <w:tc>
          <w:tcPr>
            <w:tcW w:w="4876" w:type="dxa"/>
          </w:tcPr>
          <w:p w:rsidR="00DF3EFC" w:rsidRPr="00DF3EFC" w:rsidRDefault="00DF3EFC" w:rsidP="00DF3EFC">
            <w:pPr>
              <w:pStyle w:val="Normal6a"/>
            </w:pPr>
            <w:r w:rsidRPr="00DF3EFC">
              <w:t>(1)</w:t>
            </w:r>
            <w:r w:rsidRPr="00DF3EFC">
              <w:tab/>
              <w:t xml:space="preserve">teknik för distribuerade liggare eller DLT: en </w:t>
            </w:r>
            <w:r w:rsidRPr="00DF3EFC">
              <w:rPr>
                <w:b/>
                <w:i/>
              </w:rPr>
              <w:t>teknik med distribuerade liggare enligt definition i förordning xxx (förordningen om marknader för kryptotillgångar).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250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Christophe Hansen, Lídia Pereira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1a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(1a)</w:t>
            </w:r>
            <w:r w:rsidRPr="00DF3EFC">
              <w:tab/>
            </w:r>
            <w:r w:rsidRPr="00DF3EFC">
              <w:rPr>
                <w:b/>
                <w:i/>
              </w:rPr>
              <w:t>Ägaren och den ansvarsskyldiga enheten med ansvar för DLT-nätverket bör tillhandahålla informationen som hör samman med den bakomliggande ansatsen för DLT-infrastrukturen och vara ansvarig i händelse av problem eller avbrott. En avgränsning mellan tillståndsbelagda och tillståndslösa DLT-infrastrukturer bör införas i texten eftersom ansvarsskyldigheter kopplade till de två typerna av DLT-infrastrukturer kan vara olika.</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251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3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t xml:space="preserve">DLT-multilateral handelsplattform eller DLT-MTF-plattform: en multilateral </w:t>
            </w:r>
            <w:r w:rsidRPr="00DF3EFC">
              <w:lastRenderedPageBreak/>
              <w:t>handelsplattform</w:t>
            </w:r>
            <w:r w:rsidRPr="00DF3EFC">
              <w:rPr>
                <w:b/>
                <w:i/>
              </w:rPr>
              <w:t xml:space="preserve"> som drivs av ett värdepappersföretag eller en marknadsoperatör och</w:t>
            </w:r>
            <w:r w:rsidRPr="00DF3EFC">
              <w:t xml:space="preserve"> som endast handlar med DLT-överlåtbara värdepapper och som på grundval av transparenta, icke-diskretionära, enhetliga regler och förfaranden kan få tillstånd att</w:t>
            </w:r>
          </w:p>
        </w:tc>
        <w:tc>
          <w:tcPr>
            <w:tcW w:w="4876" w:type="dxa"/>
          </w:tcPr>
          <w:p w:rsidR="00DF3EFC" w:rsidRPr="00DF3EFC" w:rsidRDefault="00DF3EFC" w:rsidP="00DF3EFC">
            <w:pPr>
              <w:pStyle w:val="Normal6a"/>
            </w:pPr>
            <w:r w:rsidRPr="00DF3EFC">
              <w:lastRenderedPageBreak/>
              <w:t>(3)</w:t>
            </w:r>
            <w:r w:rsidRPr="00DF3EFC">
              <w:tab/>
              <w:t xml:space="preserve">DLT-multilateral handelsplattform eller DLT-MTF-plattform: en multilateral </w:t>
            </w:r>
            <w:r w:rsidRPr="00DF3EFC">
              <w:lastRenderedPageBreak/>
              <w:t>handelsplattform som endast handlar med DLT-överlåtbara värdepapper och som på grundval av transparenta, icke-diskretionära, enhetliga regler och förfaranden kan få tillstånd att</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252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3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t>DLT-multilateral handelsplattform eller DLT-MTF-plattform: en multilateral handelsplattform som drivs av ett värdepappersföretag eller en marknadsoperatör och som endast handlar med DLT-överlåtbara värdepapper och som på grundval av transparenta, icke-diskretionära, enhetliga regler och förfaranden kan få tillstånd att</w:t>
            </w:r>
          </w:p>
        </w:tc>
        <w:tc>
          <w:tcPr>
            <w:tcW w:w="4876" w:type="dxa"/>
          </w:tcPr>
          <w:p w:rsidR="00DF3EFC" w:rsidRPr="00DF3EFC" w:rsidRDefault="00DF3EFC" w:rsidP="00DF3EFC">
            <w:pPr>
              <w:pStyle w:val="Normal6a"/>
            </w:pPr>
            <w:r w:rsidRPr="00DF3EFC">
              <w:t>(3)</w:t>
            </w:r>
            <w:r w:rsidRPr="00DF3EFC">
              <w:tab/>
              <w:t xml:space="preserve">DLT-multilateral handelsplattform eller DLT-MTF-plattform: en multilateral handelsplattform som drivs av ett värdepappersföretag eller en marknadsoperatör och som endast handlar med DLT-överlåtbara värdepapper </w:t>
            </w:r>
            <w:r w:rsidRPr="00DF3EFC">
              <w:rPr>
                <w:b/>
                <w:i/>
              </w:rPr>
              <w:t>som avses i artikel 3</w:t>
            </w:r>
            <w:r w:rsidRPr="00DF3EFC">
              <w:t xml:space="preserve"> och som på grundval av transparenta, icke-diskretionära, enhetliga regler och förfaranden kan få </w:t>
            </w:r>
            <w:r w:rsidRPr="00DF3EFC">
              <w:rPr>
                <w:b/>
                <w:i/>
              </w:rPr>
              <w:t>licens eller</w:t>
            </w:r>
            <w:r w:rsidRPr="00DF3EFC">
              <w:t xml:space="preserve"> tillstånd att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Korsreferens till artikel 3 Förtydligande för att fånga in nya marknadsdeltagare som skulle vilja ansöka om en licens att bli operatörer av en MTF-plattform med ett tillstånd att driva en DLT-MTF-plattform i enlighet med det som föreskrivs här för DLT-MTF-plattformar.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253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lastRenderedPageBreak/>
        <w:t>&lt;Article&gt;</w:t>
      </w:r>
      <w:r w:rsidRPr="00DF3EFC">
        <w:t>Artikel 2 – stycke 1 – led 4</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(4)</w:t>
            </w:r>
            <w:r w:rsidRPr="00DF3EFC">
              <w:tab/>
              <w:t xml:space="preserve">ett avvecklingssystem för värdepapper </w:t>
            </w:r>
            <w:r w:rsidRPr="00DF3EFC">
              <w:rPr>
                <w:b/>
                <w:i/>
              </w:rPr>
              <w:t xml:space="preserve">som drivs av en värdepapperscentral </w:t>
            </w:r>
            <w:r w:rsidRPr="00DF3EFC">
              <w:t>som avvecklar transaktioner i DLT-överlåtbara värdepapper mot betalning. DLT-överlåtbara värdepapper:</w:t>
            </w:r>
          </w:p>
        </w:tc>
        <w:tc>
          <w:tcPr>
            <w:tcW w:w="4876" w:type="dxa"/>
          </w:tcPr>
          <w:p w:rsidR="00DF3EFC" w:rsidRPr="00DF3EFC" w:rsidRDefault="00DF3EFC" w:rsidP="00DF3EFC">
            <w:pPr>
              <w:pStyle w:val="Normal6a"/>
            </w:pPr>
            <w:r w:rsidRPr="00DF3EFC">
              <w:t>(4)</w:t>
            </w:r>
            <w:r w:rsidRPr="00DF3EFC">
              <w:tab/>
              <w:t>ett avvecklingssystem för värdepapper som avvecklar transaktioner i DLT-överlåtbara värdepapper mot betalning. DLT-överlåtbara värdepapper: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254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4</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(4)</w:t>
            </w:r>
            <w:r w:rsidRPr="00DF3EFC">
              <w:tab/>
              <w:t xml:space="preserve">ett avvecklingssystem för värdepapper som drivs av en värdepapperscentral som </w:t>
            </w:r>
            <w:r w:rsidRPr="00DF3EFC">
              <w:rPr>
                <w:b/>
                <w:i/>
              </w:rPr>
              <w:t>avvecklar</w:t>
            </w:r>
            <w:r w:rsidRPr="00DF3EFC">
              <w:t xml:space="preserve"> transaktioner i DLT-överlåtbara värdepapper mot betalning. DLT-överlåtbara värdepapper</w:t>
            </w:r>
            <w:r w:rsidRPr="00DF3EFC">
              <w:rPr>
                <w:b/>
                <w:i/>
              </w:rPr>
              <w:t>:</w:t>
            </w:r>
          </w:p>
        </w:tc>
        <w:tc>
          <w:tcPr>
            <w:tcW w:w="4876" w:type="dxa"/>
          </w:tcPr>
          <w:p w:rsidR="00DF3EFC" w:rsidRPr="00DF3EFC" w:rsidRDefault="00DF3EFC" w:rsidP="00DF3EFC">
            <w:pPr>
              <w:pStyle w:val="Normal6a"/>
            </w:pPr>
            <w:r w:rsidRPr="00DF3EFC">
              <w:t>(4)</w:t>
            </w:r>
            <w:r w:rsidRPr="00DF3EFC">
              <w:tab/>
              <w:t xml:space="preserve">ett avvecklingssystem för värdepapper som drivs av en värdepapperscentral som </w:t>
            </w:r>
            <w:r w:rsidRPr="00DF3EFC">
              <w:rPr>
                <w:b/>
                <w:i/>
              </w:rPr>
              <w:t>endast handlar med DLT-överlåtbara värdepapper och som på grundval av transparenta, icke-diskretionära, enhetliga regler och förfaranden kan få licens eller tillstånd att</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(a) säkerställa den första registreringen av DLT-överlåtbara värdepapper,</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 xml:space="preserve">(b) avveckla </w:t>
            </w:r>
            <w:r w:rsidRPr="00DF3EFC">
              <w:t xml:space="preserve">transaktioner i DLT-överlåtbara värdepapper mot betalning. DLT-överlåtbara värdepapper </w:t>
            </w:r>
            <w:r w:rsidRPr="00DF3EFC">
              <w:rPr>
                <w:b/>
                <w:i/>
              </w:rPr>
              <w:t>och</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(c) tillhandahålla förvaringstjänster för DLT-överlåtbara värdepapper, eller i tillämpliga fall för därmed sammanhängande betalningar och säkerheter, som tillhandahålls med hjälp av DLT-MTF-plattformar.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lastRenderedPageBreak/>
        <w:t>&lt;TitreJust&gt;</w:t>
      </w:r>
      <w:r w:rsidRPr="00DF3EFC">
        <w:t>Motivering</w:t>
      </w:r>
      <w:r w:rsidRPr="00DF3EFC">
        <w:rPr>
          <w:rStyle w:val="HideTWBExt"/>
          <w:i w:val="0"/>
        </w:rPr>
        <w:t>&lt;/TitreJust&gt;</w:t>
      </w:r>
    </w:p>
    <w:p w:rsidR="00DF3EFC" w:rsidRPr="00DF3EFC" w:rsidRDefault="00DF3EFC" w:rsidP="00DF3EFC">
      <w:pPr>
        <w:pStyle w:val="AmJustText"/>
      </w:pPr>
      <w:r w:rsidRPr="00DF3EFC">
        <w:t>Korsreferens till artikel 3 Förtydligande för att fånga in nya marknadsdeltagare som skulle vilja ansöka om en licens att bli operatörer av en värdepapperscentral med ett tillstånd att driva ett DLT-värdepappersavvecklingssystem i enlighet med det som föreskrivs här. Eftersom DLT-MRF-plattformar har rätt att tillhandahålla tjänster som en värdepapperscentral i det här pilotsammanhanget föreslås det vidare att DLT-värdepappersavvecklingssystem ska få rätt att tillhandahålla MTF-tjänster på de villkor som föreskrivs här.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255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Jonás Fernández,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(5)</w:t>
            </w:r>
            <w:r w:rsidRPr="00DF3EFC">
              <w:tab/>
              <w:t>DLT-överlåtbara värdepapper: överlåtbara värdepapper” i den mening som avses i artikel 4.1.44 a och b i direktiv 2014/65/EU som utfärdas, registreras, överlåts och lagras med hjälp av DLT.</w:t>
            </w:r>
          </w:p>
        </w:tc>
        <w:tc>
          <w:tcPr>
            <w:tcW w:w="4876" w:type="dxa"/>
          </w:tcPr>
          <w:p w:rsidR="00DF3EFC" w:rsidRPr="00DF3EFC" w:rsidRDefault="00DF3EFC" w:rsidP="00DF3EFC">
            <w:pPr>
              <w:pStyle w:val="Normal6a"/>
            </w:pPr>
            <w:r w:rsidRPr="00DF3EFC">
              <w:t>(5)</w:t>
            </w:r>
            <w:r w:rsidRPr="00DF3EFC">
              <w:tab/>
              <w:t xml:space="preserve">DLT-överlåtbara värdepapper: överlåtbara värdepapper” i den mening som avses i artikel 4.1.44 a och b i direktiv 2014/65/EU som utfärdas, registreras, överlåts och lagras med hjälp av DLT </w:t>
            </w:r>
            <w:r w:rsidRPr="00DF3EFC">
              <w:rPr>
                <w:b/>
                <w:i/>
              </w:rPr>
              <w:t>som inte är uppbyggd eller baserad på bevis på arbete</w:t>
            </w:r>
            <w:r w:rsidRPr="00DF3EFC">
              <w: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256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Christophe Hansen, Lídia Pereira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5</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(5)</w:t>
            </w:r>
            <w:r w:rsidRPr="00DF3EFC">
              <w:tab/>
              <w:t>DLT-överlåtbara värdepapper: överlåtbara värdepapper” i den mening som avses i artikel 4.1.44 a och b i direktiv 2014/65/EU som utfärdas, registreras, överlåts och lagras med hjälp av DLT.</w:t>
            </w:r>
          </w:p>
        </w:tc>
        <w:tc>
          <w:tcPr>
            <w:tcW w:w="4876" w:type="dxa"/>
          </w:tcPr>
          <w:p w:rsidR="00DF3EFC" w:rsidRPr="00DF3EFC" w:rsidRDefault="00DF3EFC" w:rsidP="00DF3EFC">
            <w:pPr>
              <w:pStyle w:val="Normal6a"/>
            </w:pPr>
            <w:r w:rsidRPr="00DF3EFC">
              <w:t>(5)</w:t>
            </w:r>
            <w:r w:rsidRPr="00DF3EFC">
              <w:tab/>
              <w:t>DLT-överlåtbara värdepapper: överlåtbara värdepapper” i den mening som avses i artikel 4.1.44 a och b i direktiv 2014/65/EU</w:t>
            </w:r>
            <w:r w:rsidRPr="00DF3EFC">
              <w:rPr>
                <w:b/>
                <w:i/>
              </w:rPr>
              <w:t>, inbegripet depåbevis,</w:t>
            </w:r>
            <w:r w:rsidRPr="00DF3EFC">
              <w:t xml:space="preserve"> som utfärdas, registreras, överlåts och lagras med hjälp av DLT.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lastRenderedPageBreak/>
        <w:t>&lt;AmendB&gt;</w:t>
      </w:r>
      <w:r w:rsidRPr="00DF3EFC">
        <w:t>Ändringsförslag</w:t>
      </w:r>
      <w:r w:rsidRPr="00DF3EFC">
        <w:tab/>
      </w:r>
      <w:r w:rsidRPr="00DF3EFC">
        <w:tab/>
      </w:r>
      <w:r w:rsidRPr="00DF3EFC">
        <w:rPr>
          <w:rStyle w:val="HideTWBExt"/>
          <w:b w:val="0"/>
        </w:rPr>
        <w:t>&lt;NumAmB&gt;</w:t>
      </w:r>
      <w:r w:rsidRPr="00DF3EFC">
        <w:t>257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5a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(5a)</w:t>
            </w:r>
            <w:r w:rsidRPr="00DF3EFC">
              <w:tab/>
            </w:r>
            <w:r w:rsidRPr="00DF3EFC">
              <w:rPr>
                <w:b/>
                <w:i/>
              </w:rPr>
              <w:t>DLT-börshandlade fondandelar eller DLT-ETF-andelar: andelar eller aktier i börshandlade fonder i den mening som avses i artikel 4.1.46 i direktiv 2014/65/EU som emitteras, registreras, överförs och lagras med hjälp av DLT.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258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5a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(5a)</w:t>
            </w:r>
            <w:r w:rsidRPr="00DF3EFC">
              <w:tab/>
            </w:r>
            <w:r w:rsidRPr="00DF3EFC">
              <w:rPr>
                <w:b/>
                <w:i/>
              </w:rPr>
              <w:t>DLT-börshandlade fondandelar eller DLT-ETF-andelar: andelar eller aktier i börshandlade fonder i den mening som avses i artikel 4.1.46 i direktiv 2014/65/EU som emitteras, registreras, överförs och lagras med hjälp av DLT.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Vi ser fördelar med att bredda omfattningen av DLT-överlåtbara värdepapper till ETF för att möjliggöra en mer tillåtande pilotmiljö som ger fler marknadsdeltagare möjlighet att få erfarenhet av DLT-modeller. Det föreslås också att dessa DLT-ETF-andelar bör investera i DLT-andelar och DLT-obligationer.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259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Christophe Hansen, Lídia Pereira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lastRenderedPageBreak/>
        <w:t>&lt;Article&gt;</w:t>
      </w:r>
      <w:r w:rsidRPr="00DF3EFC">
        <w:t>Artikel 2 – stycke 1 – led 6a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(6a)</w:t>
            </w:r>
            <w:r w:rsidRPr="00DF3EFC">
              <w:tab/>
            </w:r>
            <w:r w:rsidRPr="00DF3EFC">
              <w:rPr>
                <w:b/>
                <w:i/>
              </w:rPr>
              <w:t>DLT-enheter av företag för kollektiva investeringar: enheter av företag för kollektiva investeringar som avses i bilaga III avsnitt C punkt 3 i direktiv 2014/65/EU som emitteras, registreras, överförs och lagras med hjälp av teknik för distribuerade liggare.</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260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12a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(12a)</w:t>
            </w:r>
            <w:r w:rsidRPr="00DF3EFC">
              <w:tab/>
            </w:r>
            <w:r w:rsidRPr="00DF3EFC">
              <w:rPr>
                <w:b/>
                <w:i/>
              </w:rPr>
              <w:t>avvecklingsmynt: affärsbankspengar i tokeniserad form.</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Definitionen kan behöva anpassas till den som kan inkluderas i förslaget till förordning marknader för kryptotillgångar.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261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13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(13)</w:t>
            </w:r>
            <w:r w:rsidRPr="00DF3EFC">
              <w:tab/>
              <w:t>statsobligation: är en obligation som emitterats av en statlig emittent som antingen är</w:t>
            </w:r>
          </w:p>
        </w:tc>
        <w:tc>
          <w:tcPr>
            <w:tcW w:w="4876" w:type="dxa"/>
          </w:tcPr>
          <w:p w:rsidR="00DF3EFC" w:rsidRPr="00DF3EFC" w:rsidRDefault="00DF3EFC" w:rsidP="00DF3EFC">
            <w:pPr>
              <w:pStyle w:val="Normal6a"/>
            </w:pPr>
            <w:r w:rsidRPr="00DF3EFC">
              <w:t>(13)</w:t>
            </w:r>
            <w:r w:rsidRPr="00DF3EFC">
              <w:tab/>
              <w:t xml:space="preserve">statsobligation: är en obligation som emitterats av en statlig emittent </w:t>
            </w:r>
            <w:r w:rsidRPr="00DF3EFC">
              <w:rPr>
                <w:b/>
                <w:i/>
              </w:rPr>
              <w:t xml:space="preserve">enligt definition i artikel 4.1.60 i och ii i Europaparlamentets och rådets direktiv 2014/65/EU (Mifid II) </w:t>
            </w:r>
            <w:r w:rsidRPr="00DF3EFC">
              <w:t>som antingen är</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För rättssäkerhetens och tydlighetens skull bör definition 13 anpassas efter artikel 4 i Europaparlamentets och rådets direktiv 2014/65/EU (Mifid II). Förslaget till förordning inför definitionerna av ”statsobligation” och ”annan offentlig obligation” där respektive emittent är en ”suverän enhet” respektive ”offentlig enhet”, men enligt artikel 4 i Mifid II definieras de offentliga enheter som beskrivs i detta förslag som ”suveräna enheter”.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262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13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(13)</w:t>
            </w:r>
            <w:r w:rsidRPr="00DF3EFC">
              <w:tab/>
              <w:t xml:space="preserve">statsobligation: är en obligation som emitterats av en statlig emittent </w:t>
            </w:r>
            <w:r w:rsidRPr="00DF3EFC">
              <w:rPr>
                <w:b/>
                <w:i/>
              </w:rPr>
              <w:t>som antingen är</w:t>
            </w:r>
          </w:p>
        </w:tc>
        <w:tc>
          <w:tcPr>
            <w:tcW w:w="4876" w:type="dxa"/>
          </w:tcPr>
          <w:p w:rsidR="00DF3EFC" w:rsidRPr="00DF3EFC" w:rsidRDefault="00DF3EFC" w:rsidP="00DF3EFC">
            <w:pPr>
              <w:pStyle w:val="Normal6a"/>
            </w:pPr>
            <w:r w:rsidRPr="00DF3EFC">
              <w:t>(13)</w:t>
            </w:r>
            <w:r w:rsidRPr="00DF3EFC">
              <w:tab/>
              <w:t xml:space="preserve">statsobligation: är en obligation som emitterats av en statlig emittent </w:t>
            </w:r>
            <w:r w:rsidRPr="00DF3EFC">
              <w:rPr>
                <w:b/>
                <w:i/>
              </w:rPr>
              <w:t>i den mening som avses i artikel 4.1.60 i direktiv 2014/65/EU.</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Anpassning efter Mifids definition av suverän emittent.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263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13 – led a</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(a)</w:t>
            </w:r>
            <w:r w:rsidRPr="00DF3EFC">
              <w:tab/>
            </w:r>
            <w:r w:rsidRPr="00DF3EFC">
              <w:rPr>
                <w:b/>
                <w:i/>
              </w:rPr>
              <w:t>unionen,</w:t>
            </w:r>
          </w:p>
        </w:tc>
        <w:tc>
          <w:tcPr>
            <w:tcW w:w="4876" w:type="dxa"/>
          </w:tcPr>
          <w:p w:rsidR="00DF3EFC" w:rsidRPr="00DF3EFC" w:rsidRDefault="00DF3EFC" w:rsidP="00DF3EFC">
            <w:pPr>
              <w:pStyle w:val="Normal6a"/>
            </w:pPr>
            <w:r w:rsidRPr="00DF3EFC">
              <w:rPr>
                <w:b/>
                <w:i/>
              </w:rPr>
              <w:t>utgår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Anpassning efter Mifids definition av suverän emittent.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lastRenderedPageBreak/>
        <w:t>&lt;AmendB&gt;</w:t>
      </w:r>
      <w:r w:rsidRPr="00DF3EFC">
        <w:t>Ändringsförslag</w:t>
      </w:r>
      <w:r w:rsidRPr="00DF3EFC">
        <w:tab/>
      </w:r>
      <w:r w:rsidRPr="00DF3EFC">
        <w:tab/>
      </w:r>
      <w:r w:rsidRPr="00DF3EFC">
        <w:rPr>
          <w:rStyle w:val="HideTWBExt"/>
          <w:b w:val="0"/>
        </w:rPr>
        <w:t>&lt;NumAmB&gt;</w:t>
      </w:r>
      <w:r w:rsidRPr="00DF3EFC">
        <w:t>264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13 – led b</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(b)</w:t>
            </w:r>
            <w:r w:rsidRPr="00DF3EFC">
              <w:tab/>
            </w:r>
            <w:r w:rsidRPr="00DF3EFC">
              <w:rPr>
                <w:b/>
                <w:i/>
              </w:rPr>
              <w:t>en medlemsstat, inbegripet myndigheter, ett organ eller företag för särskilt ändamål i en medlemsstat, eller en annan suverän enhet,</w:t>
            </w:r>
          </w:p>
        </w:tc>
        <w:tc>
          <w:tcPr>
            <w:tcW w:w="4876" w:type="dxa"/>
          </w:tcPr>
          <w:p w:rsidR="00DF3EFC" w:rsidRPr="00DF3EFC" w:rsidRDefault="00DF3EFC" w:rsidP="00DF3EFC">
            <w:pPr>
              <w:pStyle w:val="Normal6a"/>
            </w:pPr>
            <w:r w:rsidRPr="00DF3EFC">
              <w:rPr>
                <w:b/>
                <w:i/>
              </w:rPr>
              <w:t>utgår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Anpassning efter Mifids definition av suverän emittent.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265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13 – led c</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(c)</w:t>
            </w:r>
            <w:r w:rsidRPr="00DF3EFC">
              <w:tab/>
            </w:r>
            <w:r w:rsidRPr="00DF3EFC">
              <w:rPr>
                <w:b/>
                <w:i/>
              </w:rPr>
              <w:t>en statlig enhet som inte omfattas av leden a och b,</w:t>
            </w:r>
          </w:p>
        </w:tc>
        <w:tc>
          <w:tcPr>
            <w:tcW w:w="4876" w:type="dxa"/>
          </w:tcPr>
          <w:p w:rsidR="00DF3EFC" w:rsidRPr="00DF3EFC" w:rsidRDefault="00DF3EFC" w:rsidP="00DF3EFC">
            <w:pPr>
              <w:pStyle w:val="Normal6a"/>
            </w:pPr>
            <w:r w:rsidRPr="00DF3EFC">
              <w:rPr>
                <w:b/>
                <w:i/>
              </w:rPr>
              <w:t>utgår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Anpassning efter Mifids definition av suverän emittent.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266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rPr>
          <w:lang w:val="da-DK"/>
        </w:rPr>
      </w:pPr>
      <w:r w:rsidRPr="00DF3EFC">
        <w:rPr>
          <w:rStyle w:val="HideTWBExt"/>
          <w:b w:val="0"/>
          <w:lang w:val="da-DK"/>
        </w:rPr>
        <w:t>&lt;Article&gt;</w:t>
      </w:r>
      <w:r w:rsidRPr="00DF3EFC">
        <w:rPr>
          <w:lang w:val="da-DK"/>
        </w:rPr>
        <w:t>Artikel 2 – stycke 1 – led 13 – led c</w:t>
      </w:r>
      <w:r w:rsidRPr="00DF3EFC">
        <w:rPr>
          <w:rStyle w:val="HideTWBExt"/>
          <w:b w:val="0"/>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pPr>
              <w:rPr>
                <w:lang w:val="da-DK"/>
              </w:rPr>
            </w:pPr>
          </w:p>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(c)</w:t>
            </w:r>
            <w:r w:rsidRPr="00DF3EFC">
              <w:tab/>
            </w:r>
            <w:r w:rsidRPr="00DF3EFC">
              <w:rPr>
                <w:b/>
                <w:i/>
              </w:rPr>
              <w:t xml:space="preserve">en statlig enhet som inte omfattas </w:t>
            </w:r>
            <w:r w:rsidRPr="00DF3EFC">
              <w:rPr>
                <w:b/>
                <w:i/>
              </w:rPr>
              <w:lastRenderedPageBreak/>
              <w:t>av leden a och b,</w:t>
            </w:r>
          </w:p>
        </w:tc>
        <w:tc>
          <w:tcPr>
            <w:tcW w:w="4876" w:type="dxa"/>
          </w:tcPr>
          <w:p w:rsidR="00DF3EFC" w:rsidRPr="00DF3EFC" w:rsidRDefault="00DF3EFC" w:rsidP="00DF3EFC">
            <w:pPr>
              <w:pStyle w:val="Normal6a"/>
            </w:pPr>
            <w:r w:rsidRPr="00DF3EFC">
              <w:rPr>
                <w:b/>
                <w:i/>
              </w:rPr>
              <w:lastRenderedPageBreak/>
              <w:t>utgår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267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14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(14)</w:t>
            </w:r>
            <w:r w:rsidRPr="00DF3EFC">
              <w:tab/>
              <w:t xml:space="preserve">en obligation som emitterats av någon av följande </w:t>
            </w:r>
            <w:r w:rsidRPr="00DF3EFC">
              <w:rPr>
                <w:b/>
                <w:i/>
              </w:rPr>
              <w:t>offentliga</w:t>
            </w:r>
            <w:r w:rsidRPr="00DF3EFC">
              <w:t xml:space="preserve"> emittenter:</w:t>
            </w:r>
          </w:p>
        </w:tc>
        <w:tc>
          <w:tcPr>
            <w:tcW w:w="4876" w:type="dxa"/>
          </w:tcPr>
          <w:p w:rsidR="00DF3EFC" w:rsidRPr="00DF3EFC" w:rsidRDefault="00DF3EFC" w:rsidP="00DF3EFC">
            <w:pPr>
              <w:pStyle w:val="Normal6a"/>
            </w:pPr>
            <w:r w:rsidRPr="00DF3EFC">
              <w:t>(14)</w:t>
            </w:r>
            <w:r w:rsidRPr="00DF3EFC">
              <w:tab/>
              <w:t xml:space="preserve">annan offentlig obligation: en obligation som emitterats av någon av följande </w:t>
            </w:r>
            <w:r w:rsidRPr="00DF3EFC">
              <w:rPr>
                <w:b/>
                <w:i/>
              </w:rPr>
              <w:t xml:space="preserve">statliga </w:t>
            </w:r>
            <w:r w:rsidRPr="00DF3EFC">
              <w:t xml:space="preserve">emittenter </w:t>
            </w:r>
            <w:r w:rsidRPr="00DF3EFC">
              <w:rPr>
                <w:b/>
                <w:i/>
              </w:rPr>
              <w:t>enligt definition i artikel 4.1.60 iii, iv, v och vi i Europaparlamentets och rådets direktiv 2014/65/EU (Mifid II)</w:t>
            </w:r>
            <w:r w:rsidRPr="00DF3EFC">
              <w: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För rättssäkerhetens och tydlighetens skull bör definition 14 anpassas efter artikel 4 i Europaparlamentets och rådets direktiv 2014/65/EU (Mifid II). Förslaget till förordning inför definitionerna av ”statsobligation” och ”annan offentlig obligation” där respektive emittent är en ”suverän enhet” respektive ”offentlig enhet”, men enligt artikel 4 i Mifid II definieras de offentliga enheter som beskrivs i detta förslag som ”suveräna enheter”.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268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rPr>
          <w:lang w:val="da-DK"/>
        </w:rPr>
      </w:pPr>
      <w:r w:rsidRPr="00DF3EFC">
        <w:rPr>
          <w:rStyle w:val="HideTWBExt"/>
          <w:b w:val="0"/>
          <w:lang w:val="da-DK"/>
        </w:rPr>
        <w:t>&lt;Article&gt;</w:t>
      </w:r>
      <w:r w:rsidRPr="00DF3EFC">
        <w:rPr>
          <w:lang w:val="da-DK"/>
        </w:rPr>
        <w:t>Artikel 2 – stycke 1 – led 14 – led e</w:t>
      </w:r>
      <w:r w:rsidRPr="00DF3EFC">
        <w:rPr>
          <w:rStyle w:val="HideTWBExt"/>
          <w:b w:val="0"/>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pPr>
              <w:rPr>
                <w:lang w:val="da-DK"/>
              </w:rPr>
            </w:pPr>
          </w:p>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(e)</w:t>
            </w:r>
            <w:r w:rsidRPr="00DF3EFC">
              <w:tab/>
            </w:r>
            <w:r w:rsidRPr="00DF3EFC">
              <w:rPr>
                <w:b/>
                <w:i/>
              </w:rPr>
              <w:t>En offentlig enhet som inte är en emittent av sådana statsobligationer som anges i punkt 13. konvertibla obligationer:</w:t>
            </w:r>
          </w:p>
        </w:tc>
        <w:tc>
          <w:tcPr>
            <w:tcW w:w="4876" w:type="dxa"/>
          </w:tcPr>
          <w:p w:rsidR="00DF3EFC" w:rsidRPr="00DF3EFC" w:rsidRDefault="00DF3EFC" w:rsidP="00DF3EFC">
            <w:pPr>
              <w:pStyle w:val="Normal6a"/>
            </w:pPr>
            <w:r w:rsidRPr="00DF3EFC">
              <w:rPr>
                <w:b/>
                <w:i/>
              </w:rPr>
              <w:t>utgår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lastRenderedPageBreak/>
        <w:t>&lt;AmendB&gt;</w:t>
      </w:r>
      <w:r w:rsidRPr="00DF3EFC">
        <w:t>Ändringsförslag</w:t>
      </w:r>
      <w:r w:rsidRPr="00DF3EFC">
        <w:tab/>
      </w:r>
      <w:r w:rsidRPr="00DF3EFC">
        <w:tab/>
      </w:r>
      <w:r w:rsidRPr="00DF3EFC">
        <w:rPr>
          <w:rStyle w:val="HideTWBExt"/>
          <w:b w:val="0"/>
        </w:rPr>
        <w:t>&lt;NumAmB&gt;</w:t>
      </w:r>
      <w:r w:rsidRPr="00DF3EFC">
        <w:t>269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rPr>
          <w:lang w:val="da-DK"/>
        </w:rPr>
      </w:pPr>
      <w:r w:rsidRPr="00DF3EFC">
        <w:rPr>
          <w:rStyle w:val="HideTWBExt"/>
          <w:b w:val="0"/>
          <w:lang w:val="da-DK"/>
        </w:rPr>
        <w:t>&lt;Article&gt;</w:t>
      </w:r>
      <w:r w:rsidRPr="00DF3EFC">
        <w:rPr>
          <w:lang w:val="da-DK"/>
        </w:rPr>
        <w:t>Artikel 2 – stycke 1 – led 21 – led c</w:t>
      </w:r>
      <w:r w:rsidRPr="00DF3EFC">
        <w:rPr>
          <w:rStyle w:val="HideTWBExt"/>
          <w:b w:val="0"/>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pPr>
              <w:rPr>
                <w:lang w:val="da-DK"/>
              </w:rPr>
            </w:pPr>
          </w:p>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(c)</w:t>
            </w:r>
            <w:r w:rsidRPr="00DF3EFC">
              <w:tab/>
            </w:r>
            <w:r w:rsidRPr="00DF3EFC">
              <w:rPr>
                <w:b/>
                <w:i/>
              </w:rPr>
              <w:t xml:space="preserve">som på annat sätt utsetts av medlemsstaterna </w:t>
            </w:r>
            <w:r w:rsidRPr="00DF3EFC">
              <w:t>för att utöva tillsyn över tillämpningen av denna förordning.</w:t>
            </w:r>
          </w:p>
        </w:tc>
        <w:tc>
          <w:tcPr>
            <w:tcW w:w="4876" w:type="dxa"/>
          </w:tcPr>
          <w:p w:rsidR="00DF3EFC" w:rsidRPr="00DF3EFC" w:rsidRDefault="00DF3EFC" w:rsidP="00DF3EFC">
            <w:pPr>
              <w:pStyle w:val="Normal6a"/>
            </w:pPr>
            <w:r w:rsidRPr="00DF3EFC">
              <w:t>(c)</w:t>
            </w:r>
            <w:r w:rsidRPr="00DF3EFC">
              <w:tab/>
            </w:r>
            <w:r w:rsidRPr="00DF3EFC">
              <w:rPr>
                <w:b/>
                <w:i/>
              </w:rPr>
              <w:t>Esma</w:t>
            </w:r>
            <w:r w:rsidRPr="00DF3EFC">
              <w:t xml:space="preserve"> för att utöva tillsyn över tillämpningen av denna förordning.</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Esma ska ha direkt tillsynsmandat enligt denna förordning. Detta är tänkt att vara en övergripande ändring som gäller hela texten.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270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22 – led ba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(ba)</w:t>
            </w:r>
            <w:r w:rsidRPr="00DF3EFC">
              <w:tab/>
            </w:r>
            <w:r w:rsidRPr="00DF3EFC">
              <w:rPr>
                <w:b/>
                <w:i/>
              </w:rPr>
              <w:t>en enhet som driver en DLT-MTF-plattform som varken är ett värdepappersföretag eller en marknadsoperatör, den medlemsstat där enheten är registrerad, eller om den enligt nationell lagstiftning inte har något stadgeenligt säte, den medlemsstat där operatörens huvudkontor är beläget,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271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lastRenderedPageBreak/>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2 – stycke 1 – led 22 – led ca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(ca)</w:t>
            </w:r>
            <w:r w:rsidRPr="00DF3EFC">
              <w:tab/>
            </w:r>
            <w:r w:rsidRPr="00DF3EFC">
              <w:rPr>
                <w:b/>
                <w:i/>
              </w:rPr>
              <w:t>en enhet som driver ett DLT-avvecklingssystem för värdepapper som inte är en värdepapperscentral, den medlemsstat där operatören är registrerad, eller om den enligt nationell lagstiftning inte har något stadgeenligt säte, den medlemsstat där operatörens huvudkontor är beläget,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272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 Christophe Hansen</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1 – led a</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(a)</w:t>
            </w:r>
            <w:r w:rsidRPr="00DF3EFC">
              <w:tab/>
              <w:t xml:space="preserve">aktier, vars emittent har ett börsvärde eller ett preliminärt börsvärde på mindre än </w:t>
            </w:r>
            <w:r w:rsidRPr="00DF3EFC">
              <w:rPr>
                <w:b/>
                <w:i/>
              </w:rPr>
              <w:t>200</w:t>
            </w:r>
            <w:r w:rsidRPr="00DF3EFC">
              <w:t xml:space="preserve"> miljoner euro, eller</w:t>
            </w:r>
          </w:p>
        </w:tc>
        <w:tc>
          <w:tcPr>
            <w:tcW w:w="4876" w:type="dxa"/>
          </w:tcPr>
          <w:p w:rsidR="00DF3EFC" w:rsidRPr="00DF3EFC" w:rsidRDefault="00DF3EFC" w:rsidP="00DF3EFC">
            <w:pPr>
              <w:pStyle w:val="Normal6a"/>
            </w:pPr>
            <w:r w:rsidRPr="00DF3EFC">
              <w:t>(a)</w:t>
            </w:r>
            <w:r w:rsidRPr="00DF3EFC">
              <w:tab/>
              <w:t xml:space="preserve">aktier, vars emittent har ett börsvärde eller ett preliminärt börsvärde på mindre än </w:t>
            </w:r>
            <w:r w:rsidRPr="00DF3EFC">
              <w:rPr>
                <w:b/>
                <w:i/>
              </w:rPr>
              <w:t>500</w:t>
            </w:r>
            <w:r w:rsidRPr="00DF3EFC">
              <w:t xml:space="preserve"> miljoner euro, eller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273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Paul Tang,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1 – led a</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(a)</w:t>
            </w:r>
            <w:r w:rsidRPr="00DF3EFC">
              <w:tab/>
              <w:t xml:space="preserve">aktier, vars emittent har ett börsvärde eller ett preliminärt börsvärde på mindre än </w:t>
            </w:r>
            <w:r w:rsidRPr="00DF3EFC">
              <w:rPr>
                <w:b/>
                <w:i/>
              </w:rPr>
              <w:t>200</w:t>
            </w:r>
            <w:r w:rsidRPr="00DF3EFC">
              <w:t xml:space="preserve"> miljoner euro,  eller</w:t>
            </w:r>
          </w:p>
        </w:tc>
        <w:tc>
          <w:tcPr>
            <w:tcW w:w="4876" w:type="dxa"/>
          </w:tcPr>
          <w:p w:rsidR="00DF3EFC" w:rsidRPr="00DF3EFC" w:rsidRDefault="00DF3EFC" w:rsidP="00DF3EFC">
            <w:pPr>
              <w:pStyle w:val="Normal6a"/>
            </w:pPr>
            <w:r w:rsidRPr="00DF3EFC">
              <w:t>(a)</w:t>
            </w:r>
            <w:r w:rsidRPr="00DF3EFC">
              <w:tab/>
              <w:t xml:space="preserve">aktier, vars emittent har ett börsvärde eller ett preliminärt börsvärde på mindre än </w:t>
            </w:r>
            <w:r w:rsidRPr="00DF3EFC">
              <w:rPr>
                <w:b/>
                <w:i/>
              </w:rPr>
              <w:t>100</w:t>
            </w:r>
            <w:r w:rsidRPr="00DF3EFC">
              <w:t xml:space="preserve"> miljoner euro, eller</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274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 Christophe Hansen</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1 – led b</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(b)</w:t>
            </w:r>
            <w:r w:rsidRPr="00DF3EFC">
              <w:tab/>
              <w:t>konvertibla obligationer, säkerställda obligationer, företagsobligationer, andra offentliga obligationer och andra obligationer, vars emissionsstorlek uppgår till mindre än 500 miljoner euro.</w:t>
            </w:r>
          </w:p>
        </w:tc>
        <w:tc>
          <w:tcPr>
            <w:tcW w:w="4876" w:type="dxa"/>
          </w:tcPr>
          <w:p w:rsidR="00DF3EFC" w:rsidRPr="00DF3EFC" w:rsidRDefault="00DF3EFC" w:rsidP="00DF3EFC">
            <w:pPr>
              <w:pStyle w:val="Normal6a"/>
            </w:pPr>
            <w:r w:rsidRPr="00DF3EFC">
              <w:t>(b)</w:t>
            </w:r>
            <w:r w:rsidRPr="00DF3EFC">
              <w:tab/>
              <w:t xml:space="preserve">konvertibla obligationer, säkerställda obligationer, företagsobligationer, </w:t>
            </w:r>
            <w:r w:rsidRPr="00DF3EFC">
              <w:rPr>
                <w:b/>
                <w:i/>
              </w:rPr>
              <w:t xml:space="preserve">statsobligationer, </w:t>
            </w:r>
            <w:r w:rsidRPr="00DF3EFC">
              <w:t>andra offentliga obligationer och andra obligationer, vars emissionsstorlek uppgår till mindre än 500 miljoner euro.</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275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1 – led b</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(b)</w:t>
            </w:r>
            <w:r w:rsidRPr="00DF3EFC">
              <w:tab/>
              <w:t>konvertibla obligationer, säkerställda obligationer, företagsobligationer, andra offentliga obligationer och andra obligationer, vars emissionsstorlek uppgår till mindre än 500 miljoner euro.</w:t>
            </w:r>
          </w:p>
        </w:tc>
        <w:tc>
          <w:tcPr>
            <w:tcW w:w="4876" w:type="dxa"/>
          </w:tcPr>
          <w:p w:rsidR="00DF3EFC" w:rsidRPr="00DF3EFC" w:rsidRDefault="00DF3EFC" w:rsidP="00DF3EFC">
            <w:pPr>
              <w:pStyle w:val="Normal6a"/>
            </w:pPr>
            <w:r w:rsidRPr="00DF3EFC">
              <w:t>(b)</w:t>
            </w:r>
            <w:r w:rsidRPr="00DF3EFC">
              <w:tab/>
              <w:t xml:space="preserve">konvertibla obligationer, säkerställda obligationer, företagsobligationer, </w:t>
            </w:r>
            <w:r w:rsidRPr="00DF3EFC">
              <w:rPr>
                <w:b/>
                <w:i/>
              </w:rPr>
              <w:t xml:space="preserve">statsobligationer, </w:t>
            </w:r>
            <w:r w:rsidRPr="00DF3EFC">
              <w:t>andra offentliga obligationer och andra obligationer, vars emissionsstorlek uppgår till mindre än 500 miljoner euro.</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Inkludering av statsobligationer i pilotordningens tillämpningsområde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276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lastRenderedPageBreak/>
        <w:t>&lt;Article&gt;</w:t>
      </w:r>
      <w:r w:rsidRPr="00DF3EFC">
        <w:t>Artikel 3 – punkt 1 – led b</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(b)</w:t>
            </w:r>
            <w:r w:rsidRPr="00DF3EFC">
              <w:tab/>
              <w:t>konvertibla obligationer, säkerställda obligationer, företagsobligationer, andra offentliga obligationer och andra obligationer, vars emissionsstorlek uppgår till mindre än 500 miljoner euro.</w:t>
            </w:r>
          </w:p>
        </w:tc>
        <w:tc>
          <w:tcPr>
            <w:tcW w:w="4876" w:type="dxa"/>
          </w:tcPr>
          <w:p w:rsidR="00DF3EFC" w:rsidRPr="00DF3EFC" w:rsidRDefault="00DF3EFC" w:rsidP="00DF3EFC">
            <w:pPr>
              <w:pStyle w:val="Normal6a"/>
            </w:pPr>
            <w:r w:rsidRPr="00DF3EFC">
              <w:t>(b)</w:t>
            </w:r>
            <w:r w:rsidRPr="00DF3EFC">
              <w:tab/>
              <w:t xml:space="preserve">konvertibla obligationer, </w:t>
            </w:r>
            <w:r w:rsidRPr="00DF3EFC">
              <w:rPr>
                <w:b/>
                <w:i/>
              </w:rPr>
              <w:t>statsobligationer,</w:t>
            </w:r>
            <w:r w:rsidRPr="00DF3EFC">
              <w:t xml:space="preserve"> säkerställda obligationer, företagsobligationer, andra offentliga obligationer och andra obligationer, vars emissionsstorlek uppgår till mindre än 500 miljoner euro.</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277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Eero Heinäluoma, Paul Tang, Pedro Marques</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1 – led b</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(b)</w:t>
            </w:r>
            <w:r w:rsidRPr="00DF3EFC">
              <w:tab/>
              <w:t xml:space="preserve">konvertibla obligationer, säkerställda obligationer, företagsobligationer, andra offentliga obligationer och andra obligationer, vars emissionsstorlek uppgår till mindre än </w:t>
            </w:r>
            <w:r w:rsidRPr="00DF3EFC">
              <w:rPr>
                <w:b/>
                <w:i/>
              </w:rPr>
              <w:t xml:space="preserve">500 </w:t>
            </w:r>
            <w:r w:rsidRPr="00DF3EFC">
              <w:t>miljoner euro.</w:t>
            </w:r>
          </w:p>
        </w:tc>
        <w:tc>
          <w:tcPr>
            <w:tcW w:w="4876" w:type="dxa"/>
          </w:tcPr>
          <w:p w:rsidR="00DF3EFC" w:rsidRPr="00DF3EFC" w:rsidRDefault="00DF3EFC" w:rsidP="00DF3EFC">
            <w:pPr>
              <w:pStyle w:val="Normal6a"/>
            </w:pPr>
            <w:r w:rsidRPr="00DF3EFC">
              <w:t>(b)</w:t>
            </w:r>
            <w:r w:rsidRPr="00DF3EFC">
              <w:tab/>
              <w:t xml:space="preserve">konvertibla obligationer, säkerställda obligationer, företagsobligationer, andra offentliga obligationer och andra obligationer, vars emissionsstorlek uppgår till mindre än </w:t>
            </w:r>
            <w:r w:rsidRPr="00DF3EFC">
              <w:rPr>
                <w:b/>
                <w:i/>
              </w:rPr>
              <w:t xml:space="preserve">250 </w:t>
            </w:r>
            <w:r w:rsidRPr="00DF3EFC">
              <w:t>miljoner euro.</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278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Christophe Hansen, Lídia Pereira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1 – led ba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(ba)</w:t>
            </w:r>
            <w:r w:rsidRPr="00DF3EFC">
              <w:tab/>
            </w:r>
            <w:r w:rsidRPr="00DF3EFC">
              <w:rPr>
                <w:b/>
                <w:i/>
              </w:rPr>
              <w:t>andelar i DLT-ETF:er, andelar i fondföretag, som investerar i de typer av instrument som avses i leden a och b.</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lastRenderedPageBreak/>
        <w:t>&lt;AmendB&gt;</w:t>
      </w:r>
      <w:r w:rsidRPr="00DF3EFC">
        <w:t>Ändringsförslag</w:t>
      </w:r>
      <w:r w:rsidRPr="00DF3EFC">
        <w:tab/>
      </w:r>
      <w:r w:rsidRPr="00DF3EFC">
        <w:tab/>
      </w:r>
      <w:r w:rsidRPr="00DF3EFC">
        <w:rPr>
          <w:rStyle w:val="HideTWBExt"/>
          <w:b w:val="0"/>
        </w:rPr>
        <w:t>&lt;NumAmB&gt;</w:t>
      </w:r>
      <w:r w:rsidRPr="00DF3EFC">
        <w:t>279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1 – led ba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(ba)</w:t>
            </w:r>
            <w:r w:rsidRPr="00DF3EFC">
              <w:tab/>
            </w:r>
            <w:r w:rsidRPr="00DF3EFC">
              <w:rPr>
                <w:b/>
                <w:i/>
              </w:rPr>
              <w:t>andelar i DLT-ETF:er som investerar i de typer av instrument som avses i leden a och b.</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280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1 – led ba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(ba)</w:t>
            </w:r>
            <w:r w:rsidRPr="00DF3EFC">
              <w:tab/>
            </w:r>
            <w:r w:rsidRPr="00DF3EFC">
              <w:rPr>
                <w:b/>
                <w:i/>
              </w:rPr>
              <w:t>andelar i DLT-ETF:er, vars emissionsstorlek uppgår till mindre än 500 miljoner euro.</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281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1 – led ba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(ba)</w:t>
            </w:r>
            <w:r w:rsidRPr="00DF3EFC">
              <w:tab/>
            </w:r>
            <w:r w:rsidRPr="00DF3EFC">
              <w:rPr>
                <w:b/>
                <w:i/>
              </w:rPr>
              <w:t>andelar i kollektiva värdepappersföretag, vars emissionsstorlek uppgår till mindre än 500 miljoner euro.</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lastRenderedPageBreak/>
        <w:t>&lt;AmendB&gt;</w:t>
      </w:r>
      <w:r w:rsidRPr="00DF3EFC">
        <w:t>Ändringsförslag</w:t>
      </w:r>
      <w:r w:rsidRPr="00DF3EFC">
        <w:tab/>
      </w:r>
      <w:r w:rsidRPr="00DF3EFC">
        <w:tab/>
      </w:r>
      <w:r w:rsidRPr="00DF3EFC">
        <w:rPr>
          <w:rStyle w:val="HideTWBExt"/>
          <w:b w:val="0"/>
        </w:rPr>
        <w:t>&lt;NumAmB&gt;</w:t>
      </w:r>
      <w:r w:rsidRPr="00DF3EFC">
        <w:t>282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2.</w:t>
            </w:r>
            <w:r w:rsidRPr="00DF3EFC">
              <w:tab/>
            </w:r>
            <w:r w:rsidRPr="00DF3EFC">
              <w:rPr>
                <w:b/>
                <w:i/>
              </w:rPr>
              <w:t>Ett värdepappersföretag eller marknadsoperatör som driver en DLT-MTF-plattform får inte ta upp statsobligationer till handel i enlighet med denna förordning. En värdepapperscentral som driver ett DLT-avvecklingssystem för värdepapper, eller ett värdepappersföretag eller en marknadsoperatör som har tillstånd att registrera DLT-överlåtbara värdepapper på en DLT-MTF-plattform i enlighet med artikel 4.2 och 4.3 får inte registrera statsobligationer i enlighet med denna förordning.</w:t>
            </w:r>
          </w:p>
        </w:tc>
        <w:tc>
          <w:tcPr>
            <w:tcW w:w="4876" w:type="dxa"/>
          </w:tcPr>
          <w:p w:rsidR="00DF3EFC" w:rsidRPr="00DF3EFC" w:rsidRDefault="00DF3EFC" w:rsidP="00DF3EFC">
            <w:pPr>
              <w:pStyle w:val="Normal6a"/>
            </w:pPr>
            <w:r w:rsidRPr="00DF3EFC">
              <w:rPr>
                <w:b/>
                <w:i/>
              </w:rPr>
              <w:t>utgår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 föreslås att statsobligationer inkluderas som godtagbara instrument för att tillgodose medlemsstater som vill få erfarenhet av DLT-marknadsinfrastrukturer.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283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 Christophe Hansen</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2.</w:t>
            </w:r>
            <w:r w:rsidRPr="00DF3EFC">
              <w:tab/>
            </w:r>
            <w:r w:rsidRPr="00DF3EFC">
              <w:rPr>
                <w:b/>
                <w:i/>
              </w:rPr>
              <w:t xml:space="preserve">Ett värdepappersföretag eller marknadsoperatör som driver en DLT-MTF-plattform får inte ta upp statsobligationer till handel i enlighet med denna förordning. En värdepapperscentral som driver ett DLT-avvecklingssystem för värdepapper, eller ett värdepappersföretag eller en marknadsoperatör som har tillstånd att </w:t>
            </w:r>
            <w:r w:rsidRPr="00DF3EFC">
              <w:rPr>
                <w:b/>
                <w:i/>
              </w:rPr>
              <w:lastRenderedPageBreak/>
              <w:t>registrera DLT-överlåtbara värdepapper på en DLT-MTF-plattform i enlighet med artikel 4.2 och 4.3 får inte registrera statsobligationer i enlighet med denna förordning.</w:t>
            </w:r>
          </w:p>
        </w:tc>
        <w:tc>
          <w:tcPr>
            <w:tcW w:w="4876" w:type="dxa"/>
          </w:tcPr>
          <w:p w:rsidR="00DF3EFC" w:rsidRPr="00DF3EFC" w:rsidRDefault="00DF3EFC" w:rsidP="00DF3EFC">
            <w:pPr>
              <w:pStyle w:val="Normal6a"/>
            </w:pPr>
            <w:r w:rsidRPr="00DF3EFC">
              <w:rPr>
                <w:b/>
                <w:i/>
              </w:rPr>
              <w:lastRenderedPageBreak/>
              <w:t>utgår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284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Markus Ferber</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2.</w:t>
            </w:r>
            <w:r w:rsidRPr="00DF3EFC">
              <w:tab/>
            </w:r>
            <w:r w:rsidRPr="00DF3EFC">
              <w:rPr>
                <w:b/>
                <w:i/>
              </w:rPr>
              <w:t>Ett värdepappersföretag eller marknadsoperatör som driver en DLT-MTF-plattform får inte ta upp statsobligationer till handel i enlighet med denna förordning. En värdepapperscentral som driver ett DLT-avvecklingssystem för värdepapper, eller ett värdepappersföretag eller en marknadsoperatör som har tillstånd att registrera DLT-överlåtbara värdepapper på en DLT-MTF-plattform i enlighet med artikel 4.2 och 4.3 får inte registrera statsobligationer i enlighet med denna förordning.</w:t>
            </w:r>
          </w:p>
        </w:tc>
        <w:tc>
          <w:tcPr>
            <w:tcW w:w="4876" w:type="dxa"/>
          </w:tcPr>
          <w:p w:rsidR="00DF3EFC" w:rsidRPr="00DF3EFC" w:rsidRDefault="00DF3EFC" w:rsidP="00DF3EFC">
            <w:pPr>
              <w:pStyle w:val="Normal6a"/>
            </w:pPr>
            <w:r w:rsidRPr="00DF3EFC">
              <w:rPr>
                <w:b/>
                <w:i/>
              </w:rPr>
              <w:t>utgår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285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2.</w:t>
            </w:r>
            <w:r w:rsidRPr="00DF3EFC">
              <w:tab/>
            </w:r>
            <w:r w:rsidRPr="00DF3EFC">
              <w:rPr>
                <w:b/>
                <w:i/>
              </w:rPr>
              <w:t xml:space="preserve">Ett värdepappersföretag eller marknadsoperatör som driver en DLT-MTF-plattform får inte ta upp statsobligationer till handel i enlighet med </w:t>
            </w:r>
            <w:r w:rsidRPr="00DF3EFC">
              <w:rPr>
                <w:b/>
                <w:i/>
              </w:rPr>
              <w:lastRenderedPageBreak/>
              <w:t>denna förordning. En värdepapperscentral som driver ett DLT-avvecklingssystem för värdepapper, eller ett värdepappersföretag eller en marknadsoperatör som har tillstånd att registrera DLT-överlåtbara värdepapper på en DLT-MTF-plattform i enlighet med artikel 4.2 och 4.3 får inte registrera statsobligationer i enlighet med denna förordning.</w:t>
            </w:r>
          </w:p>
        </w:tc>
        <w:tc>
          <w:tcPr>
            <w:tcW w:w="4876" w:type="dxa"/>
          </w:tcPr>
          <w:p w:rsidR="00DF3EFC" w:rsidRPr="00DF3EFC" w:rsidRDefault="00DF3EFC" w:rsidP="00DF3EFC">
            <w:pPr>
              <w:pStyle w:val="Normal6a"/>
            </w:pPr>
            <w:r w:rsidRPr="00DF3EFC">
              <w:rPr>
                <w:b/>
                <w:i/>
              </w:rPr>
              <w:lastRenderedPageBreak/>
              <w:t>utgår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Inkludering av statsobligationer i pilotordningens tillämpningsområde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286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Gunnar Beck, Maximilian Krah</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w:t>
            </w:r>
            <w:r w:rsidRPr="00DF3EFC">
              <w:tab/>
              <w:t>Ett värdepappersföretag eller marknadsoperatör som driver en DLT-MTF-plattform får inte ta upp statsobligationer till handel i enlighet med denna förordning. En värdepapperscentral som driver ett DLT-avvecklingssystem för värdepapper, eller ett värdepappersföretag eller en marknadsoperatör som har tillstånd att registrera DLT-överlåtbara värdepapper på en DLT-MTF-plattform i enlighet med artikel 4.2 och 4.3 får inte registrera statsobligationer i enlighet med denna förordning.</w:t>
            </w:r>
          </w:p>
        </w:tc>
        <w:tc>
          <w:tcPr>
            <w:tcW w:w="4876" w:type="dxa"/>
          </w:tcPr>
          <w:p w:rsidR="00DF3EFC" w:rsidRPr="00DF3EFC" w:rsidRDefault="00DF3EFC" w:rsidP="00DF3EFC">
            <w:pPr>
              <w:pStyle w:val="Normal6a"/>
            </w:pPr>
            <w:r w:rsidRPr="00DF3EFC">
              <w:t>2.</w:t>
            </w:r>
            <w:r w:rsidRPr="00DF3EFC">
              <w:tab/>
              <w:t>Ett värdepappersföretag</w:t>
            </w:r>
            <w:r w:rsidRPr="00DF3EFC">
              <w:rPr>
                <w:b/>
                <w:i/>
              </w:rPr>
              <w:t>, en emittent av kryptotillgångar</w:t>
            </w:r>
            <w:r w:rsidRPr="00DF3EFC">
              <w:t xml:space="preserve"> eller marknadsoperatör som driver en DLT-MTF-plattform får inte ta upp statsobligationer till handel i enlighet med denna förordning. En värdepapperscentral som driver ett DLT-avvecklingssystem för värdepapper, eller ett värdepappersföretag eller en marknadsoperatör som har tillstånd att registrera DLT-överlåtbara värdepapper på en DLT-MTF-plattform i enlighet med artikel 4.2 och 4.3 får inte registrera statsobligationer i enlighet med denna förordning.</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287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lastRenderedPageBreak/>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r>
            <w:r w:rsidRPr="00DF3EFC">
              <w:rPr>
                <w:b/>
                <w:i/>
              </w:rPr>
              <w:t>Det</w:t>
            </w:r>
            <w:r w:rsidRPr="00DF3EFC">
              <w:t xml:space="preserve"> totala marknadsvärdet på de DLT-överlåtbara värdepapper som finns registrerade </w:t>
            </w:r>
            <w:r w:rsidRPr="00DF3EFC">
              <w:rPr>
                <w:b/>
                <w:i/>
              </w:rPr>
              <w:t>hos en värdepapperscentral som driver ett DLT-avvecklingssystem för värdepapper får inte överstiga</w:t>
            </w:r>
            <w:r w:rsidRPr="00DF3EFC">
              <w:t xml:space="preserve"> 2,5 miljarder euro. Om en DLT-MTF-plattform registrerar de DLT-överlåtbara värdepappren i stället för en värdepapperscentral i överensstämmelse med artikel 4.2 och 4.3 får det totala marknadsvärdet på de DLT-överlåtbara värdepapper som finns registrerade hos det värdepappersföretag eller den marknadsoperatör som driver DLT-MTF-plattformen</w:t>
            </w:r>
            <w:r w:rsidRPr="00DF3EFC">
              <w:rPr>
                <w:b/>
                <w:i/>
              </w:rPr>
              <w:t xml:space="preserve"> inte överstiga</w:t>
            </w:r>
            <w:r w:rsidRPr="00DF3EFC">
              <w:t xml:space="preserve"> 2,5 miljarder euro.</w:t>
            </w:r>
          </w:p>
        </w:tc>
        <w:tc>
          <w:tcPr>
            <w:tcW w:w="4876" w:type="dxa"/>
          </w:tcPr>
          <w:p w:rsidR="00DF3EFC" w:rsidRPr="00DF3EFC" w:rsidRDefault="00DF3EFC" w:rsidP="00DF3EFC">
            <w:pPr>
              <w:pStyle w:val="Normal6a"/>
            </w:pPr>
            <w:r w:rsidRPr="00DF3EFC">
              <w:t>3.</w:t>
            </w:r>
            <w:r w:rsidRPr="00DF3EFC">
              <w:tab/>
            </w:r>
            <w:r w:rsidRPr="00DF3EFC">
              <w:rPr>
                <w:b/>
                <w:i/>
              </w:rPr>
              <w:t xml:space="preserve">En värdepapperscentral som driver ett DLT-avvecklingssystem för värdepapper kan tillåta nya värdepapper tills det </w:t>
            </w:r>
            <w:r w:rsidRPr="00DF3EFC">
              <w:t xml:space="preserve">totala marknadsvärdet på de DLT-överlåtbara värdepapper som finns registrerade </w:t>
            </w:r>
            <w:r w:rsidRPr="00DF3EFC">
              <w:rPr>
                <w:b/>
                <w:i/>
              </w:rPr>
              <w:t>når</w:t>
            </w:r>
            <w:r w:rsidRPr="00DF3EFC">
              <w:t xml:space="preserve"> 2,5 miljarder euro. Om en DLT-MTF-plattform registrerar de DLT-överlåtbara värdepappren i stället för en värdepapperscentral i överensstämmelse med artikel 4.2 och 4.3 får </w:t>
            </w:r>
            <w:r w:rsidRPr="00DF3EFC">
              <w:rPr>
                <w:b/>
                <w:i/>
              </w:rPr>
              <w:t>den tillåta nya värdepapper tills</w:t>
            </w:r>
            <w:r w:rsidRPr="00DF3EFC">
              <w:t xml:space="preserve"> det totala marknadsvärdet på de DLT-överlåtbara värdepapper som finns registrerade hos det värdepappersföretag eller den marknadsoperatör som driver DLT-MTF-plattformen </w:t>
            </w:r>
            <w:r w:rsidRPr="00DF3EFC">
              <w:rPr>
                <w:b/>
                <w:i/>
              </w:rPr>
              <w:t>når</w:t>
            </w:r>
            <w:r w:rsidRPr="00DF3EFC">
              <w:t xml:space="preserve"> 2,5 miljarder euro.</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288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Gunnar Beck, Maximilian Krah</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t>Det totala marknadsvärdet på de DLT-överlåtbara värdepapper som finns registrerade hos en värdepapperscentral som driver ett DLT-avvecklingssystem för värdepapper får inte överstiga 2,5 miljarder euro. Om en DLT-MTF-plattform registrerar de DLT-överlåtbara värdepappren i stället för en värdepapperscentral i överensstämmelse med artikel 4.2 och 4.3 får det totala marknadsvärdet på de DLT-överlåtbara värdepapper som finns registrerade hos det värdepappersföretag eller den marknadsoperatör som driver DLT-MTF-</w:t>
            </w:r>
            <w:r w:rsidRPr="00DF3EFC">
              <w:lastRenderedPageBreak/>
              <w:t>plattformen inte överstiga 2,5 miljarder euro.</w:t>
            </w:r>
          </w:p>
        </w:tc>
        <w:tc>
          <w:tcPr>
            <w:tcW w:w="4876" w:type="dxa"/>
          </w:tcPr>
          <w:p w:rsidR="00DF3EFC" w:rsidRPr="00DF3EFC" w:rsidRDefault="00DF3EFC" w:rsidP="00DF3EFC">
            <w:pPr>
              <w:pStyle w:val="Normal6a"/>
            </w:pPr>
            <w:r w:rsidRPr="00DF3EFC">
              <w:lastRenderedPageBreak/>
              <w:t>3.</w:t>
            </w:r>
            <w:r w:rsidRPr="00DF3EFC">
              <w:tab/>
              <w:t>Det totala marknadsvärdet på de DLT-överlåtbara värdepapper som finns registrerade hos en värdepapperscentral som driver ett DLT-avvecklingssystem för värdepapper får inte överstiga 2,5 miljarder euro. Om en DLT-MTF-plattform registrerar de DLT-överlåtbara värdepappren i stället för en värdepapperscentral i överensstämmelse med artikel 4.2 och 4.3 får det totala marknadsvärdet på de DLT-överlåtbara värdepapper som finns registrerade hos det värdepappersföretag</w:t>
            </w:r>
            <w:r w:rsidRPr="00DF3EFC">
              <w:rPr>
                <w:b/>
                <w:i/>
              </w:rPr>
              <w:t>, den emittent av kryptotillgångar</w:t>
            </w:r>
            <w:r w:rsidRPr="00DF3EFC">
              <w:t xml:space="preserve"> eller den </w:t>
            </w:r>
            <w:r w:rsidRPr="00DF3EFC">
              <w:lastRenderedPageBreak/>
              <w:t>marknadsoperatör som driver DLT-MTF-plattformen inte överstiga 2,5 miljarder euro.</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289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t xml:space="preserve">Det totala marknadsvärdet på de DLT-överlåtbara värdepapper som finns registrerade hos en värdepapperscentral som driver ett DLT-avvecklingssystem för värdepapper får inte överstiga </w:t>
            </w:r>
            <w:r w:rsidRPr="00DF3EFC">
              <w:rPr>
                <w:b/>
                <w:i/>
              </w:rPr>
              <w:t>2,5</w:t>
            </w:r>
            <w:r w:rsidRPr="00DF3EFC">
              <w:t xml:space="preserve"> miljarder euro. Om en DLT-MTF-plattform registrerar de DLT-överlåtbara värdepappren i stället för en värdepapperscentral i överensstämmelse med artikel 4.2 och 4.3 får det totala marknadsvärdet på de DLT-överlåtbara värdepapper som finns registrerade hos det värdepappersföretag eller den marknadsoperatör som driver DLT-MTF-plattformen inte överstiga </w:t>
            </w:r>
            <w:r w:rsidRPr="00DF3EFC">
              <w:rPr>
                <w:b/>
                <w:i/>
              </w:rPr>
              <w:t>2,5</w:t>
            </w:r>
            <w:r w:rsidRPr="00DF3EFC">
              <w:t xml:space="preserve"> miljarder euro.</w:t>
            </w:r>
          </w:p>
        </w:tc>
        <w:tc>
          <w:tcPr>
            <w:tcW w:w="4876" w:type="dxa"/>
          </w:tcPr>
          <w:p w:rsidR="00DF3EFC" w:rsidRPr="00DF3EFC" w:rsidRDefault="00DF3EFC" w:rsidP="00DF3EFC">
            <w:pPr>
              <w:pStyle w:val="Normal6a"/>
            </w:pPr>
            <w:r w:rsidRPr="00DF3EFC">
              <w:t>3.</w:t>
            </w:r>
            <w:r w:rsidRPr="00DF3EFC">
              <w:tab/>
              <w:t xml:space="preserve">Det totala marknadsvärdet på de DLT-överlåtbara värdepapper som finns registrerade hos en värdepapperscentral som driver ett DLT-avvecklingssystem för värdepapper får inte överstiga </w:t>
            </w:r>
            <w:r w:rsidRPr="00DF3EFC">
              <w:rPr>
                <w:b/>
                <w:i/>
              </w:rPr>
              <w:t>7,5</w:t>
            </w:r>
            <w:r w:rsidRPr="00DF3EFC">
              <w:t xml:space="preserve"> miljarder euro. Om en DLT-MTF-plattform registrerar de DLT-överlåtbara värdepappren i stället för en värdepapperscentral i överensstämmelse med artikel 4.2 och 4.3 får det totala marknadsvärdet på de DLT-överlåtbara värdepapper som finns registrerade hos det värdepappersföretag eller den marknadsoperatör som driver DLT-MTF-plattformen inte överstiga </w:t>
            </w:r>
            <w:r w:rsidRPr="00DF3EFC">
              <w:rPr>
                <w:b/>
                <w:i/>
              </w:rPr>
              <w:t>7,5</w:t>
            </w:r>
            <w:r w:rsidRPr="00DF3EFC">
              <w:t xml:space="preserve"> miljarder euro.</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Trots att vi stöder kommissionens förslag till tröskelvärden anser vi att tröskelvärdet för totalt marknadsvärde på 2,5 miljarder euro är lågt med tanke på att det skulle kunna uppnås genom exempelvis emission av 5 obligationer * 500 miljoner. I detta sammanhang och för att tillåta att större marknadsdeltagare som innehar det nödvändiga kapitalet testar fler projekt föreslår vi att det totala marknadsvärdet höjs till 7,5 miljarder euro.</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290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lastRenderedPageBreak/>
        <w:t>&lt;Article&gt;</w:t>
      </w:r>
      <w:r w:rsidRPr="00DF3EFC">
        <w:t>Artikel 3 – punkt 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t xml:space="preserve">Det totala marknadsvärdet på de DLT-överlåtbara värdepapper som finns registrerade hos en </w:t>
            </w:r>
            <w:r w:rsidRPr="00DF3EFC">
              <w:rPr>
                <w:b/>
                <w:i/>
              </w:rPr>
              <w:t xml:space="preserve">värdepapperscentral </w:t>
            </w:r>
            <w:r w:rsidRPr="00DF3EFC">
              <w:t xml:space="preserve">som driver ett DLT-avvecklingssystem för värdepapper får inte överstiga 2,5 miljarder euro. Om en DLT-MTF-plattform registrerar de DLT-överlåtbara värdepappren i stället för en värdepapperscentral i överensstämmelse med artikel 4.2 och 4.3 får det totala marknadsvärdet på de DLT-överlåtbara värdepapper som finns registrerade hos </w:t>
            </w:r>
            <w:r w:rsidRPr="00DF3EFC">
              <w:rPr>
                <w:b/>
                <w:i/>
              </w:rPr>
              <w:t>det värdepappersföretag eller den marknadsoperatör</w:t>
            </w:r>
            <w:r w:rsidRPr="00DF3EFC">
              <w:t xml:space="preserve"> som driver DLT-MTF-plattformen inte överstiga 2,5 miljarder euro.</w:t>
            </w:r>
          </w:p>
        </w:tc>
        <w:tc>
          <w:tcPr>
            <w:tcW w:w="4876" w:type="dxa"/>
          </w:tcPr>
          <w:p w:rsidR="00DF3EFC" w:rsidRPr="00DF3EFC" w:rsidRDefault="00DF3EFC" w:rsidP="00DF3EFC">
            <w:pPr>
              <w:pStyle w:val="Normal6a"/>
            </w:pPr>
            <w:r w:rsidRPr="00DF3EFC">
              <w:t>3.</w:t>
            </w:r>
            <w:r w:rsidRPr="00DF3EFC">
              <w:tab/>
              <w:t xml:space="preserve">Det totala marknadsvärdet på de DLT-överlåtbara värdepapper som finns registrerade hos en </w:t>
            </w:r>
            <w:r w:rsidRPr="00DF3EFC">
              <w:rPr>
                <w:b/>
                <w:i/>
              </w:rPr>
              <w:t>enhet</w:t>
            </w:r>
            <w:r w:rsidRPr="00DF3EFC">
              <w:t xml:space="preserve"> som driver ett DLT-avvecklingssystem för värdepapper får inte överstiga 2,5 miljarder euro. Om en DLT-MTF-plattform registrerar de DLT-överlåtbara värdepappren i stället för en värdepapperscentral i överensstämmelse med artikel 4.2 och 4.3 får det totala marknadsvärdet på de DLT-överlåtbara värdepapper som finns registrerade hos </w:t>
            </w:r>
            <w:r w:rsidRPr="00DF3EFC">
              <w:rPr>
                <w:b/>
                <w:i/>
              </w:rPr>
              <w:t>den enhet</w:t>
            </w:r>
            <w:r w:rsidRPr="00DF3EFC">
              <w:t xml:space="preserve"> som driver DLT-MTF-plattformen inte överstiga 2,5 miljarder euro.</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Pilotordningens öppenhet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291</w:t>
      </w:r>
      <w:r w:rsidRPr="00DF3EFC">
        <w:rPr>
          <w:rStyle w:val="HideTWBExt"/>
          <w:b w:val="0"/>
        </w:rPr>
        <w:t>&lt;/NumAmB&gt;</w:t>
      </w:r>
    </w:p>
    <w:p w:rsidR="00DF3EFC" w:rsidRPr="00DF3EFC" w:rsidRDefault="00DF3EFC" w:rsidP="00DF3EFC">
      <w:pPr>
        <w:pStyle w:val="NormalBold"/>
        <w:rPr>
          <w:lang w:val="pt-PT"/>
        </w:rPr>
      </w:pPr>
      <w:r w:rsidRPr="00DF3EFC">
        <w:rPr>
          <w:rStyle w:val="HideTWBExt"/>
          <w:b w:val="0"/>
          <w:lang w:val="pt-PT"/>
        </w:rPr>
        <w:t>&lt;RepeatBlock-By&gt;&lt;Members&gt;</w:t>
      </w:r>
      <w:r w:rsidRPr="00DF3EFC">
        <w:rPr>
          <w:lang w:val="pt-PT"/>
        </w:rPr>
        <w:t>Eero Heinäluoma, Paul Tang, Pedro Marques</w:t>
      </w:r>
      <w:r w:rsidRPr="00DF3EFC">
        <w:rPr>
          <w:rStyle w:val="HideTWBExt"/>
          <w:b w:val="0"/>
          <w:lang w:val="pt-PT"/>
        </w:rPr>
        <w:t>&lt;/Members&gt;</w:t>
      </w:r>
    </w:p>
    <w:p w:rsidR="00DF3EFC" w:rsidRPr="00DF3EFC" w:rsidRDefault="00DF3EFC" w:rsidP="00DF3EFC">
      <w:pPr>
        <w:pStyle w:val="NormalBold"/>
        <w:rPr>
          <w:lang w:val="pt-PT"/>
        </w:rPr>
      </w:pPr>
      <w:r w:rsidRPr="00DF3EFC">
        <w:rPr>
          <w:rStyle w:val="HideTWBExt"/>
          <w:b w:val="0"/>
          <w:lang w:val="pt-P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t xml:space="preserve">Det totala marknadsvärdet på de DLT-överlåtbara värdepapper som finns registrerade hos en värdepapperscentral som driver ett DLT-avvecklingssystem för värdepapper får inte överstiga </w:t>
            </w:r>
            <w:r w:rsidRPr="00DF3EFC">
              <w:rPr>
                <w:b/>
                <w:i/>
              </w:rPr>
              <w:t>2,5</w:t>
            </w:r>
            <w:r w:rsidRPr="00DF3EFC">
              <w:t xml:space="preserve"> miljarder euro. Om en DLT-MTF-plattform registrerar de DLT-överlåtbara värdepappren i stället för en värdepapperscentral i överensstämmelse med artikel 4.2 och 4.3 får det totala marknadsvärdet på de DLT-överlåtbara värdepapper som finns registrerade hos det </w:t>
            </w:r>
            <w:r w:rsidRPr="00DF3EFC">
              <w:lastRenderedPageBreak/>
              <w:t xml:space="preserve">värdepappersföretag eller den marknadsoperatör som driver DLT-MTF-plattformen inte överstiga </w:t>
            </w:r>
            <w:r w:rsidRPr="00DF3EFC">
              <w:rPr>
                <w:b/>
                <w:i/>
              </w:rPr>
              <w:t>2,5</w:t>
            </w:r>
            <w:r w:rsidRPr="00DF3EFC">
              <w:t xml:space="preserve"> miljarder euro.</w:t>
            </w:r>
          </w:p>
        </w:tc>
        <w:tc>
          <w:tcPr>
            <w:tcW w:w="4876" w:type="dxa"/>
          </w:tcPr>
          <w:p w:rsidR="00DF3EFC" w:rsidRPr="00DF3EFC" w:rsidRDefault="00DF3EFC" w:rsidP="00DF3EFC">
            <w:pPr>
              <w:pStyle w:val="Normal6a"/>
            </w:pPr>
            <w:r w:rsidRPr="00DF3EFC">
              <w:lastRenderedPageBreak/>
              <w:t>3.</w:t>
            </w:r>
            <w:r w:rsidRPr="00DF3EFC">
              <w:tab/>
              <w:t xml:space="preserve">Det totala marknadsvärdet på de DLT-överlåtbara värdepapper som finns registrerade hos en värdepapperscentral som driver ett DLT-avvecklingssystem för värdepapper får inte överstiga </w:t>
            </w:r>
            <w:r w:rsidRPr="00DF3EFC">
              <w:rPr>
                <w:b/>
                <w:i/>
              </w:rPr>
              <w:t>2</w:t>
            </w:r>
            <w:r w:rsidRPr="00DF3EFC">
              <w:t xml:space="preserve"> miljarder euro. Om en DLT-MTF-plattform registrerar de DLT-överlåtbara värdepappren i stället för en värdepapperscentral i överensstämmelse med artikel 4.2 och 4.3 får det totala marknadsvärdet på de DLT-överlåtbara värdepapper som finns registrerade hos det </w:t>
            </w:r>
            <w:r w:rsidRPr="00DF3EFC">
              <w:lastRenderedPageBreak/>
              <w:t xml:space="preserve">värdepappersföretag eller den marknadsoperatör som driver DLT-MTF-plattformen inte överstiga </w:t>
            </w:r>
            <w:r w:rsidRPr="00DF3EFC">
              <w:rPr>
                <w:b/>
                <w:i/>
              </w:rPr>
              <w:t>2</w:t>
            </w:r>
            <w:r w:rsidRPr="00DF3EFC">
              <w:t xml:space="preserve"> miljarder euro.</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292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 MacManus</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{The Left}</w:t>
      </w:r>
      <w:r w:rsidRPr="00DF3EFC">
        <w:t>för The Left-gruppen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3</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t xml:space="preserve">Det totala marknadsvärdet på de DLT-överlåtbara värdepapper som finns registrerade hos en värdepapperscentral som driver ett DLT-avvecklingssystem för värdepapper får inte överstiga </w:t>
            </w:r>
            <w:r w:rsidRPr="00DF3EFC">
              <w:rPr>
                <w:b/>
                <w:i/>
              </w:rPr>
              <w:t>2,5</w:t>
            </w:r>
            <w:r w:rsidRPr="00DF3EFC">
              <w:t xml:space="preserve"> miljarder euro. Om en DLT-MTF-plattform registrerar de DLT-överlåtbara värdepappren i stället för en värdepapperscentral i överensstämmelse med artikel 4.2 och 4.3 får det totala marknadsvärdet på de DLT-överlåtbara värdepapper som finns registrerade hos det värdepappersföretag eller den marknadsoperatör som driver DLT-MTF-plattformen inte överstiga </w:t>
            </w:r>
            <w:r w:rsidRPr="00DF3EFC">
              <w:rPr>
                <w:b/>
                <w:i/>
              </w:rPr>
              <w:t>2,5</w:t>
            </w:r>
            <w:r w:rsidRPr="00DF3EFC">
              <w:t xml:space="preserve"> miljarder euro.</w:t>
            </w:r>
          </w:p>
        </w:tc>
        <w:tc>
          <w:tcPr>
            <w:tcW w:w="4876" w:type="dxa"/>
          </w:tcPr>
          <w:p w:rsidR="00DF3EFC" w:rsidRPr="00DF3EFC" w:rsidRDefault="00DF3EFC" w:rsidP="00DF3EFC">
            <w:pPr>
              <w:pStyle w:val="Normal6a"/>
            </w:pPr>
            <w:r w:rsidRPr="00DF3EFC">
              <w:t>3.</w:t>
            </w:r>
            <w:r w:rsidRPr="00DF3EFC">
              <w:tab/>
              <w:t xml:space="preserve">Det totala marknadsvärdet på de DLT-överlåtbara värdepapper som finns registrerade hos en värdepapperscentral som driver ett DLT-avvecklingssystem för värdepapper får inte överstiga </w:t>
            </w:r>
            <w:r w:rsidRPr="00DF3EFC">
              <w:rPr>
                <w:b/>
                <w:i/>
              </w:rPr>
              <w:t>1,5</w:t>
            </w:r>
            <w:r w:rsidRPr="00DF3EFC">
              <w:t xml:space="preserve"> miljarder euro. Om en DLT-MTF-plattform registrerar de DLT-överlåtbara värdepappren i stället för en värdepapperscentral i överensstämmelse med artikel 4.2 och 4.3 får det totala marknadsvärdet på de DLT-överlåtbara värdepapper som finns registrerade hos det värdepappersföretag eller den marknadsoperatör som driver DLT-MTF-plattformen inte överstiga</w:t>
            </w:r>
            <w:r w:rsidRPr="00DF3EFC">
              <w:rPr>
                <w:b/>
                <w:i/>
              </w:rPr>
              <w:t xml:space="preserve"> 1,5</w:t>
            </w:r>
            <w:r w:rsidRPr="00DF3EFC">
              <w:t xml:space="preserve"> miljarder euro.</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293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3a (ny)</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3a.</w:t>
            </w:r>
            <w:r w:rsidRPr="00DF3EFC">
              <w:tab/>
            </w:r>
            <w:r w:rsidRPr="00DF3EFC">
              <w:rPr>
                <w:b/>
                <w:i/>
              </w:rPr>
              <w:t xml:space="preserve">Som avvikelse från detta ska företagsobligationer av emittenter vars </w:t>
            </w:r>
            <w:r w:rsidRPr="00DF3EFC">
              <w:rPr>
                <w:b/>
                <w:i/>
              </w:rPr>
              <w:lastRenderedPageBreak/>
              <w:t>börsvärde inte översteg 1 miljard euro vid tidpunkten för deras emission undantas från beräkningen av det tröskelvärde som föreskrivs i punkterna 1 b och 3.</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Ytterligare flexibilitet för att främja finansiering av små och medelstora företag genom pilotordningen, i linje med tröskelvärdet för forskning av små och medelstora företag som en del av återhämtningspaketet för kapitalmarknader.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294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4 – led a</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(a)</w:t>
            </w:r>
            <w:r w:rsidRPr="00DF3EFC">
              <w:tab/>
              <w:t xml:space="preserve">ska fastställas dagligen, </w:t>
            </w:r>
            <w:r w:rsidRPr="00DF3EFC">
              <w:rPr>
                <w:b/>
                <w:i/>
              </w:rPr>
              <w:t>antingen av värdepapperscentralen eller av värdepappersföretaget eller marknadsoperatören</w:t>
            </w:r>
            <w:r w:rsidRPr="00DF3EFC">
              <w:t xml:space="preserve"> i fråga, och</w:t>
            </w:r>
          </w:p>
        </w:tc>
        <w:tc>
          <w:tcPr>
            <w:tcW w:w="4876" w:type="dxa"/>
          </w:tcPr>
          <w:p w:rsidR="00DF3EFC" w:rsidRPr="00DF3EFC" w:rsidRDefault="00DF3EFC" w:rsidP="00DF3EFC">
            <w:pPr>
              <w:pStyle w:val="Normal6a"/>
            </w:pPr>
            <w:r w:rsidRPr="00DF3EFC">
              <w:t>(a)</w:t>
            </w:r>
            <w:r w:rsidRPr="00DF3EFC">
              <w:tab/>
              <w:t xml:space="preserve">ska fastställas dagligen, </w:t>
            </w:r>
            <w:r w:rsidRPr="00DF3EFC">
              <w:rPr>
                <w:b/>
                <w:i/>
              </w:rPr>
              <w:t>av enheten</w:t>
            </w:r>
            <w:r w:rsidRPr="00DF3EFC">
              <w:t xml:space="preserve"> i fråga, och</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295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Gunnar Beck, Maximilian Krah</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4 – led a</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(a)</w:t>
            </w:r>
            <w:r w:rsidRPr="00DF3EFC">
              <w:tab/>
              <w:t>ska fastställas dagligen, antingen av värdepapperscentralen eller av värdepappersföretaget eller marknadsoperatören i fråga, och</w:t>
            </w:r>
          </w:p>
        </w:tc>
        <w:tc>
          <w:tcPr>
            <w:tcW w:w="4876" w:type="dxa"/>
          </w:tcPr>
          <w:p w:rsidR="00DF3EFC" w:rsidRPr="00DF3EFC" w:rsidRDefault="00DF3EFC" w:rsidP="00DF3EFC">
            <w:pPr>
              <w:pStyle w:val="Normal6a"/>
            </w:pPr>
            <w:r w:rsidRPr="00DF3EFC">
              <w:t>(a)</w:t>
            </w:r>
            <w:r w:rsidRPr="00DF3EFC">
              <w:tab/>
              <w:t>ska fastställas dagligen, antingen av värdepapperscentralen eller av värdepappersföretaget</w:t>
            </w:r>
            <w:r w:rsidRPr="00DF3EFC">
              <w:rPr>
                <w:b/>
                <w:i/>
              </w:rPr>
              <w:t>, emittenten av kryptotillgångar,</w:t>
            </w:r>
            <w:r w:rsidRPr="00DF3EFC">
              <w:t xml:space="preserve"> eller marknadsoperatören i fråga, och</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296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5 – stycke 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 xml:space="preserve">När det totala marknadsvärdet för de DLT-överlåtbara värdepapper som rapporterats i enlighet med punkt 1 har nått </w:t>
            </w:r>
            <w:r w:rsidRPr="00DF3EFC">
              <w:rPr>
                <w:b/>
                <w:i/>
              </w:rPr>
              <w:t>2,25</w:t>
            </w:r>
            <w:r w:rsidRPr="00DF3EFC">
              <w:t xml:space="preserve"> miljarder euro ska det värdepappersföretag eller den marknadsoperatör som driver DLT-MTF-plattformen i fråga, eller den värdepapperscentral som driver DLT-värdepappersavvecklingssystemet i fråga, aktivera den övergångsstrategi som avses i artikel 6.6. De ska underrätta de behöriga myndigheterna om att de aktiverat sin övergångsstrategi i sin månatliga rapport samt även ange tidshorisonten för övergången.</w:t>
            </w:r>
          </w:p>
        </w:tc>
        <w:tc>
          <w:tcPr>
            <w:tcW w:w="4876" w:type="dxa"/>
          </w:tcPr>
          <w:p w:rsidR="00DF3EFC" w:rsidRPr="00DF3EFC" w:rsidRDefault="00DF3EFC" w:rsidP="00DF3EFC">
            <w:pPr>
              <w:pStyle w:val="Normal6a"/>
            </w:pPr>
            <w:r w:rsidRPr="00DF3EFC">
              <w:t>När det totala marknadsvärdet för de DLT-överlåtbara värdepapper som rapporterats i enlighet med punkt 1 har nått</w:t>
            </w:r>
            <w:r w:rsidRPr="00DF3EFC">
              <w:rPr>
                <w:b/>
                <w:i/>
              </w:rPr>
              <w:t xml:space="preserve"> 3,5</w:t>
            </w:r>
            <w:r w:rsidRPr="00DF3EFC">
              <w:t xml:space="preserve"> miljarder euro ska det värdepappersföretag eller den marknadsoperatör som driver DLT-MTF-plattformen i fråga, eller den värdepapperscentral som driver DLT-värdepappersavvecklingssystemet i fråga, aktivera den övergångsstrategi som avses i artikel 6.6. De ska underrätta de behöriga myndigheterna om att de aktiverat sin övergångsstrategi i sin månatliga rapport samt även ange tidshorisonten för övergången.</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297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 MacManus</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{The Left}</w:t>
      </w:r>
      <w:r w:rsidRPr="00DF3EFC">
        <w:t>för The Left-gruppen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5 – stycke 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 xml:space="preserve">När det totala marknadsvärdet för de DLT-överlåtbara värdepapper som rapporterats i enlighet med punkt 1 har nått </w:t>
            </w:r>
            <w:r w:rsidRPr="00DF3EFC">
              <w:rPr>
                <w:b/>
                <w:i/>
              </w:rPr>
              <w:t>2,25</w:t>
            </w:r>
            <w:r w:rsidRPr="00DF3EFC">
              <w:t xml:space="preserve"> miljarder euro ska det värdepappersföretag eller den marknadsoperatör som driver DLT-MTF-plattformen i fråga, eller den värdepapperscentral som driver DLT-värdepappersavvecklingssystemet i fråga, </w:t>
            </w:r>
            <w:r w:rsidRPr="00DF3EFC">
              <w:lastRenderedPageBreak/>
              <w:t>aktivera den övergångsstrategi som avses i artikel 6.6. De ska underrätta de behöriga myndigheterna om att de aktiverat sin övergångsstrategi i sin månatliga rapport samt även ange tidshorisonten för övergången.</w:t>
            </w:r>
          </w:p>
        </w:tc>
        <w:tc>
          <w:tcPr>
            <w:tcW w:w="4876" w:type="dxa"/>
          </w:tcPr>
          <w:p w:rsidR="00DF3EFC" w:rsidRPr="00DF3EFC" w:rsidRDefault="00DF3EFC" w:rsidP="00DF3EFC">
            <w:pPr>
              <w:pStyle w:val="Normal6a"/>
            </w:pPr>
            <w:r w:rsidRPr="00DF3EFC">
              <w:lastRenderedPageBreak/>
              <w:t xml:space="preserve">När det totala marknadsvärdet för de DLT-överlåtbara värdepapper som rapporterats i enlighet med punkt 1 har nått </w:t>
            </w:r>
            <w:r w:rsidRPr="00DF3EFC">
              <w:rPr>
                <w:b/>
                <w:i/>
              </w:rPr>
              <w:t>1,25</w:t>
            </w:r>
            <w:r w:rsidRPr="00DF3EFC">
              <w:t xml:space="preserve"> miljarder euro ska det värdepappersföretag eller den marknadsoperatör som driver DLT-MTF-plattformen i fråga, eller den värdepapperscentral som driver DLT-värdepappersavvecklingssystemet i fråga, </w:t>
            </w:r>
            <w:r w:rsidRPr="00DF3EFC">
              <w:lastRenderedPageBreak/>
              <w:t>aktivera den övergångsstrategi som avses i artikel 6.6. De ska underrätta de behöriga myndigheterna om att de aktiverat sin övergångsstrategi i sin månatliga rapport samt även ange tidshorisonten för övergången.</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298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5 – stycke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De berörda behöriga myndigheterna kan tillåta DLT-marknadsinfrastrukturen i fråga att fortsätta sin verksamhet till dess att det totala marknadsvärdet på de DLT-överlåtbara värdepapper som rapporterats i enlighet med punkt 1 uppnått 2,75 miljarder euro, under förutsättning att operatören av DLT-infrastrukturen i fråga begär ett sådant extra utrymme och detta objektivt sett är nödvändigt för att övergångsstrategin ska kunna genomföras på ett korrekt sätt.</w:t>
            </w:r>
          </w:p>
        </w:tc>
        <w:tc>
          <w:tcPr>
            <w:tcW w:w="4876" w:type="dxa"/>
          </w:tcPr>
          <w:p w:rsidR="00DF3EFC" w:rsidRPr="00DF3EFC" w:rsidRDefault="00DF3EFC" w:rsidP="00DF3EFC">
            <w:pPr>
              <w:pStyle w:val="Normal6a"/>
            </w:pPr>
            <w:r w:rsidRPr="00DF3EFC">
              <w:rPr>
                <w:b/>
                <w:i/>
              </w:rPr>
              <w:t>utgår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299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 MacManus</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{The Left}</w:t>
      </w:r>
      <w:r w:rsidRPr="00DF3EFC">
        <w:t>för The Left-gruppen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3 – punkt 5 – stycke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 xml:space="preserve">De berörda behöriga myndigheterna kan tillåta DLT-marknadsinfrastrukturen i fråga att fortsätta sin verksamhet till dess att det </w:t>
            </w:r>
            <w:r w:rsidRPr="00DF3EFC">
              <w:lastRenderedPageBreak/>
              <w:t>totala marknadsvärdet på de DLT-överlåtbara värdepapper som rapporterats i enlighet med punkt 1 uppnått</w:t>
            </w:r>
            <w:r w:rsidRPr="00DF3EFC">
              <w:rPr>
                <w:b/>
                <w:i/>
              </w:rPr>
              <w:t xml:space="preserve"> 2,75</w:t>
            </w:r>
            <w:r w:rsidRPr="00DF3EFC">
              <w:t xml:space="preserve"> miljarder euro, under förutsättning att operatören av DLT-infrastrukturen i fråga begär ett sådant extra utrymme och detta objektivt sett är nödvändigt för att övergångsstrategin ska kunna genomföras på ett korrekt sätt.</w:t>
            </w:r>
          </w:p>
        </w:tc>
        <w:tc>
          <w:tcPr>
            <w:tcW w:w="4876" w:type="dxa"/>
          </w:tcPr>
          <w:p w:rsidR="00DF3EFC" w:rsidRPr="00DF3EFC" w:rsidRDefault="00DF3EFC" w:rsidP="00DF3EFC">
            <w:pPr>
              <w:pStyle w:val="Normal6a"/>
            </w:pPr>
            <w:r w:rsidRPr="00DF3EFC">
              <w:lastRenderedPageBreak/>
              <w:t xml:space="preserve">De berörda behöriga myndigheterna kan tillåta DLT-marknadsinfrastrukturen i fråga att fortsätta sin verksamhet till dess att det </w:t>
            </w:r>
            <w:r w:rsidRPr="00DF3EFC">
              <w:lastRenderedPageBreak/>
              <w:t xml:space="preserve">totala marknadsvärdet på de DLT-överlåtbara värdepapper som rapporterats i enlighet med punkt 1 uppnått </w:t>
            </w:r>
            <w:r w:rsidRPr="00DF3EFC">
              <w:rPr>
                <w:b/>
                <w:i/>
              </w:rPr>
              <w:t xml:space="preserve">1,75 </w:t>
            </w:r>
            <w:r w:rsidRPr="00DF3EFC">
              <w:t>miljarder euro, under förutsättning att operatören av DLT-infrastrukturen i fråga begär ett sådant extra utrymme och detta objektivt sett är nödvändigt för att övergångsstrategin ska kunna genomföras på ett korrekt sätt.</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300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1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 xml:space="preserve">En DLT-MTF-plattform ska omfattas av alla de krav som är tillämpliga på en multilateral handelsplattform enligt direktiv 2014/65/EU och förordning (EU) nr 600/2014, </w:t>
            </w:r>
            <w:r w:rsidRPr="00DF3EFC">
              <w:rPr>
                <w:b/>
                <w:i/>
              </w:rPr>
              <w:t xml:space="preserve">utom i det fall </w:t>
            </w:r>
            <w:r w:rsidRPr="00DF3EFC">
              <w:t>det värdepappersföretag eller den marknadsoperatör som driver DLT-MTF-plattformen</w:t>
            </w:r>
          </w:p>
        </w:tc>
        <w:tc>
          <w:tcPr>
            <w:tcW w:w="4876" w:type="dxa"/>
          </w:tcPr>
          <w:p w:rsidR="00DF3EFC" w:rsidRPr="00DF3EFC" w:rsidRDefault="00DF3EFC" w:rsidP="00DF3EFC">
            <w:pPr>
              <w:pStyle w:val="Normal6a"/>
            </w:pPr>
            <w:r w:rsidRPr="00DF3EFC">
              <w:t>1.</w:t>
            </w:r>
            <w:r w:rsidRPr="00DF3EFC">
              <w:tab/>
              <w:t>En DLT-MTF-plattform ska omfattas av alla de krav som är tillämpliga på en multilateral handelsplattform enligt direktiv 2014/65/EU</w:t>
            </w:r>
            <w:r w:rsidRPr="00DF3EFC">
              <w:rPr>
                <w:b/>
                <w:i/>
              </w:rPr>
              <w:t>, utom i förhållande till ett undantag som beviljas i enlighet med punkt 1a (ny),</w:t>
            </w:r>
            <w:r w:rsidRPr="00DF3EFC">
              <w:t xml:space="preserve"> och förordning (EU) nr 600/2014, </w:t>
            </w:r>
            <w:r w:rsidRPr="00DF3EFC">
              <w:rPr>
                <w:b/>
                <w:i/>
              </w:rPr>
              <w:t>och dessutom</w:t>
            </w:r>
            <w:r w:rsidRPr="00DF3EFC">
              <w:t xml:space="preserve"> det värdepappersföretag eller den marknadsoperatör som driver DLT-MTF-plattformen</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Förtydligar att alla krav gäller med ett möjligt undantag från Mifid som nämns i följande punkt.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301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1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lastRenderedPageBreak/>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 xml:space="preserve">En DLT-MTF-plattform ska omfattas av alla de krav som är tillämpliga på en multilateral handelsplattform enligt direktiv 2014/65/EU </w:t>
            </w:r>
            <w:r w:rsidRPr="00DF3EFC">
              <w:rPr>
                <w:b/>
                <w:i/>
              </w:rPr>
              <w:t>och</w:t>
            </w:r>
            <w:r w:rsidRPr="00DF3EFC">
              <w:t xml:space="preserve"> förordning (EU) nr 600/2014, utom i det fall det värdepappersföretag eller den marknadsoperatör som driver DLT-MTF-plattformen</w:t>
            </w:r>
          </w:p>
        </w:tc>
        <w:tc>
          <w:tcPr>
            <w:tcW w:w="4876" w:type="dxa"/>
          </w:tcPr>
          <w:p w:rsidR="00DF3EFC" w:rsidRPr="00DF3EFC" w:rsidRDefault="00DF3EFC" w:rsidP="00DF3EFC">
            <w:pPr>
              <w:pStyle w:val="Normal6a"/>
            </w:pPr>
            <w:r w:rsidRPr="00DF3EFC">
              <w:t>1.</w:t>
            </w:r>
            <w:r w:rsidRPr="00DF3EFC">
              <w:tab/>
              <w:t>En DLT-MTF-plattform ska omfattas av alla de krav som är tillämpliga på en multilateral handelsplattform enligt direktiv 2014/65/EU</w:t>
            </w:r>
            <w:r w:rsidRPr="00DF3EFC">
              <w:rPr>
                <w:b/>
                <w:i/>
              </w:rPr>
              <w:t>,</w:t>
            </w:r>
            <w:r w:rsidRPr="00DF3EFC">
              <w:t xml:space="preserve"> förordning (EU) nr 600/2014</w:t>
            </w:r>
            <w:r w:rsidRPr="00DF3EFC">
              <w:rPr>
                <w:b/>
                <w:i/>
              </w:rPr>
              <w:t xml:space="preserve"> eller någon annan tillämplig unionslagstiftning om finansiella tjänster</w:t>
            </w:r>
            <w:r w:rsidRPr="00DF3EFC">
              <w:t>, utom i det fall det värdepappersföretag eller den marknadsoperatör som driver DLT-MTF-plattformen</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302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1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En DLT-MTF-plattform ska omfattas av alla de krav som är tillämpliga på en multilateral handelsplattform enligt direktiv 2014/65/EU och förordning (EU) nr 600/2014, utom i det fall det värdepappersföretag eller den marknadsoperatör som driver DLT-MTF-plattformen</w:t>
            </w:r>
          </w:p>
        </w:tc>
        <w:tc>
          <w:tcPr>
            <w:tcW w:w="4876" w:type="dxa"/>
          </w:tcPr>
          <w:p w:rsidR="00DF3EFC" w:rsidRPr="00DF3EFC" w:rsidRDefault="00DF3EFC" w:rsidP="00DF3EFC">
            <w:pPr>
              <w:pStyle w:val="Normal6a"/>
            </w:pPr>
            <w:r w:rsidRPr="00DF3EFC">
              <w:t>1.</w:t>
            </w:r>
            <w:r w:rsidRPr="00DF3EFC">
              <w:tab/>
              <w:t xml:space="preserve">En DLT-MTF-plattform </w:t>
            </w:r>
            <w:r w:rsidRPr="00DF3EFC">
              <w:rPr>
                <w:b/>
                <w:i/>
              </w:rPr>
              <w:t>och dess operatör</w:t>
            </w:r>
            <w:r w:rsidRPr="00DF3EFC">
              <w:t xml:space="preserve"> ska omfattas av alla de krav som är tillämpliga på en multilateral handelsplattform enligt direktiv 2014/65/EU och förordning (EU) nr 600/2014, utom i det fall det värdepappersföretag eller den marknadsoperatör som driver DLT-MTF-plattformen</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Vissa krav är tillämpliga på operatören av marknadsinfrastrukturen.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303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1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lastRenderedPageBreak/>
              <w:t>1.</w:t>
            </w:r>
            <w:r w:rsidRPr="00DF3EFC">
              <w:tab/>
              <w:t xml:space="preserve">En DLT-MTF-plattform ska omfattas av alla de krav som är tillämpliga på en multilateral handelsplattform enligt direktiv 2014/65/EU och förordning (EU) nr 600/2014, utom i det fall </w:t>
            </w:r>
            <w:r w:rsidRPr="00DF3EFC">
              <w:rPr>
                <w:b/>
                <w:i/>
              </w:rPr>
              <w:t>det värdepappersföretag eller den marknadsoperatör</w:t>
            </w:r>
            <w:r w:rsidRPr="00DF3EFC">
              <w:t xml:space="preserve"> som driver DLT-MTF-plattformen</w:t>
            </w:r>
          </w:p>
        </w:tc>
        <w:tc>
          <w:tcPr>
            <w:tcW w:w="4876" w:type="dxa"/>
          </w:tcPr>
          <w:p w:rsidR="00DF3EFC" w:rsidRPr="00DF3EFC" w:rsidRDefault="00DF3EFC" w:rsidP="00DF3EFC">
            <w:pPr>
              <w:pStyle w:val="Normal6a"/>
            </w:pPr>
            <w:r w:rsidRPr="00DF3EFC">
              <w:t>1.</w:t>
            </w:r>
            <w:r w:rsidRPr="00DF3EFC">
              <w:tab/>
              <w:t xml:space="preserve">En DLT-MTF-plattform ska omfattas av alla de krav som är tillämpliga på en multilateral handelsplattform enligt direktiv 2014/65/EU och förordning (EU) nr 600/2014, utom i det fall </w:t>
            </w:r>
            <w:r w:rsidRPr="00DF3EFC">
              <w:rPr>
                <w:b/>
                <w:i/>
              </w:rPr>
              <w:t>den enhet</w:t>
            </w:r>
            <w:r w:rsidRPr="00DF3EFC">
              <w:t xml:space="preserve"> som driver DLT-MTF-plattformen</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304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1 – led a</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(a)</w:t>
            </w:r>
            <w:r w:rsidRPr="00DF3EFC">
              <w:tab/>
            </w:r>
            <w:r w:rsidRPr="00DF3EFC">
              <w:rPr>
                <w:b/>
                <w:i/>
              </w:rPr>
              <w:t>har begärt ett undantag i enlighet med artikel 2 eller direktiv (EU) .../...</w:t>
            </w:r>
            <w:r w:rsidRPr="00DF3EFC">
              <w:rPr>
                <w:rStyle w:val="SupBoldItalic"/>
              </w:rPr>
              <w:t>53</w:t>
            </w:r>
            <w:r w:rsidRPr="00DF3EFC">
              <w:rPr>
                <w:b/>
                <w:i/>
              </w:rPr>
              <w:t xml:space="preserve"> och detta undantag har beviljats av den behöriga myndighet som beviljat det specifika tillståndet i enlighet med artikel 7, och</w:t>
            </w:r>
          </w:p>
        </w:tc>
        <w:tc>
          <w:tcPr>
            <w:tcW w:w="4876" w:type="dxa"/>
          </w:tcPr>
          <w:p w:rsidR="00DF3EFC" w:rsidRPr="00DF3EFC" w:rsidRDefault="00DF3EFC" w:rsidP="00DF3EFC">
            <w:pPr>
              <w:pStyle w:val="Normal6a"/>
            </w:pPr>
            <w:r w:rsidRPr="00DF3EFC">
              <w:rPr>
                <w:b/>
                <w:i/>
              </w:rPr>
              <w:t>utgår</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p>
        </w:tc>
      </w:tr>
      <w:tr w:rsidR="00DF3EFC" w:rsidRPr="00DF3EFC" w:rsidTr="00DF3EFC">
        <w:trPr>
          <w:jc w:val="center"/>
        </w:trPr>
        <w:tc>
          <w:tcPr>
            <w:tcW w:w="4876" w:type="dxa"/>
          </w:tcPr>
          <w:p w:rsidR="00DF3EFC" w:rsidRPr="00DF3EFC" w:rsidRDefault="00DF3EFC" w:rsidP="00DF3EFC">
            <w:pPr>
              <w:pStyle w:val="Normal6a"/>
            </w:pPr>
            <w:r w:rsidRPr="00DF3EFC">
              <w:rPr>
                <w:rStyle w:val="SupBoldItalic"/>
              </w:rPr>
              <w:t>53</w:t>
            </w:r>
            <w:r w:rsidRPr="00DF3EFC">
              <w:t xml:space="preserve"> </w:t>
            </w:r>
            <w:r w:rsidRPr="00DF3EFC">
              <w:rPr>
                <w:b/>
                <w:i/>
              </w:rPr>
              <w:t>Förslag till Europaparlamentets och rådets direktiv om ändring av direktiven 2006/43/EG, 2009/65/EG, 2009/138/EU, 2011/61/EU, EU/2013/36, 2014/65/EU, (EU) 2015/2366 och EU/2016/2341 - COM(2020)596 - - COM(2020)596.</w:t>
            </w:r>
          </w:p>
        </w:tc>
        <w:tc>
          <w:tcPr>
            <w:tcW w:w="4876" w:type="dxa"/>
          </w:tcPr>
          <w:p w:rsidR="00DF3EFC" w:rsidRPr="00DF3EFC" w:rsidRDefault="00DF3EFC" w:rsidP="00DF3EFC">
            <w:pPr>
              <w:pStyle w:val="Normal6a"/>
            </w:pP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305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lastRenderedPageBreak/>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1a (ny)</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1a.</w:t>
            </w:r>
            <w:r w:rsidRPr="00DF3EFC">
              <w:tab/>
            </w:r>
            <w:r w:rsidRPr="00DF3EFC">
              <w:rPr>
                <w:b/>
                <w:i/>
              </w:rPr>
              <w:t>Ett värdepappersföretag eller en marknadsoperatör som driver en DLT-MTF-plattform kan på egen begäran undantas av Esma från tillämpningen av artikel 19 i direktiv 2014/65/EU (Mifid) och får enligt de regler som styr åtkomst som avses i artikel 18.3 i direktiv 2014/65/EU (Mifid) och i högst fyra år, ha tillstånd att ge fysiska personer tillträde till DLT-MTF-plattformen som medlemmar eller deltagare, förutsatt att dessa personer uppfyller följande krav:</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(a) de har tillräckligt god vandel och är lämpliga,</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(b) de har tillräcklig handelsförmåga, kompetens och erfarenhet, inklusive kunskap om handeln och drift av teknik för distribuerade liggare, och</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(c) de har gett sitt informerade samtycke till att omfattas av pilotordningen och har fått tillräcklig information om pilotordningens experimentella natur och de potentiella risker som är förknippade med den.</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Om Esma beviljar det undantag som avses i första stycket kan det föreskriva ytterligare åtgärder för investerarskydd för skydd av fysiska personer som tillåts som medlemmar av eller deltagare i DLT-MTF-plattformen. Sådana åtgärder ska stå i proportion till deltagarnas eller medlemmarnas riskprofil.</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Undantaget från Mifid i denna förordning förs i stället in via en ad hoc-ändring av Mifid.</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306</w:t>
      </w:r>
      <w:r w:rsidRPr="00DF3EFC">
        <w:rPr>
          <w:rStyle w:val="HideTWBExt"/>
          <w:b w:val="0"/>
        </w:rPr>
        <w:t>&lt;/NumAmB&gt;</w:t>
      </w:r>
    </w:p>
    <w:p w:rsidR="00DF3EFC" w:rsidRPr="00DF3EFC" w:rsidRDefault="00DF3EFC" w:rsidP="00DF3EFC">
      <w:pPr>
        <w:pStyle w:val="NormalBold"/>
      </w:pPr>
      <w:r w:rsidRPr="00DF3EFC">
        <w:rPr>
          <w:rStyle w:val="HideTWBExt"/>
          <w:b w:val="0"/>
        </w:rPr>
        <w:lastRenderedPageBreak/>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1b (ny)</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1b.</w:t>
            </w:r>
            <w:r w:rsidRPr="00DF3EFC">
              <w:tab/>
            </w:r>
            <w:r w:rsidRPr="00DF3EFC">
              <w:rPr>
                <w:b/>
                <w:i/>
              </w:rPr>
              <w:t>Esma ska utarbeta förslag till tekniska standarder för tillsyn i syfte att fastställa</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(a) kriterierna för att bedöma lämpligheten för fysiska personer avseende penningtvätt och bekämpning av finansiering av terrorism,</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(b) kriterierna för att bedöma den förmåga, kompetens och erfarenhet som krävs enligt artiklarna 4.1a och 5.4,</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(c) de åtgärder för investerarskydd som avses i artikel 4.1.</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Esma ska överlämna dessa förslag till tekniska standarder för tillsyn till kommissionen senast [sex månader från dagen för denna förordnings ikraftträdande].</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Kommissionen ges befogenhet att anta de rättsliga tekniska standarder som avses i första stycket i enlighet med artikel 15 i förordning (EU) nr 1095/2010.</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307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2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w:t>
            </w:r>
            <w:r w:rsidRPr="00DF3EFC">
              <w:tab/>
            </w:r>
            <w:r w:rsidRPr="00DF3EFC">
              <w:rPr>
                <w:b/>
                <w:i/>
              </w:rPr>
              <w:t>Ett värdepappersföretag eller en marknadsoperatör</w:t>
            </w:r>
            <w:r w:rsidRPr="00DF3EFC">
              <w:t xml:space="preserve"> som driver en DLT-MTF-plattform kan om den så begär få tillstånd att ta upp DLT-överlåtbara värdepapper till handel som inte är </w:t>
            </w:r>
            <w:r w:rsidRPr="00DF3EFC">
              <w:lastRenderedPageBreak/>
              <w:t xml:space="preserve">registrerade hos en värdepapperscentral i enlighet med artikel 3.2 i förordning (EU) 909/2014, utan i stället är registrerade </w:t>
            </w:r>
            <w:r w:rsidRPr="00DF3EFC">
              <w:rPr>
                <w:b/>
                <w:i/>
              </w:rPr>
              <w:t xml:space="preserve">i DLT-MTF-plattformens </w:t>
            </w:r>
            <w:r w:rsidRPr="00DF3EFC">
              <w:t>distribuerade liggare.</w:t>
            </w:r>
          </w:p>
        </w:tc>
        <w:tc>
          <w:tcPr>
            <w:tcW w:w="4876" w:type="dxa"/>
          </w:tcPr>
          <w:p w:rsidR="00DF3EFC" w:rsidRPr="00DF3EFC" w:rsidRDefault="00DF3EFC" w:rsidP="00DF3EFC">
            <w:pPr>
              <w:pStyle w:val="Normal6a"/>
            </w:pPr>
            <w:r w:rsidRPr="00DF3EFC">
              <w:lastRenderedPageBreak/>
              <w:t>2.</w:t>
            </w:r>
            <w:r w:rsidRPr="00DF3EFC">
              <w:tab/>
            </w:r>
            <w:r w:rsidRPr="00DF3EFC">
              <w:rPr>
                <w:b/>
                <w:i/>
              </w:rPr>
              <w:t xml:space="preserve">En enhet </w:t>
            </w:r>
            <w:r w:rsidRPr="00DF3EFC">
              <w:t xml:space="preserve">som driver en DLT-MTF-plattform kan om den så begär få tillstånd att ta upp DLT-överlåtbara värdepapper till handel som inte är registrerade hos en värdepapperscentral i enlighet med artikel </w:t>
            </w:r>
            <w:r w:rsidRPr="00DF3EFC">
              <w:lastRenderedPageBreak/>
              <w:t xml:space="preserve">3.2 i förordning (EU) 909/2014, utan i stället är registrerade i </w:t>
            </w:r>
            <w:r w:rsidRPr="00DF3EFC">
              <w:rPr>
                <w:b/>
                <w:i/>
              </w:rPr>
              <w:t>den</w:t>
            </w:r>
            <w:r w:rsidRPr="00DF3EFC">
              <w:t xml:space="preserve"> distribuerade liggare </w:t>
            </w:r>
            <w:r w:rsidRPr="00DF3EFC">
              <w:rPr>
                <w:b/>
                <w:i/>
              </w:rPr>
              <w:t>som används av DLT-MTF-plattformen</w:t>
            </w:r>
            <w:r w:rsidRPr="00DF3EFC">
              <w:t>.</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 och tekniskt neutral i förhållande till privat och offentlig teknik för distribuerade liggare.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308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2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2.</w:t>
            </w:r>
            <w:r w:rsidRPr="00DF3EFC">
              <w:tab/>
              <w:t xml:space="preserve">Ett värdepappersföretag eller en marknadsoperatör som driver en DLT-MTF-plattform kan om den så begär få tillstånd att ta upp DLT-överlåtbara värdepapper till handel som inte är registrerade hos en värdepapperscentral i enlighet med artikel 3.2 i förordning (EU) 909/2014, utan i stället är registrerade i </w:t>
            </w:r>
            <w:r w:rsidRPr="00DF3EFC">
              <w:rPr>
                <w:b/>
                <w:i/>
              </w:rPr>
              <w:t>DLT-MTF-plattformens</w:t>
            </w:r>
            <w:r w:rsidRPr="00DF3EFC">
              <w:t xml:space="preserve"> distribuerade liggare.</w:t>
            </w:r>
          </w:p>
        </w:tc>
        <w:tc>
          <w:tcPr>
            <w:tcW w:w="4876" w:type="dxa"/>
          </w:tcPr>
          <w:p w:rsidR="00DF3EFC" w:rsidRPr="00DF3EFC" w:rsidRDefault="00DF3EFC" w:rsidP="00DF3EFC">
            <w:pPr>
              <w:pStyle w:val="Normal6a"/>
            </w:pPr>
            <w:r w:rsidRPr="00DF3EFC">
              <w:t>2.</w:t>
            </w:r>
            <w:r w:rsidRPr="00DF3EFC">
              <w:tab/>
              <w:t xml:space="preserve">Ett värdepappersföretag eller en marknadsoperatör som driver en DLT-MTF-plattform kan om den så begär få tillstånd att ta upp DLT-överlåtbara värdepapper till handel som inte är registrerade hos en värdepapperscentral i enlighet med artikel 3.2 i förordning (EU) 909/2014, utan i stället är registrerade i </w:t>
            </w:r>
            <w:r w:rsidRPr="00DF3EFC">
              <w:rPr>
                <w:b/>
                <w:i/>
              </w:rPr>
              <w:t>den</w:t>
            </w:r>
            <w:r w:rsidRPr="00DF3EFC">
              <w:t xml:space="preserve"> distribuerade liggare</w:t>
            </w:r>
            <w:r w:rsidRPr="00DF3EFC">
              <w:rPr>
                <w:b/>
                <w:i/>
              </w:rPr>
              <w:t xml:space="preserve"> som används av DLT-MTF-plattformen</w:t>
            </w:r>
            <w:r w:rsidRPr="00DF3EFC">
              <w: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309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2 – stycke 1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rPr>
                <w:b/>
                <w:i/>
              </w:rPr>
              <w:t xml:space="preserve">Ett värdepappersföretag eller en marknadsoperatör </w:t>
            </w:r>
            <w:r w:rsidRPr="00DF3EFC">
              <w:t xml:space="preserve">som begär ett undantag i enlighet med punkt 1 ska föreslå </w:t>
            </w:r>
            <w:r w:rsidRPr="00DF3EFC">
              <w:lastRenderedPageBreak/>
              <w:t>kompensationsåtgärder för att uppfylla målen för de bestämmelser från vilka ett undantag begärs och säkerställa åtminstone följande:</w:t>
            </w:r>
          </w:p>
        </w:tc>
        <w:tc>
          <w:tcPr>
            <w:tcW w:w="4876" w:type="dxa"/>
          </w:tcPr>
          <w:p w:rsidR="00DF3EFC" w:rsidRPr="00DF3EFC" w:rsidRDefault="00DF3EFC" w:rsidP="00DF3EFC">
            <w:pPr>
              <w:pStyle w:val="Normal6a"/>
            </w:pPr>
            <w:r w:rsidRPr="00DF3EFC">
              <w:rPr>
                <w:b/>
                <w:i/>
              </w:rPr>
              <w:lastRenderedPageBreak/>
              <w:t>En enhet</w:t>
            </w:r>
            <w:r w:rsidRPr="00DF3EFC">
              <w:t xml:space="preserve"> som begär ett undantag i enlighet med punkt 1 ska föreslå kompensationsåtgärder för att uppfylla </w:t>
            </w:r>
            <w:r w:rsidRPr="00DF3EFC">
              <w:lastRenderedPageBreak/>
              <w:t>målen för de bestämmelser från vilka ett undantag begärs och säkerställa åtminstone följande: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310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2 – stycke 1 – led c</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(c)</w:t>
            </w:r>
            <w:r w:rsidRPr="00DF3EFC">
              <w:tab/>
              <w:t>Att DLT-MTF-plattformen för ett register som gör det möjligt för</w:t>
            </w:r>
            <w:r w:rsidRPr="00DF3EFC">
              <w:rPr>
                <w:b/>
                <w:i/>
              </w:rPr>
              <w:t xml:space="preserve"> det värdepappersföretag eller den marknadsoperatör</w:t>
            </w:r>
            <w:r w:rsidRPr="00DF3EFC">
              <w:t xml:space="preserve"> som driver DLT-MTF-plattformen att utan dröjsmål vid varje givet tillfälle segregera en medlems, deltagares, emittents eller kunds DLT-överlåtbara värdepapper från varje annan medlems, deltagares, emittents och kunds DLT-överlåtbara värdepapper.</w:t>
            </w:r>
          </w:p>
        </w:tc>
        <w:tc>
          <w:tcPr>
            <w:tcW w:w="4876" w:type="dxa"/>
          </w:tcPr>
          <w:p w:rsidR="00DF3EFC" w:rsidRPr="00DF3EFC" w:rsidRDefault="00DF3EFC" w:rsidP="00DF3EFC">
            <w:pPr>
              <w:pStyle w:val="Normal6a"/>
            </w:pPr>
            <w:r w:rsidRPr="00DF3EFC">
              <w:t>(c)</w:t>
            </w:r>
            <w:r w:rsidRPr="00DF3EFC">
              <w:tab/>
              <w:t xml:space="preserve">Att DLT-MTF-plattformen för ett register som gör det möjligt för </w:t>
            </w:r>
            <w:r w:rsidRPr="00DF3EFC">
              <w:rPr>
                <w:b/>
                <w:i/>
              </w:rPr>
              <w:t>den enhet</w:t>
            </w:r>
            <w:r w:rsidRPr="00DF3EFC">
              <w:t xml:space="preserve"> som driver DLT-MTF-plattformen att utan dröjsmål vid varje givet tillfälle segregera en medlems, deltagares, emittents eller kunds DLT-överlåtbara värdepapper från varje annan medlems, deltagares, emittents och kunds DLT-överlåtbara värdepapper.</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311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2 – stycke 1 – led ca (nytt)</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(ca)</w:t>
            </w:r>
            <w:r w:rsidRPr="00DF3EFC">
              <w:tab/>
            </w:r>
            <w:r w:rsidRPr="00DF3EFC">
              <w:rPr>
                <w:b/>
                <w:i/>
              </w:rPr>
              <w:t xml:space="preserve">Att DLT-MTF-plattformens verksamhet inte påverkar verksamheten </w:t>
            </w:r>
            <w:r w:rsidRPr="00DF3EFC">
              <w:rPr>
                <w:b/>
                <w:i/>
              </w:rPr>
              <w:lastRenderedPageBreak/>
              <w:t>eller robustheten på någon annan MTF-plattform som drivs av operatören av DLT-MTF-plattformen, exempelvis om en eller flera enheter deltar i både en vanlig MTF-plattform och en DLT-MTF-plattform som drivs av samma operatör. Under sådana omständigheter ska DLT-MTF-plattformen tydligt förklara de risker för insolvens och slutgiltig avveckling som dess deltagare är exponerade för, samt eventuella åtgärder som har införts för att minska dessa risker.</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 föreslås att den andra anmärkningen i punkt 3.4 i ”ECB:s yttrande om DLT-pilotordningen” av den 28 april införlivas för att tillhandahålla ”öronmärkning” av DLT-MTF-plattformar om deras operatör även driver andra MTF-plattformar.</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312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2 – stycke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 xml:space="preserve">Om DLT-MTF-plattformen inte gjort någon begäran om undantag i enlighet med första stycket ska de DLT-överlåtbara värdepappren antingen registreras i kontobaserad form hos en värdepapperscentral eller </w:t>
            </w:r>
            <w:r w:rsidRPr="00DF3EFC">
              <w:rPr>
                <w:b/>
                <w:i/>
              </w:rPr>
              <w:t>i tekniken för</w:t>
            </w:r>
            <w:r w:rsidRPr="00DF3EFC">
              <w:t xml:space="preserve"> distribuerade liggare </w:t>
            </w:r>
            <w:r w:rsidRPr="00DF3EFC">
              <w:rPr>
                <w:b/>
                <w:i/>
              </w:rPr>
              <w:t>hos</w:t>
            </w:r>
            <w:r w:rsidRPr="00DF3EFC">
              <w:t xml:space="preserve"> en värdepapperscentral som driver ett DLT-värdepappersavvecklingssystem.</w:t>
            </w:r>
          </w:p>
        </w:tc>
        <w:tc>
          <w:tcPr>
            <w:tcW w:w="4876" w:type="dxa"/>
          </w:tcPr>
          <w:p w:rsidR="00DF3EFC" w:rsidRPr="00DF3EFC" w:rsidRDefault="00DF3EFC" w:rsidP="00DF3EFC">
            <w:pPr>
              <w:pStyle w:val="Normal6a"/>
            </w:pPr>
            <w:r w:rsidRPr="00DF3EFC">
              <w:t xml:space="preserve">Om DLT-MTF-plattformen inte gjort någon begäran om undantag i enlighet med första stycket ska de DLT-överlåtbara värdepappren antingen registreras i kontobaserad form hos en värdepapperscentral eller </w:t>
            </w:r>
            <w:r w:rsidRPr="00DF3EFC">
              <w:rPr>
                <w:b/>
                <w:i/>
              </w:rPr>
              <w:t>på en</w:t>
            </w:r>
            <w:r w:rsidRPr="00DF3EFC">
              <w:t xml:space="preserve"> distribuerade liggare </w:t>
            </w:r>
            <w:r w:rsidRPr="00DF3EFC">
              <w:rPr>
                <w:b/>
                <w:i/>
              </w:rPr>
              <w:t>som används av</w:t>
            </w:r>
            <w:r w:rsidRPr="00DF3EFC">
              <w:t xml:space="preserve"> en värdepapperscentral som driver ett DLT-värdepappersavvecklingssystem.</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313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lastRenderedPageBreak/>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2 – stycke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Om DLT-MTF-plattformen inte gjort någon begäran om undantag i enlighet med första stycket ska de DLT-överlåtbara värdepappren antingen registreras i kontobaserad form hos en värdepapperscentral eller i tekniken för distribuerade liggare hos en värdepapperscentral som driver ett DLT-värdepappersavvecklingssystem.</w:t>
            </w:r>
          </w:p>
        </w:tc>
        <w:tc>
          <w:tcPr>
            <w:tcW w:w="4876" w:type="dxa"/>
          </w:tcPr>
          <w:p w:rsidR="00DF3EFC" w:rsidRPr="00DF3EFC" w:rsidRDefault="00DF3EFC" w:rsidP="00DF3EFC">
            <w:pPr>
              <w:pStyle w:val="Normal6a"/>
            </w:pPr>
            <w:r w:rsidRPr="00DF3EFC">
              <w:t xml:space="preserve">Om </w:t>
            </w:r>
            <w:r w:rsidRPr="00DF3EFC">
              <w:rPr>
                <w:b/>
                <w:i/>
              </w:rPr>
              <w:t>operatören av</w:t>
            </w:r>
            <w:r w:rsidRPr="00DF3EFC">
              <w:t xml:space="preserve"> DLT-MTF-plattformen inte gjort någon begäran om undantag i enlighet med första stycket ska de DLT-överlåtbara värdepappren antingen registreras i kontobaserad form hos en värdepapperscentral eller i tekniken för distribuerade liggare hos en värdepapperscentral som driver ett DLT-värdepappersavvecklingssystem.</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Begäran om undantag görs av operatören av DLT-MTF-plattformen i första stycket (och inte DLT-MTF-plattformen).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314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t>Om det värdepappersföretag eller den DLT-MTF-plattform som begärt ett</w:t>
            </w:r>
            <w:r w:rsidRPr="00DF3EFC">
              <w:rPr>
                <w:b/>
                <w:i/>
              </w:rPr>
              <w:t xml:space="preserve"> undantag</w:t>
            </w:r>
            <w:r w:rsidRPr="00DF3EFC">
              <w:t xml:space="preserve"> i enlighet med punkt 2 ska det genom robusta förfaranden och arrangemang </w:t>
            </w:r>
            <w:r w:rsidRPr="00DF3EFC">
              <w:rPr>
                <w:b/>
                <w:i/>
              </w:rPr>
              <w:t xml:space="preserve">säkerställas </w:t>
            </w:r>
            <w:r w:rsidRPr="00DF3EFC">
              <w:t>att DLT-MTF-plattformen</w:t>
            </w:r>
          </w:p>
        </w:tc>
        <w:tc>
          <w:tcPr>
            <w:tcW w:w="4876" w:type="dxa"/>
          </w:tcPr>
          <w:p w:rsidR="00DF3EFC" w:rsidRPr="00DF3EFC" w:rsidRDefault="00DF3EFC" w:rsidP="00DF3EFC">
            <w:pPr>
              <w:pStyle w:val="Normal6a"/>
            </w:pPr>
            <w:r w:rsidRPr="00DF3EFC">
              <w:t>3.</w:t>
            </w:r>
            <w:r w:rsidRPr="00DF3EFC">
              <w:tab/>
              <w:t>Om det värdepappersföretag eller den DLT-MTF-plattform som begärt ett</w:t>
            </w:r>
            <w:r w:rsidRPr="00DF3EFC">
              <w:rPr>
                <w:b/>
                <w:i/>
              </w:rPr>
              <w:t xml:space="preserve"> tillstånd</w:t>
            </w:r>
            <w:r w:rsidRPr="00DF3EFC">
              <w:t xml:space="preserve"> i enlighet med punkt 2 ska det </w:t>
            </w:r>
            <w:r w:rsidRPr="00DF3EFC">
              <w:rPr>
                <w:b/>
                <w:i/>
              </w:rPr>
              <w:t>säkerställa efterlevnad av alla krav som gäller för en värdepapperscentral som driver en DLT-plattform enligt förordning (EU) nr 909/2014 på ett sätt som står i proportion till sin verksamhets art, omfattning och risker och</w:t>
            </w:r>
            <w:r w:rsidRPr="00DF3EFC">
              <w:t xml:space="preserve"> genom robusta förfaranden och arrangemang</w:t>
            </w:r>
            <w:r w:rsidRPr="00DF3EFC">
              <w:rPr>
                <w:b/>
                <w:i/>
              </w:rPr>
              <w:t xml:space="preserve"> säkerställa </w:t>
            </w:r>
            <w:r w:rsidRPr="00DF3EFC">
              <w:t>att DLT-MTF-plattformen</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lastRenderedPageBreak/>
        <w:t>&lt;TitreJust&gt;</w:t>
      </w:r>
      <w:r w:rsidRPr="00DF3EFC">
        <w:t>Motivering</w:t>
      </w:r>
      <w:r w:rsidRPr="00DF3EFC">
        <w:rPr>
          <w:rStyle w:val="HideTWBExt"/>
          <w:i w:val="0"/>
        </w:rPr>
        <w:t>&lt;/TitreJust&gt;</w:t>
      </w:r>
    </w:p>
    <w:p w:rsidR="00DF3EFC" w:rsidRPr="00DF3EFC" w:rsidRDefault="00DF3EFC" w:rsidP="00DF3EFC">
      <w:pPr>
        <w:pStyle w:val="AmJustText"/>
      </w:pPr>
      <w:r w:rsidRPr="00DF3EFC">
        <w:t>För att säkerställa lämplig anpassning till de skyddsåtgärder som tillämpas på värdepapperscentralers tjänster enligt unionslagstiftningen och bevara lika villkor mellan olika DLT-marknadsinfrastrukturer. Se även ECB:s yttrande.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315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3.</w:t>
            </w:r>
            <w:r w:rsidRPr="00DF3EFC">
              <w:tab/>
              <w:t xml:space="preserve">Om </w:t>
            </w:r>
            <w:r w:rsidRPr="00DF3EFC">
              <w:rPr>
                <w:b/>
                <w:i/>
              </w:rPr>
              <w:t>det värdepappersföretag eller den DLT-MTF-plattform</w:t>
            </w:r>
            <w:r w:rsidRPr="00DF3EFC">
              <w:t xml:space="preserve"> som begärt ett undantag i enlighet med punkt 2 ska det genom robusta förfaranden och arrangemang säkerställas att DLT-MTF-plattformen</w:t>
            </w:r>
          </w:p>
        </w:tc>
        <w:tc>
          <w:tcPr>
            <w:tcW w:w="4876" w:type="dxa"/>
          </w:tcPr>
          <w:p w:rsidR="00DF3EFC" w:rsidRPr="00DF3EFC" w:rsidRDefault="00DF3EFC" w:rsidP="00DF3EFC">
            <w:pPr>
              <w:pStyle w:val="Normal6a"/>
            </w:pPr>
            <w:r w:rsidRPr="00DF3EFC">
              <w:t>3.</w:t>
            </w:r>
            <w:r w:rsidRPr="00DF3EFC">
              <w:tab/>
              <w:t xml:space="preserve">Om </w:t>
            </w:r>
            <w:r w:rsidRPr="00DF3EFC">
              <w:rPr>
                <w:b/>
                <w:i/>
              </w:rPr>
              <w:t>den enhet</w:t>
            </w:r>
            <w:r w:rsidRPr="00DF3EFC">
              <w:t xml:space="preserve"> som begärt ett undantag i enlighet med punkt 2 ska det genom robusta förfaranden och arrangemang säkerställas att DLT-MTF-plattformen</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316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Johan Van Overtveldt</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a</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(a)</w:t>
            </w:r>
            <w:r w:rsidRPr="00DF3EFC">
              <w:tab/>
              <w:t xml:space="preserve">garanterar att antalet DLT-överlåtbara värdepapper i en emission eller en del av en emission, som tas upp till handel av det värdepappersföretag eller den marknadsoperatör som driver </w:t>
            </w:r>
            <w:r w:rsidRPr="00DF3EFC">
              <w:rPr>
                <w:b/>
                <w:i/>
              </w:rPr>
              <w:t>DLT-MTF-plattformen</w:t>
            </w:r>
            <w:r w:rsidRPr="00DF3EFC">
              <w:t xml:space="preserve">, är lika stort som det totala antalet DLT-överlåtbara värdepapper som utgör denna emission eller denna del av emissionen, som är registrerade på tekniken för distribuerade liggare vid varje </w:t>
            </w:r>
            <w:r w:rsidRPr="00DF3EFC">
              <w:lastRenderedPageBreak/>
              <w:t>givet tillfälle,</w:t>
            </w:r>
          </w:p>
        </w:tc>
        <w:tc>
          <w:tcPr>
            <w:tcW w:w="4876" w:type="dxa"/>
          </w:tcPr>
          <w:p w:rsidR="00DF3EFC" w:rsidRPr="00DF3EFC" w:rsidRDefault="00DF3EFC" w:rsidP="00DF3EFC">
            <w:pPr>
              <w:pStyle w:val="Normal6a"/>
            </w:pPr>
            <w:r w:rsidRPr="00DF3EFC">
              <w:lastRenderedPageBreak/>
              <w:t>(a)</w:t>
            </w:r>
            <w:r w:rsidRPr="00DF3EFC">
              <w:tab/>
              <w:t xml:space="preserve">garanterar </w:t>
            </w:r>
            <w:r w:rsidRPr="00DF3EFC">
              <w:rPr>
                <w:b/>
                <w:i/>
              </w:rPr>
              <w:t>i enlighet med artikel 37.2 och 37.3 i förordning (EU) nr 909/2014</w:t>
            </w:r>
            <w:r w:rsidRPr="00DF3EFC">
              <w:t xml:space="preserve"> att antalet DLT-överlåtbara värdepapper i en emission eller en del av en emission, som tas upp till handel av det värdepappersföretag eller den marknadsoperatör som driver </w:t>
            </w:r>
            <w:r w:rsidRPr="00DF3EFC">
              <w:rPr>
                <w:b/>
                <w:i/>
              </w:rPr>
              <w:t>DLT-TSS-systemet</w:t>
            </w:r>
            <w:r w:rsidRPr="00DF3EFC">
              <w:t xml:space="preserve">, är lika stort som det totala antalet DLT-överlåtbara värdepapper som utgör denna emission eller denna del av emissionen, som är registrerade på </w:t>
            </w:r>
            <w:r w:rsidRPr="00DF3EFC">
              <w:lastRenderedPageBreak/>
              <w:t>tekniken för distribuerade liggare vid varje givet tillfälle,</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Detta ändringsförslag syftar till att beakta ett förslag som har presenterats i ECB:s yttrande. Oron över de olika villkoren som har tagits upp av ECB mellan en DLT-MTF-plattform som tillhandahåller centrala tjänster för en värdepapperscentral och ett DLT-TSS-system hanteras genom införandet av DLT-TSS-konceptet. Det är dock relevant att klargöra ytterligare i denna artikel att kraven på tillhandahållande av centrala tjänster för värdepapperscentraler av en operatör av en DLT-marknadsinfrastruktur bör anpassas efter de relevanta bestämmelserna i förordning (EU) nr 909/2014.</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317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Jonás Fernández, Eero Heinäluoma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a</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(a)</w:t>
            </w:r>
            <w:r w:rsidRPr="00DF3EFC">
              <w:tab/>
              <w:t>garanterar att antalet DLT-överlåtbara värdepapper i en emission eller en del av en emission, som tas upp till handel av det värdepappersföretag eller den marknadsoperatör som driver DLT-MTF-plattformen, är lika stort som det totala antalet DLT-överlåtbara värdepapper som utgör denna emission eller denna del av emissionen, som är registrerade på tekniken för distribuerade liggare vid varje givet tillfälle,</w:t>
            </w:r>
          </w:p>
        </w:tc>
        <w:tc>
          <w:tcPr>
            <w:tcW w:w="4876" w:type="dxa"/>
          </w:tcPr>
          <w:p w:rsidR="00DF3EFC" w:rsidRPr="00DF3EFC" w:rsidRDefault="00DF3EFC" w:rsidP="00DF3EFC">
            <w:pPr>
              <w:pStyle w:val="Normal6a"/>
            </w:pPr>
            <w:r w:rsidRPr="00DF3EFC">
              <w:t>(a)</w:t>
            </w:r>
            <w:r w:rsidRPr="00DF3EFC">
              <w:tab/>
              <w:t xml:space="preserve">garanterar </w:t>
            </w:r>
            <w:r w:rsidRPr="00DF3EFC">
              <w:rPr>
                <w:b/>
                <w:i/>
              </w:rPr>
              <w:t>i enlighet med artikel 37.2 och 37.3 i förordning (EU) nr 909/2014</w:t>
            </w:r>
            <w:r w:rsidRPr="00DF3EFC">
              <w:t xml:space="preserve"> att antalet DLT-överlåtbara värdepapper i en emission eller en del av en emission, som tas upp till handel av det värdepappersföretag eller den marknadsoperatör som driver DLT-MTF-plattformen, är lika stort som det totala antalet DLT-överlåtbara värdepapper som utgör denna emission eller denna del av emissionen, som är registrerade på tekniken för distribuerade liggare vid varje givet tillfälle,</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Enligt ECB:s yttrande.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318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lastRenderedPageBreak/>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a</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(a)</w:t>
            </w:r>
            <w:r w:rsidRPr="00DF3EFC">
              <w:tab/>
              <w:t>garanterar att antalet DLT-överlåtbara värdepapper i en emission eller en del av en emission, som tas upp till handel av</w:t>
            </w:r>
            <w:r w:rsidRPr="00DF3EFC">
              <w:rPr>
                <w:b/>
                <w:i/>
              </w:rPr>
              <w:t xml:space="preserve"> det värdepappersföretag eller den marknadsoperatör</w:t>
            </w:r>
            <w:r w:rsidRPr="00DF3EFC">
              <w:t xml:space="preserve"> som driver DLT-MTF-plattformen, är lika stort som det totala antalet DLT-överlåtbara värdepapper som utgör denna emission eller denna del av emissionen, som är registrerade på tekniken för distribuerade liggare vid varje givet tillfälle,</w:t>
            </w:r>
          </w:p>
        </w:tc>
        <w:tc>
          <w:tcPr>
            <w:tcW w:w="4876" w:type="dxa"/>
          </w:tcPr>
          <w:p w:rsidR="00DF3EFC" w:rsidRPr="00DF3EFC" w:rsidRDefault="00DF3EFC" w:rsidP="00DF3EFC">
            <w:pPr>
              <w:pStyle w:val="Normal6a"/>
            </w:pPr>
            <w:r w:rsidRPr="00DF3EFC">
              <w:t>(a)</w:t>
            </w:r>
            <w:r w:rsidRPr="00DF3EFC">
              <w:tab/>
              <w:t xml:space="preserve">garanterar att antalet DLT-överlåtbara värdepapper i en emission eller en del av en emission, som tas upp till handel av </w:t>
            </w:r>
            <w:r w:rsidRPr="00DF3EFC">
              <w:rPr>
                <w:b/>
                <w:i/>
              </w:rPr>
              <w:t>den enhet</w:t>
            </w:r>
            <w:r w:rsidRPr="00DF3EFC">
              <w:t xml:space="preserve"> som driver DLT-MTF-plattformen, är lika stort som det totala antalet DLT-överlåtbara värdepapper som utgör denna emission eller denna del av emissionen, som är registrerade på tekniken för distribuerade liggare vid varje givet tillfälle,</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319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Johan Van Overtveldt</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d</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(d)</w:t>
            </w:r>
            <w:r w:rsidRPr="00DF3EFC">
              <w:tab/>
              <w:t>tillhandahåller tydlig, korrekt och snabb information angående avvecklingen av transaktioner, inbegripet om slutgiltig avveckling, genom att fastställa den tidpunkt från vilken överföringsuppdrag eller andra i förväg fastställda instruktioner inte längre kan återkallas av en medlem, deltagare, emittent eller kund,</w:t>
            </w:r>
          </w:p>
        </w:tc>
        <w:tc>
          <w:tcPr>
            <w:tcW w:w="4876" w:type="dxa"/>
          </w:tcPr>
          <w:p w:rsidR="00DF3EFC" w:rsidRPr="00DF3EFC" w:rsidRDefault="00DF3EFC" w:rsidP="00DF3EFC">
            <w:pPr>
              <w:pStyle w:val="Normal6a"/>
            </w:pPr>
            <w:r w:rsidRPr="00DF3EFC">
              <w:t>(d)</w:t>
            </w:r>
            <w:r w:rsidRPr="00DF3EFC">
              <w:tab/>
              <w:t xml:space="preserve">tillhandahåller </w:t>
            </w:r>
            <w:r w:rsidRPr="00DF3EFC">
              <w:rPr>
                <w:b/>
                <w:i/>
              </w:rPr>
              <w:t>i enlighet med artikel 39.5 i förordning (EU) nr 909/2014</w:t>
            </w:r>
            <w:r w:rsidRPr="00DF3EFC">
              <w:t xml:space="preserve"> tydlig, korrekt och snabb information angående avvecklingen av transaktioner, inbegripet om slutgiltig avveckling, genom att fastställa den tidpunkt från vilken överföringsuppdrag eller andra i förväg fastställda instruktioner inte längre kan återkallas av en medlem, deltagare, emittent eller kund,</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lastRenderedPageBreak/>
        <w:t>&lt;TitreJust&gt;</w:t>
      </w:r>
      <w:r w:rsidRPr="00DF3EFC">
        <w:t>Motivering</w:t>
      </w:r>
      <w:r w:rsidRPr="00DF3EFC">
        <w:rPr>
          <w:rStyle w:val="HideTWBExt"/>
          <w:i w:val="0"/>
        </w:rPr>
        <w:t>&lt;/TitreJust&gt;</w:t>
      </w:r>
    </w:p>
    <w:p w:rsidR="00DF3EFC" w:rsidRPr="00DF3EFC" w:rsidRDefault="00DF3EFC" w:rsidP="00DF3EFC">
      <w:pPr>
        <w:pStyle w:val="AmJustText"/>
      </w:pPr>
      <w:r w:rsidRPr="00DF3EFC">
        <w:t>Detta ändringsförslag syftar till att beakta ett förslag som har presenterats i ECB:s yttrande. Oron över de olika villkoren som har tagits upp av ECB mellan en DLT-MTF-plattform som tillhandahåller centrala tjänster för en värdepapperscentral och ett DLT-TSS-system hanteras genom införandet av DLT-TSS-konceptet. Det är dock relevant att klargöra ytterligare i denna artikel att kraven på tillhandahållande av centrala tjänster för värdepapperscentraler av en operatör av en DLT-marknadsinfrastruktur bör anpassas efter de relevanta bestämmelserna i förordning (EU) nr 909/2014.</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320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Jonás Fernández, Eero Heinäluoma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d</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(d)</w:t>
            </w:r>
            <w:r w:rsidRPr="00DF3EFC">
              <w:tab/>
              <w:t>tillhandahåller tydlig, korrekt och snabb information angående avvecklingen av transaktioner, inbegripet om slutgiltig avveckling, genom att fastställa den tidpunkt från vilken överföringsuppdrag eller andra i förväg fastställda instruktioner inte längre kan återkallas av en medlem, deltagare, emittent eller kund,</w:t>
            </w:r>
          </w:p>
        </w:tc>
        <w:tc>
          <w:tcPr>
            <w:tcW w:w="4876" w:type="dxa"/>
          </w:tcPr>
          <w:p w:rsidR="00DF3EFC" w:rsidRPr="00DF3EFC" w:rsidRDefault="00DF3EFC" w:rsidP="00DF3EFC">
            <w:pPr>
              <w:pStyle w:val="Normal6a"/>
            </w:pPr>
            <w:r w:rsidRPr="00DF3EFC">
              <w:t>(d)</w:t>
            </w:r>
            <w:r w:rsidRPr="00DF3EFC">
              <w:tab/>
              <w:t xml:space="preserve">tillhandahåller </w:t>
            </w:r>
            <w:r w:rsidRPr="00DF3EFC">
              <w:rPr>
                <w:b/>
                <w:i/>
              </w:rPr>
              <w:t xml:space="preserve">i enlighet med artikel 39.5 i förordning (EU) nr 909/2014 </w:t>
            </w:r>
            <w:r w:rsidRPr="00DF3EFC">
              <w:t>tydlig, korrekt och snabb information angående avvecklingen av transaktioner, inbegripet om slutgiltig avveckling, genom att fastställa den tidpunkt från vilken överföringsuppdrag eller andra i förväg fastställda instruktioner inte längre kan återkallas av en medlem, deltagare, emittent eller kund,</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Enligt ECB:s yttrande.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321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d</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(d)</w:t>
            </w:r>
            <w:r w:rsidRPr="00DF3EFC">
              <w:tab/>
              <w:t xml:space="preserve">tillhandahåller tydlig, korrekt och snabb information angående avvecklingen </w:t>
            </w:r>
            <w:r w:rsidRPr="00DF3EFC">
              <w:lastRenderedPageBreak/>
              <w:t>av transaktioner, inbegripet om slutgiltig avveckling, genom att fastställa den tidpunkt från vilken överföringsuppdrag eller andra i förväg fastställda instruktioner inte längre kan återkallas av en medlem, deltagare, emittent eller kund,</w:t>
            </w:r>
          </w:p>
        </w:tc>
        <w:tc>
          <w:tcPr>
            <w:tcW w:w="4876" w:type="dxa"/>
          </w:tcPr>
          <w:p w:rsidR="00DF3EFC" w:rsidRPr="00DF3EFC" w:rsidRDefault="00DF3EFC" w:rsidP="00DF3EFC">
            <w:pPr>
              <w:pStyle w:val="Normal6a"/>
            </w:pPr>
            <w:r w:rsidRPr="00DF3EFC">
              <w:lastRenderedPageBreak/>
              <w:t>(d)</w:t>
            </w:r>
            <w:r w:rsidRPr="00DF3EFC">
              <w:tab/>
              <w:t xml:space="preserve">tillhandahåller tydlig, korrekt och snabb information angående avvecklingen </w:t>
            </w:r>
            <w:r w:rsidRPr="00DF3EFC">
              <w:lastRenderedPageBreak/>
              <w:t xml:space="preserve">av transaktioner, inbegripet om slutgiltig avveckling, genom att fastställa den tidpunkt från vilken överföringsuppdrag eller andra i förväg fastställda instruktioner inte längre kan återkallas av en medlem, deltagare, emittent eller kund, </w:t>
            </w:r>
            <w:r w:rsidRPr="00DF3EFC">
              <w:rPr>
                <w:b/>
                <w:i/>
              </w:rPr>
              <w:t>i enlighet med artikel 39 i förordning (EU) nr 909/2014,</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322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f – stycke 1</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Avvecklingen av</w:t>
            </w:r>
            <w:r w:rsidRPr="00DF3EFC">
              <w:rPr>
                <w:b/>
                <w:i/>
              </w:rPr>
              <w:t xml:space="preserve"> betalningar </w:t>
            </w:r>
            <w:r w:rsidRPr="00DF3EFC">
              <w:t>kan ske med hjälp av centralbankspengar när så är praktiskt möjligt och tillgängligt eller, när så inte är praktiskt möjligt eller tillgängligt, med hjälp av pengar från kommersiella banker, bland annat i tokeniserad form, eller e-pengartokens.</w:t>
            </w:r>
          </w:p>
        </w:tc>
        <w:tc>
          <w:tcPr>
            <w:tcW w:w="4876" w:type="dxa"/>
          </w:tcPr>
          <w:p w:rsidR="00DF3EFC" w:rsidRPr="00DF3EFC" w:rsidRDefault="00DF3EFC" w:rsidP="00DF3EFC">
            <w:pPr>
              <w:pStyle w:val="Normal6a"/>
            </w:pPr>
            <w:r w:rsidRPr="00DF3EFC">
              <w:t>Avvecklingen av</w:t>
            </w:r>
            <w:r w:rsidRPr="00DF3EFC">
              <w:rPr>
                <w:b/>
                <w:i/>
              </w:rPr>
              <w:t xml:space="preserve"> betalningsdelen</w:t>
            </w:r>
            <w:r w:rsidRPr="00DF3EFC">
              <w:t xml:space="preserve"> kan ske med hjälp av centralbankspengar när så är praktiskt möjligt och tillgängligt eller, när så inte är praktiskt möjligt eller tillgängligt, med hjälp av pengar från kommersiella banker, bland annat i tokeniserad form, eller e-pengartokens.</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323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f – stycke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 xml:space="preserve">När avvecklingen sker med hjälp av pengar från en kommersiell bank eller e-pengartokens ska det värdepappersföretag eller den marknadsoperatör som driver DLT-MTF-plattformen identifiera, mäta, övervaka, hantera och minimera de motpartsrisker som användningen av sådana pengar eventuellt ger upphov till. </w:t>
            </w:r>
          </w:p>
        </w:tc>
        <w:tc>
          <w:tcPr>
            <w:tcW w:w="4876" w:type="dxa"/>
          </w:tcPr>
          <w:p w:rsidR="00DF3EFC" w:rsidRPr="00DF3EFC" w:rsidRDefault="00DF3EFC" w:rsidP="00DF3EFC">
            <w:pPr>
              <w:pStyle w:val="Normal6a"/>
            </w:pPr>
            <w:r w:rsidRPr="00DF3EFC">
              <w:t>När avvecklingen sker med hjälp av pengar från en kommersiell bank eller e-pengartokens ska det värdepappersföretag eller den marknadsoperatör som driver DLT-MTF-plattformen identifiera, mäta, övervaka, hantera och minimera de motpartsrisker som användningen av sådana pengar eventuellt ger upphov till.</w:t>
            </w:r>
            <w:r w:rsidRPr="00DF3EFC">
              <w:rPr>
                <w:b/>
                <w:i/>
              </w:rPr>
              <w:t xml:space="preserve"> </w:t>
            </w:r>
            <w:r w:rsidRPr="00DF3EFC">
              <w:rPr>
                <w:b/>
                <w:i/>
              </w:rPr>
              <w:lastRenderedPageBreak/>
              <w:t>När avvecklingen sker med hjälp av e-pengartokens för betalningsdelen bör deltagarna i en DLT-MTF-plattformen kunna öppna konton direkt hos DLT-MTF-plattformen för att avveckla betalningsdelen med e-pengartokens, eller alternativt bör DLT-MTF-plattformen och dess deltagare kunna öppna ett konto hos en tredje part som tillhandahåller tjänster som rör e-pengartokens. I dessa fall ska DLT-MTF-plattformen eller den tredje parten vara emittenten av e-pengartokens och säkerställa att avvecklingen av betalningsdelen sker med e-pengartokens. Eftersom e-pengartokens endast kan emitteras av antingen kreditinstitut eller e-penninginstitut enligt förordning nr 2021/XX om marknader för kryptotillgångar har det undantag som föreskrivs i denna förordning avseende bestämmelserna om kontantavveckling i förordning (EU) nr 909/2014 (CSDR) inte till syfte att undanta en DLT-MTF-plattformen, eller en tredje part som emitterar e-pengartokens och avvecklar betalningsdelen av värdepapperstransaktioner genom sina egna konton, från licensieringskraven enligt förordning nr 2021/XX om marknader för kryptotillgångar.</w:t>
            </w:r>
            <w:r w:rsidRPr="00DF3EFC">
              <w:t xml:space="preserve"> </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Redaktionell kommentar. Det föreslås vidare att punkt 3.3.7 i ECB:s yttrande om DLT-pilotordningen från den 28 april införlivas när det gäller avvecklingen i e-pengartokens.</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324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f – stycke 2</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 xml:space="preserve">När avvecklingen sker med hjälp av pengar </w:t>
            </w:r>
            <w:r w:rsidRPr="00DF3EFC">
              <w:lastRenderedPageBreak/>
              <w:t xml:space="preserve">från en kommersiell bank eller e-pengartokens ska </w:t>
            </w:r>
            <w:r w:rsidRPr="00DF3EFC">
              <w:rPr>
                <w:b/>
                <w:i/>
              </w:rPr>
              <w:t>det värdepappersföretag eller den marknadsoperatör</w:t>
            </w:r>
            <w:r w:rsidRPr="00DF3EFC">
              <w:t xml:space="preserve"> som driver DLT-MTF-plattformen identifiera, mäta, övervaka, hantera och minimera de motpartsrisker som användningen av sådana pengar eventuellt ger upphov till. </w:t>
            </w:r>
          </w:p>
        </w:tc>
        <w:tc>
          <w:tcPr>
            <w:tcW w:w="4876" w:type="dxa"/>
          </w:tcPr>
          <w:p w:rsidR="00DF3EFC" w:rsidRPr="00DF3EFC" w:rsidRDefault="00DF3EFC" w:rsidP="00DF3EFC">
            <w:pPr>
              <w:pStyle w:val="Normal6a"/>
            </w:pPr>
            <w:r w:rsidRPr="00DF3EFC">
              <w:lastRenderedPageBreak/>
              <w:t xml:space="preserve">När avvecklingen sker med hjälp av pengar </w:t>
            </w:r>
            <w:r w:rsidRPr="00DF3EFC">
              <w:lastRenderedPageBreak/>
              <w:t>från en kommersiell bank eller e-pengartokens ska</w:t>
            </w:r>
            <w:r w:rsidRPr="00DF3EFC">
              <w:rPr>
                <w:b/>
                <w:i/>
              </w:rPr>
              <w:t xml:space="preserve"> den</w:t>
            </w:r>
            <w:r w:rsidRPr="00DF3EFC">
              <w:t xml:space="preserve"> </w:t>
            </w:r>
            <w:r w:rsidRPr="00DF3EFC">
              <w:rPr>
                <w:b/>
                <w:i/>
              </w:rPr>
              <w:t>enhet</w:t>
            </w:r>
            <w:r w:rsidRPr="00DF3EFC">
              <w:t xml:space="preserve"> som driver DLT-MTF-plattformen identifiera, mäta, övervaka, hantera och minimera de motpartsrisker som användningen av sådana pengar eventuellt ger upphov till. </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325</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Sven Giegold</w:t>
      </w:r>
      <w:r w:rsidRPr="00DF3EFC">
        <w:rPr>
          <w:rStyle w:val="HideTWBExt"/>
          <w:b w:val="0"/>
        </w:rPr>
        <w:t>&lt;/Members&gt;</w:t>
      </w:r>
    </w:p>
    <w:p w:rsidR="00DF3EFC" w:rsidRPr="00DF3EFC" w:rsidRDefault="00DF3EFC" w:rsidP="00DF3EFC">
      <w:r w:rsidRPr="00DF3EFC">
        <w:rPr>
          <w:rStyle w:val="HideTWBExt"/>
        </w:rPr>
        <w:t>&lt;AuNomDe&gt;</w:t>
      </w:r>
      <w:r w:rsidRPr="00DF3EFC">
        <w:rPr>
          <w:rStyle w:val="HideTWBInt"/>
        </w:rPr>
        <w:t>{Greens/EFA}</w:t>
      </w:r>
      <w:r w:rsidRPr="00DF3EFC">
        <w:t>för Verts/ALE-gruppen</w:t>
      </w:r>
      <w:r w:rsidRPr="00DF3EFC">
        <w:rPr>
          <w:rStyle w:val="HideTWBExt"/>
        </w:rPr>
        <w:t>&lt;/AuNomDe&gt;</w:t>
      </w:r>
    </w:p>
    <w:p w:rsidR="00DF3EFC" w:rsidRPr="00DF3EFC" w:rsidRDefault="00DF3EFC" w:rsidP="00DF3EFC">
      <w:r w:rsidRPr="00DF3EFC">
        <w:rPr>
          <w:rStyle w:val="HideTWBExt"/>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g</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(g)</w:t>
            </w:r>
            <w:r w:rsidRPr="00DF3EFC">
              <w:tab/>
              <w:t>antingen förhindrar eller, om så inte är möjligt, hanterar utebliven avveckling.</w:t>
            </w:r>
          </w:p>
        </w:tc>
        <w:tc>
          <w:tcPr>
            <w:tcW w:w="4876" w:type="dxa"/>
          </w:tcPr>
          <w:p w:rsidR="00DF3EFC" w:rsidRPr="00DF3EFC" w:rsidRDefault="00DF3EFC" w:rsidP="00DF3EFC">
            <w:pPr>
              <w:pStyle w:val="Normal6a"/>
            </w:pPr>
            <w:r w:rsidRPr="00DF3EFC">
              <w:t>(g)</w:t>
            </w:r>
            <w:r w:rsidRPr="00DF3EFC">
              <w:tab/>
              <w:t>antingen förhindrar eller, om så inte är möjligt, hanterar utebliven avveckling</w:t>
            </w:r>
            <w:r w:rsidRPr="00DF3EFC">
              <w:rPr>
                <w:b/>
                <w:i/>
              </w:rPr>
              <w:t>, i enlighet med artiklarna 6 och 7 i förordning (EU) nr 909/2014 och kommissionens delegerade förordning (EU) 2018/1229, efter nödvändig anpassning</w:t>
            </w:r>
            <w:r w:rsidRPr="00DF3EFC">
              <w: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326</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Jonás Fernández, Eero Heinäluoma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g</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(g)</w:t>
            </w:r>
            <w:r w:rsidRPr="00DF3EFC">
              <w:tab/>
              <w:t>antingen förhindrar eller, om så inte är möjligt, hanterar utebliven avveckling.</w:t>
            </w:r>
          </w:p>
        </w:tc>
        <w:tc>
          <w:tcPr>
            <w:tcW w:w="4876" w:type="dxa"/>
          </w:tcPr>
          <w:p w:rsidR="00DF3EFC" w:rsidRPr="00DF3EFC" w:rsidRDefault="00DF3EFC" w:rsidP="00DF3EFC">
            <w:pPr>
              <w:pStyle w:val="Normal6a"/>
            </w:pPr>
            <w:r w:rsidRPr="00DF3EFC">
              <w:t>(g)</w:t>
            </w:r>
            <w:r w:rsidRPr="00DF3EFC">
              <w:tab/>
              <w:t>antingen förhindrar eller, om så inte är möjligt, hanterar utebliven avveckling</w:t>
            </w:r>
            <w:r w:rsidRPr="00DF3EFC">
              <w:rPr>
                <w:b/>
                <w:i/>
              </w:rPr>
              <w:t xml:space="preserve">, i enlighet med artikel 7 i förordning (EU) nr 909/2014 och kommissionens </w:t>
            </w:r>
            <w:r w:rsidRPr="00DF3EFC">
              <w:rPr>
                <w:b/>
                <w:i/>
              </w:rPr>
              <w:lastRenderedPageBreak/>
              <w:t>delegerade förordning (EU) 2018/1229</w:t>
            </w:r>
            <w:r w:rsidRPr="00DF3EFC">
              <w:rPr>
                <w:rStyle w:val="SupBoldItalic"/>
              </w:rPr>
              <w:t>1a</w:t>
            </w:r>
            <w:r w:rsidRPr="00DF3EFC">
              <w:t>.</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rStyle w:val="SupBoldItalic"/>
              </w:rPr>
              <w:t>1a</w:t>
            </w:r>
            <w:r w:rsidRPr="00DF3EFC">
              <w:t xml:space="preserve"> </w:t>
            </w:r>
            <w:r w:rsidRPr="00DF3EFC">
              <w:rPr>
                <w:b/>
                <w:i/>
              </w:rPr>
              <w:t>Kommissionens delegerade förordning (EU) 2018/1229 av den 25 maj 2018 om komplettering av Europaparlamentets och rådets förordning (EU) nr 909/2014 vad gäller tekniska tillsynsstandarder om avvecklingsdisciplin (EUT L 230, 13.9.2018, s. 1).</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Enligt ECB:s yttrande.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327</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Johan Van Overtveldt</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3 – led g</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(g)</w:t>
            </w:r>
            <w:r w:rsidRPr="00DF3EFC">
              <w:tab/>
              <w:t>antingen förhindrar eller, om så inte är möjligt, hanterar utebliven avveckling.</w:t>
            </w:r>
          </w:p>
        </w:tc>
        <w:tc>
          <w:tcPr>
            <w:tcW w:w="4876" w:type="dxa"/>
          </w:tcPr>
          <w:p w:rsidR="00DF3EFC" w:rsidRPr="00DF3EFC" w:rsidRDefault="00DF3EFC" w:rsidP="00DF3EFC">
            <w:pPr>
              <w:pStyle w:val="Normal6a"/>
            </w:pPr>
            <w:r w:rsidRPr="00DF3EFC">
              <w:t>(g)</w:t>
            </w:r>
            <w:r w:rsidRPr="00DF3EFC">
              <w:tab/>
              <w:t>antingen förhindrar eller, om så inte är möjligt, hanterar utebliven avveckling</w:t>
            </w:r>
            <w:r w:rsidRPr="00DF3EFC">
              <w:rPr>
                <w:b/>
                <w:i/>
              </w:rPr>
              <w:t>, i enlighet med artikel 7 i förordning (EU) nr 909/2014 och kommissionens delegerade förordning (EU) 2018/1229</w:t>
            </w:r>
            <w:r w:rsidRPr="00DF3EFC">
              <w:rPr>
                <w:rStyle w:val="SupBoldItalic"/>
              </w:rPr>
              <w:t>*</w:t>
            </w:r>
            <w:r w:rsidRPr="00DF3EFC">
              <w:t>.</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rStyle w:val="SupBoldItalic"/>
              </w:rPr>
              <w:t>*</w:t>
            </w:r>
            <w:r w:rsidRPr="00DF3EFC">
              <w:t xml:space="preserve"> </w:t>
            </w:r>
            <w:r w:rsidRPr="00DF3EFC">
              <w:rPr>
                <w:b/>
                <w:i/>
              </w:rPr>
              <w:t>Kommissionens delegerade förordning (EU) 2018/1229 av den 25 maj 2018 om komplettering av Europaparlamentets och rådets förordning (EU) nr 909/2014 vad gäller tekniska tillsynsstandarder om avvecklingsdisciplin (EUT L 230, 13.9.2018, s. 1).</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 xml:space="preserve">Detta ändringsförslag syftar till att beakta ett förslag som har presenterats i ECB:s yttrande. Oron över de olika villkoren som har tagits upp av ECB mellan en DLT-MTF-plattform som tillhandahåller centrala tjänster för en värdepapperscentral och ett DLT-TSS-system hanteras </w:t>
      </w:r>
      <w:r w:rsidRPr="00DF3EFC">
        <w:lastRenderedPageBreak/>
        <w:t>genom införandet av DLT-TSS-konceptet. Det är dock relevant att klargöra ytterligare i denna artikel att kraven på tillhandahållande av centrala tjänster för värdepapperscentraler av en operatör av en DLT-marknadsinfrastruktur bör anpassas efter de relevanta bestämmelserna i förordning (EU) nr 909/2014.</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328</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4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4.</w:t>
            </w:r>
            <w:r w:rsidRPr="00DF3EFC">
              <w:tab/>
              <w:t xml:space="preserve">När </w:t>
            </w:r>
            <w:r w:rsidRPr="00DF3EFC">
              <w:rPr>
                <w:b/>
                <w:i/>
              </w:rPr>
              <w:t>ett värdepappersföretag eller en marknadsoperatör</w:t>
            </w:r>
            <w:r w:rsidRPr="00DF3EFC">
              <w:t xml:space="preserve"> som driver en DLT-MTF-plattform begär ett undantag i enlighet med punkt 2 eller direktiv (EU) .../...</w:t>
            </w:r>
            <w:r w:rsidRPr="00DF3EFC">
              <w:rPr>
                <w:rStyle w:val="Sup"/>
              </w:rPr>
              <w:t>54</w:t>
            </w:r>
            <w:r w:rsidRPr="00DF3EFC">
              <w:t xml:space="preserve"> ska det under alla omständigheter påvisa att det begärda undantaget är</w:t>
            </w:r>
          </w:p>
        </w:tc>
        <w:tc>
          <w:tcPr>
            <w:tcW w:w="4876" w:type="dxa"/>
          </w:tcPr>
          <w:p w:rsidR="00DF3EFC" w:rsidRPr="00DF3EFC" w:rsidRDefault="00DF3EFC" w:rsidP="00DF3EFC">
            <w:pPr>
              <w:pStyle w:val="Normal6a"/>
            </w:pPr>
            <w:r w:rsidRPr="00DF3EFC">
              <w:t>4.</w:t>
            </w:r>
            <w:r w:rsidRPr="00DF3EFC">
              <w:tab/>
              <w:t xml:space="preserve">När </w:t>
            </w:r>
            <w:r w:rsidRPr="00DF3EFC">
              <w:rPr>
                <w:b/>
                <w:i/>
              </w:rPr>
              <w:t>en enhet</w:t>
            </w:r>
            <w:r w:rsidRPr="00DF3EFC">
              <w:t xml:space="preserve"> som driver en DLT-MTF-plattform begär ett undantag i enlighet med punkt 2 eller direktiv (EU) .../...</w:t>
            </w:r>
            <w:r w:rsidRPr="00DF3EFC">
              <w:rPr>
                <w:rStyle w:val="Sup"/>
              </w:rPr>
              <w:t>54</w:t>
            </w:r>
            <w:r w:rsidRPr="00DF3EFC">
              <w:t xml:space="preserve"> ska det under alla omständigheter påvisa att det begärda undantaget är</w:t>
            </w:r>
          </w:p>
        </w:tc>
      </w:tr>
      <w:tr w:rsidR="00DF3EFC" w:rsidRPr="00DF3EFC" w:rsidTr="00DF3EFC">
        <w:trPr>
          <w:jc w:val="center"/>
        </w:trPr>
        <w:tc>
          <w:tcPr>
            <w:tcW w:w="4876" w:type="dxa"/>
          </w:tcPr>
          <w:p w:rsidR="00DF3EFC" w:rsidRPr="00DF3EFC" w:rsidRDefault="00DF3EFC" w:rsidP="00DF3EFC">
            <w:pPr>
              <w:pStyle w:val="Normal6a"/>
            </w:pPr>
            <w:r w:rsidRPr="00DF3EFC">
              <w:t>_________________</w:t>
            </w:r>
          </w:p>
        </w:tc>
        <w:tc>
          <w:tcPr>
            <w:tcW w:w="4876" w:type="dxa"/>
          </w:tcPr>
          <w:p w:rsidR="00DF3EFC" w:rsidRPr="00DF3EFC" w:rsidRDefault="00DF3EFC" w:rsidP="00DF3EFC">
            <w:pPr>
              <w:pStyle w:val="Normal6a"/>
            </w:pPr>
            <w:r w:rsidRPr="00DF3EFC">
              <w:t>_________________</w:t>
            </w:r>
          </w:p>
        </w:tc>
      </w:tr>
      <w:tr w:rsidR="00DF3EFC" w:rsidRPr="00DF3EFC" w:rsidTr="00DF3EFC">
        <w:trPr>
          <w:jc w:val="center"/>
        </w:trPr>
        <w:tc>
          <w:tcPr>
            <w:tcW w:w="4876" w:type="dxa"/>
          </w:tcPr>
          <w:p w:rsidR="00DF3EFC" w:rsidRPr="00DF3EFC" w:rsidRDefault="00DF3EFC" w:rsidP="00DF3EFC">
            <w:pPr>
              <w:pStyle w:val="Normal6a"/>
            </w:pPr>
            <w:r w:rsidRPr="00DF3EFC">
              <w:rPr>
                <w:rStyle w:val="Sup"/>
              </w:rPr>
              <w:t>54</w:t>
            </w:r>
            <w:r w:rsidRPr="00DF3EFC">
              <w:t xml:space="preserve"> Förslag till Europaparlamentets och rådets direktiv om ändring av direktiven 2006/43/EG, 2009/65/EG, 2009/138/EU, 2011/61/EU, EU/2013/36, 2014/65/EU, (EU) 2015/2366 och EU/2016/2341 – COM (2020) 596.</w:t>
            </w:r>
          </w:p>
        </w:tc>
        <w:tc>
          <w:tcPr>
            <w:tcW w:w="4876" w:type="dxa"/>
          </w:tcPr>
          <w:p w:rsidR="00DF3EFC" w:rsidRPr="00DF3EFC" w:rsidRDefault="00DF3EFC" w:rsidP="00DF3EFC">
            <w:pPr>
              <w:pStyle w:val="Normal6a"/>
            </w:pPr>
            <w:r w:rsidRPr="00DF3EFC">
              <w:rPr>
                <w:rStyle w:val="Sup"/>
              </w:rPr>
              <w:t>54</w:t>
            </w:r>
            <w:r w:rsidRPr="00DF3EFC">
              <w:t xml:space="preserve"> Förslag till Europaparlamentets och rådets direktiv om ändring av direktiven 2006/43/EG, 2009/65/EG, 2009/138/EU, 2011/61/EU, EU/2013/36, 2014/65/EU, (EU) 2015/2366 och EU/2016/2341 – COM (2020) 596.</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329</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4 – led b</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(b)</w:t>
            </w:r>
            <w:r w:rsidRPr="00DF3EFC">
              <w:tab/>
              <w:t xml:space="preserve">begränsat till DLT-MTF-plattformen och inte omfattar någon annan MTF-plattform som drivs av </w:t>
            </w:r>
            <w:r w:rsidRPr="00DF3EFC">
              <w:rPr>
                <w:b/>
                <w:i/>
              </w:rPr>
              <w:t xml:space="preserve">värdepappersföretaget eller </w:t>
            </w:r>
            <w:r w:rsidRPr="00DF3EFC">
              <w:rPr>
                <w:b/>
                <w:i/>
              </w:rPr>
              <w:lastRenderedPageBreak/>
              <w:t>marknadsoperatören</w:t>
            </w:r>
            <w:r w:rsidRPr="00DF3EFC">
              <w:t xml:space="preserve"> i fråga.</w:t>
            </w:r>
          </w:p>
        </w:tc>
        <w:tc>
          <w:tcPr>
            <w:tcW w:w="4876" w:type="dxa"/>
          </w:tcPr>
          <w:p w:rsidR="00DF3EFC" w:rsidRPr="00DF3EFC" w:rsidRDefault="00DF3EFC" w:rsidP="00DF3EFC">
            <w:pPr>
              <w:pStyle w:val="Normal6a"/>
            </w:pPr>
            <w:r w:rsidRPr="00DF3EFC">
              <w:lastRenderedPageBreak/>
              <w:t>(b)</w:t>
            </w:r>
            <w:r w:rsidRPr="00DF3EFC">
              <w:tab/>
              <w:t xml:space="preserve">begränsat till DLT-MTF-plattformen och inte omfattar någon annan MTF-plattform som drivs av </w:t>
            </w:r>
            <w:r w:rsidRPr="00DF3EFC">
              <w:rPr>
                <w:b/>
                <w:i/>
              </w:rPr>
              <w:t>enheten</w:t>
            </w:r>
            <w:r w:rsidRPr="00DF3EFC">
              <w:t xml:space="preserve"> i </w:t>
            </w:r>
            <w:r w:rsidRPr="00DF3EFC">
              <w:lastRenderedPageBreak/>
              <w:t>fråga.</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 är öppen för nya deltagare</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330</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4 – punkt 4a (ny)</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p>
        </w:tc>
        <w:tc>
          <w:tcPr>
            <w:tcW w:w="4876" w:type="dxa"/>
          </w:tcPr>
          <w:p w:rsidR="00DF3EFC" w:rsidRPr="00DF3EFC" w:rsidRDefault="00DF3EFC" w:rsidP="00DF3EFC">
            <w:pPr>
              <w:pStyle w:val="Normal6a"/>
            </w:pPr>
            <w:r w:rsidRPr="00DF3EFC">
              <w:rPr>
                <w:b/>
                <w:i/>
              </w:rPr>
              <w:t>4a.</w:t>
            </w:r>
            <w:r w:rsidRPr="00DF3EFC">
              <w:tab/>
            </w:r>
            <w:r w:rsidRPr="00DF3EFC">
              <w:rPr>
                <w:b/>
                <w:i/>
              </w:rPr>
              <w:t>En enhet som inte är föremål för alla de krav som gäller för en MTF-plattform enligt direktiv 2014/65/EU och förordning (EU) nr 2014/600 vid tidpunkten för dess ansökan om ett särskilt tillstånd ska få ansöka i enlighet med punkterna 1–4 i denna artikel. De behöriga myndigheterna ska införa särskilda förfaranden för enheter som inte är föremål för alla de krav som gäller en MTF-plattform enligt direktiv 2014/65/EU och förordning (EU) nr 2014/600 vid tidpunkten för ansökan.</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Påskyndat förfarande för enheter som inte regleras som en MTF-plattform vid tidpunkten för ansökan.</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331</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Jessica Polfjärd</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5 – punkt 1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 xml:space="preserve">En värdepapperscentral som driver </w:t>
            </w:r>
            <w:r w:rsidRPr="00DF3EFC">
              <w:lastRenderedPageBreak/>
              <w:t>ett DLT-avvecklingssystem för värdepapper ska omfattas av de krav som är tillämpliga på en värdepapperscentral enligt förordning (EU) nr 909/2014, utom i det fall värdepapperscentralen i fråga</w:t>
            </w:r>
          </w:p>
        </w:tc>
        <w:tc>
          <w:tcPr>
            <w:tcW w:w="4876" w:type="dxa"/>
          </w:tcPr>
          <w:p w:rsidR="00DF3EFC" w:rsidRPr="00DF3EFC" w:rsidRDefault="00DF3EFC" w:rsidP="00DF3EFC">
            <w:pPr>
              <w:pStyle w:val="Normal6a"/>
            </w:pPr>
            <w:r w:rsidRPr="00DF3EFC">
              <w:lastRenderedPageBreak/>
              <w:t>1.</w:t>
            </w:r>
            <w:r w:rsidRPr="00DF3EFC">
              <w:tab/>
              <w:t xml:space="preserve">En värdepapperscentral som driver </w:t>
            </w:r>
            <w:r w:rsidRPr="00DF3EFC">
              <w:lastRenderedPageBreak/>
              <w:t xml:space="preserve">ett DLT-avvecklingssystem för värdepapper ska omfattas av de krav som är tillämpliga på en värdepapperscentral enligt förordning (EU) nr 909/2014 </w:t>
            </w:r>
            <w:r w:rsidRPr="00DF3EFC">
              <w:rPr>
                <w:b/>
                <w:i/>
              </w:rPr>
              <w:t>och annan tillämplig unionslagstiftning om finansiella tjänster</w:t>
            </w:r>
            <w:r w:rsidRPr="00DF3EFC">
              <w:t>, utom i det fall värdepapperscentralen i fråga</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332</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Stéphanie Yon-Courtin, Ondřej Kovařík, Gilles Boyer, Olivier Chastel</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5 – punkt 1 – inledningen</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1.</w:t>
            </w:r>
            <w:r w:rsidRPr="00DF3EFC">
              <w:tab/>
              <w:t xml:space="preserve">En </w:t>
            </w:r>
            <w:r w:rsidRPr="00DF3EFC">
              <w:rPr>
                <w:b/>
                <w:i/>
              </w:rPr>
              <w:t xml:space="preserve">värdepapperscentral </w:t>
            </w:r>
            <w:r w:rsidRPr="00DF3EFC">
              <w:t>som driver ett DLT-avvecklingssystem för värdepapper ska omfattas av de krav som är tillämpliga på en värdepapperscentral enligt förordning (EU) nr 909/2014, utom i det fall</w:t>
            </w:r>
            <w:r w:rsidRPr="00DF3EFC">
              <w:rPr>
                <w:b/>
                <w:i/>
              </w:rPr>
              <w:t xml:space="preserve"> värdepapperscentralen</w:t>
            </w:r>
            <w:r w:rsidRPr="00DF3EFC">
              <w:t xml:space="preserve"> i fråga</w:t>
            </w:r>
          </w:p>
        </w:tc>
        <w:tc>
          <w:tcPr>
            <w:tcW w:w="4876" w:type="dxa"/>
          </w:tcPr>
          <w:p w:rsidR="00DF3EFC" w:rsidRPr="00DF3EFC" w:rsidRDefault="00DF3EFC" w:rsidP="00DF3EFC">
            <w:pPr>
              <w:pStyle w:val="Normal6a"/>
            </w:pPr>
            <w:r w:rsidRPr="00DF3EFC">
              <w:t>1.</w:t>
            </w:r>
            <w:r w:rsidRPr="00DF3EFC">
              <w:tab/>
              <w:t xml:space="preserve">En </w:t>
            </w:r>
            <w:r w:rsidRPr="00DF3EFC">
              <w:rPr>
                <w:b/>
                <w:i/>
              </w:rPr>
              <w:t>enhet</w:t>
            </w:r>
            <w:r w:rsidRPr="00DF3EFC">
              <w:t xml:space="preserve"> som driver ett DLT-avvecklingssystem för värdepapper ska omfattas av de krav som är tillämpliga på en värdepapperscentral enligt förordning (EU) nr 909/2014, utom i det fall </w:t>
            </w:r>
            <w:r w:rsidRPr="00DF3EFC">
              <w:rPr>
                <w:b/>
                <w:i/>
              </w:rPr>
              <w:t>enheten</w:t>
            </w:r>
            <w:r w:rsidRPr="00DF3EFC">
              <w:t xml:space="preserve"> i fråga</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Pilotordningens öppenhet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333</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Christophe Hansen, Lídia Pereira</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5 – punkt 1 – led c</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(c)</w:t>
            </w:r>
            <w:r w:rsidRPr="00DF3EFC">
              <w:tab/>
              <w:t xml:space="preserve">uppfyller villkoren i punkterna 2–7 samt eventuella ytterligare kompensationsåtgärder som den behöriga myndighet som beviljade det specifika tillståndet anser krävs för att man ska kunna uppfylla målen för de bestämmelser </w:t>
            </w:r>
            <w:r w:rsidRPr="00DF3EFC">
              <w:lastRenderedPageBreak/>
              <w:t>från vilka ett undantag begärs eller garantera investerarskydd, marknadsintegritet och/eller finansiell stabilitet.</w:t>
            </w:r>
          </w:p>
        </w:tc>
        <w:tc>
          <w:tcPr>
            <w:tcW w:w="4876" w:type="dxa"/>
          </w:tcPr>
          <w:p w:rsidR="00DF3EFC" w:rsidRPr="00DF3EFC" w:rsidRDefault="00DF3EFC" w:rsidP="00DF3EFC">
            <w:pPr>
              <w:pStyle w:val="Normal6a"/>
            </w:pPr>
            <w:r w:rsidRPr="00DF3EFC">
              <w:lastRenderedPageBreak/>
              <w:t>(c)</w:t>
            </w:r>
            <w:r w:rsidRPr="00DF3EFC">
              <w:tab/>
              <w:t xml:space="preserve">uppfyller villkoren i punkterna 2–7 samt eventuella ytterligare kompensationsåtgärder som den behöriga myndighet som beviljade det specifika tillståndet </w:t>
            </w:r>
            <w:r w:rsidRPr="00DF3EFC">
              <w:rPr>
                <w:b/>
                <w:i/>
              </w:rPr>
              <w:t>eller Esma efter samråd med den nationella behöriga myndigheten</w:t>
            </w:r>
            <w:r w:rsidRPr="00DF3EFC">
              <w:t xml:space="preserve"> </w:t>
            </w:r>
            <w:r w:rsidRPr="00DF3EFC">
              <w:lastRenderedPageBreak/>
              <w:t>anser krävs för att man ska kunna uppfylla målen för de bestämmelser från vilka ett undantag begärs eller garantera investerarskydd, marknadsintegritet och/eller finansiell stabilitet.</w:t>
            </w:r>
          </w:p>
        </w:tc>
      </w:tr>
    </w:tbl>
    <w:p w:rsidR="00DF3EFC" w:rsidRPr="00DF3EFC" w:rsidRDefault="00DF3EFC" w:rsidP="00DF3EFC">
      <w:pPr>
        <w:pStyle w:val="AmOrLang"/>
      </w:pPr>
      <w:r w:rsidRPr="00DF3EFC">
        <w:lastRenderedPageBreak/>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r w:rsidRPr="00DF3EFC">
        <w:rPr>
          <w:rStyle w:val="HideTWBExt"/>
        </w:rPr>
        <w:t>&lt;/AmendB&gt;</w:t>
      </w:r>
    </w:p>
    <w:p w:rsidR="00DF3EFC" w:rsidRPr="00DF3EFC" w:rsidRDefault="00DF3EFC" w:rsidP="00DF3EFC">
      <w:pPr>
        <w:pStyle w:val="AmNumberTabs"/>
      </w:pPr>
      <w:r w:rsidRPr="00DF3EFC">
        <w:rPr>
          <w:rStyle w:val="HideTWBExt"/>
          <w:b w:val="0"/>
        </w:rPr>
        <w:t>&lt;AmendB&gt;</w:t>
      </w:r>
      <w:r w:rsidRPr="00DF3EFC">
        <w:t>Ändringsförslag</w:t>
      </w:r>
      <w:r w:rsidRPr="00DF3EFC">
        <w:tab/>
      </w:r>
      <w:r w:rsidRPr="00DF3EFC">
        <w:tab/>
      </w:r>
      <w:r w:rsidRPr="00DF3EFC">
        <w:rPr>
          <w:rStyle w:val="HideTWBExt"/>
          <w:b w:val="0"/>
        </w:rPr>
        <w:t>&lt;NumAmB&gt;</w:t>
      </w:r>
      <w:r w:rsidRPr="00DF3EFC">
        <w:t>334</w:t>
      </w:r>
      <w:r w:rsidRPr="00DF3EFC">
        <w:rPr>
          <w:rStyle w:val="HideTWBExt"/>
          <w:b w:val="0"/>
        </w:rPr>
        <w:t>&lt;/NumAmB&gt;</w:t>
      </w:r>
    </w:p>
    <w:p w:rsidR="00DF3EFC" w:rsidRPr="00DF3EFC" w:rsidRDefault="00DF3EFC" w:rsidP="00DF3EFC">
      <w:pPr>
        <w:pStyle w:val="NormalBold"/>
      </w:pPr>
      <w:r w:rsidRPr="00DF3EFC">
        <w:rPr>
          <w:rStyle w:val="HideTWBExt"/>
          <w:b w:val="0"/>
        </w:rPr>
        <w:t>&lt;RepeatBlock-By&gt;&lt;Members&gt;</w:t>
      </w:r>
      <w:r w:rsidRPr="00DF3EFC">
        <w:t>Eva Kaili</w:t>
      </w:r>
      <w:r w:rsidRPr="00DF3EFC">
        <w:rPr>
          <w:rStyle w:val="HideTWBExt"/>
          <w:b w:val="0"/>
        </w:rPr>
        <w:t>&lt;/Members&gt;</w:t>
      </w:r>
    </w:p>
    <w:p w:rsidR="00DF3EFC" w:rsidRPr="00DF3EFC" w:rsidRDefault="00DF3EFC" w:rsidP="00DF3EFC">
      <w:pPr>
        <w:pStyle w:val="NormalBold"/>
      </w:pPr>
      <w:r w:rsidRPr="00DF3EFC">
        <w:rPr>
          <w:rStyle w:val="HideTWBExt"/>
          <w:b w:val="0"/>
        </w:rPr>
        <w:t>&lt;/RepeatBlock-By&gt;</w:t>
      </w:r>
    </w:p>
    <w:p w:rsidR="00DF3EFC" w:rsidRPr="00DF3EFC" w:rsidRDefault="00DF3EFC" w:rsidP="00DF3EFC">
      <w:pPr>
        <w:pStyle w:val="NormalBold"/>
      </w:pPr>
      <w:r w:rsidRPr="00DF3EFC">
        <w:rPr>
          <w:rStyle w:val="HideTWBExt"/>
          <w:b w:val="0"/>
        </w:rPr>
        <w:t>&lt;DocAmend&gt;</w:t>
      </w:r>
      <w:r w:rsidRPr="00DF3EFC">
        <w:t>Förslag till förordning</w:t>
      </w:r>
      <w:r w:rsidRPr="00DF3EFC">
        <w:rPr>
          <w:rStyle w:val="HideTWBExt"/>
          <w:b w:val="0"/>
        </w:rPr>
        <w:t>&lt;/DocAmend&gt;</w:t>
      </w:r>
    </w:p>
    <w:p w:rsidR="00DF3EFC" w:rsidRPr="00DF3EFC" w:rsidRDefault="00DF3EFC" w:rsidP="00DF3EFC">
      <w:pPr>
        <w:pStyle w:val="NormalBold"/>
      </w:pPr>
      <w:r w:rsidRPr="00DF3EFC">
        <w:rPr>
          <w:rStyle w:val="HideTWBExt"/>
          <w:b w:val="0"/>
        </w:rPr>
        <w:t>&lt;Article&gt;</w:t>
      </w:r>
      <w:r w:rsidRPr="00DF3EFC">
        <w:t>Artikel 5 – punkt 1 – led c</w:t>
      </w:r>
      <w:r w:rsidRPr="00DF3E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3EFC" w:rsidRPr="00DF3EFC" w:rsidTr="00DF3EFC">
        <w:trPr>
          <w:trHeight w:hRule="exact" w:val="240"/>
          <w:jc w:val="center"/>
        </w:trPr>
        <w:tc>
          <w:tcPr>
            <w:tcW w:w="9752" w:type="dxa"/>
            <w:gridSpan w:val="2"/>
          </w:tcPr>
          <w:p w:rsidR="00DF3EFC" w:rsidRPr="00DF3EFC" w:rsidRDefault="00DF3EFC" w:rsidP="00DF3EFC"/>
        </w:tc>
      </w:tr>
      <w:tr w:rsidR="00DF3EFC" w:rsidRPr="00DF3EFC" w:rsidTr="00DF3EFC">
        <w:trPr>
          <w:trHeight w:val="240"/>
          <w:jc w:val="center"/>
        </w:trPr>
        <w:tc>
          <w:tcPr>
            <w:tcW w:w="4876" w:type="dxa"/>
          </w:tcPr>
          <w:p w:rsidR="00DF3EFC" w:rsidRPr="00DF3EFC" w:rsidRDefault="00DF3EFC" w:rsidP="00DF3EFC">
            <w:pPr>
              <w:pStyle w:val="AmColumnHeading"/>
            </w:pPr>
            <w:r w:rsidRPr="00DF3EFC">
              <w:t>Kommissionens förslag</w:t>
            </w:r>
          </w:p>
        </w:tc>
        <w:tc>
          <w:tcPr>
            <w:tcW w:w="4876" w:type="dxa"/>
          </w:tcPr>
          <w:p w:rsidR="00DF3EFC" w:rsidRPr="00DF3EFC" w:rsidRDefault="00DF3EFC" w:rsidP="00DF3EFC">
            <w:pPr>
              <w:pStyle w:val="AmColumnHeading"/>
            </w:pPr>
            <w:r w:rsidRPr="00DF3EFC">
              <w:t>Ändringsförslag</w:t>
            </w:r>
          </w:p>
        </w:tc>
      </w:tr>
      <w:tr w:rsidR="00DF3EFC" w:rsidRPr="00DF3EFC" w:rsidTr="00DF3EFC">
        <w:trPr>
          <w:jc w:val="center"/>
        </w:trPr>
        <w:tc>
          <w:tcPr>
            <w:tcW w:w="4876" w:type="dxa"/>
          </w:tcPr>
          <w:p w:rsidR="00DF3EFC" w:rsidRPr="00DF3EFC" w:rsidRDefault="00DF3EFC" w:rsidP="00DF3EFC">
            <w:pPr>
              <w:pStyle w:val="Normal6a"/>
            </w:pPr>
            <w:r w:rsidRPr="00DF3EFC">
              <w:t>(c)</w:t>
            </w:r>
            <w:r w:rsidRPr="00DF3EFC">
              <w:tab/>
              <w:t>uppfyller villkoren i punkterna 2–7 samt eventuella ytterligare</w:t>
            </w:r>
            <w:r w:rsidRPr="00DF3EFC">
              <w:rPr>
                <w:b/>
                <w:i/>
              </w:rPr>
              <w:t xml:space="preserve"> kompensationsåtgärder</w:t>
            </w:r>
            <w:r w:rsidRPr="00DF3EFC">
              <w:t xml:space="preserve"> som den behöriga myndighet som beviljade det specifika tillståndet anser krävs för att man ska kunna uppfylla målen för de bestämmelser från vilka ett undantag begärs eller garantera investerarskydd, marknadsintegritet och/eller finansiell stabilitet.</w:t>
            </w:r>
          </w:p>
        </w:tc>
        <w:tc>
          <w:tcPr>
            <w:tcW w:w="4876" w:type="dxa"/>
          </w:tcPr>
          <w:p w:rsidR="00DF3EFC" w:rsidRPr="00DF3EFC" w:rsidRDefault="00DF3EFC" w:rsidP="00DF3EFC">
            <w:pPr>
              <w:pStyle w:val="Normal6a"/>
            </w:pPr>
            <w:r w:rsidRPr="00DF3EFC">
              <w:t>(c)</w:t>
            </w:r>
            <w:r w:rsidRPr="00DF3EFC">
              <w:tab/>
              <w:t>uppfyller villkoren i punkterna 2–7 samt eventuella ytterligare</w:t>
            </w:r>
            <w:r w:rsidRPr="00DF3EFC">
              <w:rPr>
                <w:b/>
                <w:i/>
              </w:rPr>
              <w:t xml:space="preserve"> kompensations- eller korrigeringsåtgärder </w:t>
            </w:r>
            <w:r w:rsidRPr="00DF3EFC">
              <w:t xml:space="preserve">som </w:t>
            </w:r>
            <w:r w:rsidRPr="00DF3EFC">
              <w:rPr>
                <w:b/>
                <w:i/>
              </w:rPr>
              <w:t xml:space="preserve">Esma eller </w:t>
            </w:r>
            <w:r w:rsidRPr="00DF3EFC">
              <w:t>den behöriga myn</w:t>
            </w:r>
            <w:bookmarkStart w:id="0" w:name="_GoBack"/>
            <w:bookmarkEnd w:id="0"/>
            <w:r w:rsidRPr="00DF3EFC">
              <w:t>dighet som beviljade det specifika tillståndet anser krävs för att man ska kunna uppfylla målen för de bestämmelser från vilka ett undantag begärs eller garantera investerarskydd, marknadsintegritet och/eller finansiell stabilitet.</w:t>
            </w:r>
          </w:p>
        </w:tc>
      </w:tr>
    </w:tbl>
    <w:p w:rsidR="00DF3EFC" w:rsidRPr="00DF3EFC" w:rsidRDefault="00DF3EFC" w:rsidP="00DF3EFC">
      <w:pPr>
        <w:pStyle w:val="AmOrLang"/>
      </w:pPr>
      <w:r w:rsidRPr="00DF3EFC">
        <w:t xml:space="preserve">Or. </w:t>
      </w:r>
      <w:r w:rsidRPr="00DF3EFC">
        <w:rPr>
          <w:rStyle w:val="HideTWBExt"/>
        </w:rPr>
        <w:t>&lt;Original&gt;</w:t>
      </w:r>
      <w:r w:rsidRPr="00DF3EFC">
        <w:rPr>
          <w:rStyle w:val="HideTWBInt"/>
          <w:rFonts w:eastAsiaTheme="majorEastAsia"/>
        </w:rPr>
        <w:t>{EN}</w:t>
      </w:r>
      <w:r w:rsidRPr="00DF3EFC">
        <w:t>en</w:t>
      </w:r>
      <w:r w:rsidRPr="00DF3EFC">
        <w:rPr>
          <w:rStyle w:val="HideTWBExt"/>
        </w:rPr>
        <w:t>&lt;/Original&gt;</w:t>
      </w:r>
    </w:p>
    <w:p w:rsidR="00DF3EFC" w:rsidRPr="00DF3EFC" w:rsidRDefault="00DF3EFC" w:rsidP="00DF3EFC">
      <w:pPr>
        <w:pStyle w:val="AmJustTitle"/>
      </w:pPr>
      <w:r w:rsidRPr="00DF3EFC">
        <w:rPr>
          <w:rStyle w:val="HideTWBExt"/>
          <w:i w:val="0"/>
        </w:rPr>
        <w:t>&lt;TitreJust&gt;</w:t>
      </w:r>
      <w:r w:rsidRPr="00DF3EFC">
        <w:t>Motivering</w:t>
      </w:r>
      <w:r w:rsidRPr="00DF3EFC">
        <w:rPr>
          <w:rStyle w:val="HideTWBExt"/>
          <w:i w:val="0"/>
        </w:rPr>
        <w:t>&lt;/TitreJust&gt;</w:t>
      </w:r>
    </w:p>
    <w:p w:rsidR="00DF3EFC" w:rsidRPr="00DF3EFC" w:rsidRDefault="00DF3EFC" w:rsidP="00DF3EFC">
      <w:pPr>
        <w:pStyle w:val="AmJustText"/>
      </w:pPr>
      <w:r w:rsidRPr="00DF3EFC">
        <w:t>Esma bör nämnas i samband med den stärkta roll som föreslås.</w:t>
      </w:r>
    </w:p>
    <w:p w:rsidR="00DF3EFC" w:rsidRPr="00DF3EFC" w:rsidRDefault="00DF3EFC" w:rsidP="00DF3EFC">
      <w:r w:rsidRPr="00DF3EFC">
        <w:rPr>
          <w:rStyle w:val="HideTWBExt"/>
        </w:rPr>
        <w:t>&lt;/AmendB&gt;&lt;/RepeatBlock-AmendB&gt;</w:t>
      </w:r>
    </w:p>
    <w:p w:rsidR="00F916C5" w:rsidRPr="00DF3EFC" w:rsidRDefault="00F916C5" w:rsidP="00DF3EFC"/>
    <w:sectPr w:rsidR="00F916C5" w:rsidRPr="00DF3EFC" w:rsidSect="009038F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EFC" w:rsidRPr="00002290" w:rsidRDefault="00DF3EFC">
      <w:r w:rsidRPr="00002290">
        <w:separator/>
      </w:r>
    </w:p>
  </w:endnote>
  <w:endnote w:type="continuationSeparator" w:id="0">
    <w:p w:rsidR="00DF3EFC" w:rsidRPr="00002290" w:rsidRDefault="00DF3EFC">
      <w:r w:rsidRPr="000022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EFC" w:rsidRPr="00002290" w:rsidRDefault="00DF3EFC" w:rsidP="009038FD">
    <w:pPr>
      <w:pStyle w:val="EPFooter"/>
    </w:pPr>
    <w:r w:rsidRPr="00002290">
      <w:t>PE</w:t>
    </w:r>
    <w:r w:rsidRPr="00DF3EFC">
      <w:rPr>
        <w:rStyle w:val="HideTWBExt"/>
      </w:rPr>
      <w:t>&lt;NoPE&gt;</w:t>
    </w:r>
    <w:r w:rsidRPr="00002290">
      <w:t>692.980</w:t>
    </w:r>
    <w:r w:rsidRPr="00DF3EFC">
      <w:rPr>
        <w:rStyle w:val="HideTWBExt"/>
      </w:rPr>
      <w:t>&lt;/NoPE&gt;&lt;Version&gt;</w:t>
    </w:r>
    <w:r w:rsidRPr="00002290">
      <w:t>v01-00</w:t>
    </w:r>
    <w:r w:rsidRPr="00DF3EFC">
      <w:rPr>
        <w:rStyle w:val="HideTWBExt"/>
      </w:rPr>
      <w:t>&lt;/Version&gt;</w:t>
    </w:r>
    <w:r w:rsidRPr="00002290">
      <w:tab/>
    </w:r>
    <w:r w:rsidRPr="00002290">
      <w:fldChar w:fldCharType="begin"/>
    </w:r>
    <w:r w:rsidRPr="00002290">
      <w:instrText xml:space="preserve"> PAGE  \* MERGEFORMAT </w:instrText>
    </w:r>
    <w:r w:rsidRPr="00002290">
      <w:fldChar w:fldCharType="separate"/>
    </w:r>
    <w:r w:rsidR="0053605E">
      <w:rPr>
        <w:noProof/>
      </w:rPr>
      <w:t>154</w:t>
    </w:r>
    <w:r w:rsidRPr="00002290">
      <w:fldChar w:fldCharType="end"/>
    </w:r>
    <w:r w:rsidRPr="00002290">
      <w:t>/</w:t>
    </w:r>
    <w:fldSimple w:instr=" NUMPAGES  \* MERGEFORMAT ">
      <w:r w:rsidR="0053605E">
        <w:rPr>
          <w:noProof/>
        </w:rPr>
        <w:t>154</w:t>
      </w:r>
    </w:fldSimple>
    <w:r w:rsidRPr="00002290">
      <w:tab/>
    </w:r>
    <w:r w:rsidRPr="00DF3EFC">
      <w:rPr>
        <w:rStyle w:val="HideTWBExt"/>
      </w:rPr>
      <w:t>&lt;PathFdR&gt;</w:t>
    </w:r>
    <w:r w:rsidRPr="00002290">
      <w:t>AM\1232225SV.docx</w:t>
    </w:r>
    <w:r w:rsidRPr="00DF3EFC">
      <w:rPr>
        <w:rStyle w:val="HideTWBExt"/>
      </w:rPr>
      <w:t>&lt;/PathFdR&gt;</w:t>
    </w:r>
  </w:p>
  <w:p w:rsidR="00DF3EFC" w:rsidRPr="00002290" w:rsidRDefault="00DF3EFC" w:rsidP="009038FD">
    <w:pPr>
      <w:pStyle w:val="EPFooter2"/>
    </w:pPr>
    <w:r w:rsidRPr="00002290">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EFC" w:rsidRPr="00002290" w:rsidRDefault="00DF3EFC" w:rsidP="009038FD">
    <w:pPr>
      <w:pStyle w:val="EPFooter"/>
    </w:pPr>
    <w:r w:rsidRPr="00DF3EFC">
      <w:rPr>
        <w:rStyle w:val="HideTWBExt"/>
      </w:rPr>
      <w:t>&lt;PathFdR&gt;</w:t>
    </w:r>
    <w:r w:rsidRPr="00002290">
      <w:t>AM\1232225SV.docx</w:t>
    </w:r>
    <w:r w:rsidRPr="00DF3EFC">
      <w:rPr>
        <w:rStyle w:val="HideTWBExt"/>
      </w:rPr>
      <w:t>&lt;/PathFdR&gt;</w:t>
    </w:r>
    <w:r w:rsidRPr="00002290">
      <w:tab/>
    </w:r>
    <w:r w:rsidRPr="00002290">
      <w:fldChar w:fldCharType="begin"/>
    </w:r>
    <w:r w:rsidRPr="00002290">
      <w:instrText xml:space="preserve"> PAGE  \* MERGEFORMAT </w:instrText>
    </w:r>
    <w:r w:rsidRPr="00002290">
      <w:fldChar w:fldCharType="separate"/>
    </w:r>
    <w:r w:rsidR="0053605E">
      <w:rPr>
        <w:noProof/>
      </w:rPr>
      <w:t>153</w:t>
    </w:r>
    <w:r w:rsidRPr="00002290">
      <w:fldChar w:fldCharType="end"/>
    </w:r>
    <w:r w:rsidRPr="00002290">
      <w:t>/</w:t>
    </w:r>
    <w:fldSimple w:instr=" NUMPAGES  \* MERGEFORMAT ">
      <w:r w:rsidR="0053605E">
        <w:rPr>
          <w:noProof/>
        </w:rPr>
        <w:t>154</w:t>
      </w:r>
    </w:fldSimple>
    <w:r w:rsidRPr="00002290">
      <w:tab/>
      <w:t>PE</w:t>
    </w:r>
    <w:r w:rsidRPr="00DF3EFC">
      <w:rPr>
        <w:rStyle w:val="HideTWBExt"/>
      </w:rPr>
      <w:t>&lt;NoPE&gt;</w:t>
    </w:r>
    <w:r w:rsidRPr="00002290">
      <w:t>692.980</w:t>
    </w:r>
    <w:r w:rsidRPr="00DF3EFC">
      <w:rPr>
        <w:rStyle w:val="HideTWBExt"/>
      </w:rPr>
      <w:t>&lt;/NoPE&gt;&lt;Version&gt;</w:t>
    </w:r>
    <w:r w:rsidRPr="00002290">
      <w:t>v01-00</w:t>
    </w:r>
    <w:r w:rsidRPr="00DF3EFC">
      <w:rPr>
        <w:rStyle w:val="HideTWBExt"/>
      </w:rPr>
      <w:t>&lt;/Version&gt;</w:t>
    </w:r>
  </w:p>
  <w:p w:rsidR="00DF3EFC" w:rsidRPr="00002290" w:rsidRDefault="00DF3EFC" w:rsidP="009038FD">
    <w:pPr>
      <w:pStyle w:val="EPFooter2"/>
    </w:pPr>
    <w:r w:rsidRPr="00002290">
      <w:tab/>
    </w:r>
    <w:r w:rsidRPr="00002290">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EFC" w:rsidRPr="00002290" w:rsidRDefault="00DF3EFC" w:rsidP="009038FD">
    <w:pPr>
      <w:pStyle w:val="EPFooter"/>
    </w:pPr>
    <w:r w:rsidRPr="00DF3EFC">
      <w:rPr>
        <w:rStyle w:val="HideTWBExt"/>
      </w:rPr>
      <w:t>&lt;PathFdR&gt;</w:t>
    </w:r>
    <w:r w:rsidRPr="00002290">
      <w:t>AM\1232225SV.docx</w:t>
    </w:r>
    <w:r w:rsidRPr="00DF3EFC">
      <w:rPr>
        <w:rStyle w:val="HideTWBExt"/>
      </w:rPr>
      <w:t>&lt;/PathFdR&gt;</w:t>
    </w:r>
    <w:r w:rsidRPr="00002290">
      <w:tab/>
    </w:r>
    <w:r w:rsidRPr="00002290">
      <w:tab/>
      <w:t>PE</w:t>
    </w:r>
    <w:r w:rsidRPr="00DF3EFC">
      <w:rPr>
        <w:rStyle w:val="HideTWBExt"/>
      </w:rPr>
      <w:t>&lt;NoPE&gt;</w:t>
    </w:r>
    <w:r w:rsidRPr="00002290">
      <w:t>692.980</w:t>
    </w:r>
    <w:r w:rsidRPr="00DF3EFC">
      <w:rPr>
        <w:rStyle w:val="HideTWBExt"/>
      </w:rPr>
      <w:t>&lt;/NoPE&gt;&lt;Version&gt;</w:t>
    </w:r>
    <w:r w:rsidRPr="00002290">
      <w:t>v01-00</w:t>
    </w:r>
    <w:r w:rsidRPr="00DF3EFC">
      <w:rPr>
        <w:rStyle w:val="HideTWBExt"/>
      </w:rPr>
      <w:t>&lt;/Version&gt;</w:t>
    </w:r>
  </w:p>
  <w:p w:rsidR="00DF3EFC" w:rsidRPr="00002290" w:rsidRDefault="00DF3EFC" w:rsidP="009038FD">
    <w:pPr>
      <w:pStyle w:val="EPFooter2"/>
    </w:pPr>
    <w:r w:rsidRPr="00002290">
      <w:t>SV</w:t>
    </w:r>
    <w:r w:rsidRPr="00002290">
      <w:tab/>
    </w:r>
    <w:r w:rsidRPr="00002290">
      <w:rPr>
        <w:b w:val="0"/>
        <w:i/>
        <w:color w:val="C0C0C0"/>
        <w:sz w:val="22"/>
      </w:rPr>
      <w:t>Förenade i mångfalden</w:t>
    </w:r>
    <w:r w:rsidRPr="00002290">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EFC" w:rsidRPr="00002290" w:rsidRDefault="00DF3EFC">
      <w:r w:rsidRPr="00002290">
        <w:separator/>
      </w:r>
    </w:p>
  </w:footnote>
  <w:footnote w:type="continuationSeparator" w:id="0">
    <w:p w:rsidR="00DF3EFC" w:rsidRPr="00002290" w:rsidRDefault="00DF3EFC">
      <w:r w:rsidRPr="000022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05E" w:rsidRDefault="00536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05E" w:rsidRDefault="005360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05E" w:rsidRDefault="005360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2"/>
    <w:docVar w:name="TXTLANGUE" w:val="SV"/>
    <w:docVar w:name="TXTLANGUEMIN" w:val="sv"/>
    <w:docVar w:name="TXTNRPE" w:val="692.980"/>
    <w:docVar w:name="TXTPEorAP" w:val="PE"/>
    <w:docVar w:name="TXTROUTE" w:val="AM\1232225SV.docx"/>
    <w:docVar w:name="TXTVERSION" w:val="01-00"/>
  </w:docVars>
  <w:rsids>
    <w:rsidRoot w:val="00A77B3E"/>
    <w:rsid w:val="00002290"/>
    <w:rsid w:val="002B0B5C"/>
    <w:rsid w:val="0053605E"/>
    <w:rsid w:val="009038FD"/>
    <w:rsid w:val="00A77B3E"/>
    <w:rsid w:val="00CA2A55"/>
    <w:rsid w:val="00DF3EFC"/>
    <w:rsid w:val="00F916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205F2"/>
  <w15:docId w15:val="{D7B9A1F3-2961-4037-B2B9-D3B52627E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v-S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40510</Words>
  <Characters>269529</Characters>
  <Application>Microsoft Office Word</Application>
  <DocSecurity>0</DocSecurity>
  <Lines>9489</Lines>
  <Paragraphs>2127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EDHOLM Erik Thomas</cp:lastModifiedBy>
  <cp:revision>2</cp:revision>
  <dcterms:created xsi:type="dcterms:W3CDTF">2021-06-16T15:33:00Z</dcterms:created>
  <dcterms:modified xsi:type="dcterms:W3CDTF">2021-06-16T15:33:00Z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1232225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20210526-161504-218474-413366</vt:lpwstr>
  </property>
  <property fmtid="{D5CDD505-2E9C-101B-9397-08002B2CF9AE}" pid="7" name="FooterPath">
    <vt:lpwstr>AM\1232225SV.docx</vt:lpwstr>
  </property>
  <property fmtid="{D5CDD505-2E9C-101B-9397-08002B2CF9AE}" pid="8" name="PE Number">
    <vt:lpwstr>692.980</vt:lpwstr>
  </property>
  <property fmtid="{D5CDD505-2E9C-101B-9397-08002B2CF9AE}" pid="9" name="UID">
    <vt:lpwstr>eu.europa.europarl-DIN1-2021-0000041986_03.00-xm-01.00_text-xml</vt:lpwstr>
  </property>
  <property fmtid="{D5CDD505-2E9C-101B-9397-08002B2CF9AE}" pid="10" name="LastEdited with">
    <vt:lpwstr>9.9.1 Build [20200705]</vt:lpwstr>
  </property>
  <property fmtid="{D5CDD505-2E9C-101B-9397-08002B2CF9AE}" pid="11" name="Bookout">
    <vt:lpwstr>OK - 2021/06/16 17:32</vt:lpwstr>
  </property>
</Properties>
</file>