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center"/>
        <w:tblLayout w:type="fixed"/>
        <w:tblCellMar>
          <w:top w:w="0" w:type="dxa"/>
          <w:left w:w="108" w:type="dxa"/>
          <w:bottom w:w="0" w:type="dxa"/>
          <w:right w:w="108" w:type="dxa"/>
        </w:tblCellMar>
      </w:tblPr>
      <w:tblGrid>
        <w:gridCol w:w="6804"/>
        <w:gridCol w:w="2268"/>
      </w:tblGrid>
      <w:tr>
        <w:tblPrEx>
          <w:jc w:val="center"/>
          <w:tblLayout w:type="fixed"/>
          <w:tblCellMar>
            <w:top w:w="0" w:type="dxa"/>
            <w:left w:w="108" w:type="dxa"/>
            <w:bottom w:w="0" w:type="dxa"/>
            <w:right w:w="108" w:type="dxa"/>
          </w:tblCellMar>
        </w:tblPrEx>
        <w:trPr>
          <w:cantSplit w:val="0"/>
          <w:trHeight w:hRule="exact" w:val="1417"/>
          <w:jc w:val="center"/>
        </w:trPr>
        <w:tc>
          <w:tcPr>
            <w:tcW w:w="6804" w:type="dxa"/>
            <w:vAlign w:val="center"/>
          </w:tcPr>
          <w:p>
            <w:pPr>
              <w:pStyle w:val="EPName"/>
            </w:pPr>
            <w:r w:rsidR="00A77B3E">
              <w:t>Evropský parlament</w:t>
            </w:r>
          </w:p>
          <w:p>
            <w:pPr>
              <w:pStyle w:val="EPTerm"/>
            </w:pPr>
            <w:r>
              <w:t>2019-2024</w:t>
            </w:r>
          </w:p>
        </w:tc>
        <w:tc>
          <w:tcPr>
            <w:tcW w:w="226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732694"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{ECON}</w:t>
      </w:r>
      <w:r>
        <w:t>Hospodářský a měnový výbor</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2020/0267</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(COD)</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26/05/2021</w:t>
      </w:r>
      <w:r>
        <w:rPr>
          <w:rStyle w:val="HideTWBInt"/>
        </w:rPr>
        <w:t>}</w:t>
      </w:r>
      <w:r>
        <w:t>26. 5. 2021</w:t>
      </w:r>
      <w:r>
        <w:rPr>
          <w:rStyle w:val="HideTWBExt"/>
        </w:rPr>
        <w:t>&lt;/</w:t>
      </w:r>
      <w:r>
        <w:rPr>
          <w:rStyle w:val="HideTWBExt"/>
        </w:rPr>
        <w:t>Date</w:t>
      </w:r>
      <w:r>
        <w:rPr>
          <w:rStyle w:val="HideTWBExt"/>
        </w:rPr>
        <w:t>&gt;</w:t>
      </w:r>
    </w:p>
    <w:p>
      <w:pPr>
        <w:pStyle w:val="CoverDocType"/>
      </w:pPr>
      <w:r>
        <w:rPr>
          <w:rStyle w:val="HideTWBExt"/>
        </w:rPr>
        <w:t>&lt;</w:t>
      </w:r>
      <w:r>
        <w:rPr>
          <w:rStyle w:val="HideTWBExt"/>
        </w:rPr>
        <w:t>TypeAM</w:t>
      </w:r>
      <w:r>
        <w:rPr>
          <w:rStyle w:val="HideTWBExt"/>
        </w:rPr>
        <w:t>&gt;</w:t>
      </w:r>
      <w:r>
        <w:t>POZMĚŇOVACÍ NÁVRHY</w:t>
      </w:r>
      <w:r>
        <w:rPr>
          <w:rStyle w:val="HideTWBExt"/>
        </w:rPr>
        <w:t>&lt;/</w:t>
      </w:r>
      <w:r>
        <w:rPr>
          <w:rStyle w:val="HideTWBExt"/>
        </w:rPr>
        <w:t>TypeAM</w:t>
      </w:r>
      <w:r>
        <w:rPr>
          <w:rStyle w:val="HideTWBExt"/>
        </w:rPr>
        <w:t>&gt;</w:t>
      </w:r>
    </w:p>
    <w:p>
      <w:pPr>
        <w:pStyle w:val="CoverDocType24a"/>
      </w:pPr>
      <w:r>
        <w:rPr>
          <w:rStyle w:val="HideTWBExt"/>
        </w:rPr>
        <w:t>&lt;</w:t>
      </w:r>
      <w:r>
        <w:rPr>
          <w:rStyle w:val="HideTWBExt"/>
        </w:rPr>
        <w:t>RangeAM</w:t>
      </w:r>
      <w:r>
        <w:rPr>
          <w:rStyle w:val="HideTWBExt"/>
        </w:rPr>
        <w:t>&gt;</w:t>
      </w:r>
      <w:r>
        <w:t>335 - 499</w:t>
      </w:r>
      <w:r>
        <w:rPr>
          <w:rStyle w:val="HideTWBExt"/>
        </w:rPr>
        <w:t>&lt;/</w:t>
      </w:r>
      <w:r>
        <w:rPr>
          <w:rStyle w:val="HideTWBExt"/>
        </w:rPr>
        <w:t>RangeAM</w:t>
      </w:r>
      <w:r>
        <w:rPr>
          <w:rStyle w:val="HideTWBExt"/>
        </w:rPr>
        <w:t>&gt;</w:t>
      </w:r>
    </w:p>
    <w:p>
      <w:pPr>
        <w:pStyle w:val="CoverBold"/>
      </w:pPr>
      <w:r>
        <w:rPr>
          <w:rStyle w:val="HideTWBExt"/>
        </w:rPr>
        <w:t>&lt;</w:t>
      </w:r>
      <w:r>
        <w:rPr>
          <w:rStyle w:val="HideTWBExt"/>
        </w:rPr>
        <w:t>TitreType</w:t>
      </w:r>
      <w:r>
        <w:rPr>
          <w:rStyle w:val="HideTWBExt"/>
        </w:rPr>
        <w:t>&gt;</w:t>
      </w:r>
      <w:r>
        <w:t>Návrh zprávy</w:t>
      </w:r>
      <w:r>
        <w:rPr>
          <w:rStyle w:val="HideTWBExt"/>
        </w:rPr>
        <w:t>&lt;/</w:t>
      </w:r>
      <w:r>
        <w:rPr>
          <w:rStyle w:val="HideTWBExt"/>
        </w:rPr>
        <w:t>TitreType</w:t>
      </w:r>
      <w:r>
        <w:rPr>
          <w:rStyle w:val="HideTWBExt"/>
        </w:rPr>
        <w:t>&gt;</w:t>
      </w:r>
    </w:p>
    <w:p>
      <w:pPr>
        <w:pStyle w:val="CoverBold"/>
      </w:pPr>
      <w:r>
        <w:rPr>
          <w:rStyle w:val="HideTWBExt"/>
        </w:rPr>
        <w:t>&lt;</w:t>
      </w:r>
      <w:r>
        <w:rPr>
          <w:rStyle w:val="HideTWBExt"/>
        </w:rPr>
        <w:t>Rapporteur</w:t>
      </w:r>
      <w:r>
        <w:rPr>
          <w:rStyle w:val="HideTWBExt"/>
        </w:rPr>
        <w:t>&gt;</w:t>
      </w:r>
      <w:r>
        <w:t>Johan Van Overtveldt</w:t>
      </w:r>
      <w:r>
        <w:rPr>
          <w:rStyle w:val="HideTWBExt"/>
        </w:rPr>
        <w:t>&lt;/</w:t>
      </w:r>
      <w:r>
        <w:rPr>
          <w:rStyle w:val="HideTWBExt"/>
        </w:rPr>
        <w:t>Rapporteur</w:t>
      </w:r>
      <w:r>
        <w:rPr>
          <w:rStyle w:val="HideTWBExt"/>
        </w:rPr>
        <w:t>&gt;</w:t>
      </w:r>
    </w:p>
    <w:p>
      <w:pPr>
        <w:pStyle w:val="CoverNormal24a"/>
      </w:pPr>
      <w:r>
        <w:rPr>
          <w:rStyle w:val="HideTWBExt"/>
        </w:rPr>
        <w:t>&lt;</w:t>
      </w:r>
      <w:r>
        <w:rPr>
          <w:rStyle w:val="HideTWBExt"/>
        </w:rPr>
        <w:t>DocRefPE</w:t>
      </w:r>
      <w:r>
        <w:rPr>
          <w:rStyle w:val="HideTWBExt"/>
        </w:rPr>
        <w:t>&gt;</w:t>
      </w:r>
      <w:r>
        <w:t>(</w:t>
      </w:r>
      <w:r>
        <w:t>PE689.571v01-00</w:t>
      </w:r>
      <w:r>
        <w:t>)</w:t>
      </w:r>
      <w:r>
        <w:rPr>
          <w:rStyle w:val="HideTWBExt"/>
        </w:rPr>
        <w:t>&lt;/</w:t>
      </w:r>
      <w:r>
        <w:rPr>
          <w:rStyle w:val="HideTWBExt"/>
        </w:rPr>
        <w:t>DocRefPE</w:t>
      </w:r>
      <w:r>
        <w:rPr>
          <w:rStyle w:val="HideTWBExt"/>
        </w:rPr>
        <w:t>&gt;</w:t>
      </w:r>
    </w:p>
    <w:p>
      <w:pPr>
        <w:pStyle w:val="CoverNormal24a"/>
      </w:pPr>
      <w:r>
        <w:rPr>
          <w:rStyle w:val="HideTWBExt"/>
        </w:rPr>
        <w:t>&lt;</w:t>
      </w:r>
      <w:r>
        <w:rPr>
          <w:rStyle w:val="HideTWBExt"/>
        </w:rPr>
        <w:t>Titre</w:t>
      </w:r>
      <w:r>
        <w:rPr>
          <w:rStyle w:val="HideTWBExt"/>
        </w:rPr>
        <w:t>&gt;</w:t>
      </w:r>
      <w:r>
        <w:t>Pilotní režim pro tržní infrastrukturu založenou na technologii distribuované účetní knihy</w:t>
      </w:r>
      <w:r>
        <w:rPr>
          <w:rStyle w:val="HideTWBExt"/>
        </w:rPr>
        <w:t>&lt;/</w:t>
      </w:r>
      <w:r>
        <w:rPr>
          <w:rStyle w:val="HideTWBExt"/>
        </w:rPr>
        <w:t>Titre</w:t>
      </w:r>
      <w:r>
        <w:rPr>
          <w:rStyle w:val="HideTWBExt"/>
        </w:rPr>
        <w:t>&gt;</w:t>
      </w:r>
    </w:p>
    <w:p>
      <w:pPr>
        <w:pStyle w:val="CoverNormal"/>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CoverNormal24a"/>
      </w:pPr>
      <w:r>
        <w:rPr>
          <w:rStyle w:val="HideTWBExt"/>
        </w:rPr>
        <w:t>&lt;</w:t>
      </w:r>
      <w:r>
        <w:rPr>
          <w:rStyle w:val="HideTWBExt"/>
        </w:rPr>
        <w:t>DocRef</w:t>
      </w:r>
      <w:r>
        <w:rPr>
          <w:rStyle w:val="HideTWBExt"/>
        </w:rPr>
        <w:t>&gt;</w:t>
      </w:r>
      <w:r>
        <w:t>(</w:t>
      </w:r>
      <w:r>
        <w:t>COM(2020)0594</w:t>
      </w:r>
      <w:r>
        <w:t xml:space="preserve"> – </w:t>
      </w:r>
      <w:r>
        <w:t>C9-0305/2020</w:t>
      </w:r>
      <w:r>
        <w:t xml:space="preserve"> – </w:t>
      </w:r>
      <w:r>
        <w:t>2020/0267(COD)</w:t>
      </w:r>
      <w:r>
        <w:t>)</w:t>
      </w:r>
      <w:r>
        <w:rPr>
          <w:rStyle w:val="HideTWBExt"/>
        </w:rPr>
        <w:t>&lt;/</w:t>
      </w:r>
      <w:r>
        <w:rPr>
          <w:rStyle w:val="HideTWBExt"/>
        </w:rPr>
        <w:t>DocRef</w:t>
      </w:r>
      <w:r>
        <w:rPr>
          <w:rStyle w:val="HideTWBExt"/>
        </w:rPr>
        <w:t>&gt;</w:t>
      </w:r>
    </w:p>
    <w:p>
      <w:r>
        <w:br w:type="page"/>
      </w:r>
      <w:r>
        <w:t>AM_Com_LegReport</w:t>
      </w:r>
    </w:p>
    <w:p>
      <w:pPr>
        <w:pStyle w:val="AmNumberTabs"/>
      </w:pPr>
      <w:r>
        <w:br w:type="page"/>
      </w: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335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2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rPr>
                <w:b/>
                <w:i/>
                <w:strike w:val="0"/>
                <w:color w:val="auto"/>
                <w:highlight w:val="none"/>
                <w:u w:val="none" w:color="auto"/>
                <w:vertAlign w:val="baseline"/>
              </w:rPr>
              <w:t>Centrální depozitář</w:t>
            </w:r>
            <w:r>
              <w:t xml:space="preserve"> provozující systém vypořádání obchodů s cennými papíry vedenými na DLT může být na svou žádost příslušným orgánem osvobozen od povinnosti použít čl. 2 odst. 1 bod 4 o zaknihované podobě, čl. 2 odst. 1 bod 9 o převodním příkazu, čl. 2 odst. 1 bod 28 o účtech cenných papírů, článek 3 o evidenci cenných papírů, článek 37 o celistvosti emise a článek 38 o oddělení aktiv nařízení (EU) č. 909/2014, pokud:</w:t>
            </w:r>
          </w:p>
        </w:tc>
        <w:tc>
          <w:tcPr>
            <w:tcW w:w="4876" w:type="dxa"/>
            <w:vAlign w:val="top"/>
          </w:tcPr>
          <w:p>
            <w:pPr>
              <w:pStyle w:val="Normal6a"/>
            </w:pPr>
            <w:r>
              <w:t>2.</w:t>
            </w:r>
            <w:r>
              <w:tab/>
            </w:r>
            <w:r>
              <w:rPr>
                <w:b/>
                <w:i/>
                <w:strike w:val="0"/>
                <w:color w:val="auto"/>
                <w:highlight w:val="none"/>
                <w:u w:val="none" w:color="auto"/>
                <w:vertAlign w:val="baseline"/>
              </w:rPr>
              <w:t>Subjekt</w:t>
            </w:r>
            <w:r>
              <w:t xml:space="preserve"> provozující systém vypořádání obchodů s cennými papíry vedenými na DLT může být na svou žádost příslušným orgánem osvobozen od povinnosti použít čl. 2 odst. 1 bod 4 o zaknihované podobě, čl. 2 odst. 1 bod 9 o převodním příkazu, čl. 2 odst. 1 bod 28 o účtech cenných papírů, článek 3 o evidenci cenných papírů, článek 37 o celistvosti emise a článek 38 o oddělení aktiv nařízení (EU) č. 909/2014, pokud:</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336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2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prokáže, že použití „účtu cenných papírů“ ve smyslu čl. 2 odst. 1 bodu 28 nařízení (EU) č. 909/2014 nebo použití formy zápisu do příslušné evidence cenných papírů je neslučitelné s použitím </w:t>
            </w:r>
            <w:r>
              <w:rPr>
                <w:b/>
                <w:i/>
                <w:strike w:val="0"/>
                <w:color w:val="auto"/>
                <w:highlight w:val="none"/>
                <w:u w:val="none" w:color="auto"/>
                <w:vertAlign w:val="baseline"/>
              </w:rPr>
              <w:t>jeho</w:t>
            </w:r>
            <w:r>
              <w:t xml:space="preserve"> konkrétní technologie DLT;</w:t>
            </w:r>
          </w:p>
        </w:tc>
        <w:tc>
          <w:tcPr>
            <w:tcW w:w="4876" w:type="dxa"/>
            <w:vAlign w:val="top"/>
          </w:tcPr>
          <w:p>
            <w:pPr>
              <w:pStyle w:val="Normal6a"/>
            </w:pPr>
            <w:r>
              <w:t>a)</w:t>
            </w:r>
            <w:r>
              <w:tab/>
            </w:r>
            <w:r>
              <w:t xml:space="preserve">prokáže, že použití „účtu cenných papírů“ ve smyslu čl. 2 odst. 1 bodu 28 nařízení (EU) č. 909/2014 nebo použití formy zápisu do příslušné evidence cenných papírů je neslučitelné s použitím konkrétní technologie DLT </w:t>
            </w:r>
            <w:r>
              <w:rPr>
                <w:b/>
                <w:i/>
                <w:strike w:val="0"/>
                <w:color w:val="auto"/>
                <w:highlight w:val="none"/>
                <w:u w:val="none" w:color="auto"/>
                <w:vertAlign w:val="baseline"/>
              </w:rPr>
              <w:t>dotčeným centrálním depozitářem cenných papírů</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337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2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prokáže, že použití „účtu cenných papírů“ ve smyslu čl. 2 odst. 1 bodu 28 nařízení (EU) č. 909/2014 nebo použití formy zápisu do příslušné evidence cenných papírů je neslučitelné s použitím jeho konkrétní technologie DLT;</w:t>
            </w:r>
          </w:p>
        </w:tc>
        <w:tc>
          <w:tcPr>
            <w:tcW w:w="4876" w:type="dxa"/>
            <w:vAlign w:val="top"/>
          </w:tcPr>
          <w:p>
            <w:pPr>
              <w:pStyle w:val="Normal6a"/>
            </w:pPr>
            <w:r>
              <w:t>a)</w:t>
            </w:r>
            <w:r>
              <w:tab/>
            </w:r>
            <w:r>
              <w:t xml:space="preserve">prokáže, že použití „účtu cenných papírů“ ve smyslu čl. 2 odst. 1 bodu 28 nařízení (EU) č. 909/2014 nebo použití formy zápisu do příslušné evidence cenných papírů je neslučitelné s použitím jeho </w:t>
            </w:r>
            <w:r>
              <w:rPr>
                <w:b/>
                <w:i/>
                <w:strike w:val="0"/>
                <w:color w:val="auto"/>
                <w:highlight w:val="none"/>
                <w:u w:val="none" w:color="auto"/>
                <w:vertAlign w:val="baseline"/>
              </w:rPr>
              <w:t>uplatňované</w:t>
            </w:r>
            <w:r>
              <w:t xml:space="preserve"> konkrétní technologie DLT;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V kontextu technologicky neutrálního přístupu k používání DLT.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338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2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navrhne kompenzační opatření ke splnění cílů sledovaných ustanoveními, z nichž požaduje výjimku, a zajistí přinejmenším:</w:t>
            </w:r>
          </w:p>
        </w:tc>
        <w:tc>
          <w:tcPr>
            <w:tcW w:w="4876" w:type="dxa"/>
            <w:vAlign w:val="top"/>
          </w:tcPr>
          <w:p>
            <w:pPr>
              <w:pStyle w:val="Normal6a"/>
            </w:pPr>
            <w:r>
              <w:t>b)</w:t>
            </w:r>
            <w:r>
              <w:tab/>
            </w:r>
            <w:r>
              <w:t xml:space="preserve">navrhne kompenzační </w:t>
            </w:r>
            <w:r>
              <w:rPr>
                <w:b/>
                <w:i/>
                <w:strike w:val="0"/>
                <w:color w:val="auto"/>
                <w:highlight w:val="none"/>
                <w:u w:val="none" w:color="auto"/>
                <w:vertAlign w:val="baseline"/>
              </w:rPr>
              <w:t>nebo nápravná</w:t>
            </w:r>
            <w:r>
              <w:t xml:space="preserve"> opatření ke splnění cílů sledovaných ustanoveními, z nichž požaduje výjimku, a zajistí přinejmenším: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Editační poznámka.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339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Centrální depozitář provozující systém vypořádání obchodů s cennými papíry vedenými na DLT může být na svou žádost příslušným orgánem osvobozen od povinnosti použít článek 19 a článek 30 nařízení (EU) č. 909/2014, pokud:</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a) jsou tato ustanovení neslučitelná s předpokládaným použitím technologie DLT provozované dotčeným centrálním depozitářem a</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b) tento centrální depozitář provozující systém vypořádání obchodů s cennými papíry vedenými na DLT zajistí splnění podmínek stanovených v čl. 30 odst. 1 písm. c) až i) a v čl. 30 odst. 2 nařízení (EU) č. 909/2014.</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Odpovědnost za externí zajišťování činností nebo poskytování služeb by neměla být přenesena na třetí stranu.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340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Centrální depozitář provozující systém </w:t>
            </w:r>
            <w:r>
              <w:rPr>
                <w:b/>
                <w:i/>
                <w:strike w:val="0"/>
                <w:color w:val="auto"/>
                <w:highlight w:val="none"/>
                <w:u w:val="none" w:color="auto"/>
                <w:vertAlign w:val="baseline"/>
              </w:rPr>
              <w:t>vypořádání obchodů s cennými papíry vedenými na</w:t>
            </w:r>
            <w:r>
              <w:t xml:space="preserve"> DLT může být na </w:t>
            </w:r>
            <w:r>
              <w:rPr>
                <w:b/>
                <w:i/>
                <w:strike w:val="0"/>
                <w:color w:val="auto"/>
                <w:highlight w:val="none"/>
                <w:u w:val="none" w:color="auto"/>
                <w:vertAlign w:val="baseline"/>
              </w:rPr>
              <w:t>svou</w:t>
            </w:r>
            <w:r>
              <w:t xml:space="preserve"> žádost příslušným orgánem </w:t>
            </w:r>
            <w:r>
              <w:rPr>
                <w:b/>
                <w:i/>
                <w:strike w:val="0"/>
                <w:color w:val="auto"/>
                <w:highlight w:val="none"/>
                <w:u w:val="none" w:color="auto"/>
                <w:vertAlign w:val="baseline"/>
              </w:rPr>
              <w:t>osvobozen od povinnosti použít článek 19 a článek 30</w:t>
            </w:r>
            <w:r>
              <w:t xml:space="preserve"> nařízení (EU) č. 909/2014, pokud:</w:t>
            </w:r>
          </w:p>
        </w:tc>
        <w:tc>
          <w:tcPr>
            <w:tcW w:w="4876" w:type="dxa"/>
            <w:vAlign w:val="top"/>
          </w:tcPr>
          <w:p>
            <w:pPr>
              <w:pStyle w:val="Normal6a"/>
            </w:pPr>
            <w:r>
              <w:t>3.</w:t>
            </w:r>
            <w:r>
              <w:tab/>
            </w:r>
            <w:r>
              <w:t xml:space="preserve">Centrální depozitář provozující </w:t>
            </w:r>
            <w:r>
              <w:rPr>
                <w:b/>
                <w:i/>
                <w:strike w:val="0"/>
                <w:color w:val="auto"/>
                <w:highlight w:val="none"/>
                <w:u w:val="none" w:color="auto"/>
                <w:vertAlign w:val="baseline"/>
              </w:rPr>
              <w:t>vypořádací</w:t>
            </w:r>
            <w:r>
              <w:t xml:space="preserve"> systém DLT může být na </w:t>
            </w:r>
            <w:r>
              <w:rPr>
                <w:b/>
                <w:i/>
                <w:strike w:val="0"/>
                <w:color w:val="auto"/>
                <w:highlight w:val="none"/>
                <w:u w:val="none" w:color="auto"/>
                <w:vertAlign w:val="baseline"/>
              </w:rPr>
              <w:t>jeho</w:t>
            </w:r>
            <w:r>
              <w:t xml:space="preserve"> žádost příslušným orgánem </w:t>
            </w:r>
            <w:r>
              <w:rPr>
                <w:b/>
                <w:i/>
                <w:strike w:val="0"/>
                <w:color w:val="auto"/>
                <w:highlight w:val="none"/>
                <w:u w:val="none" w:color="auto"/>
                <w:vertAlign w:val="baseline"/>
              </w:rPr>
              <w:t>vyňat z působnosti článku 19</w:t>
            </w:r>
            <w:r>
              <w:t xml:space="preserve"> nařízení (EU) č. 909/2014, </w:t>
            </w:r>
            <w:r>
              <w:rPr>
                <w:b/>
                <w:i/>
                <w:strike w:val="0"/>
                <w:color w:val="auto"/>
                <w:highlight w:val="none"/>
                <w:u w:val="none" w:color="auto"/>
                <w:vertAlign w:val="baseline"/>
              </w:rPr>
              <w:t>pouze ve vztahu k outsourcingu základní služby třetí straně, a z článku 30 uvedeného nařízení</w:t>
            </w:r>
            <w:r>
              <w:t xml:space="preserve"> pokud:</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Podle stanoviska ECB.</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341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Centrální depozitář provozující systém </w:t>
            </w:r>
            <w:r>
              <w:rPr>
                <w:b/>
                <w:i/>
                <w:strike w:val="0"/>
                <w:color w:val="auto"/>
                <w:highlight w:val="none"/>
                <w:u w:val="none" w:color="auto"/>
                <w:vertAlign w:val="baseline"/>
              </w:rPr>
              <w:t>vypořádání obchodů s cennými papíry vedenými na DLT</w:t>
            </w:r>
            <w:r>
              <w:t xml:space="preserve"> může být na </w:t>
            </w:r>
            <w:r>
              <w:rPr>
                <w:b/>
                <w:i/>
                <w:strike w:val="0"/>
                <w:color w:val="auto"/>
                <w:highlight w:val="none"/>
                <w:u w:val="none" w:color="auto"/>
                <w:vertAlign w:val="baseline"/>
              </w:rPr>
              <w:t>svou</w:t>
            </w:r>
            <w:r>
              <w:t xml:space="preserve"> žádost příslušným orgánem </w:t>
            </w:r>
            <w:r>
              <w:rPr>
                <w:b/>
                <w:i/>
                <w:strike w:val="0"/>
                <w:color w:val="auto"/>
                <w:highlight w:val="none"/>
                <w:u w:val="none" w:color="auto"/>
                <w:vertAlign w:val="baseline"/>
              </w:rPr>
              <w:t>osvobozen od povinnosti použít článek 19 a článek 30</w:t>
            </w:r>
            <w:r>
              <w:t xml:space="preserve"> nařízení (EU) č. 909/2014</w:t>
            </w:r>
            <w:r>
              <w:rPr>
                <w:b/>
                <w:i/>
                <w:strike w:val="0"/>
                <w:color w:val="auto"/>
                <w:highlight w:val="none"/>
                <w:u w:val="none" w:color="auto"/>
                <w:vertAlign w:val="baseline"/>
              </w:rPr>
              <w:t>, pokud</w:t>
            </w:r>
            <w:r>
              <w:t>:</w:t>
            </w:r>
          </w:p>
        </w:tc>
        <w:tc>
          <w:tcPr>
            <w:tcW w:w="4876" w:type="dxa"/>
            <w:vAlign w:val="top"/>
          </w:tcPr>
          <w:p>
            <w:pPr>
              <w:pStyle w:val="Normal6a"/>
            </w:pPr>
            <w:r>
              <w:t>3.</w:t>
            </w:r>
            <w:r>
              <w:tab/>
            </w:r>
            <w:r>
              <w:t xml:space="preserve">Centrální depozitář provozující systém </w:t>
            </w:r>
            <w:r>
              <w:rPr>
                <w:b/>
                <w:i/>
                <w:strike w:val="0"/>
                <w:color w:val="auto"/>
                <w:highlight w:val="none"/>
                <w:u w:val="none" w:color="auto"/>
                <w:vertAlign w:val="baseline"/>
              </w:rPr>
              <w:t>DLT SSS</w:t>
            </w:r>
            <w:r>
              <w:t xml:space="preserve"> může být na </w:t>
            </w:r>
            <w:r>
              <w:rPr>
                <w:b/>
                <w:i/>
                <w:strike w:val="0"/>
                <w:color w:val="auto"/>
                <w:highlight w:val="none"/>
                <w:u w:val="none" w:color="auto"/>
                <w:vertAlign w:val="baseline"/>
              </w:rPr>
              <w:t>jeho</w:t>
            </w:r>
            <w:r>
              <w:t xml:space="preserve"> žádost příslušným orgánem </w:t>
            </w:r>
            <w:r>
              <w:rPr>
                <w:b/>
                <w:i/>
                <w:strike w:val="0"/>
                <w:color w:val="auto"/>
                <w:highlight w:val="none"/>
                <w:u w:val="none" w:color="auto"/>
                <w:vertAlign w:val="baseline"/>
              </w:rPr>
              <w:t>vyňat z působnosti článku 19</w:t>
            </w:r>
            <w:r>
              <w:t xml:space="preserve"> nařízení (EU) č. 909/2014 </w:t>
            </w:r>
            <w:r>
              <w:rPr>
                <w:b/>
                <w:i/>
                <w:strike w:val="0"/>
                <w:color w:val="auto"/>
                <w:highlight w:val="none"/>
                <w:u w:val="none" w:color="auto"/>
                <w:vertAlign w:val="baseline"/>
              </w:rPr>
              <w:t>pouze v souvislosti s outsourcingem základní služby třetí straně a z článku 30 uvedeného nařízení za předpokladu, že</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tohoto pozměňovacího návrhu je zohlednit návrh uvedený ve stanovisku ECB.</w:t>
      </w:r>
      <w:r>
        <w:t xml:space="preserve"> </w:t>
      </w:r>
      <w:r>
        <w:t xml:space="preserve">Výjimka z článku 19 nařízení (EU) 909/2014 by měla být zúžena pouze na případy outsourcingu služeb. </w:t>
      </w:r>
      <w:r>
        <w:t xml:space="preserve"> </w:t>
      </w:r>
      <w:r>
        <w:t>mimoto provozování DLT SSS centrálním depozitářem nemusí být rovnocenný provozování "systému".</w:t>
      </w:r>
      <w:r>
        <w:t xml:space="preserve"> </w:t>
      </w:r>
      <w:r>
        <w:t>V takovém případě by provozování DLT SSS nebylo považováno za rozšíření činností nebo služeb podle nařízení 909/2014.</w:t>
      </w:r>
      <w:r>
        <w:t xml:space="preserve"> </w:t>
      </w:r>
      <w:r>
        <w:t>V důsledku toho by bylo nezbytné hodnocení prováděné příslušnými orgány pro povolení provozování DLT SSS v soulad s článkem 19 nařízení (EU) No 909/2014.</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342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rPr>
                <w:b/>
                <w:i/>
                <w:strike w:val="0"/>
                <w:color w:val="auto"/>
                <w:highlight w:val="none"/>
                <w:u w:val="none" w:color="auto"/>
                <w:vertAlign w:val="baseline"/>
              </w:rPr>
              <w:t>Centrální depozitář</w:t>
            </w:r>
            <w:r>
              <w:t xml:space="preserve"> provozující systém vypořádání obchodů s cennými papíry vedenými na DLT může být na svou žádost příslušným orgánem osvobozen od povinnosti použít článek 19 a článek 30 nařízení (EU) č. 909/2014, pokud:</w:t>
            </w:r>
          </w:p>
        </w:tc>
        <w:tc>
          <w:tcPr>
            <w:tcW w:w="4876" w:type="dxa"/>
            <w:vAlign w:val="top"/>
          </w:tcPr>
          <w:p>
            <w:pPr>
              <w:pStyle w:val="Normal6a"/>
            </w:pPr>
            <w:r>
              <w:t>3.</w:t>
            </w:r>
            <w:r>
              <w:tab/>
            </w:r>
            <w:r>
              <w:rPr>
                <w:b/>
                <w:i/>
                <w:strike w:val="0"/>
                <w:color w:val="auto"/>
                <w:highlight w:val="none"/>
                <w:u w:val="none" w:color="auto"/>
                <w:vertAlign w:val="baseline"/>
              </w:rPr>
              <w:t>Subjekt</w:t>
            </w:r>
            <w:r>
              <w:t xml:space="preserve"> provozující systém vypořádání obchodů s cennými papíry vedenými na DLT může být na svou žádost příslušným orgánem osvobozen od povinnosti použít článek 19 a článek 30 nařízení (EU) č. 909/2014, pokud:</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343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3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jsou tato ustanovení neslučitelná s předpokládaným použitím technologie DLT provozované dotčeným </w:t>
            </w:r>
            <w:r>
              <w:rPr>
                <w:b/>
                <w:i/>
                <w:strike w:val="0"/>
                <w:color w:val="auto"/>
                <w:highlight w:val="none"/>
                <w:u w:val="none" w:color="auto"/>
                <w:vertAlign w:val="baseline"/>
              </w:rPr>
              <w:t>centrálním depozitářem</w:t>
            </w:r>
            <w:r>
              <w:t xml:space="preserve"> a</w:t>
            </w:r>
          </w:p>
        </w:tc>
        <w:tc>
          <w:tcPr>
            <w:tcW w:w="4876" w:type="dxa"/>
            <w:vAlign w:val="top"/>
          </w:tcPr>
          <w:p>
            <w:pPr>
              <w:pStyle w:val="Normal6a"/>
            </w:pPr>
            <w:r>
              <w:t>a)</w:t>
            </w:r>
            <w:r>
              <w:tab/>
            </w:r>
            <w:r>
              <w:t xml:space="preserve">jsou tato ustanovení neslučitelná s předpokládaným použitím technologie DLT provozované dotčeným </w:t>
            </w:r>
            <w:r>
              <w:rPr>
                <w:b/>
                <w:i/>
                <w:strike w:val="0"/>
                <w:color w:val="auto"/>
                <w:highlight w:val="none"/>
                <w:u w:val="none" w:color="auto"/>
                <w:vertAlign w:val="baseline"/>
              </w:rPr>
              <w:t>subjektem </w:t>
            </w:r>
            <w:r>
              <w:t xml:space="preserve"> 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344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3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 xml:space="preserve">tento </w:t>
            </w:r>
            <w:r>
              <w:rPr>
                <w:b/>
                <w:i/>
                <w:strike w:val="0"/>
                <w:color w:val="auto"/>
                <w:highlight w:val="none"/>
                <w:u w:val="none" w:color="auto"/>
                <w:vertAlign w:val="baseline"/>
              </w:rPr>
              <w:t>centrální depozitář</w:t>
            </w:r>
            <w:r>
              <w:t xml:space="preserve"> provozující systém vypořádání obchodů s cennými papíry vedenými na DLT zajistí splnění podmínek stanovených v čl. 30 odst. 1 písm. c) až i) a v čl. 30 odst. 2 nařízení (EU) č. 909/2014.</w:t>
            </w:r>
          </w:p>
        </w:tc>
        <w:tc>
          <w:tcPr>
            <w:tcW w:w="4876" w:type="dxa"/>
            <w:vAlign w:val="top"/>
          </w:tcPr>
          <w:p>
            <w:pPr>
              <w:pStyle w:val="Normal6a"/>
            </w:pPr>
            <w:r>
              <w:t>b)</w:t>
            </w:r>
            <w:r>
              <w:tab/>
            </w:r>
            <w:r>
              <w:t xml:space="preserve">tento </w:t>
            </w:r>
            <w:r>
              <w:rPr>
                <w:b/>
                <w:i/>
                <w:strike w:val="0"/>
                <w:color w:val="auto"/>
                <w:highlight w:val="none"/>
                <w:u w:val="none" w:color="auto"/>
                <w:vertAlign w:val="baseline"/>
              </w:rPr>
              <w:t>subjekt</w:t>
            </w:r>
            <w:r>
              <w:t> provozující systém vypořádání obchodů s cennými papíry vedenými na DLT zajistí splnění podmínek stanovených v čl. 30 odst. 1 písm. c) až i) a v čl. 30 odst. 2 nařízení (EU) č. 909/2014.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345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4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rPr>
                <w:b/>
                <w:i/>
                <w:strike w:val="0"/>
                <w:color w:val="auto"/>
                <w:highlight w:val="none"/>
                <w:u w:val="none" w:color="auto"/>
                <w:vertAlign w:val="baseline"/>
              </w:rPr>
              <w:t>Centrální depozitář</w:t>
            </w:r>
            <w:r>
              <w:t xml:space="preserve"> provozující systém vypořádání obchodů s cennými papíry vedenými na DLT může být na svou žádost příslušným orgánem osvobozen od povinnosti použít čl. 2 odst. 1 bod 19 nařízení (EU) č. 909/2014 o účastnících a může mu být povoleno přijímat jako účastníky fyzické a právnické osoby jiné než osoby uvedené v čl. 2 odst. 1 bodě 19, pokud tyto osoby:</w:t>
            </w:r>
          </w:p>
        </w:tc>
        <w:tc>
          <w:tcPr>
            <w:tcW w:w="4876" w:type="dxa"/>
            <w:vAlign w:val="top"/>
          </w:tcPr>
          <w:p>
            <w:pPr>
              <w:pStyle w:val="Normal6a"/>
            </w:pPr>
            <w:r>
              <w:t>4.</w:t>
            </w:r>
            <w:r>
              <w:tab/>
            </w:r>
            <w:r>
              <w:rPr>
                <w:b/>
                <w:i/>
                <w:strike w:val="0"/>
                <w:color w:val="auto"/>
                <w:highlight w:val="none"/>
                <w:u w:val="none" w:color="auto"/>
                <w:vertAlign w:val="baseline"/>
              </w:rPr>
              <w:t>Subjekt</w:t>
            </w:r>
            <w:r>
              <w:t xml:space="preserve"> provozující systém vypořádání obchodů s cennými papíry vedenými na DLT může být na svou žádost příslušným orgánem osvobozen od povinnosti použít čl. 2 odst. 1 bod 19 nařízení (EU) č. 909/2014 o účastnících a může mu být povoleno přijímat jako účastníky fyzické a právnické osoby jiné než osoby uvedené v čl. 2 odst. 1 bodě 19, pokud tyto osoby: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346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4 – písm. b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udělili informovaný souhlas se zařazením do pilotního režimu stanoveného v tomto nařízení a byli odpovídajícím způsobem informováni o své experimentální povaze a rizicích s ním spojených.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347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5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rPr>
                <w:b/>
                <w:i/>
                <w:strike w:val="0"/>
                <w:color w:val="auto"/>
                <w:highlight w:val="none"/>
                <w:u w:val="none" w:color="auto"/>
                <w:vertAlign w:val="baseline"/>
              </w:rPr>
              <w:t>Centrální depozitář</w:t>
            </w:r>
            <w:r>
              <w:t xml:space="preserve"> provozující systém vypořádání obchodů s cennými papíry vedenými na DLT může být na svou žádost příslušným orgánem osvobozen od povinnosti použít článek 40 nařízení (EU) č. 909/2014 o peněžním vypořádání, pokud zajistí dodání proti zaplacení.</w:t>
            </w:r>
          </w:p>
        </w:tc>
        <w:tc>
          <w:tcPr>
            <w:tcW w:w="4876" w:type="dxa"/>
            <w:vAlign w:val="top"/>
          </w:tcPr>
          <w:p>
            <w:pPr>
              <w:pStyle w:val="Normal6a"/>
            </w:pPr>
            <w:r>
              <w:t>5.</w:t>
            </w:r>
            <w:r>
              <w:tab/>
            </w:r>
            <w:r>
              <w:rPr>
                <w:b/>
                <w:i/>
                <w:strike w:val="0"/>
                <w:color w:val="auto"/>
                <w:highlight w:val="none"/>
                <w:u w:val="none" w:color="auto"/>
                <w:vertAlign w:val="baseline"/>
              </w:rPr>
              <w:t>Subjekt</w:t>
            </w:r>
            <w:r>
              <w:t xml:space="preserve"> provozující systém vypořádání obchodů s cennými papíry vedenými na DLT může být na svou žádost příslušným orgánem osvobozen od povinnosti použít článek 40 nařízení (EU) č. 909/2014 o peněžním vypořádání, pokud zajistí dodání proti zaplacení.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5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Centrální depozitář provozující systém </w:t>
            </w:r>
            <w:r>
              <w:rPr>
                <w:b/>
                <w:i/>
                <w:strike w:val="0"/>
                <w:color w:val="auto"/>
                <w:highlight w:val="none"/>
                <w:u w:val="none" w:color="auto"/>
                <w:vertAlign w:val="baseline"/>
              </w:rPr>
              <w:t>vypořádání obchodů s cennými papíry vedenými na</w:t>
            </w:r>
            <w:r>
              <w:t xml:space="preserve"> DLT může být na svou žádost příslušným orgánem osvobozen od povinnosti použít článek 40 nařízení (EU) č. 909/2014 o peněžním vypořádání, pokud zajistí dodání proti zaplacení.</w:t>
            </w:r>
          </w:p>
        </w:tc>
        <w:tc>
          <w:tcPr>
            <w:tcW w:w="4876" w:type="dxa"/>
            <w:vAlign w:val="top"/>
          </w:tcPr>
          <w:p>
            <w:pPr>
              <w:pStyle w:val="Normal6a"/>
            </w:pPr>
            <w:r>
              <w:t>5.</w:t>
            </w:r>
            <w:r>
              <w:tab/>
            </w:r>
            <w:r>
              <w:t xml:space="preserve">Centrální depozitář provozující systém DLT </w:t>
            </w:r>
            <w:r>
              <w:rPr>
                <w:b/>
                <w:i/>
                <w:strike w:val="0"/>
                <w:color w:val="auto"/>
                <w:highlight w:val="none"/>
                <w:u w:val="none" w:color="auto"/>
                <w:vertAlign w:val="baseline"/>
              </w:rPr>
              <w:t>SSS</w:t>
            </w:r>
            <w:r>
              <w:t xml:space="preserve"> může být na svou žádost příslušným orgánem osvobozen od povinnosti použít článek 40 nařízení (EU) č. 909/2014 o peněžním vypořádání, pokud zajistí dodání proti zaplacení.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5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Vypořádání </w:t>
            </w:r>
            <w:r>
              <w:rPr>
                <w:b/>
                <w:i/>
                <w:strike w:val="0"/>
                <w:color w:val="auto"/>
                <w:highlight w:val="none"/>
                <w:u w:val="none" w:color="auto"/>
                <w:vertAlign w:val="baseline"/>
              </w:rPr>
              <w:t>plateb</w:t>
            </w:r>
            <w:r>
              <w:t xml:space="preserve"> lze provádět prostřednictvím peněz centrální banky, pokud je to možné a dostupné, nebo pokud to možné a dostupné není, prostřednictvím peněz komerčních bank, včetně peněz komerčních bank v tokenizované podobě, nebo v podobě elektronických peněžních tokenů.</w:t>
            </w:r>
          </w:p>
        </w:tc>
        <w:tc>
          <w:tcPr>
            <w:tcW w:w="4876" w:type="dxa"/>
            <w:vAlign w:val="top"/>
          </w:tcPr>
          <w:p>
            <w:pPr>
              <w:pStyle w:val="Normal6a"/>
            </w:pPr>
            <w:r>
              <w:t xml:space="preserve">Vypořádání </w:t>
            </w:r>
            <w:r>
              <w:rPr>
                <w:b/>
                <w:i/>
                <w:strike w:val="0"/>
                <w:color w:val="auto"/>
                <w:highlight w:val="none"/>
                <w:u w:val="none" w:color="auto"/>
                <w:vertAlign w:val="baseline"/>
              </w:rPr>
              <w:t>platební komponenty</w:t>
            </w:r>
            <w:r>
              <w:t xml:space="preserve"> lze provádět prostřednictvím peněz centrální banky, pokud je to možné a dostupné, nebo pokud to možné a dostupné není, prostřednictvím peněz komerčních bank, včetně peněz komerčních bank v tokenizované podobě, nebo v podobě elektronických peněžních tokenů.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tohoto pozměňovacího návrhu je zohlednit návrh uvedený ve stanovisku ECB.</w:t>
      </w:r>
      <w:r>
        <w:t xml:space="preserve"> </w:t>
      </w:r>
      <w:r>
        <w:t>Vypořádání v centrální bance by mělo být standardním požadavkem pro tržní infrastruktury DLT.</w:t>
      </w:r>
      <w:r>
        <w:t xml:space="preserve"> </w:t>
      </w:r>
      <w:r>
        <w:t>Výjimka z tohoto požadavku by měla být možná pouze v případech, kdy příslušná tržní infrastruktura DLT prokáže, že tato metoda vypořádání není dostupná a proveditelná.</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5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Vypořádání </w:t>
            </w:r>
            <w:r>
              <w:rPr>
                <w:b/>
                <w:i/>
                <w:strike w:val="0"/>
                <w:color w:val="auto"/>
                <w:highlight w:val="none"/>
                <w:u w:val="none" w:color="auto"/>
                <w:vertAlign w:val="baseline"/>
              </w:rPr>
              <w:t>plateb</w:t>
            </w:r>
            <w:r>
              <w:t xml:space="preserve"> lze provádět prostřednictvím peněz centrální banky, pokud je to možné a dostupné, nebo pokud to možné a dostupné není, prostřednictvím peněz komerčních bank, včetně peněz komerčních bank v tokenizované podobě, nebo v podobě elektronických peněžních tokenů.</w:t>
            </w:r>
          </w:p>
        </w:tc>
        <w:tc>
          <w:tcPr>
            <w:tcW w:w="4876" w:type="dxa"/>
            <w:vAlign w:val="top"/>
          </w:tcPr>
          <w:p>
            <w:pPr>
              <w:pStyle w:val="Normal6a"/>
            </w:pPr>
            <w:r>
              <w:t xml:space="preserve">Vypořádání </w:t>
            </w:r>
            <w:r>
              <w:rPr>
                <w:b/>
                <w:i/>
                <w:strike w:val="0"/>
                <w:color w:val="auto"/>
                <w:highlight w:val="none"/>
                <w:u w:val="none" w:color="auto"/>
                <w:vertAlign w:val="baseline"/>
              </w:rPr>
              <w:t>platební komponenty</w:t>
            </w:r>
            <w:r>
              <w:t xml:space="preserve"> lze provádět prostřednictvím peněz centrální banky, pokud je to možné a dostupné, nebo pokud to možné a dostupné není, prostřednictvím peněz komerčních bank, včetně peněz komerčních bank v tokenizované podobě, nebo v podobě elektronických peněžních tokenů.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Editační poznámka.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5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Vypořádání plateb </w:t>
            </w:r>
            <w:r>
              <w:rPr>
                <w:b/>
                <w:i/>
                <w:strike w:val="0"/>
                <w:color w:val="auto"/>
                <w:highlight w:val="none"/>
                <w:u w:val="none" w:color="auto"/>
                <w:vertAlign w:val="baseline"/>
              </w:rPr>
              <w:t>lze provádět</w:t>
            </w:r>
            <w:r>
              <w:t xml:space="preserve"> prostřednictvím peněz centrální banky, pokud je to možné a dostupné, nebo pokud to možné a dostupné není, prostřednictvím peněz komerčních bank, včetně peněz komerčních bank v tokenizované podobě, nebo v podobě elektronických peněžních tokenů.</w:t>
            </w:r>
          </w:p>
        </w:tc>
        <w:tc>
          <w:tcPr>
            <w:tcW w:w="4876" w:type="dxa"/>
            <w:vAlign w:val="top"/>
          </w:tcPr>
          <w:p>
            <w:pPr>
              <w:pStyle w:val="Normal6a"/>
            </w:pPr>
            <w:r>
              <w:t xml:space="preserve">Vypořádání plateb </w:t>
            </w:r>
            <w:r>
              <w:rPr>
                <w:b/>
                <w:i/>
                <w:strike w:val="0"/>
                <w:color w:val="auto"/>
                <w:highlight w:val="none"/>
                <w:u w:val="none" w:color="auto"/>
                <w:vertAlign w:val="baseline"/>
              </w:rPr>
              <w:t>jsou prováděna</w:t>
            </w:r>
            <w:r>
              <w:t xml:space="preserve"> prostřednictvím peněz centrální banky, pokud je to možné a dostupné, nebo pokud to možné a dostupné není, prostřednictvím peněz komerčních bank, včetně peněz komerčních bank v tokenizované podobě, nebo v podobě elektronických peněžních tokenů.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Podle stanoviska ECB.</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5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Pokud k vypořádání dochází prostřednictvím peněz komerčních bank nebo elektronických peněžních tokenů, musí investiční podnik nebo organizátor trhu provozující systém DLT </w:t>
            </w:r>
            <w:r>
              <w:rPr>
                <w:b/>
                <w:i/>
                <w:strike w:val="0"/>
                <w:color w:val="auto"/>
                <w:highlight w:val="none"/>
                <w:u w:val="none" w:color="auto"/>
                <w:vertAlign w:val="baseline"/>
              </w:rPr>
              <w:t>MTF</w:t>
            </w:r>
            <w:r>
              <w:t xml:space="preserve"> identifikovat, vyhodnocovat, sledovat, řídit a minimalizovat všechna rizika protistrany vyplývající z použití těchto peněz.</w:t>
            </w:r>
          </w:p>
        </w:tc>
        <w:tc>
          <w:tcPr>
            <w:tcW w:w="4876" w:type="dxa"/>
            <w:vAlign w:val="top"/>
          </w:tcPr>
          <w:p>
            <w:pPr>
              <w:pStyle w:val="Normal6a"/>
            </w:pPr>
            <w:r>
              <w:t xml:space="preserve">Pokud k vypořádání dochází prostřednictvím peněz komerčních bank nebo elektronických peněžních tokenů, musí investiční podnik nebo organizátor trhu provozující systém DLT </w:t>
            </w:r>
            <w:r>
              <w:rPr>
                <w:b/>
                <w:i/>
                <w:strike w:val="0"/>
                <w:color w:val="auto"/>
                <w:highlight w:val="none"/>
                <w:u w:val="none" w:color="auto"/>
                <w:vertAlign w:val="baseline"/>
              </w:rPr>
              <w:t>SSS</w:t>
            </w:r>
            <w:r>
              <w:t xml:space="preserve"> identifikovat, vyhodnocovat, sledovat, řídit a minimalizovat všechna rizika protistrany vyplývající z použití těchto peněz. </w:t>
            </w:r>
            <w:r>
              <w:rPr>
                <w:b/>
                <w:i/>
                <w:strike w:val="0"/>
                <w:color w:val="auto"/>
                <w:highlight w:val="none"/>
                <w:u w:val="none" w:color="auto"/>
                <w:vertAlign w:val="baseline"/>
              </w:rPr>
              <w:t>Pokud k vypořádání dochází prostřednictvím elektronických peněžních tokenů pro platební komponent, mohou účastníci systému DLT SSS otevřít účty přímo v rámci systému DLT SSS za účelem vypořádání peněžní složky v tokenech elektronických peněz, nebo mohou účastníci DLT SSS a jeho účastníci otevřít účet u třetí strany poskytující služby týkající se elektronických peněžních tokenů.</w:t>
            </w:r>
            <w:r>
              <w:t xml:space="preserve"> </w:t>
            </w:r>
            <w:r>
              <w:rPr>
                <w:b/>
                <w:i/>
                <w:strike w:val="0"/>
                <w:color w:val="auto"/>
                <w:highlight w:val="none"/>
                <w:u w:val="none" w:color="auto"/>
                <w:vertAlign w:val="baseline"/>
              </w:rPr>
              <w:t>V těchto případech by systém DLT SS nebo třetí strana měly být emitentem elektronických peněžních tokenů a měly by zajistit, aby vypořádání platebního komponentu probíhalo prostřednictvím elektronických platebních tokenů.</w:t>
            </w:r>
            <w:r>
              <w:t xml:space="preserve"> </w:t>
            </w:r>
            <w:r>
              <w:rPr>
                <w:b/>
                <w:i/>
                <w:strike w:val="0"/>
                <w:color w:val="auto"/>
                <w:highlight w:val="none"/>
                <w:u w:val="none" w:color="auto"/>
                <w:vertAlign w:val="baseline"/>
              </w:rPr>
              <w:t>Vzhledem k tomu, že elektronické peněžní tokeny mohou vydávat pouze úvěrové instituce nebo instituce elektronických peněz podle nařízení č.2021/XX o trzích s kryptoaktivy, výjimka stanovená tímto nařízením, pokud jde o ustanovení o vypořádání plateb stanovená v nařízení o centrálních depozitářích cenných papírů, nemá za cíl osvobodit systém DLT SSS nebo třetí stranu, která vydává elektronické peněžní tokeny a vypořádává platební komponent transakcí s cennými papíry prostřednictvím vlastních účtů, od požadavků na udělování licencí podle nařízení č. 2021/XX o trzích s hybridními aktivy.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Oprava (článek 5 se týká systémů DLT SSS, a nikoli DLT MTF).</w:t>
      </w:r>
      <w:r>
        <w:t xml:space="preserve"> </w:t>
      </w:r>
      <w:r>
        <w:t>Dále se navrhuje začlenit bod 3.3.7 stanoviska ECB k pilotnímu režimu DLT ze dne 28. dubna, pokud jde o vypořádání v elektronických peněžních tokenech.</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5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Pokud k vypořádání dochází prostřednictvím </w:t>
            </w:r>
            <w:r>
              <w:rPr>
                <w:b/>
                <w:i/>
                <w:strike w:val="0"/>
                <w:color w:val="auto"/>
                <w:highlight w:val="none"/>
                <w:u w:val="none" w:color="auto"/>
                <w:vertAlign w:val="baseline"/>
              </w:rPr>
              <w:t>peněz</w:t>
            </w:r>
            <w:r>
              <w:t xml:space="preserve"> komerčních bank nebo elektronických peněžních tokenů, </w:t>
            </w:r>
            <w:r>
              <w:rPr>
                <w:b/>
                <w:i/>
                <w:strike w:val="0"/>
                <w:color w:val="auto"/>
                <w:highlight w:val="none"/>
                <w:u w:val="none" w:color="auto"/>
                <w:vertAlign w:val="baseline"/>
              </w:rPr>
              <w:t>musí investiční podnik nebo organizátor trhu provozující</w:t>
            </w:r>
            <w:r>
              <w:t xml:space="preserve"> systém DLT </w:t>
            </w:r>
            <w:r>
              <w:rPr>
                <w:b/>
                <w:i/>
                <w:strike w:val="0"/>
                <w:color w:val="auto"/>
                <w:highlight w:val="none"/>
                <w:u w:val="none" w:color="auto"/>
                <w:vertAlign w:val="baseline"/>
              </w:rPr>
              <w:t>MTF identifikovat, vyhodnocovat, sledovat, řídit a minimalizovat všechna</w:t>
            </w:r>
            <w:r>
              <w:t xml:space="preserve"> rizika </w:t>
            </w:r>
            <w:r>
              <w:rPr>
                <w:b/>
                <w:i/>
                <w:strike w:val="0"/>
                <w:color w:val="auto"/>
                <w:highlight w:val="none"/>
                <w:u w:val="none" w:color="auto"/>
                <w:vertAlign w:val="baseline"/>
              </w:rPr>
              <w:t>protistrany</w:t>
            </w:r>
            <w:r>
              <w:t xml:space="preserve"> vyplývající z použití těchto peněz.</w:t>
            </w:r>
          </w:p>
        </w:tc>
        <w:tc>
          <w:tcPr>
            <w:tcW w:w="4876" w:type="dxa"/>
            <w:vAlign w:val="top"/>
          </w:tcPr>
          <w:p>
            <w:pPr>
              <w:pStyle w:val="Normal6a"/>
            </w:pPr>
            <w:r>
              <w:t xml:space="preserve">Pokud k vypořádání dochází prostřednictvím </w:t>
            </w:r>
            <w:r>
              <w:rPr>
                <w:b/>
                <w:i/>
                <w:strike w:val="0"/>
                <w:color w:val="auto"/>
                <w:highlight w:val="none"/>
                <w:u w:val="none" w:color="auto"/>
                <w:vertAlign w:val="baseline"/>
              </w:rPr>
              <w:t>peněžních prostředků</w:t>
            </w:r>
            <w:r>
              <w:t xml:space="preserve"> komerčních bank nebo elektronických peněžních tokenů, </w:t>
            </w:r>
            <w:r>
              <w:rPr>
                <w:b/>
                <w:i/>
                <w:strike w:val="0"/>
                <w:color w:val="auto"/>
                <w:highlight w:val="none"/>
                <w:u w:val="none" w:color="auto"/>
                <w:vertAlign w:val="baseline"/>
              </w:rPr>
              <w:t>centrální depozitář provozující vypořádací</w:t>
            </w:r>
            <w:r>
              <w:t xml:space="preserve"> systém DLT </w:t>
            </w:r>
            <w:r>
              <w:rPr>
                <w:b/>
                <w:i/>
                <w:strike w:val="0"/>
                <w:color w:val="auto"/>
                <w:highlight w:val="none"/>
                <w:u w:val="none" w:color="auto"/>
                <w:vertAlign w:val="baseline"/>
              </w:rPr>
              <w:t>identifikuje, měří, sleduje, řídí a minimalizuje veškerá</w:t>
            </w:r>
            <w:r>
              <w:t xml:space="preserve"> rizika vyplývající z použití těchto peněz</w:t>
            </w:r>
            <w:r>
              <w:rPr>
                <w:b/>
                <w:i/>
                <w:strike w:val="0"/>
                <w:color w:val="auto"/>
                <w:highlight w:val="none"/>
                <w:u w:val="none" w:color="auto"/>
                <w:vertAlign w:val="baseline"/>
              </w:rPr>
              <w:t>, přičemž rovněž zohlední veškerá rizika vyplývající z označení či neurčení DLT SSS jako systému pro účely směrnice 98/26/ES a odstavce 8 tohoto článku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Podle stanoviska ECB.</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5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Pokud k vypořádání dochází prostřednictvím </w:t>
            </w:r>
            <w:r>
              <w:rPr>
                <w:b/>
                <w:i/>
                <w:strike w:val="0"/>
                <w:color w:val="auto"/>
                <w:highlight w:val="none"/>
                <w:u w:val="none" w:color="auto"/>
                <w:vertAlign w:val="baseline"/>
              </w:rPr>
              <w:t>peněz</w:t>
            </w:r>
            <w:r>
              <w:t xml:space="preserve"> komerčních bank nebo elektronických peněžních tokenů, </w:t>
            </w:r>
            <w:r>
              <w:rPr>
                <w:b/>
                <w:i/>
                <w:strike w:val="0"/>
                <w:color w:val="auto"/>
                <w:highlight w:val="none"/>
                <w:u w:val="none" w:color="auto"/>
                <w:vertAlign w:val="baseline"/>
              </w:rPr>
              <w:t>musí investiční podnik nebo organizátor trhu</w:t>
            </w:r>
            <w:r>
              <w:t xml:space="preserve"> provozující </w:t>
            </w:r>
            <w:r>
              <w:rPr>
                <w:b/>
                <w:i/>
                <w:strike w:val="0"/>
                <w:color w:val="auto"/>
                <w:highlight w:val="none"/>
                <w:u w:val="none" w:color="auto"/>
                <w:vertAlign w:val="baseline"/>
              </w:rPr>
              <w:t>systém DLT MTF identifikovat, vyhodnocovat, sledovat, řídit a minimalizovat všechna</w:t>
            </w:r>
            <w:r>
              <w:t xml:space="preserve"> rizika </w:t>
            </w:r>
            <w:r>
              <w:rPr>
                <w:b/>
                <w:i/>
                <w:strike w:val="0"/>
                <w:color w:val="auto"/>
                <w:highlight w:val="none"/>
                <w:u w:val="none" w:color="auto"/>
                <w:vertAlign w:val="baseline"/>
              </w:rPr>
              <w:t>protistrany</w:t>
            </w:r>
            <w:r>
              <w:t xml:space="preserve"> vyplývající z použití těchto peněz.</w:t>
            </w:r>
          </w:p>
        </w:tc>
        <w:tc>
          <w:tcPr>
            <w:tcW w:w="4876" w:type="dxa"/>
            <w:vAlign w:val="top"/>
          </w:tcPr>
          <w:p>
            <w:pPr>
              <w:pStyle w:val="Normal6a"/>
            </w:pPr>
            <w:r>
              <w:t xml:space="preserve">Pokud k vypořádání dochází prostřednictvím </w:t>
            </w:r>
            <w:r>
              <w:rPr>
                <w:b/>
                <w:i/>
                <w:strike w:val="0"/>
                <w:color w:val="auto"/>
                <w:highlight w:val="none"/>
                <w:u w:val="none" w:color="auto"/>
                <w:vertAlign w:val="baseline"/>
              </w:rPr>
              <w:t>peněžních prostředků</w:t>
            </w:r>
            <w:r>
              <w:t xml:space="preserve"> komerčních bank nebo elektronických peněžních tokenů, </w:t>
            </w:r>
            <w:r>
              <w:rPr>
                <w:b/>
                <w:i/>
                <w:strike w:val="0"/>
                <w:color w:val="auto"/>
                <w:highlight w:val="none"/>
                <w:u w:val="none" w:color="auto"/>
                <w:vertAlign w:val="baseline"/>
              </w:rPr>
              <w:t>centrální depozitář</w:t>
            </w:r>
            <w:r>
              <w:t xml:space="preserve"> provozující </w:t>
            </w:r>
            <w:r>
              <w:rPr>
                <w:b/>
                <w:i/>
                <w:strike w:val="0"/>
                <w:color w:val="auto"/>
                <w:highlight w:val="none"/>
                <w:u w:val="none" w:color="auto"/>
                <w:vertAlign w:val="baseline"/>
              </w:rPr>
              <w:t>DLT SSS identifikuje, měří, sleduje, řídí a minimalizuje veškerá</w:t>
            </w:r>
            <w:r>
              <w:t xml:space="preserve"> rizika vyplývající z použití těchto peněz</w:t>
            </w:r>
            <w:r>
              <w:rPr>
                <w:b/>
                <w:i/>
                <w:strike w:val="0"/>
                <w:color w:val="auto"/>
                <w:highlight w:val="none"/>
                <w:u w:val="none" w:color="auto"/>
                <w:vertAlign w:val="baseline"/>
              </w:rPr>
              <w:t>, přičemž rovněž zohlední veškerá rizika vyplývající z označení či neurčení DLT SSS jako systému pro účely směrnice 98/26/ES a odstavce 8 tohoto článku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tohoto pozměňovacího návrhu je zohlednit návrh uvedený ve stanovisku ECB.</w:t>
      </w:r>
      <w:r>
        <w:t xml:space="preserve"> </w:t>
      </w:r>
      <w:r>
        <w:t>Pokud centrální depozitář provozující vypořádací systém DLT identifikuje rizika vyplývající z použití peněz a elektronických peněžních tokenů komerčních bank, měl by rovněž zohlednit, zda existuje ochrana pro případ platební neschopnosti podle směrnice 98/26/ES.</w:t>
      </w:r>
      <w:r>
        <w:t xml:space="preserve"> </w:t>
      </w:r>
      <w:r>
        <w:t>Viz body 3.3.2 a 3.3.5 až 3.4 stanoviska ECB.</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5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Pokud k vypořádání dochází prostřednictvím peněz komerčních bank nebo elektronických peněžních tokenů, musí </w:t>
            </w:r>
            <w:r>
              <w:rPr>
                <w:b/>
                <w:i/>
                <w:strike w:val="0"/>
                <w:color w:val="auto"/>
                <w:highlight w:val="none"/>
                <w:u w:val="none" w:color="auto"/>
                <w:vertAlign w:val="baseline"/>
              </w:rPr>
              <w:t>investiční podnik nebo organizátor trhu</w:t>
            </w:r>
            <w:r>
              <w:t xml:space="preserve"> provozující systém DLT </w:t>
            </w:r>
            <w:r>
              <w:rPr>
                <w:b/>
                <w:i/>
                <w:strike w:val="0"/>
                <w:color w:val="auto"/>
                <w:highlight w:val="none"/>
                <w:u w:val="none" w:color="auto"/>
                <w:vertAlign w:val="baseline"/>
              </w:rPr>
              <w:t>MTF</w:t>
            </w:r>
            <w:r>
              <w:t xml:space="preserve"> identifikovat, vyhodnocovat, sledovat, řídit a minimalizovat všechna rizika protistrany vyplývající z použití těchto peněz.</w:t>
            </w:r>
          </w:p>
        </w:tc>
        <w:tc>
          <w:tcPr>
            <w:tcW w:w="4876" w:type="dxa"/>
            <w:vAlign w:val="top"/>
          </w:tcPr>
          <w:p>
            <w:pPr>
              <w:pStyle w:val="Normal6a"/>
            </w:pPr>
            <w:r>
              <w:t xml:space="preserve">Pokud k vypořádání dochází prostřednictvím peněz komerčních bank nebo elektronických peněžních tokenů, musí </w:t>
            </w:r>
            <w:r>
              <w:rPr>
                <w:b/>
                <w:i/>
                <w:strike w:val="0"/>
                <w:color w:val="auto"/>
                <w:highlight w:val="none"/>
                <w:u w:val="none" w:color="auto"/>
                <w:vertAlign w:val="baseline"/>
              </w:rPr>
              <w:t>centrální depozitář cenných papírů</w:t>
            </w:r>
            <w:r>
              <w:t xml:space="preserve"> provozující </w:t>
            </w:r>
            <w:r>
              <w:rPr>
                <w:b/>
                <w:i/>
                <w:strike w:val="0"/>
                <w:color w:val="auto"/>
                <w:highlight w:val="none"/>
                <w:u w:val="none" w:color="auto"/>
                <w:vertAlign w:val="baseline"/>
              </w:rPr>
              <w:t>vypořádací</w:t>
            </w:r>
            <w:r>
              <w:t xml:space="preserve"> systém DLT identifikovat, vyhodnocovat, sledovat, řídit a minimalizovat všechna rizika protistrany vyplývající z použití těchto peněz.</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5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Pokud k vypořádání dochází prostřednictvím peněz komerčních bank nebo elektronických peněžních tokenů, musí investiční </w:t>
            </w:r>
            <w:r>
              <w:rPr>
                <w:b/>
                <w:i/>
                <w:strike w:val="0"/>
                <w:color w:val="auto"/>
                <w:highlight w:val="none"/>
                <w:u w:val="none" w:color="auto"/>
                <w:vertAlign w:val="baseline"/>
              </w:rPr>
              <w:t>podnik nebo organizátor trhu</w:t>
            </w:r>
            <w:r>
              <w:t xml:space="preserve"> provozující systém DLT MTF identifikovat, vyhodnocovat, sledovat, řídit a minimalizovat všechna rizika protistrany vyplývající z použití těchto peněz.</w:t>
            </w:r>
          </w:p>
        </w:tc>
        <w:tc>
          <w:tcPr>
            <w:tcW w:w="4876" w:type="dxa"/>
            <w:vAlign w:val="top"/>
          </w:tcPr>
          <w:p>
            <w:pPr>
              <w:pStyle w:val="Normal6a"/>
            </w:pPr>
            <w:r>
              <w:t xml:space="preserve">Pokud k vypořádání dochází prostřednictvím peněz komerčních bank nebo elektronických peněžních tokenů, musí investiční </w:t>
            </w:r>
            <w:r>
              <w:rPr>
                <w:b/>
                <w:i/>
                <w:strike w:val="0"/>
                <w:color w:val="auto"/>
                <w:highlight w:val="none"/>
                <w:u w:val="none" w:color="auto"/>
                <w:vertAlign w:val="baseline"/>
              </w:rPr>
              <w:t>subjekt</w:t>
            </w:r>
            <w:r>
              <w:t xml:space="preserve"> provozující systém DLT MTF identifikovat, vyhodnocovat, sledovat, řídit a minimalizovat všechna rizika protistrany vyplývající z použití těchto peněz.</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rPr>
                <w:b/>
                <w:i/>
                <w:strike w:val="0"/>
                <w:color w:val="auto"/>
                <w:highlight w:val="none"/>
                <w:u w:val="none" w:color="auto"/>
                <w:vertAlign w:val="baseline"/>
              </w:rPr>
              <w:t>Centrální depozitář</w:t>
            </w:r>
            <w:r>
              <w:t xml:space="preserve"> provozující systém vypořádání obchodů s cennými papíry vedenými na DLT může být na svou žádost příslušným orgánem osvobozen od povinnosti použít článek 50 a/nebo článek 53 nařízení (EU) č. 909/2014 o standardním propojení a o vzájemném přístupu mezi centrálním depozitářem a jiným subjektem tržní infrastruktury, pokud prokáže, že použití DLT je neslučitelné se staršími systémy jiných centrálních depozitářů nebo jiných tržních infrastruktur nebo že poskytnutí takového přístupu jinému centrálnímu depozitáři nebo jiné tržní infrastruktuře používajícím starší systémy by bylo vzhledem k velikosti systému vypořádání obchodů s cennými papíry vedenými na DLT nepřiměřeně nákladné.</w:t>
            </w:r>
          </w:p>
        </w:tc>
        <w:tc>
          <w:tcPr>
            <w:tcW w:w="4876" w:type="dxa"/>
            <w:vAlign w:val="top"/>
          </w:tcPr>
          <w:p>
            <w:pPr>
              <w:pStyle w:val="Normal6a"/>
            </w:pPr>
            <w:r>
              <w:t>6.</w:t>
            </w:r>
            <w:r>
              <w:tab/>
            </w:r>
            <w:r>
              <w:rPr>
                <w:b/>
                <w:i/>
                <w:strike w:val="0"/>
                <w:color w:val="auto"/>
                <w:highlight w:val="none"/>
                <w:u w:val="none" w:color="auto"/>
                <w:vertAlign w:val="baseline"/>
              </w:rPr>
              <w:t>Subjekt</w:t>
            </w:r>
            <w:r>
              <w:t xml:space="preserve"> provozující systém vypořádání obchodů s cennými papíry vedenými na DLT může být na svou žádost příslušným orgánem osvobozen od povinnosti použít článek 50 a/nebo článek 53 nařízení (EU) č. 909/2014 o standardním propojení a o vzájemném přístupu mezi centrálním depozitářem a jiným subjektem tržní infrastruktury, pokud prokáže, že použití DLT je neslučitelné se staršími systémy jiných centrálních depozitářů nebo jiných tržních infrastruktur nebo že poskytnutí takového přístupu jinému centrálnímu depozitáři nebo jiné tržní infrastruktuře používajícím starší systémy by bylo vzhledem k velikosti systému vypořádání obchodů s cennými papíry vedenými na DLT nepřiměřeně nákladné.</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Centrální depozitář provozující systém </w:t>
            </w:r>
            <w:r>
              <w:rPr>
                <w:b/>
                <w:i/>
                <w:strike w:val="0"/>
                <w:color w:val="auto"/>
                <w:highlight w:val="none"/>
                <w:u w:val="none" w:color="auto"/>
                <w:vertAlign w:val="baseline"/>
              </w:rPr>
              <w:t>vypořádání obchodů s cennými papíry vedenými na</w:t>
            </w:r>
            <w:r>
              <w:t xml:space="preserve"> DLT může být na svou žádost příslušným orgánem osvobozen od povinnosti použít článek 50 a/nebo článek 53 nařízení (EU) č. 909/2014 o standardním propojení a o vzájemném přístupu mezi centrálním depozitářem a jiným subjektem tržní infrastruktury, pokud prokáže, že použití DLT je neslučitelné se staršími systémy jiných centrálních depozitářů nebo jiných tržních infrastruktur nebo že poskytnutí takového přístupu jinému centrálnímu depozitáři nebo jiné tržní infrastruktuře používajícím starší systémy by bylo vzhledem k velikosti systému vypořádání obchodů s cennými papíry vedenými na DLT nepřiměřeně nákladné.</w:t>
            </w:r>
          </w:p>
        </w:tc>
        <w:tc>
          <w:tcPr>
            <w:tcW w:w="4876" w:type="dxa"/>
            <w:vAlign w:val="top"/>
          </w:tcPr>
          <w:p>
            <w:pPr>
              <w:pStyle w:val="Normal6a"/>
            </w:pPr>
            <w:r>
              <w:t>6.</w:t>
            </w:r>
            <w:r>
              <w:tab/>
            </w:r>
            <w:r>
              <w:t xml:space="preserve">Centrální depozitář provozující systém DLT </w:t>
            </w:r>
            <w:r>
              <w:rPr>
                <w:b/>
                <w:i/>
                <w:strike w:val="0"/>
                <w:color w:val="auto"/>
                <w:highlight w:val="none"/>
                <w:u w:val="none" w:color="auto"/>
                <w:vertAlign w:val="baseline"/>
              </w:rPr>
              <w:t>SSS</w:t>
            </w:r>
            <w:r>
              <w:t xml:space="preserve"> může být na svou žádost příslušným orgánem osvobozen od povinnosti použít článek 50 a/nebo článek 53 nařízení (EU) č. 909/2014 o standardním propojení a o vzájemném přístupu mezi centrálním depozitářem a jiným subjektem tržní infrastruktury, pokud prokáže, že použití DLT je neslučitelné se staršími systémy jiných centrálních depozitářů nebo jiných tržních infrastruktur nebo že poskytnutí takového přístupu jinému centrálnímu depozitáři nebo jiné tržní infrastruktuře používajícím starší systémy by bylo vzhledem k velikosti systému vypořádání obchodů s cennými papíry vedenými na DLT nepřiměřeně nákladné.</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Editační poznámka.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7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Pokud centrální depozitář provozující systém </w:t>
            </w:r>
            <w:r>
              <w:rPr>
                <w:b/>
                <w:i/>
                <w:strike w:val="0"/>
                <w:color w:val="auto"/>
                <w:highlight w:val="none"/>
                <w:u w:val="none" w:color="auto"/>
                <w:vertAlign w:val="baseline"/>
              </w:rPr>
              <w:t>vypořádání obchodů s cennými papíry vedenými na DLT</w:t>
            </w:r>
            <w:r>
              <w:t xml:space="preserve"> požádal o výjimku v souladu s prvním pododstavcem, poskytne přístup dalším centrálním depozitářům provozujícím systém vypořádání obchodů s cennými papíry vedenými na DLT nebo systémům DLT </w:t>
            </w:r>
            <w:r>
              <w:rPr>
                <w:b/>
                <w:i/>
                <w:strike w:val="0"/>
                <w:color w:val="auto"/>
                <w:highlight w:val="none"/>
                <w:u w:val="none" w:color="auto"/>
                <w:vertAlign w:val="baseline"/>
              </w:rPr>
              <w:t>MTF</w:t>
            </w:r>
            <w:r>
              <w:t>.</w:t>
            </w:r>
          </w:p>
        </w:tc>
        <w:tc>
          <w:tcPr>
            <w:tcW w:w="4876" w:type="dxa"/>
            <w:vAlign w:val="top"/>
          </w:tcPr>
          <w:p>
            <w:pPr>
              <w:pStyle w:val="Normal6a"/>
            </w:pPr>
            <w:r>
              <w:t>7.</w:t>
            </w:r>
            <w:r>
              <w:tab/>
            </w:r>
            <w:r>
              <w:t xml:space="preserve">Pokud centrální depozitář provozující systém </w:t>
            </w:r>
            <w:r>
              <w:rPr>
                <w:b/>
                <w:i/>
                <w:strike w:val="0"/>
                <w:color w:val="auto"/>
                <w:highlight w:val="none"/>
                <w:u w:val="none" w:color="auto"/>
                <w:vertAlign w:val="baseline"/>
              </w:rPr>
              <w:t>DLT SSS</w:t>
            </w:r>
            <w:r>
              <w:t xml:space="preserve"> požádal o výjimku v souladu s prvním pododstavcem, poskytne přístup dalším centrálním depozitářům provozujícím systém vypořádání obchodů s cennými papíry vedenými na DLT nebo systémům DLT </w:t>
            </w:r>
            <w:r>
              <w:rPr>
                <w:b/>
                <w:i/>
                <w:strike w:val="0"/>
                <w:color w:val="auto"/>
                <w:highlight w:val="none"/>
                <w:u w:val="none" w:color="auto"/>
                <w:vertAlign w:val="baseline"/>
              </w:rPr>
              <w:t>SSS</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Editační poznámka.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7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Pokud </w:t>
            </w:r>
            <w:r>
              <w:rPr>
                <w:b/>
                <w:i/>
                <w:strike w:val="0"/>
                <w:color w:val="auto"/>
                <w:highlight w:val="none"/>
                <w:u w:val="none" w:color="auto"/>
                <w:vertAlign w:val="baseline"/>
              </w:rPr>
              <w:t>centrální depozitář</w:t>
            </w:r>
            <w:r>
              <w:t xml:space="preserve"> provozující systém vypořádání obchodů s cennými papíry vedenými na DLT požádal o výjimku v souladu s prvním pododstavcem, poskytne přístup dalším </w:t>
            </w:r>
            <w:r>
              <w:rPr>
                <w:b/>
                <w:i/>
                <w:strike w:val="0"/>
                <w:color w:val="auto"/>
                <w:highlight w:val="none"/>
                <w:u w:val="none" w:color="auto"/>
                <w:vertAlign w:val="baseline"/>
              </w:rPr>
              <w:t>centrálním depozitářům</w:t>
            </w:r>
            <w:r>
              <w:t xml:space="preserve"> provozujícím systém vypořádání obchodů s cennými papíry vedenými na DLT nebo systémům DLT MTF.</w:t>
            </w:r>
          </w:p>
        </w:tc>
        <w:tc>
          <w:tcPr>
            <w:tcW w:w="4876" w:type="dxa"/>
            <w:vAlign w:val="top"/>
          </w:tcPr>
          <w:p>
            <w:pPr>
              <w:pStyle w:val="Normal6a"/>
            </w:pPr>
            <w:r>
              <w:t>7.</w:t>
            </w:r>
            <w:r>
              <w:tab/>
            </w:r>
            <w:r>
              <w:t xml:space="preserve">Pokud </w:t>
            </w:r>
            <w:r>
              <w:rPr>
                <w:b/>
                <w:i/>
                <w:strike w:val="0"/>
                <w:color w:val="auto"/>
                <w:highlight w:val="none"/>
                <w:u w:val="none" w:color="auto"/>
                <w:vertAlign w:val="baseline"/>
              </w:rPr>
              <w:t>subjekt</w:t>
            </w:r>
            <w:r>
              <w:t xml:space="preserve"> provozující systém vypořádání obchodů s cennými papíry vedenými na DLT požádal o výjimku v souladu s prvním pododstavcem, poskytne přístup dalším </w:t>
            </w:r>
            <w:r>
              <w:rPr>
                <w:b/>
                <w:i/>
                <w:strike w:val="0"/>
                <w:color w:val="auto"/>
                <w:highlight w:val="none"/>
                <w:u w:val="none" w:color="auto"/>
                <w:vertAlign w:val="baseline"/>
              </w:rPr>
              <w:t>subjektům</w:t>
            </w:r>
            <w:r>
              <w:t xml:space="preserve"> provozujícím systém vypořádání obchodů s cennými papíry vedenými na DLT nebo systémům DLT MTF.</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7 – pododstavec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Pokud </w:t>
            </w:r>
            <w:r>
              <w:rPr>
                <w:b/>
                <w:i/>
                <w:strike w:val="0"/>
                <w:color w:val="auto"/>
                <w:highlight w:val="none"/>
                <w:u w:val="none" w:color="auto"/>
                <w:vertAlign w:val="baseline"/>
              </w:rPr>
              <w:t>centrální depozitář</w:t>
            </w:r>
            <w:r>
              <w:t xml:space="preserve"> provozující systém vypořádání obchodů s cennými papíry vedenými na DLT žádá o výjimku v souladu s odstavci 2 až 6, musí v každém případě prokázat, že:</w:t>
            </w:r>
          </w:p>
        </w:tc>
        <w:tc>
          <w:tcPr>
            <w:tcW w:w="4876" w:type="dxa"/>
            <w:vAlign w:val="top"/>
          </w:tcPr>
          <w:p>
            <w:pPr>
              <w:pStyle w:val="Normal6a"/>
            </w:pPr>
            <w:r>
              <w:t xml:space="preserve">Pokud </w:t>
            </w:r>
            <w:r>
              <w:rPr>
                <w:b/>
                <w:i/>
                <w:strike w:val="0"/>
                <w:color w:val="auto"/>
                <w:highlight w:val="none"/>
                <w:u w:val="none" w:color="auto"/>
                <w:vertAlign w:val="baseline"/>
              </w:rPr>
              <w:t>subjekt</w:t>
            </w:r>
            <w:r>
              <w:t xml:space="preserve"> provozující systém vypořádání obchodů s cennými papíry vedenými na DLT žádá o výjimku v souladu s odstavci 2 až 6, musí v každém případě prokázat, že: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7 – pododstavec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Pokud centrální depozitář provozující systém </w:t>
            </w:r>
            <w:r>
              <w:rPr>
                <w:b/>
                <w:i/>
                <w:strike w:val="0"/>
                <w:color w:val="auto"/>
                <w:highlight w:val="none"/>
                <w:u w:val="none" w:color="auto"/>
                <w:vertAlign w:val="baseline"/>
              </w:rPr>
              <w:t>vypořádání obchodů s cennými papíry vedenými na</w:t>
            </w:r>
            <w:r>
              <w:t xml:space="preserve"> DLT žádá o výjimku v souladu s odstavci 2 až 6, musí v každém případě prokázat, že:</w:t>
            </w:r>
          </w:p>
        </w:tc>
        <w:tc>
          <w:tcPr>
            <w:tcW w:w="4876" w:type="dxa"/>
            <w:vAlign w:val="top"/>
          </w:tcPr>
          <w:p>
            <w:pPr>
              <w:pStyle w:val="Normal6a"/>
            </w:pPr>
            <w:r>
              <w:t xml:space="preserve">Pokud centrální depozitář provozující systém DLT </w:t>
            </w:r>
            <w:r>
              <w:rPr>
                <w:b/>
                <w:i/>
                <w:strike w:val="0"/>
                <w:color w:val="auto"/>
                <w:highlight w:val="none"/>
                <w:u w:val="none" w:color="auto"/>
                <w:vertAlign w:val="baseline"/>
              </w:rPr>
              <w:t>SSS</w:t>
            </w:r>
            <w:r>
              <w:t xml:space="preserve"> žádá o výjimku v souladu s odstavci 2 až 6, musí v každém případě prokázat, že: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Editační poznámka.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7 – pododstavec 1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požadovaná výjimka je přiměřená a </w:t>
            </w:r>
            <w:r>
              <w:rPr>
                <w:b/>
                <w:i/>
                <w:strike w:val="0"/>
                <w:color w:val="auto"/>
                <w:highlight w:val="none"/>
                <w:u w:val="none" w:color="auto"/>
                <w:vertAlign w:val="baseline"/>
              </w:rPr>
              <w:t>odůvodněná</w:t>
            </w:r>
            <w:r>
              <w:t xml:space="preserve"> použitím </w:t>
            </w:r>
            <w:r>
              <w:rPr>
                <w:b/>
                <w:i/>
                <w:strike w:val="0"/>
                <w:color w:val="auto"/>
                <w:highlight w:val="none"/>
                <w:u w:val="none" w:color="auto"/>
                <w:vertAlign w:val="baseline"/>
              </w:rPr>
              <w:t>jeho DLT</w:t>
            </w:r>
            <w:r>
              <w:t xml:space="preserve"> a</w:t>
            </w:r>
          </w:p>
        </w:tc>
        <w:tc>
          <w:tcPr>
            <w:tcW w:w="4876" w:type="dxa"/>
            <w:vAlign w:val="top"/>
          </w:tcPr>
          <w:p>
            <w:pPr>
              <w:pStyle w:val="Normal6a"/>
            </w:pPr>
            <w:r>
              <w:t>a)</w:t>
            </w:r>
            <w:r>
              <w:tab/>
            </w:r>
            <w:r>
              <w:t xml:space="preserve">požadovaná výjimka je přiměřená a </w:t>
            </w:r>
            <w:r>
              <w:rPr>
                <w:b/>
                <w:i/>
                <w:strike w:val="0"/>
                <w:color w:val="auto"/>
                <w:highlight w:val="none"/>
                <w:u w:val="none" w:color="auto"/>
                <w:vertAlign w:val="baseline"/>
              </w:rPr>
              <w:t>odůvodněna</w:t>
            </w:r>
            <w:r>
              <w:t xml:space="preserve"> použitím </w:t>
            </w:r>
            <w:r>
              <w:rPr>
                <w:b/>
                <w:i/>
                <w:strike w:val="0"/>
                <w:color w:val="auto"/>
                <w:highlight w:val="none"/>
                <w:u w:val="none" w:color="auto"/>
                <w:vertAlign w:val="baseline"/>
              </w:rPr>
              <w:t>konkrétní DLT, kterou dotyčný centrální depozitář používá,</w:t>
            </w:r>
            <w:r>
              <w:t xml:space="preserve"> 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7 – pododstavec 1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požadovaná výjimka je přiměřená a odůvodněná použitím </w:t>
            </w:r>
            <w:r>
              <w:rPr>
                <w:b/>
                <w:i/>
                <w:strike w:val="0"/>
                <w:color w:val="auto"/>
                <w:highlight w:val="none"/>
                <w:u w:val="none" w:color="auto"/>
                <w:vertAlign w:val="baseline"/>
              </w:rPr>
              <w:t>jeho</w:t>
            </w:r>
            <w:r>
              <w:t xml:space="preserve"> DLT a</w:t>
            </w:r>
          </w:p>
        </w:tc>
        <w:tc>
          <w:tcPr>
            <w:tcW w:w="4876" w:type="dxa"/>
            <w:vAlign w:val="top"/>
          </w:tcPr>
          <w:p>
            <w:pPr>
              <w:pStyle w:val="Normal6a"/>
            </w:pPr>
            <w:r>
              <w:t>a)</w:t>
            </w:r>
            <w:r>
              <w:tab/>
            </w:r>
            <w:r>
              <w:t>požadovaná výjimka je přiměřená a odůvodněná použitím DLT 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Redakční poznámka ve společnosti za účelem technologicky neutrálního přístupu.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7 – pododstavec 1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 xml:space="preserve">požadovaná výjimka je omezena na daný systém vypořádání obchodů s cennými papíry vedenými na DLT a nevztahuje se na žádný jiný systém vypořádání obchodů s cennými papíry ve smyslu čl. 2 odst. 1 bodu 10 nařízení (EU) č. 909/2014 provozovaný stejným </w:t>
            </w:r>
            <w:r>
              <w:rPr>
                <w:b/>
                <w:i/>
                <w:strike w:val="0"/>
                <w:color w:val="auto"/>
                <w:highlight w:val="none"/>
                <w:u w:val="none" w:color="auto"/>
                <w:vertAlign w:val="baseline"/>
              </w:rPr>
              <w:t>centrálním depozitářem</w:t>
            </w:r>
            <w:r>
              <w:t>.</w:t>
            </w:r>
          </w:p>
        </w:tc>
        <w:tc>
          <w:tcPr>
            <w:tcW w:w="4876" w:type="dxa"/>
            <w:vAlign w:val="top"/>
          </w:tcPr>
          <w:p>
            <w:pPr>
              <w:pStyle w:val="Normal6a"/>
            </w:pPr>
            <w:r>
              <w:t>b)</w:t>
            </w:r>
            <w:r>
              <w:tab/>
            </w:r>
            <w:r>
              <w:t xml:space="preserve">požadovaná výjimka je omezena na daný systém vypořádání obchodů s cennými papíry vedenými na DLT a nevztahuje se na žádný jiný systém vypořádání obchodů s cennými papíry ve smyslu čl. 2 odst. 1 bodu 10 nařízení (EU) č. 909/2014 provozovaný stejným </w:t>
            </w:r>
            <w:r>
              <w:rPr>
                <w:b/>
                <w:i/>
                <w:strike w:val="0"/>
                <w:color w:val="auto"/>
                <w:highlight w:val="none"/>
                <w:u w:val="none" w:color="auto"/>
                <w:vertAlign w:val="baseline"/>
              </w:rPr>
              <w:t>subjektem</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7 – pododstavec 1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 xml:space="preserve">požadovaná výjimka je omezena na daný systém </w:t>
            </w:r>
            <w:r>
              <w:rPr>
                <w:b/>
                <w:i/>
                <w:strike w:val="0"/>
                <w:color w:val="auto"/>
                <w:highlight w:val="none"/>
                <w:u w:val="none" w:color="auto"/>
                <w:vertAlign w:val="baseline"/>
              </w:rPr>
              <w:t>vypořádání obchodů s cennými papíry vedenými na</w:t>
            </w:r>
            <w:r>
              <w:t xml:space="preserve"> DLT a nevztahuje se na žádný jiný systém vypořádání obchodů s cennými papíry ve smyslu čl. 2 odst. 1 bodu 10 nařízení (EU) č. 909/2014 provozovaný stejným centrálním depozitářem.</w:t>
            </w:r>
          </w:p>
        </w:tc>
        <w:tc>
          <w:tcPr>
            <w:tcW w:w="4876" w:type="dxa"/>
            <w:vAlign w:val="top"/>
          </w:tcPr>
          <w:p>
            <w:pPr>
              <w:pStyle w:val="Normal6a"/>
            </w:pPr>
            <w:r>
              <w:t>b)</w:t>
            </w:r>
            <w:r>
              <w:tab/>
            </w:r>
            <w:r>
              <w:t xml:space="preserve">požadovaná výjimka je omezena na daný systém DLT </w:t>
            </w:r>
            <w:r>
              <w:rPr>
                <w:b/>
                <w:i/>
                <w:strike w:val="0"/>
                <w:color w:val="auto"/>
                <w:highlight w:val="none"/>
                <w:u w:val="none" w:color="auto"/>
                <w:vertAlign w:val="baseline"/>
              </w:rPr>
              <w:t>SSS</w:t>
            </w:r>
            <w:r>
              <w:t xml:space="preserve"> a nevztahuje se na žádný jiný systém vypořádání obchodů s cennými papíry ve smyslu čl. 2 odst. 1 bodu 10 nařízení (EU) č. 909/2014 provozovaný stejným centrálním depozitářem.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Editační poznámka.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 xml:space="preserve">Pokud byla centrálnímu depozitáři na jeho žádost udělena výjimka podle odstavce 3, požadavek podle čl. 39 odst. 1 nařízení (EU) č. 909/2014, aby členské státy určily a oznámily systém </w:t>
            </w:r>
            <w:r>
              <w:rPr>
                <w:b/>
                <w:i/>
                <w:strike w:val="0"/>
                <w:color w:val="auto"/>
                <w:highlight w:val="none"/>
                <w:u w:val="none" w:color="auto"/>
                <w:vertAlign w:val="baseline"/>
              </w:rPr>
              <w:t>vypořádání obchodů s cennými papíry</w:t>
            </w:r>
            <w:r>
              <w:t xml:space="preserve"> provozovaný centrálním depozitářem v souladu se směrnicí 98/26/ES, se na systém </w:t>
            </w:r>
            <w:r>
              <w:rPr>
                <w:b/>
                <w:i/>
                <w:strike w:val="0"/>
                <w:color w:val="auto"/>
                <w:highlight w:val="none"/>
                <w:u w:val="none" w:color="auto"/>
                <w:vertAlign w:val="baseline"/>
              </w:rPr>
              <w:t>vypořádání obchodů s cennými papíry vedenými na DLT</w:t>
            </w:r>
            <w:r>
              <w:t xml:space="preserve"> nepoužije. Výše uvedené nebrání členským státům, aby určily a oznámily systém </w:t>
            </w:r>
            <w:r>
              <w:rPr>
                <w:b/>
                <w:i/>
                <w:strike w:val="0"/>
                <w:color w:val="auto"/>
                <w:highlight w:val="none"/>
                <w:u w:val="none" w:color="auto"/>
                <w:vertAlign w:val="baseline"/>
              </w:rPr>
              <w:t>vypořádání obchodů s cennými papíry vedenými na DLT</w:t>
            </w:r>
            <w:r>
              <w:t xml:space="preserve"> v souladu se směrnicí 98/26/ES, pokud tento systém </w:t>
            </w:r>
            <w:r>
              <w:rPr>
                <w:b/>
                <w:i/>
                <w:strike w:val="0"/>
                <w:color w:val="auto"/>
                <w:highlight w:val="none"/>
                <w:u w:val="none" w:color="auto"/>
                <w:vertAlign w:val="baseline"/>
              </w:rPr>
              <w:t>vypořádání obchodů s cennými papíry vedenými na DLT</w:t>
            </w:r>
            <w:r>
              <w:t xml:space="preserve"> splňuje všechny požadavky uvedené směrnice.</w:t>
            </w:r>
          </w:p>
        </w:tc>
        <w:tc>
          <w:tcPr>
            <w:tcW w:w="4876" w:type="dxa"/>
            <w:vAlign w:val="top"/>
          </w:tcPr>
          <w:p>
            <w:pPr>
              <w:pStyle w:val="Normal6a"/>
            </w:pPr>
            <w:r>
              <w:t>8.</w:t>
            </w:r>
            <w:r>
              <w:tab/>
            </w:r>
            <w:r>
              <w:t xml:space="preserve">Pokud byla centrálnímu depozitáři na jeho žádost udělena výjimka podle odstavce 3, požadavek podle čl. 39 odst. 1 nařízení (EU) č. 909/2014, aby členské státy určily a oznámily systém </w:t>
            </w:r>
            <w:r>
              <w:rPr>
                <w:b/>
                <w:i/>
                <w:strike w:val="0"/>
                <w:color w:val="auto"/>
                <w:highlight w:val="none"/>
                <w:u w:val="none" w:color="auto"/>
                <w:vertAlign w:val="baseline"/>
              </w:rPr>
              <w:t>SSS</w:t>
            </w:r>
            <w:r>
              <w:t xml:space="preserve"> provozovaný centrálním depozitářem v souladu se směrnicí 98/26/ES, se na systém </w:t>
            </w:r>
            <w:r>
              <w:rPr>
                <w:b/>
                <w:i/>
                <w:strike w:val="0"/>
                <w:color w:val="auto"/>
                <w:highlight w:val="none"/>
                <w:u w:val="none" w:color="auto"/>
                <w:vertAlign w:val="baseline"/>
              </w:rPr>
              <w:t>DLT SSS ani na systém DLTT SSS</w:t>
            </w:r>
            <w:r>
              <w:t xml:space="preserve"> nepoužije. Výše uvedené nebrání členským státům, aby určily a oznámily systém </w:t>
            </w:r>
            <w:r>
              <w:rPr>
                <w:b/>
                <w:i/>
                <w:strike w:val="0"/>
                <w:color w:val="auto"/>
                <w:highlight w:val="none"/>
                <w:u w:val="none" w:color="auto"/>
                <w:vertAlign w:val="baseline"/>
              </w:rPr>
              <w:t>DLT SSS</w:t>
            </w:r>
            <w:r>
              <w:t xml:space="preserve"> v souladu se směrnicí 98/26/ES, pokud tento systém </w:t>
            </w:r>
            <w:r>
              <w:rPr>
                <w:b/>
                <w:i/>
                <w:strike w:val="0"/>
                <w:color w:val="auto"/>
                <w:highlight w:val="none"/>
                <w:u w:val="none" w:color="auto"/>
                <w:vertAlign w:val="baseline"/>
              </w:rPr>
              <w:t>DLT SSS</w:t>
            </w:r>
            <w:r>
              <w:t xml:space="preserve"> splňuje všechny požadavky uvedené směrnice.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Editační poznámka.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 xml:space="preserve">Pokud byla </w:t>
            </w:r>
            <w:r>
              <w:rPr>
                <w:b/>
                <w:i/>
                <w:strike w:val="0"/>
                <w:color w:val="auto"/>
                <w:highlight w:val="none"/>
                <w:u w:val="none" w:color="auto"/>
                <w:vertAlign w:val="baseline"/>
              </w:rPr>
              <w:t>centrálnímu depozitáři</w:t>
            </w:r>
            <w:r>
              <w:t xml:space="preserve"> na jeho žádost udělena výjimka podle odstavce 3, požadavek podle čl. 39 odst. 1 nařízení (EU) č. 909/2014, aby členské státy určily a oznámily systém vypořádání obchodů s cennými papíry provozovaný </w:t>
            </w:r>
            <w:r>
              <w:rPr>
                <w:b/>
                <w:i/>
                <w:strike w:val="0"/>
                <w:color w:val="auto"/>
                <w:highlight w:val="none"/>
                <w:u w:val="none" w:color="auto"/>
                <w:vertAlign w:val="baseline"/>
              </w:rPr>
              <w:t>centrálním depozitářem</w:t>
            </w:r>
            <w:r>
              <w:t xml:space="preserve"> v souladu se směrnicí 98/26/ES, se na systém vypořádání obchodů s cennými papíry vedenými na DLT nepoužije. Výše uvedené nebrání členským státům, aby určily a oznámily systém vypořádání obchodů s cennými papíry vedenými na DLT v souladu se směrnicí 98/26/ES, pokud tento systém vypořádání obchodů s cennými papíry vedenými na DLT splňuje všechny požadavky uvedené směrnice.</w:t>
            </w:r>
          </w:p>
        </w:tc>
        <w:tc>
          <w:tcPr>
            <w:tcW w:w="4876" w:type="dxa"/>
            <w:vAlign w:val="top"/>
          </w:tcPr>
          <w:p>
            <w:pPr>
              <w:pStyle w:val="Normal6a"/>
            </w:pPr>
            <w:r>
              <w:t>8.</w:t>
            </w:r>
            <w:r>
              <w:tab/>
            </w:r>
            <w:r>
              <w:t xml:space="preserve">Pokud byla </w:t>
            </w:r>
            <w:r>
              <w:rPr>
                <w:b/>
                <w:i/>
                <w:strike w:val="0"/>
                <w:color w:val="auto"/>
                <w:highlight w:val="none"/>
                <w:u w:val="none" w:color="auto"/>
                <w:vertAlign w:val="baseline"/>
              </w:rPr>
              <w:t>subjektu</w:t>
            </w:r>
            <w:r>
              <w:t xml:space="preserve"> na jeho žádost udělena výjimka podle odstavce 3, požadavek podle čl. 39 odst. 1 nařízení (EU) č. 909/2014, aby členské státy určily a oznámily systém vypořádání obchodů s cennými papíry provozovaný </w:t>
            </w:r>
            <w:r>
              <w:rPr>
                <w:b/>
                <w:i/>
                <w:strike w:val="0"/>
                <w:color w:val="auto"/>
                <w:highlight w:val="none"/>
                <w:u w:val="none" w:color="auto"/>
                <w:vertAlign w:val="baseline"/>
              </w:rPr>
              <w:t>subjektem</w:t>
            </w:r>
            <w:r>
              <w:t xml:space="preserve"> v souladu se směrnicí 98/26/ES, se na systém vypořádání obchodů s cennými papíry vedenými na DLT nepoužije. Výše uvedené nebrání členským státům, aby určily a oznámily systém vypořádání obchodů s cennými papíry vedenými na DLT v souladu se směrnicí 98/26/ES, pokud tento systém vypořádání obchodů s cennými papíry vedenými na DLT splňuje všechny požadavky uvedené směrnice.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pododstavec 8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8a.</w:t>
            </w:r>
            <w:r>
              <w:tab/>
            </w:r>
            <w:r>
              <w:rPr>
                <w:b/>
                <w:i/>
                <w:strike w:val="0"/>
                <w:color w:val="auto"/>
                <w:highlight w:val="none"/>
                <w:u w:val="none" w:color="auto"/>
                <w:vertAlign w:val="baseline"/>
              </w:rPr>
              <w:t>Subjekt, na který se v době podání žádosti o zvláštní povolení k provozování mnohostranného obchodního systému DLT podle tohoto nařízení nevztahují požadavky platné pro centrální depozitář podle nařízení (EU) č. 909/2014, se může uplatnit v souladu s odstavci 1 až 8 tohoto článku.</w:t>
            </w:r>
            <w:r>
              <w:t xml:space="preserve"> </w:t>
            </w:r>
            <w:r>
              <w:rPr>
                <w:b/>
                <w:i/>
                <w:strike w:val="0"/>
                <w:color w:val="auto"/>
                <w:highlight w:val="none"/>
                <w:u w:val="none" w:color="auto"/>
                <w:vertAlign w:val="baseline"/>
              </w:rPr>
              <w:t>Příslušné orgány zavedou zvláštní postupy pro subjekty, na něž se v době podání žádosti nevztahují požadavky vztahující se na centrální depozitář podle nařízení (EU) č. 909/2014.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Zrychlený postup pro nové subjekty, které v době podání žádosti nemají oprávnění působit jako centrální depozitář.</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pododstavec 8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8a.</w:t>
            </w:r>
            <w:r>
              <w:tab/>
            </w:r>
            <w:r>
              <w:rPr>
                <w:b/>
                <w:i/>
                <w:strike w:val="0"/>
                <w:color w:val="auto"/>
                <w:highlight w:val="none"/>
                <w:u w:val="none" w:color="auto"/>
                <w:vertAlign w:val="baseline"/>
              </w:rPr>
              <w:t>Centrální depozitář provozující DLT SSS může na jeho žádost a v souladu s článkem 7 rovněž provozovat MTF DLT.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Reciprocita a rovné podmínky mezi LDT MTF a DLT SSS umožněním systémů DLT SSS, které chtějí provozovat MTF v rámci DLT.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Antonio Maria Rinaldi</w:t>
      </w:r>
      <w:r>
        <w:t xml:space="preserve">, </w:t>
      </w:r>
      <w:r>
        <w:t>Francesca Donato</w:t>
      </w:r>
      <w:r>
        <w:t xml:space="preserve">, </w:t>
      </w:r>
      <w:r>
        <w:t>Valentino Grant</w:t>
      </w:r>
      <w:r>
        <w:t xml:space="preserve">, </w:t>
      </w:r>
      <w:r>
        <w:t>Marco Zanni</w:t>
      </w:r>
      <w:r>
        <w:t xml:space="preserve">, </w:t>
      </w:r>
      <w:r>
        <w:t>Gunnar Beck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Musí také mít aktuální, jasnou a podrobnou veřejně dostupnou písemnou dokumentaci, která může být zpřístupněna prostřednictvím elektronických prostředků a která stanoví pravidla pro fungování tržní infrastruktury DLT, včetně schválených souvisejících právních podmínek, které definují práva, povinnosti, odpovědnosti a závazky provozovatele tržní infrastruktury DLT, jakož i jeho členů, účastníků, emitentů nebo klientů, kteří dotyčnou tržní infrastrukturu DLT využívají. Tato právní opatření stanoví rozhodné právo, mechanismus pro urovnávání sporů před zahájením soudního řízení a jurisdikci pro podání žaloby.</w:t>
            </w:r>
          </w:p>
        </w:tc>
        <w:tc>
          <w:tcPr>
            <w:tcW w:w="4876" w:type="dxa"/>
            <w:vAlign w:val="top"/>
          </w:tcPr>
          <w:p>
            <w:pPr>
              <w:pStyle w:val="Normal6a"/>
            </w:pPr>
            <w:r>
              <w:t xml:space="preserve">Musí také mít aktuální, jasnou a podrobnou veřejně dostupnou písemnou dokumentaci, která může být zpřístupněna prostřednictvím elektronických prostředků a která stanoví pravidla pro fungování tržní infrastruktury DLT, včetně schválených souvisejících právních podmínek, které definují práva, povinnosti, odpovědnosti a závazky provozovatele tržní infrastruktury DLT, jakož i jeho členů, účastníků, emitentů nebo klientů, kteří dotyčnou tržní infrastrukturu DLT využívají. </w:t>
            </w:r>
            <w:r>
              <w:rPr>
                <w:b/>
                <w:i/>
                <w:strike w:val="0"/>
                <w:color w:val="auto"/>
                <w:highlight w:val="none"/>
                <w:u w:val="none" w:color="auto"/>
                <w:vertAlign w:val="baseline"/>
              </w:rPr>
              <w:t xml:space="preserve">Stejná dokumentace zahrnuje rovněž oznámení o důvěrnosti obsahující seznam zpracovávajících operací prováděných v souvislosti s tržní infrastrukturou DLT a s výčtem funkcí a povinností subjektů zapojených do zpracování osobních dat. </w:t>
            </w:r>
            <w:r>
              <w:t xml:space="preserve"> Tato právní opatření stanoví rozhodné právo, mechanismus pro urovnávání sporů před zahájením soudního řízení a jurisdikci pro podání žaloby.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Musí také mít aktuální, jasnou a podrobnou veřejně dostupnou písemnou dokumentaci, která může být zpřístupněna prostřednictvím elektronických prostředků a která stanoví pravidla pro fungování </w:t>
            </w:r>
            <w:r>
              <w:rPr>
                <w:b/>
                <w:i/>
                <w:strike w:val="0"/>
                <w:color w:val="auto"/>
                <w:highlight w:val="none"/>
                <w:u w:val="none" w:color="auto"/>
                <w:vertAlign w:val="baseline"/>
              </w:rPr>
              <w:t>tržní infrastruktury DLT</w:t>
            </w:r>
            <w:r>
              <w:t xml:space="preserve">, včetně schválených souvisejících právních podmínek, které definují práva, povinnosti, odpovědnosti a závazky provozovatele tržní infrastruktury DLT, jakož i jeho členů, účastníků, emitentů nebo klientů, kteří dotyčnou tržní infrastrukturu DLT využívají. Tato právní opatření stanoví rozhodné právo, mechanismus pro urovnávání sporů </w:t>
            </w:r>
            <w:r>
              <w:rPr>
                <w:b/>
                <w:i/>
                <w:strike w:val="0"/>
                <w:color w:val="auto"/>
                <w:highlight w:val="none"/>
                <w:u w:val="none" w:color="auto"/>
                <w:vertAlign w:val="baseline"/>
              </w:rPr>
              <w:t>před zahájením soudního řízení</w:t>
            </w:r>
            <w:r>
              <w:t xml:space="preserve"> a jurisdikci pro podání žaloby.</w:t>
            </w:r>
          </w:p>
        </w:tc>
        <w:tc>
          <w:tcPr>
            <w:tcW w:w="4876" w:type="dxa"/>
            <w:vAlign w:val="top"/>
          </w:tcPr>
          <w:p>
            <w:pPr>
              <w:pStyle w:val="Normal6a"/>
            </w:pPr>
            <w:r>
              <w:t xml:space="preserve">Musí také mít aktuální, jasnou a podrobnou veřejně dostupnou písemnou dokumentaci, která může být zpřístupněna prostřednictvím elektronických prostředků a která stanoví pravidla pro fungování </w:t>
            </w:r>
            <w:r>
              <w:rPr>
                <w:b/>
                <w:i/>
                <w:strike w:val="0"/>
                <w:color w:val="auto"/>
                <w:highlight w:val="none"/>
                <w:u w:val="none" w:color="auto"/>
                <w:vertAlign w:val="baseline"/>
              </w:rPr>
              <w:t>tržních infrastruktur DLT a jejich provozovatelů</w:t>
            </w:r>
            <w:r>
              <w:t>, včetně schválených souvisejících právních podmínek, které definují práva, povinnosti, odpovědnosti a závazky provozovatele tržní infrastruktury DLT, jakož i jeho členů, účastníků, emitentů nebo klientů, kteří dotyčnou tržní infrastrukturu DLT využívají. Tato právní opatření stanoví rozhodné právo, mechanismus pro urovnávání sporů</w:t>
            </w:r>
            <w:r>
              <w:rPr>
                <w:b/>
                <w:i/>
                <w:strike w:val="0"/>
                <w:color w:val="auto"/>
                <w:highlight w:val="none"/>
                <w:u w:val="none" w:color="auto"/>
                <w:vertAlign w:val="baseline"/>
              </w:rPr>
              <w:t>, jakákoli opatření na ochranu pro případ platební neschopnosti podle směrnice 98/26/ES</w:t>
            </w:r>
            <w:r>
              <w:t xml:space="preserve"> a jurisdikci pro podání žaloby.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tohoto pozměňovacího návrhu je zohlednit návrh uvedený ve stanovisku ECB.</w:t>
      </w:r>
      <w:r>
        <w:t xml:space="preserve"> </w:t>
      </w:r>
      <w:r>
        <w:t>Z hlediska dohledu by měla být specifikována rizika neodvolatelnosti zúčtování a platební neschopnosti spolu s příslušnými zmírňujícími opatřeními a účastníci tržních infrastruktur DLT by měli být informováni.</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1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Musí také mít aktuální, jasnou a podrobnou veřejně dostupnou písemnou dokumentaci, která může být zpřístupněna prostřednictvím elektronických prostředků a která stanoví pravidla pro fungování tržní infrastruktury DLT, včetně schválených souvisejících právních podmínek, které definují práva, povinnosti, odpovědnosti a závazky provozovatele tržní infrastruktury DLT, jakož i jeho členů, účastníků, emitentů nebo klientů, kteří dotyčnou tržní infrastrukturu DLT využívají. Tato právní opatření stanoví rozhodné právo, mechanismus pro urovnávání sporů </w:t>
            </w:r>
            <w:r>
              <w:rPr>
                <w:b/>
                <w:i/>
                <w:strike w:val="0"/>
                <w:color w:val="auto"/>
                <w:highlight w:val="none"/>
                <w:u w:val="none" w:color="auto"/>
                <w:vertAlign w:val="baseline"/>
              </w:rPr>
              <w:t>před zahájením soudního řízení</w:t>
            </w:r>
            <w:r>
              <w:t xml:space="preserve"> a jurisdikci pro podání žaloby.</w:t>
            </w:r>
          </w:p>
        </w:tc>
        <w:tc>
          <w:tcPr>
            <w:tcW w:w="4876" w:type="dxa"/>
            <w:vAlign w:val="top"/>
          </w:tcPr>
          <w:p>
            <w:pPr>
              <w:pStyle w:val="Normal6a"/>
            </w:pPr>
            <w:r>
              <w:t>Musí také mít aktuální, jasnou a podrobnou veřejně dostupnou písemnou dokumentaci, která může být zpřístupněna prostřednictvím elektronických prostředků a která stanoví pravidla pro fungování tržní infrastruktury DLT, včetně schválených souvisejících právních podmínek, které definují práva, povinnosti, odpovědnosti a závazky provozovatele tržní infrastruktury DLT, jakož i jeho členů, účastníků, emitentů nebo klientů, kteří dotyčnou tržní infrastrukturu DLT využívají. Tato právní opatření stanoví rozhodné právo, mechanismus pro urovnávání sporů</w:t>
            </w:r>
            <w:r>
              <w:rPr>
                <w:b/>
                <w:i/>
                <w:strike w:val="0"/>
                <w:color w:val="auto"/>
                <w:highlight w:val="none"/>
                <w:u w:val="none" w:color="auto"/>
                <w:vertAlign w:val="baseline"/>
              </w:rPr>
              <w:t>, jakákoli opatření na ochranu pro případ platební neschopnosti podle směrnice 98/26/ES</w:t>
            </w:r>
            <w:r>
              <w:t xml:space="preserve"> a jurisdikci pro podání žaloby.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Začleňuje doporučení do stanoviska ECB.</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1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Musí také mít aktuální, jasnou a podrobnou veřejně dostupnou písemnou dokumentaci, která může být zpřístupněna prostřednictvím elektronických prostředků a která stanoví pravidla pro fungování tržní infrastruktury DLT, včetně schválených souvisejících právních podmínek, které definují práva, povinnosti, odpovědnosti a závazky provozovatele tržní infrastruktury DLT, jakož i jeho členů, účastníků, emitentů nebo klientů, kteří dotyčnou tržní infrastrukturu DLT využívají. Tato právní opatření stanoví rozhodné právo, mechanismus pro urovnávání sporů </w:t>
            </w:r>
            <w:r>
              <w:rPr>
                <w:b/>
                <w:i/>
                <w:strike w:val="0"/>
                <w:color w:val="auto"/>
                <w:highlight w:val="none"/>
                <w:u w:val="none" w:color="auto"/>
                <w:vertAlign w:val="baseline"/>
              </w:rPr>
              <w:t>před zahájením soudního řízení</w:t>
            </w:r>
            <w:r>
              <w:t xml:space="preserve"> a jurisdikci pro podání žaloby.</w:t>
            </w:r>
          </w:p>
        </w:tc>
        <w:tc>
          <w:tcPr>
            <w:tcW w:w="4876" w:type="dxa"/>
            <w:vAlign w:val="top"/>
          </w:tcPr>
          <w:p>
            <w:pPr>
              <w:pStyle w:val="Normal6a"/>
            </w:pPr>
            <w:r>
              <w:t>Musí také mít aktuální, jasnou a podrobnou veřejně dostupnou písemnou dokumentaci, která může být zpřístupněna prostřednictvím elektronických prostředků a která stanoví pravidla pro fungování tržní infrastruktury DLT, včetně schválených souvisejících právních podmínek, které definují práva, povinnosti, odpovědnosti a závazky provozovatele tržní infrastruktury DLT, jakož i jeho členů, účastníků, emitentů nebo klientů, kteří dotyčnou tržní infrastrukturu DLT využívají. Tato právní opatření stanoví rozhodné právo, mechanismus pro urovnávání sporů</w:t>
            </w:r>
            <w:r>
              <w:rPr>
                <w:b/>
                <w:i/>
                <w:strike w:val="0"/>
                <w:color w:val="auto"/>
                <w:highlight w:val="none"/>
                <w:u w:val="none" w:color="auto"/>
                <w:vertAlign w:val="baseline"/>
              </w:rPr>
              <w:t>, jakákoli opatření na ochranu pro případ platební neschopnosti podle směrnice 98/26/ES</w:t>
            </w:r>
            <w:r>
              <w:t xml:space="preserve"> a jurisdikci pro podání žaloby.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Podle stanoviska ECB.</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1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Musí také mít aktuální, jasnou a podrobnou veřejně dostupnou písemnou dokumentaci, která může být zpřístupněna prostřednictvím elektronických prostředků a která stanoví pravidla pro fungování tržní infrastruktury DLT, včetně schválených souvisejících právních podmínek, které definují práva, povinnosti, odpovědnosti a závazky provozovatele tržní infrastruktury DLT, jakož i jeho členů, účastníků, emitentů nebo klientů, kteří dotyčnou tržní infrastrukturu DLT využívají. Tato právní opatření stanoví rozhodné právo, mechanismus pro urovnávání sporů před zahájením soudního řízení a jurisdikci pro podání žaloby.</w:t>
            </w:r>
          </w:p>
        </w:tc>
        <w:tc>
          <w:tcPr>
            <w:tcW w:w="4876" w:type="dxa"/>
            <w:vAlign w:val="top"/>
          </w:tcPr>
          <w:p>
            <w:pPr>
              <w:pStyle w:val="Normal6a"/>
            </w:pPr>
            <w:r>
              <w:t>Musí také mít aktuální, jasnou a podrobnou veřejně dostupnou písemnou dokumentaci, která může být zpřístupněna prostřednictvím elektronických prostředků a která stanoví pravidla pro fungování tržní infrastruktury DLT, včetně schválených souvisejících právních podmínek, které definují práva, povinnosti, odpovědnosti a závazky provozovatele tržní infrastruktury DLT, jakož i jeho členů, účastníků, emitentů nebo klientů, kteří dotyčnou tržní infrastrukturu DLT využívají. Tato právní opatření stanoví rozhodné právo, mechanismus pro urovnávání sporů před zahájením soudního řízení a jurisdikci pro podání žaloby.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Editační poznámka.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Markus Ferber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1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Musí také mít aktuální, jasnou a podrobnou veřejně dostupnou písemnou dokumentaci, která může být zpřístupněna prostřednictvím elektronických prostředků a která stanoví pravidla pro fungování tržní infrastruktury DLT, včetně schválených souvisejících právních podmínek, které definují práva, povinnosti, odpovědnosti a závazky provozovatele tržní infrastruktury DLT, jakož i jeho členů, účastníků, emitentů nebo klientů, kteří dotyčnou tržní infrastrukturu DLT využívají. Tato právní opatření stanoví rozhodné právo, mechanismus pro urovnávání sporů před zahájením soudního řízení a jurisdikci pro podání žaloby.</w:t>
            </w:r>
          </w:p>
        </w:tc>
        <w:tc>
          <w:tcPr>
            <w:tcW w:w="4876" w:type="dxa"/>
            <w:vAlign w:val="top"/>
          </w:tcPr>
          <w:p>
            <w:pPr>
              <w:pStyle w:val="Normal6a"/>
            </w:pPr>
            <w:r>
              <w:t>Musí také mít aktuální, jasnou a podrobnou veřejně dostupnou písemnou dokumentaci, která může být zpřístupněna prostřednictvím elektronických prostředků a která stanoví pravidla pro fungování tržní infrastruktury DLT, včetně schválených souvisejících právních podmínek, které definují práva, povinnosti, odpovědnosti a závazky provozovatele tržní infrastruktury DLT, jakož i jeho členů, účastníků, emitentů nebo klientů, kteří dotyčnou tržní infrastrukturu DLT využívají. Tato právní opatření stanoví rozhodné právo, mechanismus pro urovnávání sporů před zahájením soudního řízení a jurisdikci pro podání žaloby.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rPr>
                <w:b/>
                <w:i/>
                <w:strike w:val="0"/>
                <w:color w:val="auto"/>
                <w:highlight w:val="none"/>
                <w:u w:val="none" w:color="auto"/>
                <w:vertAlign w:val="baseline"/>
              </w:rPr>
              <w:t>Centrální depozitář provozující systém vypořádání obchodů s cennými papíry vedenými na DLT a investiční podnik nebo organizátor trhu provozující systém DLT MTF, kteří žádají o výjimku z čl. 3 odst. 2 nařízení (EU) č. 909/2014,</w:t>
            </w:r>
            <w:r>
              <w:t xml:space="preserve"> stanoví pravidla pro fungování DLT, kterou provozují, včetně pravidel pro přístup k technologii </w:t>
            </w:r>
            <w:r>
              <w:rPr>
                <w:b/>
                <w:i/>
                <w:strike w:val="0"/>
                <w:color w:val="auto"/>
                <w:highlight w:val="none"/>
                <w:u w:val="none" w:color="auto"/>
                <w:vertAlign w:val="baseline"/>
              </w:rPr>
              <w:t>sdíleného registru, pro</w:t>
            </w:r>
            <w:r>
              <w:t xml:space="preserve"> účast ověřovacích uzlů, řešení </w:t>
            </w:r>
            <w:r>
              <w:rPr>
                <w:b/>
                <w:i/>
                <w:strike w:val="0"/>
                <w:color w:val="auto"/>
                <w:highlight w:val="none"/>
                <w:u w:val="none" w:color="auto"/>
                <w:vertAlign w:val="baseline"/>
              </w:rPr>
              <w:t>potenciálních</w:t>
            </w:r>
            <w:r>
              <w:t xml:space="preserve"> střetů zájmů a řízení rizik včetně veškerých </w:t>
            </w:r>
            <w:r>
              <w:rPr>
                <w:b/>
                <w:i/>
                <w:strike w:val="0"/>
                <w:color w:val="auto"/>
                <w:highlight w:val="none"/>
                <w:u w:val="none" w:color="auto"/>
                <w:vertAlign w:val="baseline"/>
              </w:rPr>
              <w:t>zmírňujících opatření</w:t>
            </w:r>
            <w:r>
              <w:t>.</w:t>
            </w:r>
          </w:p>
        </w:tc>
        <w:tc>
          <w:tcPr>
            <w:tcW w:w="4876" w:type="dxa"/>
            <w:vAlign w:val="top"/>
          </w:tcPr>
          <w:p>
            <w:pPr>
              <w:pStyle w:val="Normal6a"/>
            </w:pPr>
            <w:r>
              <w:t>2.</w:t>
            </w:r>
            <w:r>
              <w:tab/>
            </w:r>
            <w:r>
              <w:rPr>
                <w:b/>
                <w:i/>
                <w:strike w:val="0"/>
                <w:color w:val="auto"/>
                <w:highlight w:val="none"/>
                <w:u w:val="none" w:color="auto"/>
                <w:vertAlign w:val="baseline"/>
              </w:rPr>
              <w:t>Provozovatelé tržních infrastruktur DLT jsou vždy plně odpovědní za služby a činnosti, které vykonávají podle tohoto nařízení, včetně provozování své technologie distribuované účetní knihy.</w:t>
            </w:r>
            <w:r>
              <w:t xml:space="preserve"> Stanoví pravidla pro fungování DLT, kterou provozují, včetně pravidel pro přístup k technologii </w:t>
            </w:r>
            <w:r>
              <w:rPr>
                <w:b/>
                <w:i/>
                <w:strike w:val="0"/>
                <w:color w:val="auto"/>
                <w:highlight w:val="none"/>
                <w:u w:val="none" w:color="auto"/>
                <w:vertAlign w:val="baseline"/>
              </w:rPr>
              <w:t>distribuované účetní knihy,</w:t>
            </w:r>
            <w:r>
              <w:t xml:space="preserve"> účast ověřovacích uzlů, řešení </w:t>
            </w:r>
            <w:r>
              <w:rPr>
                <w:b/>
                <w:i/>
                <w:strike w:val="0"/>
                <w:color w:val="auto"/>
                <w:highlight w:val="none"/>
                <w:u w:val="none" w:color="auto"/>
                <w:vertAlign w:val="baseline"/>
              </w:rPr>
              <w:t>možných</w:t>
            </w:r>
            <w:r>
              <w:t xml:space="preserve"> střetů zájmů a řízení rizik</w:t>
            </w:r>
            <w:r>
              <w:rPr>
                <w:b/>
                <w:i/>
                <w:strike w:val="0"/>
                <w:color w:val="auto"/>
                <w:highlight w:val="none"/>
                <w:u w:val="none" w:color="auto"/>
                <w:vertAlign w:val="baseline"/>
              </w:rPr>
              <w:t>,</w:t>
            </w:r>
            <w:r>
              <w:t xml:space="preserve"> včetně veškerých </w:t>
            </w:r>
            <w:r>
              <w:rPr>
                <w:b/>
                <w:i/>
                <w:strike w:val="0"/>
                <w:color w:val="auto"/>
                <w:highlight w:val="none"/>
                <w:u w:val="none" w:color="auto"/>
                <w:vertAlign w:val="baseline"/>
              </w:rPr>
              <w:t>opatření ke zmírnění rizik k zajištění ochrany investorů a finanční stability.</w:t>
            </w:r>
            <w:r>
              <w:t xml:space="preserve"> </w:t>
            </w:r>
            <w:r>
              <w:rPr>
                <w:b/>
                <w:i/>
                <w:strike w:val="0"/>
                <w:color w:val="auto"/>
                <w:highlight w:val="none"/>
                <w:u w:val="none" w:color="auto"/>
                <w:vertAlign w:val="baseline"/>
              </w:rPr>
              <w:t>Pokud provozovatelé tržních infrastruktur distribuované účetní knihy zadávají část svých služeb a činností externím dodavatelům, zajistí, aby podmínky stanovené v článku 30 nařízení (EU) č. 909/2014 byly obdobně splněny</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Centrální depozitář provozující </w:t>
            </w:r>
            <w:r>
              <w:rPr>
                <w:b/>
                <w:i/>
                <w:strike w:val="0"/>
                <w:color w:val="auto"/>
                <w:highlight w:val="none"/>
                <w:u w:val="none" w:color="auto"/>
                <w:vertAlign w:val="baseline"/>
              </w:rPr>
              <w:t>systém vypořádání obchodů s cennými papíry vedenými na</w:t>
            </w:r>
            <w:r>
              <w:t xml:space="preserve"> DLT a investiční podnik nebo organizátor trhu provozující systém DLT </w:t>
            </w:r>
            <w:r>
              <w:rPr>
                <w:b/>
                <w:i/>
                <w:strike w:val="0"/>
                <w:color w:val="auto"/>
                <w:highlight w:val="none"/>
                <w:u w:val="none" w:color="auto"/>
                <w:vertAlign w:val="baseline"/>
              </w:rPr>
              <w:t>MTF, kteří žádají</w:t>
            </w:r>
            <w:r>
              <w:t xml:space="preserve"> o výjimku z čl. 3 odst. 2 nařízení (EU) č. 909/2014, </w:t>
            </w:r>
            <w:r>
              <w:rPr>
                <w:b/>
                <w:i/>
                <w:strike w:val="0"/>
                <w:color w:val="auto"/>
                <w:highlight w:val="none"/>
                <w:u w:val="none" w:color="auto"/>
                <w:vertAlign w:val="baseline"/>
              </w:rPr>
              <w:t>stanoví pravidla pro fungování DLT, kterou provozují, včetně pravidel pro přístup k technologii sdíleného registru, pro účast ověřovacích uzlů, řešení potenciálních střetů zájmů a řízení rizik včetně veškerých zmírňujících opatření.</w:t>
            </w:r>
          </w:p>
        </w:tc>
        <w:tc>
          <w:tcPr>
            <w:tcW w:w="4876" w:type="dxa"/>
            <w:vAlign w:val="top"/>
          </w:tcPr>
          <w:p>
            <w:pPr>
              <w:pStyle w:val="Normal6a"/>
            </w:pPr>
            <w:r>
              <w:t>2.</w:t>
            </w:r>
            <w:r>
              <w:tab/>
            </w:r>
            <w:r>
              <w:t>Centrální depozitář provozující</w:t>
            </w:r>
            <w:r>
              <w:rPr>
                <w:b/>
                <w:i/>
                <w:strike w:val="0"/>
                <w:color w:val="auto"/>
                <w:highlight w:val="none"/>
                <w:u w:val="none" w:color="auto"/>
                <w:vertAlign w:val="baseline"/>
              </w:rPr>
              <w:t>vypořádací systém</w:t>
            </w:r>
            <w:r>
              <w:t>DLT a investiční podnik nebo organizátor trhu provozující</w:t>
            </w:r>
            <w:r>
              <w:rPr>
                <w:b/>
                <w:i/>
                <w:strike w:val="0"/>
                <w:color w:val="auto"/>
                <w:highlight w:val="none"/>
                <w:u w:val="none" w:color="auto"/>
                <w:vertAlign w:val="baseline"/>
              </w:rPr>
              <w:t>mnohostranný obchodní</w:t>
            </w:r>
            <w:r>
              <w:t>systém DLT</w:t>
            </w:r>
            <w:r>
              <w:rPr>
                <w:b/>
                <w:i/>
                <w:strike w:val="0"/>
                <w:color w:val="auto"/>
                <w:highlight w:val="none"/>
                <w:u w:val="none" w:color="auto"/>
                <w:vertAlign w:val="baseline"/>
              </w:rPr>
              <w:t>, který žádá</w:t>
            </w:r>
            <w:r>
              <w:t>o výjimku z čl. 3 odst. 2 nařízení (EU) č. 909/2014,</w:t>
            </w:r>
            <w:r>
              <w:rPr>
                <w:b/>
                <w:i/>
                <w:strike w:val="0"/>
                <w:color w:val="auto"/>
                <w:highlight w:val="none"/>
                <w:u w:val="none" w:color="auto"/>
                <w:vertAlign w:val="baseline"/>
              </w:rPr>
              <w:t>zřídí: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 pravidla pro fungování DLT, kterou provozují, včetně pravidel pro přístup k technologii distribuované účetní knihy, účast ověřovacích uzlů, řešení možných střetů zájmů a řízení rizik, včetně veškerých opatření ke zmírněn;</w:t>
            </w:r>
            <w:r>
              <w:t xml:space="preserve"> </w:t>
            </w:r>
            <w:r>
              <w:rPr>
                <w:b/>
                <w:i/>
                <w:strike w:val="0"/>
                <w:color w:val="auto"/>
                <w:highlight w:val="none"/>
                <w:u w:val="none" w:color="auto"/>
                <w:vertAlign w:val="baseline"/>
              </w:rPr>
              <w:t>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opatření ke zmírnění rizik vyplývajících z platební neschopnosti, pokud se neuplatní opatření na ochranu před platební neschopností podle směrnice 98/26/ES.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Podle stanoviska ECB.</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Centrální depozitář provozující systém vypořádání obchodů s cennými papíry vedenými na DLT a investiční podnik nebo organizátor trhu provozující systém DLT MTF, kteří žádají o výjimku z čl. 3 odst. 2 nařízení (EU) č. 909/2014, stanoví pravidla pro fungování DLT, kterou provozují, včetně pravidel pro přístup k technologii sdíleného registru, pro účast ověřovacích uzlů, řešení potenciálních střetů zájmů a řízení rizik včetně veškerých zmírňujících opatření.</w:t>
            </w:r>
          </w:p>
        </w:tc>
        <w:tc>
          <w:tcPr>
            <w:tcW w:w="4876" w:type="dxa"/>
            <w:vAlign w:val="top"/>
          </w:tcPr>
          <w:p>
            <w:pPr>
              <w:pStyle w:val="Normal6a"/>
            </w:pPr>
            <w:r>
              <w:t>2.</w:t>
            </w:r>
            <w:r>
              <w:tab/>
            </w:r>
            <w:r>
              <w:t xml:space="preserve">Centrální depozitář provozující systém vypořádání obchodů s cennými papíry vedenými na DLT a investiční podnik nebo organizátor trhu provozující systém DLT MTF, kteří žádají o výjimku z čl. 3 odst. 2 nařízení (EU) č. 909/2014, stanoví </w:t>
            </w:r>
            <w:r>
              <w:rPr>
                <w:b/>
                <w:i/>
                <w:strike w:val="0"/>
                <w:color w:val="auto"/>
                <w:highlight w:val="none"/>
                <w:u w:val="none" w:color="auto"/>
                <w:vertAlign w:val="baseline"/>
              </w:rPr>
              <w:t>nebo případně zdokumentuje</w:t>
            </w:r>
            <w:r>
              <w:t xml:space="preserve"> pravidla pro fungování DLT, kterou provozují, včetně pravidel pro přístup k technologii sdíleného registru, pro účast ověřovacích uzlů, řešení potenciálních střetů zájmů a řízení rizik včetně veškerých zmírňujících opatření.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rPr>
                <w:b/>
                <w:i/>
                <w:strike w:val="0"/>
                <w:color w:val="auto"/>
                <w:highlight w:val="none"/>
                <w:u w:val="none" w:color="auto"/>
                <w:vertAlign w:val="baseline"/>
              </w:rPr>
              <w:t>Centrální depozitář</w:t>
            </w:r>
            <w:r>
              <w:t xml:space="preserve"> provozující systém vypořádání obchodů s cennými papíry vedenými na DLT a </w:t>
            </w:r>
            <w:r>
              <w:rPr>
                <w:b/>
                <w:i/>
                <w:strike w:val="0"/>
                <w:color w:val="auto"/>
                <w:highlight w:val="none"/>
                <w:u w:val="none" w:color="auto"/>
                <w:vertAlign w:val="baseline"/>
              </w:rPr>
              <w:t>investiční podnik nebo organizátor trhu</w:t>
            </w:r>
            <w:r>
              <w:t xml:space="preserve"> provozující systém DLT MTF, kteří žádají o výjimku z čl. 3 odst. 2 nařízení (EU) č. 909/2014, stanoví pravidla pro fungování DLT, kterou provozují, včetně pravidel pro přístup k technologii sdíleného registru, pro účast ověřovacích uzlů, řešení potenciálních střetů zájmů a řízení rizik včetně veškerých zmírňujících opatření.</w:t>
            </w:r>
          </w:p>
        </w:tc>
        <w:tc>
          <w:tcPr>
            <w:tcW w:w="4876" w:type="dxa"/>
            <w:vAlign w:val="top"/>
          </w:tcPr>
          <w:p>
            <w:pPr>
              <w:pStyle w:val="Normal6a"/>
            </w:pPr>
            <w:r>
              <w:t>2.</w:t>
            </w:r>
            <w:r>
              <w:tab/>
            </w:r>
            <w:r>
              <w:rPr>
                <w:b/>
                <w:i/>
                <w:strike w:val="0"/>
                <w:color w:val="auto"/>
                <w:highlight w:val="none"/>
                <w:u w:val="none" w:color="auto"/>
                <w:vertAlign w:val="baseline"/>
              </w:rPr>
              <w:t>Pokud používá vlastní DLT, subjekt</w:t>
            </w:r>
            <w:r>
              <w:t xml:space="preserve"> provozující systém vypořádání obchodů s cennými papíry vedenými na DLT a </w:t>
            </w:r>
            <w:r>
              <w:rPr>
                <w:b/>
                <w:i/>
                <w:strike w:val="0"/>
                <w:color w:val="auto"/>
                <w:highlight w:val="none"/>
                <w:u w:val="none" w:color="auto"/>
                <w:vertAlign w:val="baseline"/>
              </w:rPr>
              <w:t>subjekt</w:t>
            </w:r>
            <w:r>
              <w:t xml:space="preserve"> provozující systém DLT MTF, kteří žádají o výjimku z čl. 3 odst. 2 nařízení (EU) č. 909/2014, stanoví pravidla pro fungování DLT, kterou provozují, včetně pravidel pro přístup k technologii sdíleného registru, pro účast ověřovacích uzlů, řešení potenciálních střetů zájmů a řízení rizik včetně veškerých zmírňujících opatření.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 na trhu &amp; technologická neutralita ve vztahu k vlastním a veřejným distribuovaným účetním knihám</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Centrální depozitář provozující </w:t>
            </w:r>
            <w:r>
              <w:rPr>
                <w:b/>
                <w:i/>
                <w:strike w:val="0"/>
                <w:color w:val="auto"/>
                <w:highlight w:val="none"/>
                <w:u w:val="none" w:color="auto"/>
                <w:vertAlign w:val="baseline"/>
              </w:rPr>
              <w:t>systém vypořádání obchodů s cennými papíry vedenými na DLT</w:t>
            </w:r>
            <w:r>
              <w:t xml:space="preserve"> a investiční podnik nebo organizátor trhu provozující systém DLT MTF, kteří žádají o výjimku z čl. 3 odst. 2 nařízení (EU) č. 909/2014, stanoví pravidla pro fungování DLT, kterou </w:t>
            </w:r>
            <w:r>
              <w:rPr>
                <w:b/>
                <w:i/>
                <w:strike w:val="0"/>
                <w:color w:val="auto"/>
                <w:highlight w:val="none"/>
                <w:u w:val="none" w:color="auto"/>
                <w:vertAlign w:val="baseline"/>
              </w:rPr>
              <w:t>provozují</w:t>
            </w:r>
            <w:r>
              <w:t>, včetně pravidel pro přístup k technologii sdíleného registru, pro účast ověřovacích uzlů, řešení potenciálních střetů zájmů a řízení rizik včetně veškerých zmírňujících opatření.</w:t>
            </w:r>
          </w:p>
        </w:tc>
        <w:tc>
          <w:tcPr>
            <w:tcW w:w="4876" w:type="dxa"/>
            <w:vAlign w:val="top"/>
          </w:tcPr>
          <w:p>
            <w:pPr>
              <w:pStyle w:val="Normal6a"/>
            </w:pPr>
            <w:r>
              <w:t>2.</w:t>
            </w:r>
            <w:r>
              <w:tab/>
            </w:r>
            <w:r>
              <w:t xml:space="preserve">Centrální depozitář provozující </w:t>
            </w:r>
            <w:r>
              <w:rPr>
                <w:b/>
                <w:i/>
                <w:strike w:val="0"/>
                <w:color w:val="auto"/>
                <w:highlight w:val="none"/>
                <w:u w:val="none" w:color="auto"/>
                <w:vertAlign w:val="baseline"/>
              </w:rPr>
              <w:t>DLT SSS</w:t>
            </w:r>
            <w:r>
              <w:t xml:space="preserve"> a investiční podnik nebo organizátor trhu provozující systém DLT MTF, kteří žádají o výjimku z čl. 3 odst. 2 nařízení (EU) č. 909/2014, stanoví </w:t>
            </w:r>
            <w:r>
              <w:rPr>
                <w:b/>
                <w:i/>
                <w:strike w:val="0"/>
                <w:color w:val="auto"/>
                <w:highlight w:val="none"/>
                <w:u w:val="none" w:color="auto"/>
                <w:vertAlign w:val="baseline"/>
              </w:rPr>
              <w:t>nebo případně zdokumentuje</w:t>
            </w:r>
            <w:r>
              <w:t xml:space="preserve"> pravidla pro fungování DLT, kterou </w:t>
            </w:r>
            <w:r>
              <w:rPr>
                <w:b/>
                <w:i/>
                <w:strike w:val="0"/>
                <w:color w:val="auto"/>
                <w:highlight w:val="none"/>
                <w:u w:val="none" w:color="auto"/>
                <w:vertAlign w:val="baseline"/>
              </w:rPr>
              <w:t>používají</w:t>
            </w:r>
            <w:r>
              <w:t>, včetně pravidel pro přístup k technologii sdíleného registru, pro účast ověřovacích uzlů, řešení potenciálních střetů zájmů a řízení rizik včetně veškerých zmírňujících opatření.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Redakční poznámka a formulace odrážející technologicky neutrální přístup k používání distribuované účetní knihy.</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Centrální depozitář provozující </w:t>
            </w:r>
            <w:r>
              <w:rPr>
                <w:b/>
                <w:i/>
                <w:strike w:val="0"/>
                <w:color w:val="auto"/>
                <w:highlight w:val="none"/>
                <w:u w:val="none" w:color="auto"/>
                <w:vertAlign w:val="baseline"/>
              </w:rPr>
              <w:t>systém vypořádání obchodů s cennými papíry vedenými na DLT</w:t>
            </w:r>
            <w:r>
              <w:t xml:space="preserve"> a investiční podnik nebo organizátor trhu provozující </w:t>
            </w:r>
            <w:r>
              <w:rPr>
                <w:b/>
                <w:i/>
                <w:strike w:val="0"/>
                <w:color w:val="auto"/>
                <w:highlight w:val="none"/>
                <w:u w:val="none" w:color="auto"/>
                <w:vertAlign w:val="baseline"/>
              </w:rPr>
              <w:t>systém DLT MTF, kteří žádají</w:t>
            </w:r>
            <w:r>
              <w:t xml:space="preserve"> o výjimku z čl. 3 odst. 2 nařízení (EU) č. 909/2014, </w:t>
            </w:r>
            <w:r>
              <w:rPr>
                <w:b/>
                <w:i/>
                <w:strike w:val="0"/>
                <w:color w:val="auto"/>
                <w:highlight w:val="none"/>
                <w:u w:val="none" w:color="auto"/>
                <w:vertAlign w:val="baseline"/>
              </w:rPr>
              <w:t>stanoví pravidla pro fungování DLT, kterou provozují, včetně pravidel pro přístup k technologii sdíleného registru, pro účast ověřovacích uzlů, řešení potenciálních střetů zájmů a řízení rizik včetně veškerých zmírňujících opatření.</w:t>
            </w:r>
          </w:p>
        </w:tc>
        <w:tc>
          <w:tcPr>
            <w:tcW w:w="4876" w:type="dxa"/>
            <w:vAlign w:val="top"/>
          </w:tcPr>
          <w:p>
            <w:pPr>
              <w:pStyle w:val="Normal6a"/>
            </w:pPr>
            <w:r>
              <w:t>2.</w:t>
            </w:r>
            <w:r>
              <w:tab/>
            </w:r>
            <w:r>
              <w:t xml:space="preserve">Centrální depozitář provozující </w:t>
            </w:r>
            <w:r>
              <w:rPr>
                <w:b/>
                <w:i/>
                <w:strike w:val="0"/>
                <w:color w:val="auto"/>
                <w:highlight w:val="none"/>
                <w:u w:val="none" w:color="auto"/>
                <w:vertAlign w:val="baseline"/>
              </w:rPr>
              <w:t>DLT SSS</w:t>
            </w:r>
            <w:r>
              <w:t xml:space="preserve"> a investiční podnik nebo organizátor trhu provozující </w:t>
            </w:r>
            <w:r>
              <w:rPr>
                <w:b/>
                <w:i/>
                <w:strike w:val="0"/>
                <w:color w:val="auto"/>
                <w:highlight w:val="none"/>
                <w:u w:val="none" w:color="auto"/>
                <w:vertAlign w:val="baseline"/>
              </w:rPr>
              <w:t>DLT TSS, který žádá</w:t>
            </w:r>
            <w:r>
              <w:t xml:space="preserve"> o výjimku z čl. 3 odst. 2 nařízení (EU) č. 909/2014, </w:t>
            </w:r>
            <w:r>
              <w:rPr>
                <w:b/>
                <w:i/>
                <w:strike w:val="0"/>
                <w:color w:val="auto"/>
                <w:highlight w:val="none"/>
                <w:u w:val="none" w:color="auto"/>
                <w:vertAlign w:val="baseline"/>
              </w:rPr>
              <w:t>zřídí nebo případně dokumentují: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tohoto pozměňovacího návrhu je zohlednit návrh uvedený ve stanovisku ECB.</w:t>
      </w:r>
      <w:r>
        <w:t xml:space="preserve"> </w:t>
      </w:r>
      <w:r>
        <w:t>Restrukturalizace čl. 6 odst. 5 a doplnění, že z hlediska dohledu by měla být specifikována rizika neodvolatelnosti zúčtování a platební neschopnosti spolu s příslušnými zmírňujícími opatřeními a účastníci tržních infrastruktur DLT by měli být informováni.</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2 – písm.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w:t>
            </w:r>
            <w:r>
              <w:tab/>
            </w:r>
            <w:r>
              <w:rPr>
                <w:b/>
                <w:i/>
                <w:strike w:val="0"/>
                <w:color w:val="auto"/>
                <w:highlight w:val="none"/>
                <w:u w:val="none" w:color="auto"/>
                <w:vertAlign w:val="baseline"/>
              </w:rPr>
              <w:t> pravidla pro fungování DLT, kterou provozují, včetně pravidel pro přístup k technologii distribuované účetní knihy, účast ověřovacích uzlů, řešení možných střetů zájmů a řízení rizik, včetně veškerých opatření ke zmírněn;</w:t>
            </w:r>
            <w:r>
              <w:t xml:space="preserve"> </w:t>
            </w:r>
            <w:r>
              <w:rPr>
                <w:b/>
                <w:i/>
                <w:strike w:val="0"/>
                <w:color w:val="auto"/>
                <w:highlight w:val="none"/>
                <w:u w:val="none" w:color="auto"/>
                <w:vertAlign w:val="baseline"/>
              </w:rPr>
              <w:t>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tohoto pozměňovacího návrhu je zohlednit návrh uvedený ve stanovisku ECB.</w:t>
      </w:r>
      <w:r>
        <w:t xml:space="preserve"> </w:t>
      </w:r>
      <w:r>
        <w:t>Restrukturalizace čl. 6 odst. 5 a doplnění, že z hlediska dohledu by měla být specifikována rizika neodvolatelnosti zúčtování a platební neschopnosti spolu s příslušnými zmírňujícími opatřeními a účastníci tržních infrastruktur DLT by měli být informováni.</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2 – písm. b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w:t>
            </w:r>
            <w:r>
              <w:tab/>
            </w:r>
            <w:r>
              <w:rPr>
                <w:b/>
                <w:i/>
                <w:strike w:val="0"/>
                <w:color w:val="auto"/>
                <w:highlight w:val="none"/>
                <w:u w:val="none" w:color="auto"/>
                <w:vertAlign w:val="baseline"/>
              </w:rPr>
              <w:t>opatření ke zmírnění rizik vyplývajících z platební neschopnosti, pokud se neuplatní opatření na ochranu před platební neschopností podle směrnice 98/26/ES.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tohoto pozměňovacího návrhu je zohlednit návrh uvedený ve stanovisku ECB.</w:t>
      </w:r>
      <w:r>
        <w:t xml:space="preserve"> </w:t>
      </w:r>
      <w:r>
        <w:t>Restrukturalizace čl. 6 odst. 5 a doplnění, že z hlediska dohledu by měla být specifikována rizika neodvolatelnosti zúčtování a platební neschopnosti spolu s příslušnými zmírňujícími opatřeními a účastníci tržních infrastruktur DLT by měli být informováni.</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pododstavec 2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2a.</w:t>
            </w:r>
            <w:r>
              <w:tab/>
            </w:r>
            <w:r>
              <w:rPr>
                <w:b/>
                <w:i/>
                <w:strike w:val="0"/>
                <w:color w:val="auto"/>
                <w:highlight w:val="none"/>
                <w:u w:val="none" w:color="auto"/>
                <w:vertAlign w:val="baseline"/>
              </w:rPr>
              <w:t>Pokud subjekt provozující systém vypořádání obchodů s cennými papíry distribuované účetní knihy a subjekt provozující mnohostranný obchodní systém DLT používají veřejnou distribuovanou účetní knihu a požádají o výjimku z čl. 3 odst. 2 nařízení (EU) č. 909/2014, řádně popíší relevantnímu příslušnému orgánu fungování DLT, které používají, způsob, jakým řeší potenciální střety zájmů, a opatření k řízení rizik.</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 na trhu &amp; technologická neutralita ve vztahu k vlastním a veřejným distribuovaným účetním knihám</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Provozovatelé tržních infrastruktur DLT poskytnou svým členům, účastníkům, emitentům a klientům na svých internetových stránkách jasné a jednoznačné informace o výkonu svých funkcí a činností a poskytování služeb a o tom, jak se tento výkon funkcí a činností a poskytování služeb liší od systému MTF nebo </w:t>
            </w:r>
            <w:r>
              <w:rPr>
                <w:b/>
                <w:i/>
                <w:strike w:val="0"/>
                <w:color w:val="auto"/>
                <w:highlight w:val="none"/>
                <w:u w:val="none" w:color="auto"/>
                <w:vertAlign w:val="baseline"/>
              </w:rPr>
              <w:t>od systému vypořádání obchodů s</w:t>
            </w:r>
            <w:r>
              <w:t xml:space="preserve"> cennými papíry</w:t>
            </w:r>
            <w:r>
              <w:rPr>
                <w:b/>
                <w:i/>
                <w:strike w:val="0"/>
                <w:color w:val="auto"/>
                <w:highlight w:val="none"/>
                <w:u w:val="none" w:color="auto"/>
                <w:vertAlign w:val="baseline"/>
              </w:rPr>
              <w:t>. Tyto informace zahrnují informace o typu používané DLT</w:t>
            </w:r>
            <w:r>
              <w:t>.</w:t>
            </w:r>
          </w:p>
        </w:tc>
        <w:tc>
          <w:tcPr>
            <w:tcW w:w="4876" w:type="dxa"/>
            <w:vAlign w:val="top"/>
          </w:tcPr>
          <w:p>
            <w:pPr>
              <w:pStyle w:val="Normal6a"/>
            </w:pPr>
            <w:r>
              <w:t>3.</w:t>
            </w:r>
            <w:r>
              <w:tab/>
            </w:r>
            <w:r>
              <w:t xml:space="preserve">Provozovatelé tržních infrastruktur DLT poskytnou svým členům, účastníkům, emitentům a klientům na svých internetových stránkách jasné a jednoznačné informace o výkonu svých funkcí a činností a poskytování služeb a o tom, jak se tento výkon funkcí a činností a poskytování služeb liší od systému MTF nebo </w:t>
            </w:r>
            <w:r>
              <w:rPr>
                <w:b/>
                <w:i/>
                <w:strike w:val="0"/>
                <w:color w:val="auto"/>
                <w:highlight w:val="none"/>
                <w:u w:val="none" w:color="auto"/>
                <w:vertAlign w:val="baseline"/>
              </w:rPr>
              <w:t>SSS.</w:t>
            </w:r>
            <w:r>
              <w:t xml:space="preserve"> </w:t>
            </w:r>
            <w:r>
              <w:rPr>
                <w:b/>
                <w:i/>
                <w:strike w:val="0"/>
                <w:color w:val="auto"/>
                <w:highlight w:val="none"/>
                <w:u w:val="none" w:color="auto"/>
                <w:vertAlign w:val="baseline"/>
              </w:rPr>
              <w:t>Tyto informace zahrnují informace o typu používané DLT.</w:t>
            </w:r>
            <w:r>
              <w:t xml:space="preserve"> </w:t>
            </w:r>
            <w:r>
              <w:rPr>
                <w:b/>
                <w:i/>
                <w:strike w:val="0"/>
                <w:color w:val="auto"/>
                <w:highlight w:val="none"/>
                <w:u w:val="none" w:color="auto"/>
                <w:vertAlign w:val="baseline"/>
              </w:rPr>
              <w:t>Kromě toho by se fyzické osoby by se mohly přímo podílet na infrastrukturách trhu DLT a pokud by platební komponenta transakcí s převoditelnými</w:t>
            </w:r>
            <w:r>
              <w:t xml:space="preserve"> cennými papíry </w:t>
            </w:r>
            <w:r>
              <w:rPr>
                <w:b/>
                <w:i/>
                <w:strike w:val="0"/>
                <w:color w:val="auto"/>
                <w:highlight w:val="none"/>
                <w:u w:val="none" w:color="auto"/>
                <w:vertAlign w:val="baseline"/>
              </w:rPr>
              <w:t>DLT proběhla v účetnictví osoby, která není licencovanou úvěrovou institucí, výsledkem by byly peněžní účty fyzických osob, jakož i právnických osob, jako jsou mikropodniky a malé a střední podniky, s infrastrukturami trhu distribuované účetní knihy, které nevyužívají ochrany systému pojištění vkladů podle směrnice Evropského parlamentu a Rady 2014/49/EU (směrnice o systémech pojištění vkladů) a preferenci vkladatelů podle směrnice Evropského parlamentu a Rady o ozdravných postupech a řešení krize bank 2014/59/EU.</w:t>
            </w:r>
            <w:r>
              <w:t xml:space="preserve"> </w:t>
            </w:r>
            <w:r>
              <w:rPr>
                <w:b/>
                <w:i/>
                <w:strike w:val="0"/>
                <w:color w:val="auto"/>
                <w:highlight w:val="none"/>
                <w:u w:val="none" w:color="auto"/>
                <w:vertAlign w:val="baseline"/>
              </w:rPr>
              <w:t>Směrnice o systémech pojištění vkladů a preference vkladatelů podle směrnice o ozdravných postupech a řešení krize bank se vztahují pouze na vklady ve formě kreditního zůstatku, který vyplývá z finančních prostředků zbylých na účtu nebo z dočasných situací vyplývajících z běžných bankovních operací a které musí úvěrová instituce vyplatit.</w:t>
            </w:r>
            <w:r>
              <w:t xml:space="preserve"> </w:t>
            </w:r>
            <w:r>
              <w:rPr>
                <w:b/>
                <w:i/>
                <w:strike w:val="0"/>
                <w:color w:val="auto"/>
                <w:highlight w:val="none"/>
                <w:u w:val="none" w:color="auto"/>
                <w:vertAlign w:val="baseline"/>
              </w:rPr>
              <w:t>V této souvislosti by tržní infrastruktury DLT měly svým účastníkům výslovně sdělit, že nejsou chráněny podle příslušných ustanovení směrnice o systémech pojištění vkladů a směrnice o ozdravných postupech a řešení krize bank</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Na základě bodu 3.3.9 stanoviska ECB k DLT ze dne 28. dubna je v duchu posílených ustanovení o ochraně investorů, integritě trhu a finanční stabilitě nanejvýš důležité výslovně stanovit pro infrastruktury trhu distribuované účetní knihy povinnost zveřejňovat všechny případy, kdy systémy pojištění vkladů nemusí být účinné.</w:t>
      </w:r>
      <w:r>
        <w:t xml:space="preserve"> </w:t>
      </w:r>
      <w:r>
        <w:t>Editační poznámka.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4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Provozovatelé tržních infrastruktur DLT musí mít vypracován zvláštní postup pro případ provozních rizik, která s sebou nese používání DLT a kryptoaktiv, a pro jejich řešení, pokud by nastala.</w:t>
            </w:r>
          </w:p>
        </w:tc>
        <w:tc>
          <w:tcPr>
            <w:tcW w:w="4876" w:type="dxa"/>
            <w:vAlign w:val="top"/>
          </w:tcPr>
          <w:p>
            <w:pPr>
              <w:pStyle w:val="Normal6a"/>
            </w:pPr>
            <w:r>
              <w:t xml:space="preserve">Provozovatelé tržních infrastruktur DLT musí mít vypracován zvláštní postup </w:t>
            </w:r>
            <w:r>
              <w:rPr>
                <w:b/>
                <w:i/>
                <w:strike w:val="0"/>
                <w:color w:val="auto"/>
                <w:highlight w:val="none"/>
                <w:u w:val="none" w:color="auto"/>
                <w:vertAlign w:val="baseline"/>
              </w:rPr>
              <w:t>řízení rizik</w:t>
            </w:r>
            <w:r>
              <w:t xml:space="preserve"> pro případ provozních rizik, která s sebou nese používání DLT a kryptoaktiv, a pro jejich řešení, pokud by nastala.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Redakční poznámka pro objasnění.</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5 – pododstavec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Celková IT a kybernetická opatření uvedená v odstavci 4 zajistí, aby uvedené finanční prostředky, zajištění a převoditelné cenné papíry vedené na DLT, jakož i prostředky přístupu k těmto aktivům, byly chráněny před riziky neoprávněného přístupu, hackingu, znehodnocení, ztráty, kybernetického útoku nebo krádeže.</w:t>
            </w:r>
          </w:p>
        </w:tc>
        <w:tc>
          <w:tcPr>
            <w:tcW w:w="4876" w:type="dxa"/>
            <w:vAlign w:val="top"/>
          </w:tcPr>
          <w:p>
            <w:pPr>
              <w:pStyle w:val="Normal6a"/>
            </w:pPr>
            <w:r>
              <w:t>Celková IT a kybernetická opatření uvedená v odstavci 4 zajistí, aby uvedené finanční prostředky, zajištění a převoditelné cenné papíry vedené na DLT, jakož i prostředky přístupu k těmto aktivům, byly chráněny před riziky neoprávněného přístupu, hackingu, znehodnocení, ztráty, kybernetického útoku nebo krádeže</w:t>
            </w:r>
            <w:r>
              <w:rPr>
                <w:b/>
                <w:i/>
                <w:strike w:val="0"/>
                <w:color w:val="auto"/>
                <w:highlight w:val="none"/>
                <w:u w:val="none" w:color="auto"/>
                <w:vertAlign w:val="baseline"/>
              </w:rPr>
              <w:t>, podvodu zanedbání nebo jakéhokoli provozních vad</w:t>
            </w:r>
            <w:r>
              <w:t xml:space="preserve">. </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5 – pododstavec 3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Provozovatel infrastruktury trhu distribuované účetní knihy odpovídá svým klientům za veškeré ztráty finančních prostředků, kolaterálu a převoditelných cenných papírů distribuované účetní knihy nebo za prostředky přístupu k těmto aktivům v důsledku neoprávněného přístupu, hackerského útoku, znehodnocení, ztráty, podvodu, kybernetického útoku, krádeže, nedbalosti či jiného závažného selhání až do výše, která nepřesahuje tržní hodnotu ztracených aktiv.</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Provozovatel tržní infrastruktury DLT zavede transparentní a přiměřená opatření k zajištění ochrany investorů a poskytne klientům mechanismy pro vyřizování stížností a postupy pro odškodnění nebo nápravu v případech újmy pro investory v důsledku výše uvedených závažných poruch nebo ukončení činnosti v důsledku kterékoli z okolností uvedených v čl. 7 odst. 6 nebo případně v čl. 8 odst. 6.</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Provozovatel infrastruktury trhu distribuované účetní knihy musí mít zavedeny dostatečné obezřetnostní záruky ve formě kapitálu nebo pojištění proti jakékoli odpovědnosti vyplývající ze škod způsobených jeho klientům v důsledku některé z výše uvedených závažných poruch a musí zajistit ochranu investorů.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Provozovatel tržní infrastruktury DLT vypracuje jasnou, podrobnou a veřejně dostupnou strategii pro přechod z konkrétní tržní infrastruktury DLT nebo ukončení jejího provozování (dále jen „přechodová strategie“), připravenou k včasnému zavedení v případě, že mu povolení nebo některá z výjimek udělených v souladu s články 4 nebo 5 budou muset být odňaty nebo jinak zrušeny, nebo v případě dobrovolného nebo nedobrovolného ukončení činnosti </w:t>
            </w:r>
            <w:r>
              <w:rPr>
                <w:b/>
                <w:i/>
                <w:strike w:val="0"/>
                <w:color w:val="auto"/>
                <w:highlight w:val="none"/>
                <w:u w:val="none" w:color="auto"/>
                <w:vertAlign w:val="baseline"/>
              </w:rPr>
              <w:t>systému</w:t>
            </w:r>
            <w:r>
              <w:t xml:space="preserve"> DLT MTF nebo </w:t>
            </w:r>
            <w:r>
              <w:rPr>
                <w:b/>
                <w:i/>
                <w:strike w:val="0"/>
                <w:color w:val="auto"/>
                <w:highlight w:val="none"/>
                <w:u w:val="none" w:color="auto"/>
                <w:vertAlign w:val="baseline"/>
              </w:rPr>
              <w:t>systému vypořádání obchodů s cennými papíry vedenými na DLT</w:t>
            </w:r>
            <w:r>
              <w:t>. Přechodová strategie stanoví, jak se bude zacházet s členy, účastníky, emitenty a klienty v případě uvedeného odnětí nebo zrušení povolení nebo výjimky nebo ukončení činnosti. Přechodová strategie musí být průběžně aktualizována po předchozím souhlasu příslušného orgánu, který udělil povolení k provozu a související výjimky podle článku 4 a 5.</w:t>
            </w:r>
          </w:p>
        </w:tc>
        <w:tc>
          <w:tcPr>
            <w:tcW w:w="4876" w:type="dxa"/>
            <w:vAlign w:val="top"/>
          </w:tcPr>
          <w:p>
            <w:pPr>
              <w:pStyle w:val="Normal6a"/>
            </w:pPr>
            <w:r>
              <w:t>6.</w:t>
            </w:r>
            <w:r>
              <w:tab/>
            </w:r>
            <w:r>
              <w:t xml:space="preserve">Provozovatel tržní infrastruktury DLT vypracuje jasnou, podrobnou a veřejně dostupnou strategii pro přechod z konkrétní tržní infrastruktury DLT nebo ukončení jejího provozování (dále jen „přechodová strategie“), </w:t>
            </w:r>
            <w:r>
              <w:rPr>
                <w:b/>
                <w:i/>
                <w:strike w:val="0"/>
                <w:color w:val="auto"/>
                <w:highlight w:val="none"/>
                <w:u w:val="none" w:color="auto"/>
                <w:vertAlign w:val="baseline"/>
              </w:rPr>
              <w:t>včetně změny nebo zpětné změny jejich operací DLT na tradiční infrastrukturu,</w:t>
            </w:r>
            <w:r>
              <w:t xml:space="preserve"> připravenou k včasnému zavedení v případě, že mu povolení nebo některá z výjimek udělených v souladu s články 4 nebo 5 budou muset být odňaty nebo jinak zrušeny, nebo v případě dobrovolného nebo nedobrovolného ukončení činnosti </w:t>
            </w:r>
            <w:r>
              <w:rPr>
                <w:b/>
                <w:i/>
                <w:strike w:val="0"/>
                <w:color w:val="auto"/>
                <w:highlight w:val="none"/>
                <w:u w:val="none" w:color="auto"/>
                <w:vertAlign w:val="baseline"/>
              </w:rPr>
              <w:t>tržní infrastruktury</w:t>
            </w:r>
            <w:r>
              <w:t xml:space="preserve"> DLT MTF nebo </w:t>
            </w:r>
            <w:r>
              <w:rPr>
                <w:b/>
                <w:i/>
                <w:strike w:val="0"/>
                <w:color w:val="auto"/>
                <w:highlight w:val="none"/>
                <w:u w:val="none" w:color="auto"/>
                <w:vertAlign w:val="baseline"/>
              </w:rPr>
              <w:t>DLT SSS</w:t>
            </w:r>
            <w:r>
              <w:t>. Přechodová strategie stanoví, jak se bude zacházet s členy, účastníky, emitenty a klienty v případě uvedeného odnětí nebo zrušení povolení nebo výjimky nebo ukončení činnosti. Přechodová strategie musí být průběžně aktualizována po předchozím souhlasu příslušného orgánu, který udělil povolení k provozu a související výjimky podle článku 4 a 5.</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Editační poznámka.</w:t>
      </w:r>
      <w:r>
        <w:t xml:space="preserve"> </w:t>
      </w:r>
      <w:r>
        <w:t>V každém případě musí být tržní infrastruktury DLT připraveny vrátit se k tradičním tržním infrastrukturám, a to po jasné strategii pro ukončení činnosti/přechod.</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pododstavec 6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6a.</w:t>
            </w:r>
            <w:r>
              <w:tab/>
            </w:r>
            <w:r>
              <w:rPr>
                <w:b/>
                <w:i/>
                <w:strike w:val="0"/>
                <w:color w:val="auto"/>
                <w:highlight w:val="none"/>
                <w:u w:val="none" w:color="auto"/>
                <w:vertAlign w:val="baseline"/>
              </w:rPr>
              <w:t>Pokud je infrastruktura trhu distribuované účetní knihy oprávněna provozovat činnost s výjimkami v souladu s čl. 7 odst. 1a a čl. 8 odst. 1a a nepožádala o povolení podle směrnice 2014/65/EU nebo podle nařízení (EU) č. 909/2014, zahrnuje strategie přechodu zvláštní ujednání s centrálními depozitáři povolenými podle nařízení (EU) č. 909/2014 s cílem zajistit kontinuitu činnosti v nejlepším zájmu členů, účastníků, emitentů a zákazníků.</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Centrální depozitáře povolené podle nařízení (EU) č. 909/2014 nabízejí uzavření takových ujednání nediskriminačním způsobem za přiměřený obchodní poplatek založený na skutečných nákladech.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Antonio Maria Rinaldi</w:t>
      </w:r>
      <w:r>
        <w:t xml:space="preserve">, </w:t>
      </w:r>
      <w:r>
        <w:t>Francesca Donato</w:t>
      </w:r>
      <w:r>
        <w:t xml:space="preserve">, </w:t>
      </w:r>
      <w:r>
        <w:t>Valentino Grant</w:t>
      </w:r>
      <w:r>
        <w:t xml:space="preserve">, </w:t>
      </w:r>
      <w:r>
        <w:t>Marco Zanni</w:t>
      </w:r>
      <w:r>
        <w:t xml:space="preserve">, </w:t>
      </w:r>
      <w:r>
        <w:t>Gunnar Beck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pododstavec 6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6a.</w:t>
            </w:r>
            <w:r>
              <w:tab/>
            </w:r>
            <w:r>
              <w:rPr>
                <w:b/>
                <w:i/>
                <w:strike w:val="0"/>
                <w:color w:val="auto"/>
                <w:highlight w:val="none"/>
                <w:u w:val="none" w:color="auto"/>
                <w:vertAlign w:val="baseline"/>
              </w:rPr>
              <w:t>Pokud činnost související s provozem tržní infrastruktury DLT zahrnují zpracování osobních dat, musí býtt splněna alespoň jedna ze dvou podmínek uvedených v čl. 6 písm. b) nebo c) nařízení (EU) 2016/67.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Právnická osoba oprávněná působit jako investiční podnik nebo provozovat regulovaný trh podle směrnice 2014/65/EU může podle tohoto nařízení požádat o zvláštní povolení k provozování systému DLT MTF.</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 xml:space="preserve">Cílem změny je zajistit otevření pilotního režimu novým účastníkům. </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pododstavec 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Odchylně od odstavce 1 tohoto článku může každá právnická osoba, která není povolena jako investiční podnik v souladu se směrnicí 2014/65/EU, požádat o zvláštní povolení k provozování mnohostranného obchodního systému DLT v souladu s odstavcem 2 tohoto článku, pokud splňuje požadavky na povolení a všechny další povinnosti stanovené ve směrnici 2014/65/EU, kromě těch požadavků, od nichž byla žadateli udělena výjimka podle tohoto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pododstavec 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Pokud právnická osoba požádá organizátora trhu nebo investiční podnik o povolení podle směrnice 2014/65/EU a současně požádá o zvláštní povolení podle tohoto článku pouze za účelem provozování mnohostranného obchodního systému DLT, příslušný orgán neposoudí soulad s požadavky směrnice 2014/65/EU, pro něž žadatel požádal o výjimku podle článku 4 tohoto nařízení a byla mu udělena výjimka.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popřípadě informace o fungování </w:t>
            </w:r>
            <w:r>
              <w:rPr>
                <w:b/>
                <w:i/>
                <w:strike w:val="0"/>
                <w:color w:val="auto"/>
                <w:highlight w:val="none"/>
                <w:u w:val="none" w:color="auto"/>
                <w:vertAlign w:val="baseline"/>
              </w:rPr>
              <w:t>vlastní</w:t>
            </w:r>
            <w:r>
              <w:t xml:space="preserve"> DLT podle čl. 6 odst. 2;</w:t>
            </w:r>
          </w:p>
        </w:tc>
        <w:tc>
          <w:tcPr>
            <w:tcW w:w="4876" w:type="dxa"/>
            <w:vAlign w:val="top"/>
          </w:tcPr>
          <w:p>
            <w:pPr>
              <w:pStyle w:val="Normal6a"/>
            </w:pPr>
            <w:r>
              <w:t>c)</w:t>
            </w:r>
            <w:r>
              <w:tab/>
            </w:r>
            <w:r>
              <w:t xml:space="preserve">popřípadě informace o fungování </w:t>
            </w:r>
            <w:r>
              <w:rPr>
                <w:b/>
                <w:i/>
                <w:strike w:val="0"/>
                <w:color w:val="auto"/>
                <w:highlight w:val="none"/>
                <w:u w:val="none" w:color="auto"/>
                <w:vertAlign w:val="baseline"/>
              </w:rPr>
              <w:t>používané</w:t>
            </w:r>
            <w:r>
              <w:t xml:space="preserve"> DLT podle čl. 6 odst. 2;</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vypuštění je přijmout technologicky neutrálnější přístup a umožnit, aby infrastruktury trhu distribuované účetní knihy používaly také veřejné nebo konsorciální technologie distribuované účetní knihy, jak se v současnosti používají v mnoha pilotních projektech EU (např. vydávání dluhopisů na veřejné DLT Société Générale Forge).</w:t>
      </w:r>
      <w:r>
        <w:t xml:space="preserve"> </w:t>
      </w:r>
      <w:r>
        <w:t>Bez ohledu na použitou DLT by odpovědnost za fungování DLT měla zůstat na infrastruktuře trhu DLT.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popřípadě informace o fungování </w:t>
            </w:r>
            <w:r>
              <w:rPr>
                <w:b/>
                <w:i/>
                <w:strike w:val="0"/>
                <w:color w:val="auto"/>
                <w:highlight w:val="none"/>
                <w:u w:val="none" w:color="auto"/>
                <w:vertAlign w:val="baseline"/>
              </w:rPr>
              <w:t>vlastní</w:t>
            </w:r>
            <w:r>
              <w:t xml:space="preserve"> DLT podle čl. 6 odst. 2;</w:t>
            </w:r>
          </w:p>
        </w:tc>
        <w:tc>
          <w:tcPr>
            <w:tcW w:w="4876" w:type="dxa"/>
            <w:vAlign w:val="top"/>
          </w:tcPr>
          <w:p>
            <w:pPr>
              <w:pStyle w:val="Normal6a"/>
            </w:pPr>
            <w:r>
              <w:t>c)</w:t>
            </w:r>
            <w:r>
              <w:tab/>
            </w:r>
            <w:r>
              <w:t>popřípadě informace o fungování DLT podle čl. 6 odst. 2;</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písm. d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da)</w:t>
            </w:r>
            <w:r>
              <w:tab/>
            </w:r>
            <w:r>
              <w:rPr>
                <w:b/>
                <w:i/>
                <w:strike w:val="0"/>
                <w:color w:val="auto"/>
                <w:highlight w:val="none"/>
                <w:u w:val="none" w:color="auto"/>
                <w:vertAlign w:val="baseline"/>
              </w:rPr>
              <w:t>důkazy o tom, že žadatel má zavedeny dostatečné obezřetnostní záruky, aby mohl plnit své závazky a odškodnit své klienty v případě vážné poruchy DLT, jak je uvedeno v čl. 6 odst. 5b;</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písm. e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ea)</w:t>
            </w:r>
            <w:r>
              <w:tab/>
            </w:r>
            <w:r>
              <w:rPr>
                <w:b/>
                <w:i/>
                <w:strike w:val="0"/>
                <w:color w:val="auto"/>
                <w:highlight w:val="none"/>
                <w:u w:val="none" w:color="auto"/>
                <w:vertAlign w:val="baseline"/>
              </w:rPr>
              <w:t>popis opatření k zajištění ochrany investorů a mechanismů pro vyřizování stížností a odškodnění spotřebitelů, jak je uvedeno v článku 6a (novém);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400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písm. g</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g)</w:t>
            </w:r>
            <w:r>
              <w:tab/>
            </w:r>
            <w:r>
              <w:t>výjimky, které požaduje v souladu s článkem 4, odůvodnění každé požadované výjimky, veškerá navrhovaná kompenzační opatření, jakož i předpokládané prostředky pro splnění podmínek spojených s těmito výjimkami podle článku 4.</w:t>
            </w:r>
          </w:p>
        </w:tc>
        <w:tc>
          <w:tcPr>
            <w:tcW w:w="4876" w:type="dxa"/>
            <w:vAlign w:val="top"/>
          </w:tcPr>
          <w:p>
            <w:pPr>
              <w:pStyle w:val="Normal6a"/>
            </w:pPr>
            <w:r>
              <w:t>g)</w:t>
            </w:r>
            <w:r>
              <w:tab/>
            </w:r>
            <w:r>
              <w:t xml:space="preserve">výjimky, které požaduje v souladu s článkem 4, odůvodnění každé požadované výjimky, veškerá navrhovaná kompenzační </w:t>
            </w:r>
            <w:r>
              <w:rPr>
                <w:b/>
                <w:i/>
                <w:strike w:val="0"/>
                <w:color w:val="auto"/>
                <w:highlight w:val="none"/>
                <w:u w:val="none" w:color="auto"/>
                <w:vertAlign w:val="baseline"/>
              </w:rPr>
              <w:t>nebo nápravná</w:t>
            </w:r>
            <w:r>
              <w:t xml:space="preserve"> opatření, jakož i předpokládané prostředky pro splnění podmínek spojených s těmito výjimkami podle článku 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Editační poznámka.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401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Příslušný orgán domovského členského státu před rozhodnutím o žádosti o udělení zvláštního povolení k provozování systému DLT MTF podle tohoto nařízení oznámí a poskytne orgánu ESMA všechny příslušné informace o systému DLT MTF, vysvětlení požadovaných výjimek, jejich odůvodnění a informace o všech kompenzačních opatřeních navržených žadatelem nebo požadovaných příslušným orgánem.</w:t>
            </w:r>
          </w:p>
        </w:tc>
        <w:tc>
          <w:tcPr>
            <w:tcW w:w="4876" w:type="dxa"/>
            <w:vAlign w:val="top"/>
          </w:tcPr>
          <w:p>
            <w:pPr>
              <w:pStyle w:val="Normal6a"/>
            </w:pPr>
            <w:r>
              <w:t>3.</w:t>
            </w:r>
            <w:r>
              <w:tab/>
            </w:r>
            <w:r>
              <w:t xml:space="preserve">Příslušný orgán domovského členského státu před rozhodnutím o žádosti o udělení zvláštního povolení k provozování systému DLT MTF podle tohoto nařízení oznámí a poskytne orgánu ESMA všechny příslušné informace o systému DLT MTF, </w:t>
            </w:r>
            <w:r>
              <w:rPr>
                <w:b/>
                <w:i/>
                <w:strike w:val="0"/>
                <w:color w:val="auto"/>
                <w:highlight w:val="none"/>
                <w:u w:val="none" w:color="auto"/>
                <w:vertAlign w:val="baseline"/>
              </w:rPr>
              <w:t>v případě uplatnění ze strany úvěrové instituce, svému obezřetnostnímu dohledu, včetně ECB pro významnou úvěrovou instituci,</w:t>
            </w:r>
            <w:r>
              <w:t xml:space="preserve"> vysvětlení požadovaných výjimek, jejich odůvodnění a informace o všech kompenzačních </w:t>
            </w:r>
            <w:r>
              <w:rPr>
                <w:b/>
                <w:i/>
                <w:strike w:val="0"/>
                <w:color w:val="auto"/>
                <w:highlight w:val="none"/>
                <w:u w:val="none" w:color="auto"/>
                <w:vertAlign w:val="baseline"/>
              </w:rPr>
              <w:t>nebo nápravných</w:t>
            </w:r>
            <w:r>
              <w:t xml:space="preserve"> opatřeních navržených žadatelem nebo požadovaných příslušným orgánem. </w:t>
            </w:r>
            <w:r>
              <w:rPr>
                <w:b/>
                <w:i/>
                <w:strike w:val="0"/>
                <w:color w:val="auto"/>
                <w:highlight w:val="none"/>
                <w:u w:val="none" w:color="auto"/>
                <w:vertAlign w:val="baseline"/>
              </w:rPr>
              <w:t>Kromě toho, pokud žadatel hodlá poskytovat některou ze základních služeb uvedených v oddíle A přílohy nařízení (EU) č. 909/2014, předá příslušný orgán domovského členského státu před rozhodnutím o žádosti o zvláštní povolení k provozování mnohostranného obchodního systému DLT podle tohoto nařízení veškeré informace obsažené v žádosti příslušným orgánům uvedeným v článku 12 nařízení (EU) č. 909/2014 a konzultuje s těmito orgány charakteristiky vypořádacího systému provozovaného žadatelem.</w:t>
            </w:r>
            <w:r>
              <w:t xml:space="preserve"> </w:t>
            </w:r>
            <w:r>
              <w:rPr>
                <w:b/>
                <w:i/>
                <w:strike w:val="0"/>
                <w:color w:val="auto"/>
                <w:highlight w:val="none"/>
                <w:u w:val="none" w:color="auto"/>
                <w:vertAlign w:val="baseline"/>
              </w:rPr>
              <w:t>Každý dotčený orgán může o svém stanovisku informovat příslušný orgán do 3 měsíců od obdržení informací.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tohoto pozměňovacího návrhu je zohlednit návrh uvedený ve stanovisku ECB.</w:t>
      </w:r>
      <w:r>
        <w:t xml:space="preserve"> </w:t>
      </w:r>
      <w:r>
        <w:t xml:space="preserve">S ohledem na pravomoci příslušných vnitrostátních orgánů v oblasti obezřetnostního dohledu a ECB týkající se úvěrových institucí, by příslušné vnitrostátní orgány a ECB měly být informovány o procesu hodnocení. </w:t>
      </w:r>
      <w:r>
        <w:t xml:space="preserve"> </w:t>
      </w:r>
      <w:r>
        <w:t>Mimoto by poskytování hlavních služeb centrálního depozitáře ze strany provozovatele DLT MTF mělo vyžadovat hodnocení ze strany příslušných orgánů, včetně centrálních bank ESCB, v souladu s články 16 a 17 nařízení 909/2014.</w:t>
      </w:r>
      <w:r>
        <w:t xml:space="preserve"> </w:t>
      </w:r>
      <w:r>
        <w:t xml:space="preserve">Tento požadavek se výslovně řešení v rámci koncepce zavedení DLT TSS. </w:t>
      </w:r>
      <w:r>
        <w:t xml:space="preserve"> </w:t>
      </w:r>
      <w:r>
        <w:t xml:space="preserve">Je nicméně třeba ho dále upřesnit v tomto oddíle. </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402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Příslušný orgán domovského členského státu před rozhodnutím o žádosti o udělení zvláštního povolení k provozování systému DLT MTF podle tohoto nařízení oznámí a poskytne orgánu ESMA všechny příslušné informace o systému DLT MTF, vysvětlení požadovaných výjimek, jejich odůvodnění a informace o všech kompenzačních opatřeních navržených žadatelem nebo požadovaných příslušným orgánem.</w:t>
            </w:r>
          </w:p>
        </w:tc>
        <w:tc>
          <w:tcPr>
            <w:tcW w:w="4876" w:type="dxa"/>
            <w:vAlign w:val="top"/>
          </w:tcPr>
          <w:p>
            <w:pPr>
              <w:pStyle w:val="Normal6a"/>
            </w:pPr>
            <w:r>
              <w:t>3.</w:t>
            </w:r>
            <w:r>
              <w:tab/>
            </w:r>
            <w:r>
              <w:t xml:space="preserve">Příslušný orgán domovského členského státu před rozhodnutím o žádosti o udělení zvláštního povolení k provozování systému DLT MTF podle tohoto nařízení oznámí a poskytne orgánu ESMA všechny příslušné informace o systému DLT MTF, </w:t>
            </w:r>
            <w:r>
              <w:rPr>
                <w:b/>
                <w:i/>
                <w:strike w:val="0"/>
                <w:color w:val="auto"/>
                <w:highlight w:val="none"/>
                <w:u w:val="none" w:color="auto"/>
                <w:vertAlign w:val="baseline"/>
              </w:rPr>
              <w:t>v případě uplatnění ze strany úvěrové instituce, svému obezřetnostnímu dohledu, včetně ECB pro významnou úvěrovou instituci,</w:t>
            </w:r>
            <w:r>
              <w:t xml:space="preserve"> vysvětlení požadovaných výjimek, jejich odůvodnění a informace o všech kompenzačních opatřeních navržených žadatelem nebo požadovaných příslušným orgánem. </w:t>
            </w:r>
            <w:r>
              <w:rPr>
                <w:b/>
                <w:i/>
                <w:strike w:val="0"/>
                <w:color w:val="auto"/>
                <w:highlight w:val="none"/>
                <w:u w:val="none" w:color="auto"/>
                <w:vertAlign w:val="baseline"/>
              </w:rPr>
              <w:t>Kromě toho, pokud žadatel hodlá poskytovat některou ze základních služeb uvedených v oddíle A přílohy nařízení (EU) č. 909/2014, předá příslušný orgán domovského členského státu před rozhodnutím o žádosti o zvláštní povolení k provozování mnohostranného obchodního systému DLT podle tohoto nařízení veškeré informace obsažené v žádosti příslušným orgánům uvedeným v článku 12 nařízení (EU) č. 909/2014 a konzultuje s těmito orgány charakteristiky vypořádacího systému provozovaného žadatelem.</w:t>
            </w:r>
            <w:r>
              <w:t xml:space="preserve"> </w:t>
            </w:r>
            <w:r>
              <w:rPr>
                <w:b/>
                <w:i/>
                <w:strike w:val="0"/>
                <w:color w:val="auto"/>
                <w:highlight w:val="none"/>
                <w:u w:val="none" w:color="auto"/>
                <w:vertAlign w:val="baseline"/>
              </w:rPr>
              <w:t>Každý dotčený orgán může o svém stanovisku informovat příslušný orgán do 3 měsíců od obdržení informací.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Podle stanoviska ECB.</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403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rPr>
                <w:b/>
                <w:i/>
                <w:strike w:val="0"/>
                <w:color w:val="auto"/>
                <w:highlight w:val="none"/>
                <w:u w:val="none" w:color="auto"/>
                <w:vertAlign w:val="baseline"/>
              </w:rPr>
              <w:t>Příslušný orgán domovského členského státu před rozhodnutím</w:t>
            </w:r>
            <w:r>
              <w:t xml:space="preserve"> o žádosti o </w:t>
            </w:r>
            <w:r>
              <w:rPr>
                <w:b/>
                <w:i/>
                <w:strike w:val="0"/>
                <w:color w:val="auto"/>
                <w:highlight w:val="none"/>
                <w:u w:val="none" w:color="auto"/>
                <w:vertAlign w:val="baseline"/>
              </w:rPr>
              <w:t>udělení zvláštního</w:t>
            </w:r>
            <w:r>
              <w:t xml:space="preserve"> povolení k provozování systému DLT </w:t>
            </w:r>
            <w:r>
              <w:rPr>
                <w:b/>
                <w:i/>
                <w:strike w:val="0"/>
                <w:color w:val="auto"/>
                <w:highlight w:val="none"/>
                <w:u w:val="none" w:color="auto"/>
                <w:vertAlign w:val="baseline"/>
              </w:rPr>
              <w:t>MTF</w:t>
            </w:r>
            <w:r>
              <w:t xml:space="preserve"> podle tohoto nařízení </w:t>
            </w:r>
            <w:r>
              <w:rPr>
                <w:b/>
                <w:i/>
                <w:strike w:val="0"/>
                <w:color w:val="auto"/>
                <w:highlight w:val="none"/>
                <w:u w:val="none" w:color="auto"/>
                <w:vertAlign w:val="baseline"/>
              </w:rPr>
              <w:t>oznámí a poskytne orgánu ESMA všechny příslušné informace o systému DLT MTF, vysvětlení požadovaných výjimek, jejich odůvodnění a informace o všech kompenzačních opatřeních navržených žadatelem nebo požadovaných příslušným orgánem</w:t>
            </w:r>
            <w:r>
              <w:t>.</w:t>
            </w:r>
          </w:p>
        </w:tc>
        <w:tc>
          <w:tcPr>
            <w:tcW w:w="4876" w:type="dxa"/>
            <w:vAlign w:val="top"/>
          </w:tcPr>
          <w:p>
            <w:pPr>
              <w:pStyle w:val="Normal6a"/>
            </w:pPr>
            <w:r>
              <w:t>3.</w:t>
            </w:r>
            <w:r>
              <w:tab/>
            </w:r>
            <w:r>
              <w:rPr>
                <w:b/>
                <w:i/>
                <w:strike w:val="0"/>
                <w:color w:val="auto"/>
                <w:highlight w:val="none"/>
                <w:u w:val="none" w:color="auto"/>
                <w:vertAlign w:val="baseline"/>
              </w:rPr>
              <w:t>Před přijetím rozhodnutí</w:t>
            </w:r>
            <w:r>
              <w:t xml:space="preserve"> o žádosti o </w:t>
            </w:r>
            <w:r>
              <w:rPr>
                <w:b/>
                <w:i/>
                <w:strike w:val="0"/>
                <w:color w:val="auto"/>
                <w:highlight w:val="none"/>
                <w:u w:val="none" w:color="auto"/>
                <w:vertAlign w:val="baseline"/>
              </w:rPr>
              <w:t>zvláštní</w:t>
            </w:r>
            <w:r>
              <w:t xml:space="preserve"> povolení k provozování </w:t>
            </w:r>
            <w:r>
              <w:rPr>
                <w:b/>
                <w:i/>
                <w:strike w:val="0"/>
                <w:color w:val="auto"/>
                <w:highlight w:val="none"/>
                <w:u w:val="none" w:color="auto"/>
                <w:vertAlign w:val="baseline"/>
              </w:rPr>
              <w:t>mnohostranného obchodního</w:t>
            </w:r>
            <w:r>
              <w:t xml:space="preserve"> systému DLT podle tohoto nařízení </w:t>
            </w:r>
            <w:r>
              <w:rPr>
                <w:b/>
                <w:i/>
                <w:strike w:val="0"/>
                <w:color w:val="auto"/>
                <w:highlight w:val="none"/>
                <w:u w:val="none" w:color="auto"/>
                <w:vertAlign w:val="baseline"/>
              </w:rPr>
              <w:t>orgán ESMA uvědomí příslušný orgán domovského členského státu, a požádal-li MTF DLTT o povolení k zaznamenávání a vypořádání cenných papírů v souladu s čl. 4 odst. 2, oznámí to rovněž příslušným orgánům uvedeným v článku 12 nařízení (EU) č. 909/2014 a konzultuje s těmito orgány prvky vypořádacího systému provozovaného žadatelem</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404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Příslušný orgán domovského členského státu před rozhodnutím o žádosti o udělení zvláštního povolení k provozování systému DLT MTF podle tohoto nařízení oznámí a poskytne orgánu ESMA všechny příslušné informace o systému DLT MTF, vysvětlení požadovaných výjimek, jejich odůvodnění a informace o všech kompenzačních opatřeních navržených žadatelem nebo požadovaných příslušným orgánem.</w:t>
            </w:r>
          </w:p>
        </w:tc>
        <w:tc>
          <w:tcPr>
            <w:tcW w:w="4876" w:type="dxa"/>
            <w:vAlign w:val="top"/>
          </w:tcPr>
          <w:p>
            <w:pPr>
              <w:pStyle w:val="Normal6a"/>
            </w:pPr>
            <w:r>
              <w:t>3.</w:t>
            </w:r>
            <w:r>
              <w:tab/>
            </w:r>
            <w:r>
              <w:t xml:space="preserve">Příslušný orgán domovského členského státu před rozhodnutím o žádosti o udělení zvláštního povolení k provozování systému DLT MTF podle tohoto nařízení oznámí a poskytne orgánu ESMA všechny příslušné informace o systému DLT MTF, vysvětlení požadovaných výjimek, jejich odůvodnění a informace o všech kompenzačních </w:t>
            </w:r>
            <w:r>
              <w:rPr>
                <w:b/>
                <w:i/>
                <w:strike w:val="0"/>
                <w:color w:val="auto"/>
                <w:highlight w:val="none"/>
                <w:u w:val="none" w:color="auto"/>
                <w:vertAlign w:val="baseline"/>
              </w:rPr>
              <w:t>nebo nápravných</w:t>
            </w:r>
            <w:r>
              <w:t xml:space="preserve"> opatřeních navržených žadatelem nebo požadovaných příslušným orgánem.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Editační poznámka.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405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Christophe Hansen</w:t>
      </w:r>
      <w:r>
        <w:t xml:space="preserve">, </w:t>
      </w:r>
      <w:r>
        <w:t>Lídia Pereira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Příslušný orgán domovského členského státu </w:t>
            </w:r>
            <w:r>
              <w:rPr>
                <w:b/>
                <w:i/>
                <w:strike w:val="0"/>
                <w:color w:val="auto"/>
                <w:highlight w:val="none"/>
                <w:u w:val="none" w:color="auto"/>
                <w:vertAlign w:val="baseline"/>
              </w:rPr>
              <w:t>před rozhodnutím</w:t>
            </w:r>
            <w:r>
              <w:t xml:space="preserve"> o žádosti o </w:t>
            </w:r>
            <w:r>
              <w:rPr>
                <w:b/>
                <w:i/>
                <w:strike w:val="0"/>
                <w:color w:val="auto"/>
                <w:highlight w:val="none"/>
                <w:u w:val="none" w:color="auto"/>
                <w:vertAlign w:val="baseline"/>
              </w:rPr>
              <w:t>udělení zvláštního</w:t>
            </w:r>
            <w:r>
              <w:t xml:space="preserve"> povolení k provozování systému DLT </w:t>
            </w:r>
            <w:r>
              <w:rPr>
                <w:b/>
                <w:i/>
                <w:strike w:val="0"/>
                <w:color w:val="auto"/>
                <w:highlight w:val="none"/>
                <w:u w:val="none" w:color="auto"/>
                <w:vertAlign w:val="baseline"/>
              </w:rPr>
              <w:t>MTF</w:t>
            </w:r>
            <w:r>
              <w:t xml:space="preserve"> podle tohoto nařízení oznámí </w:t>
            </w:r>
            <w:r>
              <w:rPr>
                <w:b/>
                <w:i/>
                <w:strike w:val="0"/>
                <w:color w:val="auto"/>
                <w:highlight w:val="none"/>
                <w:u w:val="none" w:color="auto"/>
                <w:vertAlign w:val="baseline"/>
              </w:rPr>
              <w:t>a poskytne</w:t>
            </w:r>
            <w:r>
              <w:t xml:space="preserve"> orgánu ESMA </w:t>
            </w:r>
            <w:r>
              <w:rPr>
                <w:b/>
                <w:i/>
                <w:strike w:val="0"/>
                <w:color w:val="auto"/>
                <w:highlight w:val="none"/>
                <w:u w:val="none" w:color="auto"/>
                <w:vertAlign w:val="baseline"/>
              </w:rPr>
              <w:t>všechny příslušné informace o systému DLT MTF, vysvětlení požadovaných výjimek, jejich odůvodnění a informace o všech kompenzačních opatřeních navržených žadatelem nebo požadovaných příslušným orgánem</w:t>
            </w:r>
            <w:r>
              <w:t>.</w:t>
            </w:r>
          </w:p>
        </w:tc>
        <w:tc>
          <w:tcPr>
            <w:tcW w:w="4876" w:type="dxa"/>
            <w:vAlign w:val="top"/>
          </w:tcPr>
          <w:p>
            <w:pPr>
              <w:pStyle w:val="Normal6a"/>
            </w:pPr>
            <w:r>
              <w:t>3.</w:t>
            </w:r>
            <w:r>
              <w:tab/>
            </w:r>
            <w:r>
              <w:rPr>
                <w:b/>
                <w:i/>
                <w:strike w:val="0"/>
                <w:color w:val="auto"/>
                <w:highlight w:val="none"/>
                <w:u w:val="none" w:color="auto"/>
                <w:vertAlign w:val="baseline"/>
              </w:rPr>
              <w:t>Poté, co</w:t>
            </w:r>
            <w:r>
              <w:t xml:space="preserve"> příslušný orgán domovského členského státu </w:t>
            </w:r>
            <w:r>
              <w:rPr>
                <w:b/>
                <w:i/>
                <w:strike w:val="0"/>
                <w:color w:val="auto"/>
                <w:highlight w:val="none"/>
                <w:u w:val="none" w:color="auto"/>
                <w:vertAlign w:val="baseline"/>
              </w:rPr>
              <w:t>rozhodne</w:t>
            </w:r>
            <w:r>
              <w:t xml:space="preserve"> o žádosti o </w:t>
            </w:r>
            <w:r>
              <w:rPr>
                <w:b/>
                <w:i/>
                <w:strike w:val="0"/>
                <w:color w:val="auto"/>
                <w:highlight w:val="none"/>
                <w:u w:val="none" w:color="auto"/>
                <w:vertAlign w:val="baseline"/>
              </w:rPr>
              <w:t>zvláštní</w:t>
            </w:r>
            <w:r>
              <w:t xml:space="preserve"> povolení k provozování </w:t>
            </w:r>
            <w:r>
              <w:rPr>
                <w:b/>
                <w:i/>
                <w:strike w:val="0"/>
                <w:color w:val="auto"/>
                <w:highlight w:val="none"/>
                <w:u w:val="none" w:color="auto"/>
                <w:vertAlign w:val="baseline"/>
              </w:rPr>
              <w:t>mnohostranného obchodního</w:t>
            </w:r>
            <w:r>
              <w:t xml:space="preserve"> systému DLT podle tohoto nařízení</w:t>
            </w:r>
            <w:r>
              <w:rPr>
                <w:b/>
                <w:i/>
                <w:strike w:val="0"/>
                <w:color w:val="auto"/>
                <w:highlight w:val="none"/>
                <w:u w:val="none" w:color="auto"/>
                <w:vertAlign w:val="baseline"/>
              </w:rPr>
              <w:t>,</w:t>
            </w:r>
            <w:r>
              <w:t xml:space="preserve"> oznámí orgánu ESMA </w:t>
            </w:r>
            <w:r>
              <w:rPr>
                <w:b/>
                <w:i/>
                <w:strike w:val="0"/>
                <w:color w:val="auto"/>
                <w:highlight w:val="none"/>
                <w:u w:val="none" w:color="auto"/>
                <w:vertAlign w:val="baseline"/>
              </w:rPr>
              <w:t>žádost o provoz v mnohostranném obchodním systému DLT pro informační účely a za účelem splnění povinností stanovených v čl. 7 odst. 5 druhém pododstavci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406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3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Do tří měsíců poté, co </w:t>
            </w:r>
            <w:r>
              <w:rPr>
                <w:b/>
                <w:i/>
                <w:strike w:val="0"/>
                <w:color w:val="auto"/>
                <w:highlight w:val="none"/>
                <w:u w:val="none" w:color="auto"/>
                <w:vertAlign w:val="baseline"/>
              </w:rPr>
              <w:t>obdržel oznámení, předloží</w:t>
            </w:r>
            <w:r>
              <w:t xml:space="preserve"> orgán ESMA </w:t>
            </w:r>
            <w:r>
              <w:rPr>
                <w:b/>
                <w:i/>
                <w:strike w:val="0"/>
                <w:color w:val="auto"/>
                <w:highlight w:val="none"/>
                <w:u w:val="none" w:color="auto"/>
                <w:vertAlign w:val="baseline"/>
              </w:rPr>
              <w:t>příslušnému orgánu nezávazné stanovisko k</w:t>
            </w:r>
            <w:r>
              <w:t xml:space="preserve"> žádosti a </w:t>
            </w:r>
            <w:r>
              <w:rPr>
                <w:b/>
                <w:i/>
                <w:strike w:val="0"/>
                <w:color w:val="auto"/>
                <w:highlight w:val="none"/>
                <w:u w:val="none" w:color="auto"/>
                <w:vertAlign w:val="baseline"/>
              </w:rPr>
              <w:t>učiní</w:t>
            </w:r>
            <w:r>
              <w:t xml:space="preserve"> jakákoli </w:t>
            </w:r>
            <w:r>
              <w:rPr>
                <w:b/>
                <w:i/>
                <w:strike w:val="0"/>
                <w:color w:val="auto"/>
                <w:highlight w:val="none"/>
                <w:u w:val="none" w:color="auto"/>
                <w:vertAlign w:val="baseline"/>
              </w:rPr>
              <w:t>doporučení</w:t>
            </w:r>
            <w:r>
              <w:t xml:space="preserve"> ohledně žadatelem požadovaných výjimek, která jsou nezbytná pro zajištění ochrany investorů, integrity trhu a finanční stability. Orgán ESMA rovněž podporuje soudržnost a proporcionalitu výjimek udělených příslušnými orgány investičním podnikům nebo organizátorům trhu provozujícím systém DLT MTF v celé Unii.</w:t>
            </w:r>
            <w:r>
              <w:rPr>
                <w:b/>
                <w:i/>
                <w:strike w:val="0"/>
                <w:color w:val="auto"/>
                <w:highlight w:val="none"/>
                <w:u w:val="none" w:color="auto"/>
                <w:vertAlign w:val="baseline"/>
              </w:rPr>
              <w:t xml:space="preserve">  Za tímto účelem orgán ESMA včas konzultuje příslušné orgány ostatních členských států a ve svém stanovisku co nejvíce zohlední jejich názory.</w:t>
            </w:r>
          </w:p>
        </w:tc>
        <w:tc>
          <w:tcPr>
            <w:tcW w:w="4876" w:type="dxa"/>
            <w:vAlign w:val="top"/>
          </w:tcPr>
          <w:p>
            <w:pPr>
              <w:pStyle w:val="Normal6a"/>
            </w:pPr>
            <w:r>
              <w:t xml:space="preserve">Do tří měsíců poté, co </w:t>
            </w:r>
            <w:r>
              <w:rPr>
                <w:b/>
                <w:i/>
                <w:strike w:val="0"/>
                <w:color w:val="auto"/>
                <w:highlight w:val="none"/>
                <w:u w:val="none" w:color="auto"/>
                <w:vertAlign w:val="baseline"/>
              </w:rPr>
              <w:t>obdrží žádost,</w:t>
            </w:r>
            <w:r>
              <w:t xml:space="preserve"> orgán ESMA </w:t>
            </w:r>
            <w:r>
              <w:rPr>
                <w:b/>
                <w:i/>
                <w:strike w:val="0"/>
                <w:color w:val="auto"/>
                <w:highlight w:val="none"/>
                <w:u w:val="none" w:color="auto"/>
                <w:vertAlign w:val="baseline"/>
              </w:rPr>
              <w:t>a vydá rozhodnutí o</w:t>
            </w:r>
            <w:r>
              <w:t xml:space="preserve"> žádosti a </w:t>
            </w:r>
            <w:r>
              <w:rPr>
                <w:b/>
                <w:i/>
                <w:strike w:val="0"/>
                <w:color w:val="auto"/>
                <w:highlight w:val="none"/>
                <w:u w:val="none" w:color="auto"/>
                <w:vertAlign w:val="baseline"/>
              </w:rPr>
              <w:t>vyžádá</w:t>
            </w:r>
            <w:r>
              <w:t xml:space="preserve"> jakákoli </w:t>
            </w:r>
            <w:r>
              <w:rPr>
                <w:b/>
                <w:i/>
                <w:strike w:val="0"/>
                <w:color w:val="auto"/>
                <w:highlight w:val="none"/>
                <w:u w:val="none" w:color="auto"/>
                <w:vertAlign w:val="baseline"/>
              </w:rPr>
              <w:t>další nápravná opatření</w:t>
            </w:r>
            <w:r>
              <w:t xml:space="preserve"> ohledně žadatelem požadovaných výjimek, která jsou nezbytná pro zajištění ochrany investorů, integrity trhu a finanční stability. Orgán ESMA rovněž podporuje soudržnost a proporcionalitu výjimek udělených příslušnými orgány investičním podnikům nebo organizátorům trhu provozujícím systém DLT MTF v celé Unii.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Orgán ESMA by měl mít přímý mandát k dohledu nad uplatňováním tohoto pilotního režimu a udělováním povolení a výjimek.</w:t>
      </w:r>
      <w:r>
        <w:t xml:space="preserve"> </w:t>
      </w:r>
      <w:r>
        <w:t>Centralizace směrem k orgánu ESMA by zajistila jednotnost, účinnost dohledu a zabránila by hospodářské soutěži v oblasti dohledu a roztříštěnosti trhu.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407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3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Do tří měsíců poté, co obdržel oznámení, předloží orgán ESMA příslušnému orgánu </w:t>
            </w:r>
            <w:r>
              <w:rPr>
                <w:b/>
                <w:i/>
                <w:strike w:val="0"/>
                <w:color w:val="auto"/>
                <w:highlight w:val="none"/>
                <w:u w:val="none" w:color="auto"/>
                <w:vertAlign w:val="baseline"/>
              </w:rPr>
              <w:t>nezávazné stanovisko k žádosti</w:t>
            </w:r>
            <w:r>
              <w:t xml:space="preserve"> a učiní jakákoli doporučení ohledně žadatelem požadovaných výjimek, která jsou nezbytná pro zajištění ochrany investorů, integrity trhu a finanční stability. Orgán ESMA rovněž podporuje soudržnost a proporcionalitu výjimek udělených příslušnými orgány investičním podnikům nebo organizátorům trhu provozujícím systém DLT MTF v celé Unii.</w:t>
            </w:r>
            <w:r>
              <w:rPr>
                <w:b/>
                <w:i/>
                <w:strike w:val="0"/>
                <w:color w:val="auto"/>
                <w:highlight w:val="none"/>
                <w:u w:val="none" w:color="auto"/>
                <w:vertAlign w:val="baseline"/>
              </w:rPr>
              <w:t xml:space="preserve">  </w:t>
            </w:r>
            <w:r>
              <w:t xml:space="preserve">Za tímto účelem orgán ESMA včas konzultuje příslušné orgány ostatních členských států a ve svém </w:t>
            </w:r>
            <w:r>
              <w:rPr>
                <w:b/>
                <w:i/>
                <w:strike w:val="0"/>
                <w:color w:val="auto"/>
                <w:highlight w:val="none"/>
                <w:u w:val="none" w:color="auto"/>
                <w:vertAlign w:val="baseline"/>
              </w:rPr>
              <w:t>stanovisku</w:t>
            </w:r>
            <w:r>
              <w:t xml:space="preserve"> co nejvíce zohlední jejich </w:t>
            </w:r>
            <w:r>
              <w:rPr>
                <w:b/>
                <w:i/>
                <w:strike w:val="0"/>
                <w:color w:val="auto"/>
                <w:highlight w:val="none"/>
                <w:u w:val="none" w:color="auto"/>
                <w:vertAlign w:val="baseline"/>
              </w:rPr>
              <w:t>názory</w:t>
            </w:r>
            <w:r>
              <w:t>.</w:t>
            </w:r>
          </w:p>
        </w:tc>
        <w:tc>
          <w:tcPr>
            <w:tcW w:w="4876" w:type="dxa"/>
            <w:vAlign w:val="top"/>
          </w:tcPr>
          <w:p>
            <w:pPr>
              <w:pStyle w:val="Normal6a"/>
            </w:pPr>
            <w:r>
              <w:t xml:space="preserve">Do tří měsíců poté, co obdržel oznámení, předloží orgán ESMA příslušnému orgánu </w:t>
            </w:r>
            <w:r>
              <w:rPr>
                <w:b/>
                <w:i/>
                <w:strike w:val="0"/>
                <w:color w:val="auto"/>
                <w:highlight w:val="none"/>
                <w:u w:val="none" w:color="auto"/>
                <w:vertAlign w:val="baseline"/>
              </w:rPr>
              <w:t>ohledně této žádosti doporučení vydané v souladu s článkem 16 nařízení (EU) č. 1095/2010</w:t>
            </w:r>
            <w:r>
              <w:t xml:space="preserve"> a učiní jakákoli doporučení ohledně žadatelem požadovaných výjimek, která jsou nezbytná pro zajištění ochrany investorů, integrity trhu a finanční stability. Orgán ESMA rovněž podporuje soudržnost a proporcionalitu výjimek udělených příslušnými orgány investičním podnikům nebo organizátorům trhu provozujícím systém DLT MTF v celé Unii. Za tímto účelem orgán ESMA včas konzultuje příslušné orgány ostatních členských států a ve svém </w:t>
            </w:r>
            <w:r>
              <w:rPr>
                <w:b/>
                <w:i/>
                <w:strike w:val="0"/>
                <w:color w:val="auto"/>
                <w:highlight w:val="none"/>
                <w:u w:val="none" w:color="auto"/>
                <w:vertAlign w:val="baseline"/>
              </w:rPr>
              <w:t>doporučení</w:t>
            </w:r>
            <w:r>
              <w:t xml:space="preserve"> co nejvíce zohlední jejich </w:t>
            </w:r>
            <w:r>
              <w:rPr>
                <w:b/>
                <w:i/>
                <w:strike w:val="0"/>
                <w:color w:val="auto"/>
                <w:highlight w:val="none"/>
                <w:u w:val="none" w:color="auto"/>
                <w:vertAlign w:val="baseline"/>
              </w:rPr>
              <w:t>doporučení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S cílem zajistit sbližování dohledu, soudržnost a přiměřenost výjimek udělených podle tohoto nařízení různými příslušnými vnitrostátními orgány v celé Unii, které nemusí sdílet stejnou úroveň technologických vědomostí, a tím podpořit rovné podmínky a odrazovat od regulatorní arbitráže, se vyžádá orgán ESMA vydal doporučení namísto nezávazného stanoviska.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408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Markus Ferber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3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Do tří měsíců poté, co obdržel oznámení, předloží orgán ESMA příslušnému orgánu </w:t>
            </w:r>
            <w:r>
              <w:rPr>
                <w:b/>
                <w:i/>
                <w:strike w:val="0"/>
                <w:color w:val="auto"/>
                <w:highlight w:val="none"/>
                <w:u w:val="none" w:color="auto"/>
                <w:vertAlign w:val="baseline"/>
              </w:rPr>
              <w:t>nezávazné</w:t>
            </w:r>
            <w:r>
              <w:t xml:space="preserve"> stanovisko k žádosti a učiní jakákoli doporučení ohledně žadatelem požadovaných výjimek, která jsou nezbytná pro zajištění ochrany investorů, integrity trhu a finanční stability. Orgán ESMA rovněž </w:t>
            </w:r>
            <w:r>
              <w:rPr>
                <w:b/>
                <w:i/>
                <w:strike w:val="0"/>
                <w:color w:val="auto"/>
                <w:highlight w:val="none"/>
                <w:u w:val="none" w:color="auto"/>
                <w:vertAlign w:val="baseline"/>
              </w:rPr>
              <w:t>podporuje</w:t>
            </w:r>
            <w:r>
              <w:t xml:space="preserve"> soudržnost a proporcionalitu výjimek udělených příslušnými orgány investičním podnikům nebo organizátorům trhu provozujícím systém DLT MTF v celé Unii.</w:t>
            </w:r>
            <w:r>
              <w:rPr>
                <w:b/>
                <w:i/>
                <w:strike w:val="0"/>
                <w:color w:val="auto"/>
                <w:highlight w:val="none"/>
                <w:u w:val="none" w:color="auto"/>
                <w:vertAlign w:val="baseline"/>
              </w:rPr>
              <w:t xml:space="preserve">  </w:t>
            </w:r>
            <w:r>
              <w:t>Za tímto účelem orgán ESMA včas konzultuje příslušné orgány ostatních členských států a ve svém stanovisku co nejvíce zohlední jejich názory.</w:t>
            </w:r>
          </w:p>
        </w:tc>
        <w:tc>
          <w:tcPr>
            <w:tcW w:w="4876" w:type="dxa"/>
            <w:vAlign w:val="top"/>
          </w:tcPr>
          <w:p>
            <w:pPr>
              <w:pStyle w:val="Normal6a"/>
            </w:pPr>
            <w:r>
              <w:t xml:space="preserve">Do tří měsíců poté, co obdržel oznámení, předloží orgán ESMA příslušnému orgánu </w:t>
            </w:r>
            <w:r>
              <w:rPr>
                <w:b/>
                <w:i/>
                <w:strike w:val="0"/>
                <w:color w:val="auto"/>
                <w:highlight w:val="none"/>
                <w:u w:val="none" w:color="auto"/>
                <w:vertAlign w:val="baseline"/>
              </w:rPr>
              <w:t>závazné</w:t>
            </w:r>
            <w:r>
              <w:t xml:space="preserve"> stanovisko k žádosti a učiní jakákoli doporučení ohledně žadatelem požadovaných výjimek, která jsou nezbytná pro zajištění ochrany investorů, integrity trhu a finanční stability. Orgán ESMA rovněž </w:t>
            </w:r>
            <w:r>
              <w:rPr>
                <w:b/>
                <w:i/>
                <w:strike w:val="0"/>
                <w:color w:val="auto"/>
                <w:highlight w:val="none"/>
                <w:u w:val="none" w:color="auto"/>
                <w:vertAlign w:val="baseline"/>
              </w:rPr>
              <w:t>zajišťuje</w:t>
            </w:r>
            <w:r>
              <w:t xml:space="preserve"> soudržnost a proporcionalitu výjimek udělených příslušnými orgány investičním podnikům nebo organizátorům trhu provozujícím systém DLT MTF v celé Unii. Za tímto účelem orgán ESMA včas konzultuje příslušné orgány ostatních členských států a ve svém stanovisku co nejvíce zohlední jejich názory.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Aby se zajistilo jednotné uplatňování pravidel pilotního projektu a zabránilo se regulatorní arbitráži, mělo by být stanovisko orgánu ESMA, zda bude provozovat infrastrukturu trhu distribuované účetní knihy, závazné.</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409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3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Do tří měsíců poté, co obdržel oznámení, předloží orgán ESMA příslušnému orgánu nezávazné stanovisko k žádosti a učiní jakákoli doporučení ohledně žadatelem požadovaných výjimek, která jsou nezbytná pro zajištění ochrany investorů, integrity trhu a finanční stability. Orgán ESMA rovněž podporuje soudržnost a proporcionalitu výjimek udělených příslušnými orgány </w:t>
            </w:r>
            <w:r>
              <w:rPr>
                <w:b/>
                <w:i/>
                <w:strike w:val="0"/>
                <w:color w:val="auto"/>
                <w:highlight w:val="none"/>
                <w:u w:val="none" w:color="auto"/>
                <w:vertAlign w:val="baseline"/>
              </w:rPr>
              <w:t>investičním podnikům nebo organizátorům trhu</w:t>
            </w:r>
            <w:r>
              <w:t xml:space="preserve"> provozujícím systém DLT MTF v celé Unii.</w:t>
            </w:r>
            <w:r>
              <w:rPr>
                <w:b/>
                <w:i/>
                <w:strike w:val="0"/>
                <w:color w:val="auto"/>
                <w:highlight w:val="none"/>
                <w:u w:val="none" w:color="auto"/>
                <w:vertAlign w:val="baseline"/>
              </w:rPr>
              <w:t xml:space="preserve">  </w:t>
            </w:r>
            <w:r>
              <w:t>Za tímto účelem orgán ESMA včas konzultuje příslušné orgány ostatních členských států a ve svém stanovisku co nejvíce zohlední jejich názory.</w:t>
            </w:r>
          </w:p>
        </w:tc>
        <w:tc>
          <w:tcPr>
            <w:tcW w:w="4876" w:type="dxa"/>
            <w:vAlign w:val="top"/>
          </w:tcPr>
          <w:p>
            <w:pPr>
              <w:pStyle w:val="Normal6a"/>
            </w:pPr>
            <w:r>
              <w:t xml:space="preserve">Do tří měsíců poté, co obdržel oznámení, předloží orgán ESMA příslušnému orgánu nezávazné stanovisko k žádosti a učiní jakákoli doporučení ohledně žadatelem požadovaných výjimek, která jsou nezbytná pro zajištění ochrany investorů, integrity trhu a finanční stability. Orgán ESMA rovněž podporuje soudržnost a proporcionalitu výjimek udělených příslušnými orgány </w:t>
            </w:r>
            <w:r>
              <w:rPr>
                <w:b/>
                <w:i/>
                <w:strike w:val="0"/>
                <w:color w:val="auto"/>
                <w:highlight w:val="none"/>
                <w:u w:val="none" w:color="auto"/>
                <w:vertAlign w:val="baseline"/>
              </w:rPr>
              <w:t>subjektům</w:t>
            </w:r>
            <w:r>
              <w:t xml:space="preserve"> provozujícím systém DLT MTF v celé Unii. Za tímto účelem orgán ESMA včas konzultuje příslušné orgány ostatních členských států a ve svém stanovisku co nejvíce zohlední jejich názory.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410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3 – pododstavec 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S cílem zavést jednotné, účinné a efektivní postupy dohledu a zajistit společné, jednotné a jednotné uplatňování práva Unie může orgán ESMA na základě relevantních zkušeností příslušných orgánů a nezávazných stanovisek orgánu ESMA přijmout obecné pokyny, v nichž blíže upřesní podmínky pro udělování výjimek a vyžadování kompenzačních opatření.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Kromě nezávazných stanovisek může orgán ESMA přijmout další pokyny ve formě pokynů.</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411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5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Zvláštní povolení k provozování systému DLT MTF udělené </w:t>
            </w:r>
            <w:r>
              <w:rPr>
                <w:b/>
                <w:i/>
                <w:strike w:val="0"/>
                <w:color w:val="auto"/>
                <w:highlight w:val="none"/>
                <w:u w:val="none" w:color="auto"/>
                <w:vertAlign w:val="baseline"/>
              </w:rPr>
              <w:t>investičnímu podniku nebo organizátorovi trhu</w:t>
            </w:r>
            <w:r>
              <w:t xml:space="preserve"> platí v celé Unii po dobu maximálně šesti let od data udělení. V povolení jsou uvedeny výjimky udělené v souladu s článkem 4.</w:t>
            </w:r>
          </w:p>
        </w:tc>
        <w:tc>
          <w:tcPr>
            <w:tcW w:w="4876" w:type="dxa"/>
            <w:vAlign w:val="top"/>
          </w:tcPr>
          <w:p>
            <w:pPr>
              <w:pStyle w:val="Normal6a"/>
            </w:pPr>
            <w:r>
              <w:t>5.</w:t>
            </w:r>
            <w:r>
              <w:tab/>
            </w:r>
            <w:r>
              <w:t xml:space="preserve">Zvláštní povolení k provozování systému DLT MTF udělené </w:t>
            </w:r>
            <w:r>
              <w:rPr>
                <w:b/>
                <w:i/>
                <w:strike w:val="0"/>
                <w:color w:val="auto"/>
                <w:highlight w:val="none"/>
                <w:u w:val="none" w:color="auto"/>
                <w:vertAlign w:val="baseline"/>
              </w:rPr>
              <w:t>subjektu</w:t>
            </w:r>
            <w:r>
              <w:t xml:space="preserve"> platí v celé Unii po dobu maximálně šesti let od data udělení. V povolení jsou uvedeny výjimky udělené v souladu s článkem 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412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5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Zvláštní povolení k provozování systému DLT MTF udělené investičnímu podniku nebo organizátorovi trhu platí v celé Unii po dobu maximálně </w:t>
            </w:r>
            <w:r>
              <w:rPr>
                <w:b/>
                <w:i/>
                <w:strike w:val="0"/>
                <w:color w:val="auto"/>
                <w:highlight w:val="none"/>
                <w:u w:val="none" w:color="auto"/>
                <w:vertAlign w:val="baseline"/>
              </w:rPr>
              <w:t>šesti</w:t>
            </w:r>
            <w:r>
              <w:t xml:space="preserve"> let od data udělení. V povolení jsou uvedeny výjimky udělené v souladu s článkem 4.</w:t>
            </w:r>
          </w:p>
        </w:tc>
        <w:tc>
          <w:tcPr>
            <w:tcW w:w="4876" w:type="dxa"/>
            <w:vAlign w:val="top"/>
          </w:tcPr>
          <w:p>
            <w:pPr>
              <w:pStyle w:val="Normal6a"/>
            </w:pPr>
            <w:r>
              <w:t>5.</w:t>
            </w:r>
            <w:r>
              <w:tab/>
            </w:r>
            <w:r>
              <w:t xml:space="preserve">Zvláštní povolení k provozování systému DLT MTF udělené investičnímu podniku nebo organizátorovi trhu platí v celé Unii po dobu maximálně </w:t>
            </w:r>
            <w:r>
              <w:rPr>
                <w:b/>
                <w:i/>
                <w:strike w:val="0"/>
                <w:color w:val="auto"/>
                <w:highlight w:val="none"/>
                <w:u w:val="none" w:color="auto"/>
                <w:vertAlign w:val="baseline"/>
              </w:rPr>
              <w:t>čtyř</w:t>
            </w:r>
            <w:r>
              <w:t xml:space="preserve"> let od data udělení. V povolení jsou uvedeny výjimky udělené v souladu s článkem 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413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5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Orgán ESMA zveřejní na svých internetových stránkách seznam systémů </w:t>
            </w:r>
            <w:r>
              <w:rPr>
                <w:b/>
                <w:i/>
                <w:strike w:val="0"/>
                <w:color w:val="auto"/>
                <w:highlight w:val="none"/>
                <w:u w:val="none" w:color="auto"/>
                <w:vertAlign w:val="baseline"/>
              </w:rPr>
              <w:t>DLT MTF, počáteční a konečné datum platnosti</w:t>
            </w:r>
            <w:r>
              <w:t xml:space="preserve"> jejich zvláštních povolení a seznam výjimek udělených </w:t>
            </w:r>
            <w:r>
              <w:rPr>
                <w:b/>
                <w:i/>
                <w:strike w:val="0"/>
                <w:color w:val="auto"/>
                <w:highlight w:val="none"/>
                <w:u w:val="none" w:color="auto"/>
                <w:vertAlign w:val="baseline"/>
              </w:rPr>
              <w:t>jednotlivým systémům</w:t>
            </w:r>
            <w:r>
              <w:t>.</w:t>
            </w:r>
          </w:p>
        </w:tc>
        <w:tc>
          <w:tcPr>
            <w:tcW w:w="4876" w:type="dxa"/>
            <w:vAlign w:val="top"/>
          </w:tcPr>
          <w:p>
            <w:pPr>
              <w:pStyle w:val="Normal6a"/>
            </w:pPr>
            <w:r>
              <w:t>Orgán ESMA zveřejní na svých internetových stránkách</w:t>
            </w:r>
            <w:r>
              <w:rPr>
                <w:b/>
                <w:i/>
                <w:strike w:val="0"/>
                <w:color w:val="auto"/>
                <w:highlight w:val="none"/>
                <w:u w:val="none" w:color="auto"/>
                <w:vertAlign w:val="baseline"/>
              </w:rPr>
              <w:t xml:space="preserve"> a)</w:t>
            </w:r>
            <w:r>
              <w:t xml:space="preserve"> seznam </w:t>
            </w:r>
            <w:r>
              <w:rPr>
                <w:b/>
                <w:i/>
                <w:strike w:val="0"/>
                <w:color w:val="auto"/>
                <w:highlight w:val="none"/>
                <w:u w:val="none" w:color="auto"/>
                <w:vertAlign w:val="baseline"/>
              </w:rPr>
              <w:t>mnohostranných obchodních</w:t>
            </w:r>
            <w:r>
              <w:t xml:space="preserve"> systémů </w:t>
            </w:r>
            <w:r>
              <w:rPr>
                <w:b/>
                <w:i/>
                <w:strike w:val="0"/>
                <w:color w:val="auto"/>
                <w:highlight w:val="none"/>
                <w:u w:val="none" w:color="auto"/>
                <w:vertAlign w:val="baseline"/>
              </w:rPr>
              <w:t>distribuované účetní knihy, datum zahájení a ukončení</w:t>
            </w:r>
            <w:r>
              <w:t xml:space="preserve"> jejich zvláštních povolení a seznam výjimek udělených </w:t>
            </w:r>
            <w:r>
              <w:rPr>
                <w:b/>
                <w:i/>
                <w:strike w:val="0"/>
                <w:color w:val="auto"/>
                <w:highlight w:val="none"/>
                <w:u w:val="none" w:color="auto"/>
                <w:vertAlign w:val="baseline"/>
              </w:rPr>
              <w:t>každému z nich a b) celkový počet žádostí o výjimky, které byly podány podle tohoto nařízení, s uvedením počtu přijatých nebo zamítnutých výjimek spolu s příslušnými odůvodněními, a to anonymně</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V zájmu zajištění transparentnosti a jednotnosti by měly být zveřejněny žádosti o povolení a výjimky, jakož i příslušná odůvodněná rozhodnutí.</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414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Jonás Fernández</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5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Orgán ESMA zveřejní na svých internetových stránkách seznam systémů DLT MTF, počáteční a konečné datum platnosti jejich zvláštních povolení a seznam výjimek udělených jednotlivým systémům.</w:t>
            </w:r>
          </w:p>
        </w:tc>
        <w:tc>
          <w:tcPr>
            <w:tcW w:w="4876" w:type="dxa"/>
            <w:vAlign w:val="top"/>
          </w:tcPr>
          <w:p>
            <w:pPr>
              <w:pStyle w:val="Normal6a"/>
            </w:pPr>
            <w:r>
              <w:t xml:space="preserve">Orgán ESMA zveřejní na svých internetových stránkách seznam systémů DLT MTF, počáteční a konečné datum platnosti jejich zvláštních povolení a seznam výjimek udělených jednotlivým systémům. </w:t>
            </w:r>
            <w:r>
              <w:rPr>
                <w:b/>
                <w:i/>
                <w:strike w:val="0"/>
                <w:color w:val="auto"/>
                <w:highlight w:val="none"/>
                <w:u w:val="none" w:color="auto"/>
                <w:vertAlign w:val="baseline"/>
              </w:rPr>
              <w:t>Orgán ESMA dále na svých internetových stránkách zveřejní všechny žádosti o výjimky, které byly podány podle tohoto nařízení, a v každém případě uvede, zda orgán ESMA doporučil, aby byla výjimka schválena, nebo zamítnuta.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415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6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Aniž jsou dotčeny články 8 a 44 směrnice 2014/65/EU, příslušný orgán, který udělil zvláštní </w:t>
            </w:r>
            <w:r>
              <w:rPr>
                <w:b/>
                <w:i/>
                <w:strike w:val="0"/>
                <w:color w:val="auto"/>
                <w:highlight w:val="none"/>
                <w:u w:val="none" w:color="auto"/>
                <w:vertAlign w:val="baseline"/>
              </w:rPr>
              <w:t>povolení</w:t>
            </w:r>
            <w:r>
              <w:t xml:space="preserve"> podle tohoto nařízení, toto povolení nebo </w:t>
            </w:r>
            <w:r>
              <w:rPr>
                <w:b/>
                <w:i/>
                <w:strike w:val="0"/>
                <w:color w:val="auto"/>
                <w:highlight w:val="none"/>
                <w:u w:val="none" w:color="auto"/>
                <w:vertAlign w:val="baseline"/>
              </w:rPr>
              <w:t>kteroukoli z udělených výjimek</w:t>
            </w:r>
            <w:r>
              <w:t xml:space="preserve"> po konzultaci s orgánem ESMA v souladu s odstavcem 3 </w:t>
            </w:r>
            <w:r>
              <w:rPr>
                <w:b/>
                <w:i/>
                <w:strike w:val="0"/>
                <w:color w:val="auto"/>
                <w:highlight w:val="none"/>
                <w:u w:val="none" w:color="auto"/>
                <w:vertAlign w:val="baseline"/>
              </w:rPr>
              <w:t>odejme</w:t>
            </w:r>
            <w:r>
              <w:t>, pokud:</w:t>
            </w:r>
          </w:p>
        </w:tc>
        <w:tc>
          <w:tcPr>
            <w:tcW w:w="4876" w:type="dxa"/>
            <w:vAlign w:val="top"/>
          </w:tcPr>
          <w:p>
            <w:pPr>
              <w:pStyle w:val="Normal6a"/>
            </w:pPr>
            <w:r>
              <w:t>6.</w:t>
            </w:r>
            <w:r>
              <w:tab/>
            </w:r>
            <w:r>
              <w:t xml:space="preserve">Aniž jsou dotčeny články 8 a 44 směrnice 2014/65/EU, příslušný orgán, který udělil zvláštní </w:t>
            </w:r>
            <w:r>
              <w:rPr>
                <w:b/>
                <w:i/>
                <w:strike w:val="0"/>
                <w:color w:val="auto"/>
                <w:highlight w:val="none"/>
                <w:u w:val="none" w:color="auto"/>
                <w:vertAlign w:val="baseline"/>
              </w:rPr>
              <w:t>svolení</w:t>
            </w:r>
            <w:r>
              <w:t xml:space="preserve"> podle tohoto nařízení, toto povolení nebo </w:t>
            </w:r>
            <w:r>
              <w:rPr>
                <w:b/>
                <w:i/>
                <w:strike w:val="0"/>
                <w:color w:val="auto"/>
                <w:highlight w:val="none"/>
                <w:u w:val="none" w:color="auto"/>
                <w:vertAlign w:val="baseline"/>
              </w:rPr>
              <w:t>jakoukoli udělenou výjimku zruší</w:t>
            </w:r>
            <w:r>
              <w:t xml:space="preserve"> po konzultaci s orgánem ESMA </w:t>
            </w:r>
            <w:r>
              <w:rPr>
                <w:b/>
                <w:i/>
                <w:strike w:val="0"/>
                <w:color w:val="auto"/>
                <w:highlight w:val="none"/>
                <w:u w:val="none" w:color="auto"/>
                <w:vertAlign w:val="baseline"/>
              </w:rPr>
              <w:t>a informuje relevantní orgány uvedené v článku 12 nařízení (EU) č. 909/2014 a v případě zvláštního povolení uděleného úvěrové instituci obezřetnostní orgán dohledu nad významnými úvěrovými institucemi, včetně ECB,</w:t>
            </w:r>
            <w:r>
              <w:t xml:space="preserve"> v souladu s odstavcem 3, pokud </w:t>
            </w:r>
            <w:r>
              <w:rPr>
                <w:b/>
                <w:i/>
                <w:strike w:val="0"/>
                <w:color w:val="auto"/>
                <w:highlight w:val="none"/>
                <w:u w:val="none" w:color="auto"/>
                <w:vertAlign w:val="baseline"/>
              </w:rPr>
              <w:t>došlo k některé z těchto skutečností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Podle stanoviska ECB.</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416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6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Aniž jsou dotčeny články 8 a 44 směrnice 2014/65/EU, příslušný orgán, který udělil zvláštní </w:t>
            </w:r>
            <w:r>
              <w:rPr>
                <w:b/>
                <w:i/>
                <w:strike w:val="0"/>
                <w:color w:val="auto"/>
                <w:highlight w:val="none"/>
                <w:u w:val="none" w:color="auto"/>
                <w:vertAlign w:val="baseline"/>
              </w:rPr>
              <w:t>povolení</w:t>
            </w:r>
            <w:r>
              <w:t xml:space="preserve"> podle tohoto nařízení, toto povolení nebo </w:t>
            </w:r>
            <w:r>
              <w:rPr>
                <w:b/>
                <w:i/>
                <w:strike w:val="0"/>
                <w:color w:val="auto"/>
                <w:highlight w:val="none"/>
                <w:u w:val="none" w:color="auto"/>
                <w:vertAlign w:val="baseline"/>
              </w:rPr>
              <w:t>kteroukoli z udělených výjimek</w:t>
            </w:r>
            <w:r>
              <w:t xml:space="preserve"> po konzultaci s orgánem ESMA v souladu s odstavcem 3 </w:t>
            </w:r>
            <w:r>
              <w:rPr>
                <w:b/>
                <w:i/>
                <w:strike w:val="0"/>
                <w:color w:val="auto"/>
                <w:highlight w:val="none"/>
                <w:u w:val="none" w:color="auto"/>
                <w:vertAlign w:val="baseline"/>
              </w:rPr>
              <w:t>odejme</w:t>
            </w:r>
            <w:r>
              <w:t>, pokud:</w:t>
            </w:r>
          </w:p>
        </w:tc>
        <w:tc>
          <w:tcPr>
            <w:tcW w:w="4876" w:type="dxa"/>
            <w:vAlign w:val="top"/>
          </w:tcPr>
          <w:p>
            <w:pPr>
              <w:pStyle w:val="Normal6a"/>
            </w:pPr>
            <w:r>
              <w:t>6.</w:t>
            </w:r>
            <w:r>
              <w:tab/>
            </w:r>
            <w:r>
              <w:t xml:space="preserve">Aniž jsou dotčeny články 8 a 44 směrnice 2014/65/EU, příslušný orgán, který udělil zvláštní </w:t>
            </w:r>
            <w:r>
              <w:rPr>
                <w:b/>
                <w:i/>
                <w:strike w:val="0"/>
                <w:color w:val="auto"/>
                <w:highlight w:val="none"/>
                <w:u w:val="none" w:color="auto"/>
                <w:vertAlign w:val="baseline"/>
              </w:rPr>
              <w:t>svolení</w:t>
            </w:r>
            <w:r>
              <w:t xml:space="preserve"> podle tohoto nařízení, toto povolení nebo </w:t>
            </w:r>
            <w:r>
              <w:rPr>
                <w:b/>
                <w:i/>
                <w:strike w:val="0"/>
                <w:color w:val="auto"/>
                <w:highlight w:val="none"/>
                <w:u w:val="none" w:color="auto"/>
                <w:vertAlign w:val="baseline"/>
              </w:rPr>
              <w:t>jakoukoli udělenou výjimku zruší</w:t>
            </w:r>
            <w:r>
              <w:t xml:space="preserve"> po konzultaci s orgánem ESMA </w:t>
            </w:r>
            <w:r>
              <w:rPr>
                <w:b/>
                <w:i/>
                <w:strike w:val="0"/>
                <w:color w:val="auto"/>
                <w:highlight w:val="none"/>
                <w:u w:val="none" w:color="auto"/>
                <w:vertAlign w:val="baseline"/>
              </w:rPr>
              <w:t>a informuje relevantní orgány uvedené v článku 12 nařízení (EU) č. 909/2014 a v případě zvláštního povolení uděleného úvěrové instituci obezřetnostní orgán dohledu nad významnými úvěrovými institucemi, včetně ECB,</w:t>
            </w:r>
            <w:r>
              <w:t xml:space="preserve"> v souladu s odstavcem 3, pokud </w:t>
            </w:r>
            <w:r>
              <w:rPr>
                <w:b/>
                <w:i/>
                <w:strike w:val="0"/>
                <w:color w:val="auto"/>
                <w:highlight w:val="none"/>
                <w:u w:val="none" w:color="auto"/>
                <w:vertAlign w:val="baseline"/>
              </w:rPr>
              <w:t>došlo k některé z těchto skutečností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tohoto pozměňovacího návrhu je zohlednit návrh uvedený ve stanovisku ECB.</w:t>
      </w:r>
      <w:r>
        <w:t xml:space="preserve"> </w:t>
      </w:r>
      <w:r>
        <w:t xml:space="preserve">S ohledem na pravomoci příslušných vnitrostátních orgánů v oblasti obezřetnostního dohledu a ECB týkající se úvěrových institucí, by příslušné vnitrostátní orgány a ECB měly být informovány o procesu hodnocení. </w:t>
      </w:r>
      <w:r>
        <w:t xml:space="preserve"> </w:t>
      </w:r>
      <w:r>
        <w:t>Mimoto by poskytování hlavních služeb centrálního depozitáře ze strany provozovatele DLT MTF mělo byžadovat hodnocení ze strany příslušných orgánů, včetně centrálních bank ESCB, v souladu s články 16 a 17 nařízení 909/2014.</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417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6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rPr>
                <w:b/>
                <w:i/>
                <w:strike w:val="0"/>
                <w:color w:val="auto"/>
                <w:highlight w:val="none"/>
                <w:u w:val="none" w:color="auto"/>
                <w:vertAlign w:val="baseline"/>
              </w:rPr>
              <w:t>investiční podnik nebo organizátor trhu</w:t>
            </w:r>
            <w:r>
              <w:t xml:space="preserve"> provozující systém DLT MTF poruší podmínky spojené s výjimkami udělenými příslušným orgánem;</w:t>
            </w:r>
          </w:p>
        </w:tc>
        <w:tc>
          <w:tcPr>
            <w:tcW w:w="4876" w:type="dxa"/>
            <w:vAlign w:val="top"/>
          </w:tcPr>
          <w:p>
            <w:pPr>
              <w:pStyle w:val="Normal6a"/>
            </w:pPr>
            <w:r>
              <w:t>b)</w:t>
            </w:r>
            <w:r>
              <w:tab/>
            </w:r>
            <w:r>
              <w:rPr>
                <w:b/>
                <w:i/>
                <w:strike w:val="0"/>
                <w:color w:val="auto"/>
                <w:highlight w:val="none"/>
                <w:u w:val="none" w:color="auto"/>
                <w:vertAlign w:val="baseline"/>
              </w:rPr>
              <w:t>subjekt</w:t>
            </w:r>
            <w:r>
              <w:t xml:space="preserve"> provozující systém DLT MTF poruší podmínky spojené s výjimkami udělenými příslušným orgánem;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418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6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rPr>
                <w:b/>
                <w:i/>
                <w:strike w:val="0"/>
                <w:color w:val="auto"/>
                <w:highlight w:val="none"/>
                <w:u w:val="none" w:color="auto"/>
                <w:vertAlign w:val="baseline"/>
              </w:rPr>
              <w:t>investiční podnik nebo organizátor trhu</w:t>
            </w:r>
            <w:r>
              <w:t xml:space="preserve"> provozující systém DLT MTF přijme k obchodování finanční nástroje, které nesplňují podmínky stanovené v čl. 3 odst. 1 a 2;</w:t>
            </w:r>
          </w:p>
        </w:tc>
        <w:tc>
          <w:tcPr>
            <w:tcW w:w="4876" w:type="dxa"/>
            <w:vAlign w:val="top"/>
          </w:tcPr>
          <w:p>
            <w:pPr>
              <w:pStyle w:val="Normal6a"/>
            </w:pPr>
            <w:r>
              <w:t>c)</w:t>
            </w:r>
            <w:r>
              <w:tab/>
            </w:r>
            <w:r>
              <w:rPr>
                <w:b/>
                <w:i/>
                <w:strike w:val="0"/>
                <w:color w:val="auto"/>
                <w:highlight w:val="none"/>
                <w:u w:val="none" w:color="auto"/>
                <w:vertAlign w:val="baseline"/>
              </w:rPr>
              <w:t>subjekt</w:t>
            </w:r>
            <w:r>
              <w:t xml:space="preserve"> provozující systém DLT MTF přijme k obchodování finanční nástroje, které nesplňují podmínky stanovené v čl. 3 odst. 1 a 2;</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419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6 – písm.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rPr>
                <w:b/>
                <w:i/>
                <w:strike w:val="0"/>
                <w:color w:val="auto"/>
                <w:highlight w:val="none"/>
                <w:u w:val="none" w:color="auto"/>
                <w:vertAlign w:val="baseline"/>
              </w:rPr>
              <w:t>investiční podnik nebo organizátor trhu</w:t>
            </w:r>
            <w:r>
              <w:t xml:space="preserve"> provozující systém DLT MTF, který požádal o výjimku z čl. 3 odst. 2 nařízení (EU) č. 909/2014, zaeviduje převoditelné cenné papíry vedené na DLT, které nesplňují podmínky stanovené v čl. 3 odst. 1 a 2;</w:t>
            </w:r>
          </w:p>
        </w:tc>
        <w:tc>
          <w:tcPr>
            <w:tcW w:w="4876" w:type="dxa"/>
            <w:vAlign w:val="top"/>
          </w:tcPr>
          <w:p>
            <w:pPr>
              <w:pStyle w:val="Normal6a"/>
            </w:pPr>
            <w:r>
              <w:t>d)</w:t>
            </w:r>
            <w:r>
              <w:tab/>
            </w:r>
            <w:r>
              <w:rPr>
                <w:b/>
                <w:i/>
                <w:strike w:val="0"/>
                <w:color w:val="auto"/>
                <w:highlight w:val="none"/>
                <w:u w:val="none" w:color="auto"/>
                <w:vertAlign w:val="baseline"/>
              </w:rPr>
              <w:t>subjekt</w:t>
            </w:r>
            <w:r>
              <w:t xml:space="preserve"> provozující systém DLT MTF, který požádal o výjimku z čl. 3 odst. 2 nařízení (EU) č. 909/2014, zaeviduje převoditelné cenné papíry vedené na DLT, které nesplňují podmínky stanovené v čl. 3 odst. 1 a 2;</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420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6 – písm.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e)</w:t>
            </w:r>
            <w:r>
              <w:tab/>
            </w:r>
            <w:r>
              <w:rPr>
                <w:b/>
                <w:i/>
                <w:strike w:val="0"/>
                <w:color w:val="auto"/>
                <w:highlight w:val="none"/>
                <w:u w:val="none" w:color="auto"/>
                <w:vertAlign w:val="baseline"/>
              </w:rPr>
              <w:t>investiční podnik nebo organizátor trhu</w:t>
            </w:r>
            <w:r>
              <w:t xml:space="preserve"> provozující systém DLT MTF, který požádal o zvláštní povolení pro výjimku z čl. 3 odst. 2 nařízení (EU) č. 909/2014, překročí finanční limity uvedené v čl. 3 odst. 3 nebo v čl. 3 odst. 5 třetím pododstavci, nebo</w:t>
            </w:r>
          </w:p>
        </w:tc>
        <w:tc>
          <w:tcPr>
            <w:tcW w:w="4876" w:type="dxa"/>
            <w:vAlign w:val="top"/>
          </w:tcPr>
          <w:p>
            <w:pPr>
              <w:pStyle w:val="Normal6a"/>
            </w:pPr>
            <w:r>
              <w:t>e)</w:t>
            </w:r>
            <w:r>
              <w:tab/>
            </w:r>
            <w:r>
              <w:rPr>
                <w:b/>
                <w:i/>
                <w:strike w:val="0"/>
                <w:color w:val="auto"/>
                <w:highlight w:val="none"/>
                <w:u w:val="none" w:color="auto"/>
                <w:vertAlign w:val="baseline"/>
              </w:rPr>
              <w:t>subjekt</w:t>
            </w:r>
            <w:r>
              <w:t xml:space="preserve"> provozující systém DLT MTF, který požádal o zvláštní povolení pro výjimku z čl. 3 odst. 2 nařízení (EU) č. 909/2014, překročí finanční limity uvedené v čl. 3 odst. 3 nebo v čl. 3 odst. 5 třetím pododstavci, nebo </w:t>
            </w:r>
            <w:r>
              <w:rPr>
                <w:b/>
                <w:i/>
                <w:strike w:val="0"/>
                <w:color w:val="auto"/>
                <w:highlight w:val="none"/>
                <w:u w:val="none" w:color="auto"/>
                <w:vertAlign w:val="baseline"/>
              </w:rPr>
              <w:t>Or. en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421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6 – písm. f</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f)</w:t>
            </w:r>
            <w:r>
              <w:tab/>
            </w:r>
            <w:r>
              <w:t xml:space="preserve">příslušný orgán zjistí, že </w:t>
            </w:r>
            <w:r>
              <w:rPr>
                <w:b/>
                <w:i/>
                <w:strike w:val="0"/>
                <w:color w:val="auto"/>
                <w:highlight w:val="none"/>
                <w:u w:val="none" w:color="auto"/>
                <w:vertAlign w:val="baseline"/>
              </w:rPr>
              <w:t>investiční podnik nebo organizátor trhu</w:t>
            </w:r>
            <w:r>
              <w:t>, který požádal o zvláštní povolení k provozování systému DLT MTF, získal toto povolení nebo související výjimky na základě poskytnutí zavádějících informací, včetně v důsledku podstatného opomenutí.</w:t>
            </w:r>
          </w:p>
        </w:tc>
        <w:tc>
          <w:tcPr>
            <w:tcW w:w="4876" w:type="dxa"/>
            <w:vAlign w:val="top"/>
          </w:tcPr>
          <w:p>
            <w:pPr>
              <w:pStyle w:val="Normal6a"/>
            </w:pPr>
            <w:r>
              <w:t>f)</w:t>
            </w:r>
            <w:r>
              <w:tab/>
            </w:r>
            <w:r>
              <w:t xml:space="preserve">příslušný orgán zjistí, že </w:t>
            </w:r>
            <w:r>
              <w:rPr>
                <w:b/>
                <w:i/>
                <w:strike w:val="0"/>
                <w:color w:val="auto"/>
                <w:highlight w:val="none"/>
                <w:u w:val="none" w:color="auto"/>
                <w:vertAlign w:val="baseline"/>
              </w:rPr>
              <w:t>subjekt</w:t>
            </w:r>
            <w:r>
              <w:t>, který požádal o zvláštní povolení k provozování systému DLT MTF, získal toto povolení nebo související výjimky na základě poskytnutí zavádějících informací, včetně v důsledku podstatného opomenutí.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422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7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Pokud se investiční podnik nebo organizátor trhu provozující systém DLT MTF během provozování své činnosti chystá zavést podstatnou změnu ve fungování DLT nebo ve svých službách či činnostech, která vyžaduje nové povolení, novou výjimku nebo změnu jedné nebo více stávajících výjimek nebo jakýchkoli podmínek s těmito výjimkami spojených, požádá o takové povolení, výjimku nebo změnu v souladu s článkem 4. Toto povolení, výjimka nebo změna budou zpracovány příslušným orgánem v souladu s odstavci 2 až 5.</w:t>
            </w:r>
          </w:p>
        </w:tc>
        <w:tc>
          <w:tcPr>
            <w:tcW w:w="4876" w:type="dxa"/>
            <w:vAlign w:val="top"/>
          </w:tcPr>
          <w:p>
            <w:pPr>
              <w:pStyle w:val="Normal6a"/>
            </w:pPr>
            <w:r>
              <w:t>7.</w:t>
            </w:r>
            <w:r>
              <w:tab/>
            </w:r>
            <w:r>
              <w:t>Pokud se investiční podnik nebo organizátor trhu provozující systém DLT MTF během provozování své činnosti chystá zavést podstatnou změnu ve fungování DLT nebo ve svých službách či činnostech, která vyžaduje nové povolení, novou výjimku nebo změnu jedné nebo více stávajících výjimek nebo jakýchkoli podmínek s těmito výjimkami spojených, požádá o takové povolení, výjimku nebo změnu v souladu s článkem 4. Toto povolení, výjimka nebo změna budou zpracovány příslušným orgánem v souladu s odstavci 2 až 5.</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423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7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Pokud </w:t>
            </w:r>
            <w:r>
              <w:rPr>
                <w:b/>
                <w:i/>
                <w:strike w:val="0"/>
                <w:color w:val="auto"/>
                <w:highlight w:val="none"/>
                <w:u w:val="none" w:color="auto"/>
                <w:vertAlign w:val="baseline"/>
              </w:rPr>
              <w:t>se investiční podnik nebo organizátor trhu</w:t>
            </w:r>
            <w:r>
              <w:t xml:space="preserve"> provozující systém DLT MTF během provozování své činnosti chystá zavést podstatnou změnu ve fungování DLT nebo ve svých službách či činnostech, která vyžaduje nové povolení, novou výjimku nebo změnu jedné nebo více stávajících výjimek nebo jakýchkoli podmínek s těmito výjimkami spojených, požádá o takové povolení, výjimku nebo změnu v souladu s článkem 4. Toto povolení, výjimka nebo změna budou zpracovány příslušným orgánem v souladu s odstavci 2 až 5.</w:t>
            </w:r>
          </w:p>
        </w:tc>
        <w:tc>
          <w:tcPr>
            <w:tcW w:w="4876" w:type="dxa"/>
            <w:vAlign w:val="top"/>
          </w:tcPr>
          <w:p>
            <w:pPr>
              <w:pStyle w:val="Normal6a"/>
            </w:pPr>
            <w:r>
              <w:t>7.</w:t>
            </w:r>
            <w:r>
              <w:tab/>
            </w:r>
            <w:r>
              <w:t xml:space="preserve">Pokud </w:t>
            </w:r>
            <w:r>
              <w:rPr>
                <w:b/>
                <w:i/>
                <w:strike w:val="0"/>
                <w:color w:val="auto"/>
                <w:highlight w:val="none"/>
                <w:u w:val="none" w:color="auto"/>
                <w:vertAlign w:val="baseline"/>
              </w:rPr>
              <w:t>subjekt</w:t>
            </w:r>
            <w:r>
              <w:t xml:space="preserve"> provozující systém DLT MTF během provozování své činnosti chystá zavést podstatnou změnu ve fungování DLT nebo ve svých službách či činnostech, která vyžaduje nové povolení, novou výjimku nebo změnu jedné nebo více stávajících výjimek nebo jakýchkoli podmínek s těmito výjimkami spojených, požádá o takové povolení, výjimku nebo změnu v souladu s článkem 4. Toto povolení, výjimka nebo změna budou zpracovány příslušným orgánem v souladu s odstavci 2 až 5.</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424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pododstavec 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Pokud právnická osoba požádá o povolení CSD podle nařízení podle nařízení (EU) č. 909/2014 současně požádá o zvláštní povolení podle tohoto článku pouze za účelem provozování systém vypořádání obchodů s cennými papíry DLT, příslušný orgán neposoudí soulad s požadavky nařízení (EU) č. 909/2014, pro něž žadatel požádal o výjimku podle článku 4 tohoto nařízení a byla mu udělena výjimka.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425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2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rPr>
                <w:b/>
                <w:i/>
                <w:strike w:val="0"/>
                <w:color w:val="auto"/>
                <w:highlight w:val="none"/>
                <w:u w:val="none" w:color="auto"/>
                <w:vertAlign w:val="baseline"/>
              </w:rPr>
              <w:t>informace o</w:t>
            </w:r>
            <w:r>
              <w:t xml:space="preserve"> fungování </w:t>
            </w:r>
            <w:r>
              <w:rPr>
                <w:b/>
                <w:i/>
                <w:strike w:val="0"/>
                <w:color w:val="auto"/>
                <w:highlight w:val="none"/>
                <w:u w:val="none" w:color="auto"/>
                <w:vertAlign w:val="baseline"/>
              </w:rPr>
              <w:t>vlastní technologie</w:t>
            </w:r>
            <w:r>
              <w:t xml:space="preserve"> DLT podle čl. 6 odst. 2;</w:t>
            </w:r>
          </w:p>
        </w:tc>
        <w:tc>
          <w:tcPr>
            <w:tcW w:w="4876" w:type="dxa"/>
            <w:vAlign w:val="top"/>
          </w:tcPr>
          <w:p>
            <w:pPr>
              <w:pStyle w:val="Normal6a"/>
            </w:pPr>
            <w:r>
              <w:t>c)</w:t>
            </w:r>
            <w:r>
              <w:tab/>
            </w:r>
            <w:r>
              <w:t xml:space="preserve">fungování DLT podle čl. 6 odst. 2 </w:t>
            </w:r>
            <w:r>
              <w:rPr>
                <w:b/>
                <w:i/>
                <w:strike w:val="0"/>
                <w:color w:val="auto"/>
                <w:highlight w:val="none"/>
                <w:u w:val="none" w:color="auto"/>
                <w:vertAlign w:val="baseline"/>
              </w:rPr>
              <w:t>a 2a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Technologická neutralita ve vztahu k patentovým a veřejným distribuovaným účetním knihám</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426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2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informace o fungování </w:t>
            </w:r>
            <w:r>
              <w:rPr>
                <w:b/>
                <w:i/>
                <w:strike w:val="0"/>
                <w:color w:val="auto"/>
                <w:highlight w:val="none"/>
                <w:u w:val="none" w:color="auto"/>
                <w:vertAlign w:val="baseline"/>
              </w:rPr>
              <w:t>vlastní</w:t>
            </w:r>
            <w:r>
              <w:t xml:space="preserve"> technologie DLT podle čl. 6 odst. 2;</w:t>
            </w:r>
          </w:p>
        </w:tc>
        <w:tc>
          <w:tcPr>
            <w:tcW w:w="4876" w:type="dxa"/>
            <w:vAlign w:val="top"/>
          </w:tcPr>
          <w:p>
            <w:pPr>
              <w:pStyle w:val="Normal6a"/>
            </w:pPr>
            <w:r>
              <w:t>c)</w:t>
            </w:r>
            <w:r>
              <w:tab/>
            </w:r>
            <w:r>
              <w:t>informace o fungování technologie DLT podle čl. 6 odst. 2;</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427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2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rPr>
                <w:b/>
                <w:i/>
                <w:strike w:val="0"/>
                <w:color w:val="auto"/>
                <w:highlight w:val="none"/>
                <w:u w:val="none" w:color="auto"/>
                <w:vertAlign w:val="baseline"/>
              </w:rPr>
              <w:t>informace o</w:t>
            </w:r>
            <w:r>
              <w:t xml:space="preserve"> fungování </w:t>
            </w:r>
            <w:r>
              <w:rPr>
                <w:b/>
                <w:i/>
                <w:strike w:val="0"/>
                <w:color w:val="auto"/>
                <w:highlight w:val="none"/>
                <w:u w:val="none" w:color="auto"/>
                <w:vertAlign w:val="baseline"/>
              </w:rPr>
              <w:t>vlastní technologie</w:t>
            </w:r>
            <w:r>
              <w:t xml:space="preserve"> DLT podle čl. 6 odst. 2;</w:t>
            </w:r>
          </w:p>
        </w:tc>
        <w:tc>
          <w:tcPr>
            <w:tcW w:w="4876" w:type="dxa"/>
            <w:vAlign w:val="top"/>
          </w:tcPr>
          <w:p>
            <w:pPr>
              <w:pStyle w:val="Normal6a"/>
            </w:pPr>
            <w:r>
              <w:t>c)</w:t>
            </w:r>
            <w:r>
              <w:tab/>
            </w:r>
            <w:r>
              <w:t>fungování DLT podle čl. 6 odst. 2;</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vypuštění je přijmout technologicky neutrálnější přístup a umožnit, aby infrastruktury trhu distribuované účetní knihy používaly také veřejné nebo konsorciální technologie distribuované účetní knihy, jak se v současnosti používají v mnoha pilotních projektech EU .</w:t>
      </w:r>
      <w:r>
        <w:t xml:space="preserve"> </w:t>
      </w:r>
      <w:r>
        <w:t>Řádná správa jakékoli tržní infrastruktury je důležitá pro zajištění její bezpečnosti a účinnosti.</w:t>
      </w:r>
      <w:r>
        <w:t xml:space="preserve"> </w:t>
      </w:r>
      <w:r>
        <w:t>To je ještě důležitější v případě sítě DLT, kde různé právní subjekty sdílejí odpovědnost alespoň za některé procesy a údaje.</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428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2 – písm. d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da)</w:t>
            </w:r>
            <w:r>
              <w:tab/>
            </w:r>
            <w:r>
              <w:rPr>
                <w:b/>
                <w:i/>
                <w:strike w:val="0"/>
                <w:color w:val="auto"/>
                <w:highlight w:val="none"/>
                <w:u w:val="none" w:color="auto"/>
                <w:vertAlign w:val="baseline"/>
              </w:rPr>
              <w:t>důkazy o tom, že žadatel má zavedeny dostatečné obezřetnostní záruky k zajištění ochrany spotřebitelů a investorů, a popis zavedených opatření k zajištění ochrany spotřebitelů a investorů a mechanismů pro vyřizování stížností a odškodnění spotřebitelů, jak je uvedeno v článku 6a (nový);</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429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2 – písm. g</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g)</w:t>
            </w:r>
            <w:r>
              <w:tab/>
            </w:r>
            <w:r>
              <w:t>informace o výjimkách požadovaných v souladu s článkem 5 a jejich odůvodnění, informace o všech navrhovaných kompenzačních opatřeních, jakož i o předpokládaných opatřeních k dodržení podmínek spojených s takovými výjimkami podle článku 5.</w:t>
            </w:r>
          </w:p>
        </w:tc>
        <w:tc>
          <w:tcPr>
            <w:tcW w:w="4876" w:type="dxa"/>
            <w:vAlign w:val="top"/>
          </w:tcPr>
          <w:p>
            <w:pPr>
              <w:pStyle w:val="Normal6a"/>
            </w:pPr>
            <w:r>
              <w:t>g)</w:t>
            </w:r>
            <w:r>
              <w:tab/>
            </w:r>
            <w:r>
              <w:t xml:space="preserve">informace o výjimkách požadovaných v souladu s článkem 5 a jejich odůvodnění, informace o všech navrhovaných kompenzačních </w:t>
            </w:r>
            <w:r>
              <w:rPr>
                <w:b/>
                <w:i/>
                <w:strike w:val="0"/>
                <w:color w:val="auto"/>
                <w:highlight w:val="none"/>
                <w:u w:val="none" w:color="auto"/>
                <w:vertAlign w:val="baseline"/>
              </w:rPr>
              <w:t>nebo nápravných</w:t>
            </w:r>
            <w:r>
              <w:t xml:space="preserve"> opatřeních, jakož i o předpokládaných opatřeních k dodržení podmínek spojených s takovými výjimkami podle článku 5.</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Editační poznámka.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430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pododstavec 2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2a.</w:t>
            </w:r>
            <w:r>
              <w:tab/>
            </w:r>
            <w:r>
              <w:rPr>
                <w:b/>
                <w:i/>
                <w:strike w:val="0"/>
                <w:color w:val="auto"/>
                <w:highlight w:val="none"/>
                <w:u w:val="none" w:color="auto"/>
                <w:vertAlign w:val="baseline"/>
              </w:rPr>
              <w:t>Odchylně od odstavce 1 může každá právnická osoba, která není povolena jako centrální depozitář podle nařízení (EU) č. 909/2014, požádat o zvláštní povolení k provozování vypořádacího systému DLT v souladu s odstavcem 2 tohoto článku, pokud splňuje požadavky na povolení a všechny další povinnosti stanovené v nařízení (EU) č. 909/2014 způsobem přiměřeným povaze, rozsahu a rizikům dané činnosti, s výjimkou požadavků, od nichž byla žadateli udělena výjimka podle tohoto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431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Příslušný orgán </w:t>
            </w:r>
            <w:r>
              <w:rPr>
                <w:b/>
                <w:i/>
                <w:strike w:val="0"/>
                <w:color w:val="auto"/>
                <w:highlight w:val="none"/>
                <w:u w:val="none" w:color="auto"/>
                <w:vertAlign w:val="baseline"/>
              </w:rPr>
              <w:t>před rozhodnutím</w:t>
            </w:r>
            <w:r>
              <w:t xml:space="preserve"> o žádosti o </w:t>
            </w:r>
            <w:r>
              <w:rPr>
                <w:b/>
                <w:i/>
                <w:strike w:val="0"/>
                <w:color w:val="auto"/>
                <w:highlight w:val="none"/>
                <w:u w:val="none" w:color="auto"/>
                <w:vertAlign w:val="baseline"/>
              </w:rPr>
              <w:t>udělení zvláštního</w:t>
            </w:r>
            <w:r>
              <w:t xml:space="preserve"> povolení k provozování systému </w:t>
            </w:r>
            <w:r>
              <w:rPr>
                <w:b/>
                <w:i/>
                <w:strike w:val="0"/>
                <w:color w:val="auto"/>
                <w:highlight w:val="none"/>
                <w:u w:val="none" w:color="auto"/>
                <w:vertAlign w:val="baseline"/>
              </w:rPr>
              <w:t>DLT MTF</w:t>
            </w:r>
            <w:r>
              <w:t xml:space="preserve"> podle tohoto nařízení oznámí </w:t>
            </w:r>
            <w:r>
              <w:rPr>
                <w:b/>
                <w:i/>
                <w:strike w:val="0"/>
                <w:color w:val="auto"/>
                <w:highlight w:val="none"/>
                <w:u w:val="none" w:color="auto"/>
                <w:vertAlign w:val="baseline"/>
              </w:rPr>
              <w:t>a</w:t>
            </w:r>
            <w:r>
              <w:t xml:space="preserve"> poskytne orgánu </w:t>
            </w:r>
            <w:r>
              <w:rPr>
                <w:b/>
                <w:i/>
                <w:strike w:val="0"/>
                <w:color w:val="auto"/>
                <w:highlight w:val="none"/>
                <w:u w:val="none" w:color="auto"/>
                <w:vertAlign w:val="baseline"/>
              </w:rPr>
              <w:t>ESMA všechny příslušné</w:t>
            </w:r>
            <w:r>
              <w:t xml:space="preserve"> informace </w:t>
            </w:r>
            <w:r>
              <w:rPr>
                <w:b/>
                <w:i/>
                <w:strike w:val="0"/>
                <w:color w:val="auto"/>
                <w:highlight w:val="none"/>
                <w:u w:val="none" w:color="auto"/>
                <w:vertAlign w:val="baseline"/>
              </w:rPr>
              <w:t>o daném systému</w:t>
            </w:r>
            <w:r>
              <w:t xml:space="preserve"> vypořádání obchodů s cennými papíry vedenými na DLT</w:t>
            </w:r>
            <w:r>
              <w:rPr>
                <w:b/>
                <w:i/>
                <w:strike w:val="0"/>
                <w:color w:val="auto"/>
                <w:highlight w:val="none"/>
                <w:u w:val="none" w:color="auto"/>
                <w:vertAlign w:val="baseline"/>
              </w:rPr>
              <w:t>, vysvětlení požadovaných výjimek, jejich odůvodnění a informace o všech kompenzačních opatřeních navržených žadatelem nebo požadovaných příslušným orgánem</w:t>
            </w:r>
            <w:r>
              <w:t>.</w:t>
            </w:r>
          </w:p>
        </w:tc>
        <w:tc>
          <w:tcPr>
            <w:tcW w:w="4876" w:type="dxa"/>
            <w:vAlign w:val="top"/>
          </w:tcPr>
          <w:p>
            <w:pPr>
              <w:pStyle w:val="Normal6a"/>
            </w:pPr>
            <w:r>
              <w:t>3.</w:t>
            </w:r>
            <w:r>
              <w:tab/>
            </w:r>
            <w:r>
              <w:rPr>
                <w:b/>
                <w:i/>
                <w:strike w:val="0"/>
                <w:color w:val="auto"/>
                <w:highlight w:val="none"/>
                <w:u w:val="none" w:color="auto"/>
                <w:vertAlign w:val="baseline"/>
              </w:rPr>
              <w:t>Před tím, než</w:t>
            </w:r>
            <w:r>
              <w:t xml:space="preserve"> příslušný orgán </w:t>
            </w:r>
            <w:r>
              <w:rPr>
                <w:b/>
                <w:i/>
                <w:strike w:val="0"/>
                <w:color w:val="auto"/>
                <w:highlight w:val="none"/>
                <w:u w:val="none" w:color="auto"/>
                <w:vertAlign w:val="baseline"/>
              </w:rPr>
              <w:t>rozhodne</w:t>
            </w:r>
            <w:r>
              <w:t xml:space="preserve"> o žádosti o </w:t>
            </w:r>
            <w:r>
              <w:rPr>
                <w:b/>
                <w:i/>
                <w:strike w:val="0"/>
                <w:color w:val="auto"/>
                <w:highlight w:val="none"/>
                <w:u w:val="none" w:color="auto"/>
                <w:vertAlign w:val="baseline"/>
              </w:rPr>
              <w:t>zvláštní</w:t>
            </w:r>
            <w:r>
              <w:t xml:space="preserve"> povolení k provozování systému </w:t>
            </w:r>
            <w:r>
              <w:rPr>
                <w:b/>
                <w:i/>
                <w:strike w:val="0"/>
                <w:color w:val="auto"/>
                <w:highlight w:val="none"/>
                <w:u w:val="none" w:color="auto"/>
                <w:vertAlign w:val="baseline"/>
              </w:rPr>
              <w:t>vypořádání obchodů s cennými papíry v rámci DLT MOS</w:t>
            </w:r>
            <w:r>
              <w:t xml:space="preserve"> podle tohoto nařízení</w:t>
            </w:r>
            <w:r>
              <w:rPr>
                <w:b/>
                <w:i/>
                <w:strike w:val="0"/>
                <w:color w:val="auto"/>
                <w:highlight w:val="none"/>
                <w:u w:val="none" w:color="auto"/>
                <w:vertAlign w:val="baseline"/>
              </w:rPr>
              <w:t>,</w:t>
            </w:r>
            <w:r>
              <w:t xml:space="preserve"> oznámí </w:t>
            </w:r>
            <w:r>
              <w:rPr>
                <w:b/>
                <w:i/>
                <w:strike w:val="0"/>
                <w:color w:val="auto"/>
                <w:highlight w:val="none"/>
                <w:u w:val="none" w:color="auto"/>
                <w:vertAlign w:val="baseline"/>
              </w:rPr>
              <w:t>všechny relevantní informace o systému vypořádání obchodů s cennými papíry v rámci DLT příslušným orgánům uvedeným v článku 12 nařízení (EU) č. 909/2014 a konzultuje s těmito orgány charakteristiky systému vypořádání obchodů s cennými papíry provozovaného žadatelem a v případě žádosti úvěrové instituce všechny tyto relevantní informace</w:t>
            </w:r>
            <w:r>
              <w:t xml:space="preserve"> poskytne orgánu </w:t>
            </w:r>
            <w:r>
              <w:rPr>
                <w:b/>
                <w:i/>
                <w:strike w:val="0"/>
                <w:color w:val="auto"/>
                <w:highlight w:val="none"/>
                <w:u w:val="none" w:color="auto"/>
                <w:vertAlign w:val="baseline"/>
              </w:rPr>
              <w:t>obezřetnostnímu dohledu, včetně ECB pro významné úvěrové instituce, a ve všech případech požadovanému orgánu ESMA a v případě žádosti úvěrové instituce veškeré takové relevantní</w:t>
            </w:r>
            <w:r>
              <w:t xml:space="preserve"> informace </w:t>
            </w:r>
            <w:r>
              <w:rPr>
                <w:b/>
                <w:i/>
                <w:strike w:val="0"/>
                <w:color w:val="auto"/>
                <w:highlight w:val="none"/>
                <w:u w:val="none" w:color="auto"/>
                <w:vertAlign w:val="baseline"/>
              </w:rPr>
              <w:t>orgánu obezřetnostnímu dohledu, včetně ECB pro významné úvěrové instituce, a ve všech případech, které požaduje ESMA, orgánu obezřetnostnímu dohledu, včetně ECB pro významná úvěrová opatření, a ve všech případech i vysvětlení požadovaného orgánem ESMA.</w:t>
            </w:r>
            <w:r>
              <w:t xml:space="preserve"> </w:t>
            </w:r>
            <w:r>
              <w:rPr>
                <w:b/>
                <w:i/>
                <w:strike w:val="0"/>
                <w:color w:val="auto"/>
                <w:highlight w:val="none"/>
                <w:u w:val="none" w:color="auto"/>
                <w:vertAlign w:val="baseline"/>
              </w:rPr>
              <w:t>Do tří měsíců poté, co obdržel oznámení, předloží orgán ESMA příslušnému orgánu nezávazné stanovisko k žádosti a učiní jakákoli doporučení ohledně žadatelem požadovaných výjimek, která jsou nezbytná pro zajištění ochrany investorů, integrity trhu a finanční stability.</w:t>
            </w:r>
            <w:r>
              <w:t xml:space="preserve"> </w:t>
            </w:r>
            <w:r>
              <w:rPr>
                <w:b/>
                <w:i/>
                <w:strike w:val="0"/>
                <w:color w:val="auto"/>
                <w:highlight w:val="none"/>
                <w:u w:val="none" w:color="auto"/>
                <w:vertAlign w:val="baseline"/>
              </w:rPr>
              <w:t>Orgán ESMA rovněž podporuje soudržnost a proporcionalitu výjimek udělených příslušnými orgány centrálním depozitářům provozujícím systém</w:t>
            </w:r>
            <w:r>
              <w:t xml:space="preserve"> vypořádání obchodů s cennými papíry vedenými na DLT </w:t>
            </w:r>
            <w:r>
              <w:rPr>
                <w:b/>
                <w:i/>
                <w:strike w:val="0"/>
                <w:color w:val="auto"/>
                <w:highlight w:val="none"/>
                <w:u w:val="none" w:color="auto"/>
                <w:vertAlign w:val="baseline"/>
              </w:rPr>
              <w:t>v celé Unii.</w:t>
            </w:r>
            <w:r>
              <w:t xml:space="preserve"> </w:t>
            </w:r>
            <w:r>
              <w:rPr>
                <w:b/>
                <w:i/>
                <w:strike w:val="0"/>
                <w:color w:val="auto"/>
                <w:highlight w:val="none"/>
                <w:u w:val="none" w:color="auto"/>
                <w:vertAlign w:val="baseline"/>
              </w:rPr>
              <w:t>Za tímto účelem orgán ESMA včas konzultuje příslušné orgány ostatních členských států a ve svém stanovisku co nejvíce zohlední jejich názory</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Podle stanoviska ECB.</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432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Příslušný orgán </w:t>
            </w:r>
            <w:r>
              <w:rPr>
                <w:b/>
                <w:i/>
                <w:strike w:val="0"/>
                <w:color w:val="auto"/>
                <w:highlight w:val="none"/>
                <w:u w:val="none" w:color="auto"/>
                <w:vertAlign w:val="baseline"/>
              </w:rPr>
              <w:t>před rozhodnutím</w:t>
            </w:r>
            <w:r>
              <w:t xml:space="preserve"> o žádosti o </w:t>
            </w:r>
            <w:r>
              <w:rPr>
                <w:b/>
                <w:i/>
                <w:strike w:val="0"/>
                <w:color w:val="auto"/>
                <w:highlight w:val="none"/>
                <w:u w:val="none" w:color="auto"/>
                <w:vertAlign w:val="baseline"/>
              </w:rPr>
              <w:t>udělení zvláštního</w:t>
            </w:r>
            <w:r>
              <w:t xml:space="preserve"> povolení k provozování systému </w:t>
            </w:r>
            <w:r>
              <w:rPr>
                <w:b/>
                <w:i/>
                <w:strike w:val="0"/>
                <w:color w:val="auto"/>
                <w:highlight w:val="none"/>
                <w:u w:val="none" w:color="auto"/>
                <w:vertAlign w:val="baseline"/>
              </w:rPr>
              <w:t>DLT MTF</w:t>
            </w:r>
            <w:r>
              <w:t xml:space="preserve"> podle tohoto nařízení oznámí </w:t>
            </w:r>
            <w:r>
              <w:rPr>
                <w:b/>
                <w:i/>
                <w:strike w:val="0"/>
                <w:color w:val="auto"/>
                <w:highlight w:val="none"/>
                <w:u w:val="none" w:color="auto"/>
                <w:vertAlign w:val="baseline"/>
              </w:rPr>
              <w:t>a poskytne orgánu ESMA všechny příslušné informace o daném</w:t>
            </w:r>
            <w:r>
              <w:t xml:space="preserve"> systému vypořádání obchodů s cennými papíry </w:t>
            </w:r>
            <w:r>
              <w:rPr>
                <w:b/>
                <w:i/>
                <w:strike w:val="0"/>
                <w:color w:val="auto"/>
                <w:highlight w:val="none"/>
                <w:u w:val="none" w:color="auto"/>
                <w:vertAlign w:val="baseline"/>
              </w:rPr>
              <w:t>vedenými na DLT, vysvětlení požadovaných výjimek, jejich odůvodnění a</w:t>
            </w:r>
            <w:r>
              <w:t xml:space="preserve"> informace </w:t>
            </w:r>
            <w:r>
              <w:rPr>
                <w:b/>
                <w:i/>
                <w:strike w:val="0"/>
                <w:color w:val="auto"/>
                <w:highlight w:val="none"/>
                <w:u w:val="none" w:color="auto"/>
                <w:vertAlign w:val="baseline"/>
              </w:rPr>
              <w:t>o</w:t>
            </w:r>
            <w:r>
              <w:t xml:space="preserve"> všech </w:t>
            </w:r>
            <w:r>
              <w:rPr>
                <w:b/>
                <w:i/>
                <w:strike w:val="0"/>
                <w:color w:val="auto"/>
                <w:highlight w:val="none"/>
                <w:u w:val="none" w:color="auto"/>
                <w:vertAlign w:val="baseline"/>
              </w:rPr>
              <w:t>kompenzačních opatřeních navržených žadatelem nebo požadovaných příslušným</w:t>
            </w:r>
            <w:r>
              <w:t xml:space="preserve"> orgánem.</w:t>
            </w:r>
          </w:p>
        </w:tc>
        <w:tc>
          <w:tcPr>
            <w:tcW w:w="4876" w:type="dxa"/>
            <w:vAlign w:val="top"/>
          </w:tcPr>
          <w:p>
            <w:pPr>
              <w:pStyle w:val="Normal6a"/>
            </w:pPr>
            <w:r>
              <w:t>3.</w:t>
            </w:r>
            <w:r>
              <w:tab/>
            </w:r>
            <w:r>
              <w:rPr>
                <w:b/>
                <w:i/>
                <w:strike w:val="0"/>
                <w:color w:val="auto"/>
                <w:highlight w:val="none"/>
                <w:u w:val="none" w:color="auto"/>
                <w:vertAlign w:val="baseline"/>
              </w:rPr>
              <w:t>Před tím, než</w:t>
            </w:r>
            <w:r>
              <w:t xml:space="preserve"> příslušný orgán </w:t>
            </w:r>
            <w:r>
              <w:rPr>
                <w:b/>
                <w:i/>
                <w:strike w:val="0"/>
                <w:color w:val="auto"/>
                <w:highlight w:val="none"/>
                <w:u w:val="none" w:color="auto"/>
                <w:vertAlign w:val="baseline"/>
              </w:rPr>
              <w:t>rozhodne</w:t>
            </w:r>
            <w:r>
              <w:t xml:space="preserve"> o žádosti o </w:t>
            </w:r>
            <w:r>
              <w:rPr>
                <w:b/>
                <w:i/>
                <w:strike w:val="0"/>
                <w:color w:val="auto"/>
                <w:highlight w:val="none"/>
                <w:u w:val="none" w:color="auto"/>
                <w:vertAlign w:val="baseline"/>
              </w:rPr>
              <w:t>zvláštní</w:t>
            </w:r>
            <w:r>
              <w:t xml:space="preserve"> povolení k provozování systému </w:t>
            </w:r>
            <w:r>
              <w:rPr>
                <w:b/>
                <w:i/>
                <w:strike w:val="0"/>
                <w:color w:val="auto"/>
                <w:highlight w:val="none"/>
                <w:u w:val="none" w:color="auto"/>
                <w:vertAlign w:val="baseline"/>
              </w:rPr>
              <w:t>v rámci DLT SSS</w:t>
            </w:r>
            <w:r>
              <w:t xml:space="preserve"> podle tohoto nařízení</w:t>
            </w:r>
            <w:r>
              <w:rPr>
                <w:b/>
                <w:i/>
                <w:strike w:val="0"/>
                <w:color w:val="auto"/>
                <w:highlight w:val="none"/>
                <w:u w:val="none" w:color="auto"/>
                <w:vertAlign w:val="baseline"/>
              </w:rPr>
              <w:t>,</w:t>
            </w:r>
            <w:r>
              <w:t xml:space="preserve"> oznámí </w:t>
            </w:r>
            <w:r>
              <w:rPr>
                <w:b/>
                <w:i/>
                <w:strike w:val="0"/>
                <w:color w:val="auto"/>
                <w:highlight w:val="none"/>
                <w:u w:val="none" w:color="auto"/>
                <w:vertAlign w:val="baseline"/>
              </w:rPr>
              <w:t>všechny relevantní informace o systému DLT SSS příslušným orgánům uvedeným v článku 12 nařízení (EU) č. 909/2014 a konzultuje s těmito orgány charakteristiky</w:t>
            </w:r>
            <w:r>
              <w:t xml:space="preserve"> systému vypořádání obchodů s cennými papíry </w:t>
            </w:r>
            <w:r>
              <w:rPr>
                <w:b/>
                <w:i/>
                <w:strike w:val="0"/>
                <w:color w:val="auto"/>
                <w:highlight w:val="none"/>
                <w:u w:val="none" w:color="auto"/>
                <w:vertAlign w:val="baseline"/>
              </w:rPr>
              <w:t>provozovaného žadatelem a v případě žádosti úvěrové instituce všechny tyto relevantní informace poskytne orgánu obezřetnostnímu dohledu, včetně ECB pro významné úvěrové instituce, a ve všech případech požadovanému orgánu ESMA a v případě žádosti úvěrové instituce veškeré takové relevantní</w:t>
            </w:r>
            <w:r>
              <w:t xml:space="preserve"> informace </w:t>
            </w:r>
            <w:r>
              <w:rPr>
                <w:b/>
                <w:i/>
                <w:strike w:val="0"/>
                <w:color w:val="auto"/>
                <w:highlight w:val="none"/>
                <w:u w:val="none" w:color="auto"/>
                <w:vertAlign w:val="baseline"/>
              </w:rPr>
              <w:t>orgánu obezřetnostnímu dohledu, včetně ECB pro významné úvěrové instituce, a ve</w:t>
            </w:r>
            <w:r>
              <w:t xml:space="preserve"> všech </w:t>
            </w:r>
            <w:r>
              <w:rPr>
                <w:b/>
                <w:i/>
                <w:strike w:val="0"/>
                <w:color w:val="auto"/>
                <w:highlight w:val="none"/>
                <w:u w:val="none" w:color="auto"/>
                <w:vertAlign w:val="baseline"/>
              </w:rPr>
              <w:t>případech, které požaduje ESMA, orgánu obezřetnostnímu dohledu, včetně ECB pro významná úvěrová nebo nápravná opatření, a ve všech případech i vysvětlení požadovaného</w:t>
            </w:r>
            <w:r>
              <w:t xml:space="preserve"> orgánem </w:t>
            </w:r>
            <w:r>
              <w:rPr>
                <w:b/>
                <w:i/>
                <w:strike w:val="0"/>
                <w:color w:val="auto"/>
                <w:highlight w:val="none"/>
                <w:u w:val="none" w:color="auto"/>
                <w:vertAlign w:val="baseline"/>
              </w:rPr>
              <w:t>ESMA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tohoto pozměňovacího návrhu je zohlednit návrh uvedený ve stanovisku ECB.</w:t>
      </w:r>
      <w:r>
        <w:t xml:space="preserve"> </w:t>
      </w:r>
      <w:r>
        <w:t xml:space="preserve">S ohledem na pravomoci jak příslušných vnitrostátních orgánů v oblasti obezřetnostního dohledu, pravomocí ECB týkající se úvěrových institucí, by příslušné vnitrostátní orgány a ECB měly být průběžně informovány o procesu povolování a následně po povolení v případě úvěrových institucí, které jsou centrálními depozitáři provozujícími DLT SSS. </w:t>
      </w:r>
      <w:r>
        <w:t xml:space="preserve"> </w:t>
      </w:r>
      <w:r>
        <w:t>Mimoto by poskytování hlavních služeb centrálního depozitáře provozujícího DLT MTF mělo vyžadovat hodnocení ze strany příslušných orgánů, včetně centrálních bank ESCB, v souladu s články 16 a 17 nařízení 909/2014.</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433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rPr>
                <w:b/>
                <w:i/>
                <w:strike w:val="0"/>
                <w:color w:val="auto"/>
                <w:highlight w:val="none"/>
                <w:u w:val="none" w:color="auto"/>
                <w:vertAlign w:val="baseline"/>
              </w:rPr>
              <w:t>Příslušný orgán před rozhodnutím</w:t>
            </w:r>
            <w:r>
              <w:t xml:space="preserve"> o žádosti o </w:t>
            </w:r>
            <w:r>
              <w:rPr>
                <w:b/>
                <w:i/>
                <w:strike w:val="0"/>
                <w:color w:val="auto"/>
                <w:highlight w:val="none"/>
                <w:u w:val="none" w:color="auto"/>
                <w:vertAlign w:val="baseline"/>
              </w:rPr>
              <w:t>udělení zvláštního povolení k provozování systému DLT MTF</w:t>
            </w:r>
            <w:r>
              <w:t xml:space="preserve"> podle tohoto nařízení </w:t>
            </w:r>
            <w:r>
              <w:rPr>
                <w:b/>
                <w:i/>
                <w:strike w:val="0"/>
                <w:color w:val="auto"/>
                <w:highlight w:val="none"/>
                <w:u w:val="none" w:color="auto"/>
                <w:vertAlign w:val="baseline"/>
              </w:rPr>
              <w:t>oznámí a poskytne orgánu ESMA všechny příslušné informace o daném systému vypořádání obchodů s cennými papíry vedenými na DLT, vysvětlení požadovaných výjimek, jejich odůvodnění a informace o všech kompenzačních opatřeních navržených žadatelem nebo požadovaných příslušným orgánem</w:t>
            </w:r>
            <w:r>
              <w:t>.</w:t>
            </w:r>
          </w:p>
        </w:tc>
        <w:tc>
          <w:tcPr>
            <w:tcW w:w="4876" w:type="dxa"/>
            <w:vAlign w:val="top"/>
          </w:tcPr>
          <w:p>
            <w:pPr>
              <w:pStyle w:val="Normal6a"/>
            </w:pPr>
            <w:r>
              <w:t>3.</w:t>
            </w:r>
            <w:r>
              <w:tab/>
            </w:r>
            <w:r>
              <w:rPr>
                <w:b/>
                <w:i/>
                <w:strike w:val="0"/>
                <w:color w:val="auto"/>
                <w:highlight w:val="none"/>
                <w:u w:val="none" w:color="auto"/>
                <w:vertAlign w:val="baseline"/>
              </w:rPr>
              <w:t>Před přijetím rozhodnutí</w:t>
            </w:r>
            <w:r>
              <w:t xml:space="preserve"> o žádosti o </w:t>
            </w:r>
            <w:r>
              <w:rPr>
                <w:b/>
                <w:i/>
                <w:strike w:val="0"/>
                <w:color w:val="auto"/>
                <w:highlight w:val="none"/>
                <w:u w:val="none" w:color="auto"/>
                <w:vertAlign w:val="baseline"/>
              </w:rPr>
              <w:t>zvláštní povolení provozovat vypořádací systém distribuované účetní knihy</w:t>
            </w:r>
            <w:r>
              <w:t xml:space="preserve"> podle tohoto nařízení </w:t>
            </w:r>
            <w:r>
              <w:rPr>
                <w:b/>
                <w:i/>
                <w:strike w:val="0"/>
                <w:color w:val="auto"/>
                <w:highlight w:val="none"/>
                <w:u w:val="none" w:color="auto"/>
                <w:vertAlign w:val="baseline"/>
              </w:rPr>
              <w:t>orgán ESMA uvědomí příslušný orgán domovského členského státu a dotčené orgány uvedené v článku 12 nařízení (EU) č. 909/2014 a konzultuje s těmito orgány prvky vypořádacího systému provozovaného žadatelem</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434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Příslušný orgán před rozhodnutím o žádosti o udělení zvláštního povolení k provozování systému </w:t>
            </w:r>
            <w:r>
              <w:rPr>
                <w:b/>
                <w:i/>
                <w:strike w:val="0"/>
                <w:color w:val="auto"/>
                <w:highlight w:val="none"/>
                <w:u w:val="none" w:color="auto"/>
                <w:vertAlign w:val="baseline"/>
              </w:rPr>
              <w:t>DLT MTF</w:t>
            </w:r>
            <w:r>
              <w:t xml:space="preserve"> podle tohoto nařízení oznámí a poskytne orgánu ESMA všechny příslušné informace o daném systému vypořádání obchodů s cennými papíry vedenými na DLT, vysvětlení požadovaných výjimek, jejich odůvodnění a informace o všech kompenzačních opatřeních navržených žadatelem nebo požadovaných příslušným orgánem.</w:t>
            </w:r>
          </w:p>
        </w:tc>
        <w:tc>
          <w:tcPr>
            <w:tcW w:w="4876" w:type="dxa"/>
            <w:vAlign w:val="top"/>
          </w:tcPr>
          <w:p>
            <w:pPr>
              <w:pStyle w:val="Normal6a"/>
            </w:pPr>
            <w:r>
              <w:t>3.</w:t>
            </w:r>
            <w:r>
              <w:tab/>
            </w:r>
            <w:r>
              <w:t xml:space="preserve">Příslušný orgán před rozhodnutím o žádosti o udělení zvláštního povolení k provozování systému </w:t>
            </w:r>
            <w:r>
              <w:rPr>
                <w:b/>
                <w:i/>
                <w:strike w:val="0"/>
                <w:color w:val="auto"/>
                <w:highlight w:val="none"/>
                <w:u w:val="none" w:color="auto"/>
                <w:vertAlign w:val="baseline"/>
              </w:rPr>
              <w:t>pro vypořádání obchodu s cennými papíry DLT</w:t>
            </w:r>
            <w:r>
              <w:t xml:space="preserve"> podle tohoto nařízení oznámí a poskytne orgánu ESMA všechny příslušné informace o daném systému vypořádání obchodů s cennými papíry vedenými na DLT, vysvětlení požadovaných výjimek, jejich odůvodnění a informace o všech kompenzačních opatřeních navržených žadatelem nebo požadovaných příslušným orgánem.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435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Příslušný orgán před rozhodnutím o žádosti o udělení zvláštního povolení k provozování systému DLT </w:t>
            </w:r>
            <w:r>
              <w:rPr>
                <w:b/>
                <w:i/>
                <w:strike w:val="0"/>
                <w:color w:val="auto"/>
                <w:highlight w:val="none"/>
                <w:u w:val="none" w:color="auto"/>
                <w:vertAlign w:val="baseline"/>
              </w:rPr>
              <w:t>MTF</w:t>
            </w:r>
            <w:r>
              <w:t xml:space="preserve"> podle tohoto nařízení oznámí a poskytne orgánu ESMA všechny příslušné informace </w:t>
            </w:r>
            <w:r>
              <w:rPr>
                <w:b/>
                <w:i/>
                <w:strike w:val="0"/>
                <w:color w:val="auto"/>
                <w:highlight w:val="none"/>
                <w:u w:val="none" w:color="auto"/>
                <w:vertAlign w:val="baseline"/>
              </w:rPr>
              <w:t>o daném systému vypořádání obchodů s cennými papíry vedenými na DLT</w:t>
            </w:r>
            <w:r>
              <w:t>, vysvětlení požadovaných výjimek, jejich odůvodnění a informace o všech kompenzačních opatřeních navržených žadatelem nebo požadovaných příslušným orgánem.</w:t>
            </w:r>
          </w:p>
        </w:tc>
        <w:tc>
          <w:tcPr>
            <w:tcW w:w="4876" w:type="dxa"/>
            <w:vAlign w:val="top"/>
          </w:tcPr>
          <w:p>
            <w:pPr>
              <w:pStyle w:val="Normal6a"/>
            </w:pPr>
            <w:r>
              <w:t>3.</w:t>
            </w:r>
            <w:r>
              <w:tab/>
            </w:r>
            <w:r>
              <w:t xml:space="preserve">Příslušný orgán před rozhodnutím o žádosti o udělení zvláštního povolení k provozování systému DLT </w:t>
            </w:r>
            <w:r>
              <w:rPr>
                <w:b/>
                <w:i/>
                <w:strike w:val="0"/>
                <w:color w:val="auto"/>
                <w:highlight w:val="none"/>
                <w:u w:val="none" w:color="auto"/>
                <w:vertAlign w:val="baseline"/>
              </w:rPr>
              <w:t>SSS</w:t>
            </w:r>
            <w:r>
              <w:t xml:space="preserve"> podle tohoto nařízení oznámí a poskytne orgánu ESMA všechny příslušné informace </w:t>
            </w:r>
            <w:r>
              <w:rPr>
                <w:b/>
                <w:i/>
                <w:strike w:val="0"/>
                <w:color w:val="auto"/>
                <w:highlight w:val="none"/>
                <w:u w:val="none" w:color="auto"/>
                <w:vertAlign w:val="baseline"/>
              </w:rPr>
              <w:t>oDLT SSS</w:t>
            </w:r>
            <w:r>
              <w:t xml:space="preserve">, vysvětlení požadovaných výjimek, jejich odůvodnění a informace o všech kompenzačních </w:t>
            </w:r>
            <w:r>
              <w:rPr>
                <w:b/>
                <w:i/>
                <w:strike w:val="0"/>
                <w:color w:val="auto"/>
                <w:highlight w:val="none"/>
                <w:u w:val="none" w:color="auto"/>
                <w:vertAlign w:val="baseline"/>
              </w:rPr>
              <w:t>nebo nápravných</w:t>
            </w:r>
            <w:r>
              <w:t xml:space="preserve"> opatřeních navržených žadatelem nebo požadovaných příslušným orgánem.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Redakční poznámka a oprava, neboť článek 8 se týká systémů DLT SSS.</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436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3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Do tří měsíců poté, co </w:t>
            </w:r>
            <w:r>
              <w:rPr>
                <w:b/>
                <w:i/>
                <w:strike w:val="0"/>
                <w:color w:val="auto"/>
                <w:highlight w:val="none"/>
                <w:u w:val="none" w:color="auto"/>
                <w:vertAlign w:val="baseline"/>
              </w:rPr>
              <w:t>obdržel oznámení, předloží</w:t>
            </w:r>
            <w:r>
              <w:t xml:space="preserve"> orgán ESMA </w:t>
            </w:r>
            <w:r>
              <w:rPr>
                <w:b/>
                <w:i/>
                <w:strike w:val="0"/>
                <w:color w:val="auto"/>
                <w:highlight w:val="none"/>
                <w:u w:val="none" w:color="auto"/>
                <w:vertAlign w:val="baseline"/>
              </w:rPr>
              <w:t>příslušnému orgánu nezávazné stanovisko k</w:t>
            </w:r>
            <w:r>
              <w:t xml:space="preserve"> žádosti a </w:t>
            </w:r>
            <w:r>
              <w:rPr>
                <w:b/>
                <w:i/>
                <w:strike w:val="0"/>
                <w:color w:val="auto"/>
                <w:highlight w:val="none"/>
                <w:u w:val="none" w:color="auto"/>
                <w:vertAlign w:val="baseline"/>
              </w:rPr>
              <w:t>učiní</w:t>
            </w:r>
            <w:r>
              <w:t xml:space="preserve"> jakákoli </w:t>
            </w:r>
            <w:r>
              <w:rPr>
                <w:b/>
                <w:i/>
                <w:strike w:val="0"/>
                <w:color w:val="auto"/>
                <w:highlight w:val="none"/>
                <w:u w:val="none" w:color="auto"/>
                <w:vertAlign w:val="baseline"/>
              </w:rPr>
              <w:t>doporučení</w:t>
            </w:r>
            <w:r>
              <w:t xml:space="preserve"> ohledně žadatelem požadovaných výjimek, která jsou nezbytná pro zajištění ochrany investorů, integrity trhu a finanční stability. Orgán ESMA </w:t>
            </w:r>
            <w:r>
              <w:rPr>
                <w:b/>
                <w:i/>
                <w:strike w:val="0"/>
                <w:color w:val="auto"/>
                <w:highlight w:val="none"/>
                <w:u w:val="none" w:color="auto"/>
                <w:vertAlign w:val="baseline"/>
              </w:rPr>
              <w:t>rovněž</w:t>
            </w:r>
            <w:r>
              <w:t xml:space="preserve"> podporuje soudržnost a proporcionalitu výjimek udělených příslušnými orgány centrálním depozitářům provozujícím systém vypořádání obchodů s cennými papíry vedenými na DLT v celé Unii.</w:t>
            </w:r>
            <w:r>
              <w:rPr>
                <w:b/>
                <w:i/>
                <w:strike w:val="0"/>
                <w:color w:val="auto"/>
                <w:highlight w:val="none"/>
                <w:u w:val="none" w:color="auto"/>
                <w:vertAlign w:val="baseline"/>
              </w:rPr>
              <w:t xml:space="preserve">  Za tímto účelem orgán ESMA včas konzultuje příslušné orgány ostatních členských států a ve svém stanovisku co nejvíce zohlední jejich názory.</w:t>
            </w:r>
          </w:p>
        </w:tc>
        <w:tc>
          <w:tcPr>
            <w:tcW w:w="4876" w:type="dxa"/>
            <w:vAlign w:val="top"/>
          </w:tcPr>
          <w:p>
            <w:pPr>
              <w:pStyle w:val="Normal6a"/>
            </w:pPr>
            <w:r>
              <w:t xml:space="preserve">Do tří měsíců poté, co </w:t>
            </w:r>
            <w:r>
              <w:rPr>
                <w:b/>
                <w:i/>
                <w:strike w:val="0"/>
                <w:color w:val="auto"/>
                <w:highlight w:val="none"/>
                <w:u w:val="none" w:color="auto"/>
                <w:vertAlign w:val="baseline"/>
              </w:rPr>
              <w:t>obdrží žádost,</w:t>
            </w:r>
            <w:r>
              <w:t xml:space="preserve"> orgán ESMA </w:t>
            </w:r>
            <w:r>
              <w:rPr>
                <w:b/>
                <w:i/>
                <w:strike w:val="0"/>
                <w:color w:val="auto"/>
                <w:highlight w:val="none"/>
                <w:u w:val="none" w:color="auto"/>
                <w:vertAlign w:val="baseline"/>
              </w:rPr>
              <w:t>a vydá rozhodnutí o</w:t>
            </w:r>
            <w:r>
              <w:t xml:space="preserve"> žádosti a </w:t>
            </w:r>
            <w:r>
              <w:rPr>
                <w:b/>
                <w:i/>
                <w:strike w:val="0"/>
                <w:color w:val="auto"/>
                <w:highlight w:val="none"/>
                <w:u w:val="none" w:color="auto"/>
                <w:vertAlign w:val="baseline"/>
              </w:rPr>
              <w:t>vyžádá</w:t>
            </w:r>
            <w:r>
              <w:t xml:space="preserve"> jakákoli </w:t>
            </w:r>
            <w:r>
              <w:rPr>
                <w:b/>
                <w:i/>
                <w:strike w:val="0"/>
                <w:color w:val="auto"/>
                <w:highlight w:val="none"/>
                <w:u w:val="none" w:color="auto"/>
                <w:vertAlign w:val="baseline"/>
              </w:rPr>
              <w:t>další nápravná opatření</w:t>
            </w:r>
            <w:r>
              <w:t xml:space="preserve"> ohledně žadatelem požadovaných výjimek, která jsou nezbytná pro zajištění ochrany investorů, integrity trhu a finanční stability. Orgán ESMA </w:t>
            </w:r>
            <w:r>
              <w:rPr>
                <w:b/>
                <w:i/>
                <w:strike w:val="0"/>
                <w:color w:val="auto"/>
                <w:highlight w:val="none"/>
                <w:u w:val="none" w:color="auto"/>
                <w:vertAlign w:val="baseline"/>
              </w:rPr>
              <w:t>přijme přístup vycházející z rizik a</w:t>
            </w:r>
            <w:r>
              <w:t xml:space="preserve"> podporuje soudržnost a proporcionalitu výjimek udělených příslušnými orgány centrálním depozitářům provozujícím systém vypořádání obchodů s cennými papíry vedenými na DLT v celé Unii.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437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3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Do tří měsíců poté, co obdržel oznámení, předloží orgán ESMA příslušnému orgánu nezávazné stanovisko k žádosti a učiní jakákoli doporučení ohledně žadatelem požadovaných výjimek, která jsou nezbytná pro zajištění ochrany investorů, integrity trhu a finanční stability. Orgán ESMA rovněž podporuje soudržnost a proporcionalitu výjimek udělených příslušnými orgány centrálním depozitářům provozujícím systém vypořádání obchodů s cennými papíry vedenými na DLT v celé Unii.</w:t>
            </w:r>
            <w:r>
              <w:rPr>
                <w:b/>
                <w:i/>
                <w:strike w:val="0"/>
                <w:color w:val="auto"/>
                <w:highlight w:val="none"/>
                <w:u w:val="none" w:color="auto"/>
                <w:vertAlign w:val="baseline"/>
              </w:rPr>
              <w:t xml:space="preserve">  </w:t>
            </w:r>
            <w:r>
              <w:t>Za tímto účelem orgán ESMA včas konzultuje příslušné orgány ostatních členských států a ve svém stanovisku co nejvíce zohlední jejich názory.</w:t>
            </w:r>
          </w:p>
        </w:tc>
        <w:tc>
          <w:tcPr>
            <w:tcW w:w="4876" w:type="dxa"/>
            <w:vAlign w:val="top"/>
          </w:tcPr>
          <w:p>
            <w:pPr>
              <w:pStyle w:val="Normal6a"/>
            </w:pPr>
            <w:r>
              <w:t>Do tří měsíců poté, co obdržel oznámení, předloží orgán ESMA příslušnému orgánu nezávazné stanovisko k žádosti a učiní jakákoli doporučení ohledně žadatelem požadovaných výjimek, která jsou nezbytná pro zajištění ochrany investorů, integrity trhu a finanční stability. Orgán ESMA rovněž podporuje soudržnost a proporcionalitu výjimek udělených příslušnými orgány centrálním depozitářům provozujícím systém vypořádání obchodů s cennými papíry vedenými na DLT v celé Unii. Za tímto účelem orgán ESMA včas konzultuje příslušné orgány ostatních členských států a ve svém stanovisku co nejvíce zohlední jejich názory.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tohoto pozměňovacího návrhu je zohlednit návrh uvedený ve stanovisku ECB.</w:t>
      </w:r>
      <w:r>
        <w:t xml:space="preserve"> </w:t>
      </w:r>
      <w:r>
        <w:t xml:space="preserve">S ohledem na pravomoci jak příslušných vnitrostátních orgánů v oblasti obezřetnostního dohledu, pravomocí ECB týkající se úvěrových institucí, by příslušné vnitrostátní orgány a ECB měly být průběžně informovány o procesu povolování a následně po povolení v případě úvěrových institucí, které jsou centrálními depozitáři provozujícími DLT SSS. </w:t>
      </w:r>
      <w:r>
        <w:t xml:space="preserve"> </w:t>
      </w:r>
      <w:r>
        <w:t>Mimoto by poskytování hlavních služeb centrálního depozitáře provozu, pokud jde o centrální depozitář provozující DLT SSS, mělo byžadovat hodnocení ze strany příslušných orgánů, včetně centrálních bank ESCB, v souladu s články 16 a 17 nařízení 909/2014.</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438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4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Aniž je dotčen článek 17 nařízení (EU) č. 909/2014, příslušný orgán odmítne udělit zvláštní povolení podle tohoto nařízení, pokud </w:t>
            </w:r>
            <w:r>
              <w:rPr>
                <w:b/>
                <w:i/>
                <w:strike w:val="0"/>
                <w:color w:val="auto"/>
                <w:highlight w:val="none"/>
                <w:u w:val="none" w:color="auto"/>
                <w:vertAlign w:val="baseline"/>
              </w:rPr>
              <w:t>je důvodné</w:t>
            </w:r>
            <w:r>
              <w:t xml:space="preserve"> se domnívat, že:</w:t>
            </w:r>
          </w:p>
        </w:tc>
        <w:tc>
          <w:tcPr>
            <w:tcW w:w="4876" w:type="dxa"/>
            <w:vAlign w:val="top"/>
          </w:tcPr>
          <w:p>
            <w:pPr>
              <w:pStyle w:val="Normal6a"/>
            </w:pPr>
            <w:r>
              <w:t>4.</w:t>
            </w:r>
            <w:r>
              <w:tab/>
            </w:r>
            <w:r>
              <w:t xml:space="preserve">Aniž je dotčen článek 17 nařízení (EU) č. 909/2014, příslušný orgán </w:t>
            </w:r>
            <w:r>
              <w:rPr>
                <w:b/>
                <w:i/>
                <w:strike w:val="0"/>
                <w:color w:val="auto"/>
                <w:highlight w:val="none"/>
                <w:u w:val="none" w:color="auto"/>
                <w:vertAlign w:val="baseline"/>
              </w:rPr>
              <w:t>poté, co informoval dotčené orgány uvedené v článku 12 nařízení (EU) č. 909/2014 a v případě úvěrové instituce obezřetnostní orgán dohledu nad významnými úvěrovými institucemi, včetně ECB,</w:t>
            </w:r>
            <w:r>
              <w:t xml:space="preserve"> odmítne udělit zvláštní povolení podle tohoto nařízení, pokud </w:t>
            </w:r>
            <w:r>
              <w:rPr>
                <w:b/>
                <w:i/>
                <w:strike w:val="0"/>
                <w:color w:val="auto"/>
                <w:highlight w:val="none"/>
                <w:u w:val="none" w:color="auto"/>
                <w:vertAlign w:val="baseline"/>
              </w:rPr>
              <w:t>existují důvody</w:t>
            </w:r>
            <w:r>
              <w:t xml:space="preserve"> se domnívat, že: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tohoto pozměňovacího návrhu je zohlednit návrh uvedený ve stanovisku ECB.</w:t>
      </w:r>
      <w:r>
        <w:t xml:space="preserve"> </w:t>
      </w:r>
      <w:r>
        <w:t xml:space="preserve">S ohledem na pravomoci jak příslušných vnitrostátních orgánů v oblasti obezřetnostního dohledu, pravomocí ECB týkající se úvěrových institucí, by příslušné vnitrostátní orgány a ECB měly být průběžně informovány o procesu povolování a následně po povolení v případě úvěrových institucí, které jsou centrálními depozitáři provozujícími DLT SSS. </w:t>
      </w:r>
      <w:r>
        <w:t xml:space="preserve"> </w:t>
      </w:r>
      <w:r>
        <w:t>Mimoto by poskytování hlavních služeb centrálního depozitáře provozujícího DLT MTF mělo vyžadovat hodnocení ze strany příslušných orgánů, včetně centrálních bank ESCB, v souladu s články 16 a 17 nařízení 909/2014.</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439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4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Aniž je dotčen článek 17 nařízení (EU) č. 909/2014, příslušný orgán odmítne udělit zvláštní povolení podle tohoto nařízení, pokud </w:t>
            </w:r>
            <w:r>
              <w:rPr>
                <w:b/>
                <w:i/>
                <w:strike w:val="0"/>
                <w:color w:val="auto"/>
                <w:highlight w:val="none"/>
                <w:u w:val="none" w:color="auto"/>
                <w:vertAlign w:val="baseline"/>
              </w:rPr>
              <w:t>je důvodné</w:t>
            </w:r>
            <w:r>
              <w:t xml:space="preserve"> se domnívat, že:</w:t>
            </w:r>
          </w:p>
        </w:tc>
        <w:tc>
          <w:tcPr>
            <w:tcW w:w="4876" w:type="dxa"/>
            <w:vAlign w:val="top"/>
          </w:tcPr>
          <w:p>
            <w:pPr>
              <w:pStyle w:val="Normal6a"/>
            </w:pPr>
            <w:r>
              <w:t>4.</w:t>
            </w:r>
            <w:r>
              <w:tab/>
            </w:r>
            <w:r>
              <w:t xml:space="preserve">Aniž je dotčen článek 17 nařízení (EU) č. 909/2014, příslušný orgán </w:t>
            </w:r>
            <w:r>
              <w:rPr>
                <w:b/>
                <w:i/>
                <w:strike w:val="0"/>
                <w:color w:val="auto"/>
                <w:highlight w:val="none"/>
                <w:u w:val="none" w:color="auto"/>
                <w:vertAlign w:val="baseline"/>
              </w:rPr>
              <w:t>poté, co informoval dotčené orgány uvedené v článku 12 nařízení (EU) č. 909/2014 a v případě úvěrové instituce obezřetnostní orgán dohledu nad významnými úvěrovými institucemi, včetně ECB,</w:t>
            </w:r>
            <w:r>
              <w:t xml:space="preserve"> odmítne udělit zvláštní povolení podle tohoto nařízení, pokud </w:t>
            </w:r>
            <w:r>
              <w:rPr>
                <w:b/>
                <w:i/>
                <w:strike w:val="0"/>
                <w:color w:val="auto"/>
                <w:highlight w:val="none"/>
                <w:u w:val="none" w:color="auto"/>
                <w:vertAlign w:val="baseline"/>
              </w:rPr>
              <w:t>existují důvody</w:t>
            </w:r>
            <w:r>
              <w:t xml:space="preserve"> se domnívat, že: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Podle stanoviska ECB.</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440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5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Orgán ESMA zveřejní na svých internetových stránkách seznam </w:t>
            </w:r>
            <w:r>
              <w:rPr>
                <w:b/>
                <w:i/>
                <w:strike w:val="0"/>
                <w:color w:val="auto"/>
                <w:highlight w:val="none"/>
                <w:u w:val="none" w:color="auto"/>
                <w:vertAlign w:val="baseline"/>
              </w:rPr>
              <w:t>systémů vypořádání obchodů s cennými papíry vedenými na DLT, počáteční a konečné datum platnosti jejich zvláštních povolení a seznam</w:t>
            </w:r>
            <w:r>
              <w:t xml:space="preserve"> výjimek </w:t>
            </w:r>
            <w:r>
              <w:rPr>
                <w:b/>
                <w:i/>
                <w:strike w:val="0"/>
                <w:color w:val="auto"/>
                <w:highlight w:val="none"/>
                <w:u w:val="none" w:color="auto"/>
                <w:vertAlign w:val="baseline"/>
              </w:rPr>
              <w:t>udělených jednotlivým systémům</w:t>
            </w:r>
            <w:r>
              <w:t>.</w:t>
            </w:r>
          </w:p>
        </w:tc>
        <w:tc>
          <w:tcPr>
            <w:tcW w:w="4876" w:type="dxa"/>
            <w:vAlign w:val="top"/>
          </w:tcPr>
          <w:p>
            <w:pPr>
              <w:pStyle w:val="Normal6a"/>
            </w:pPr>
            <w:r>
              <w:t>Orgán ESMA zveřejní na svých internetových stránkách</w:t>
            </w:r>
            <w:r>
              <w:rPr>
                <w:b/>
                <w:i/>
                <w:strike w:val="0"/>
                <w:color w:val="auto"/>
                <w:highlight w:val="none"/>
                <w:u w:val="none" w:color="auto"/>
                <w:vertAlign w:val="baseline"/>
              </w:rPr>
              <w:t xml:space="preserve"> a)</w:t>
            </w:r>
            <w:r>
              <w:t xml:space="preserve"> seznam </w:t>
            </w:r>
            <w:r>
              <w:rPr>
                <w:b/>
                <w:i/>
                <w:strike w:val="0"/>
                <w:color w:val="auto"/>
                <w:highlight w:val="none"/>
                <w:u w:val="none" w:color="auto"/>
                <w:vertAlign w:val="baseline"/>
              </w:rPr>
              <w:t>DLT SSS, datum zahájení a ukončení jejich zvláštních povolení a seznam výjimek udělených každému z nich a b) celkový počet žádostí o výjimky, které byly podány podle tohoto nařízení, s uvedením počtu přijatých nebo zamítnutých</w:t>
            </w:r>
            <w:r>
              <w:t xml:space="preserve"> výjimek </w:t>
            </w:r>
            <w:r>
              <w:rPr>
                <w:b/>
                <w:i/>
                <w:strike w:val="0"/>
                <w:color w:val="auto"/>
                <w:highlight w:val="none"/>
                <w:u w:val="none" w:color="auto"/>
                <w:vertAlign w:val="baseline"/>
              </w:rPr>
              <w:t>spolu s příslušnými odůvodněními, a to anonymně</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V zájmu zajištění transparentnosti a jednotnosti by měly být zveřejněny žádosti o povolení a výjimky, jakož i příslušná odůvodněná rozhodnutí.</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441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6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Aniž je dotčeno </w:t>
            </w:r>
            <w:r>
              <w:rPr>
                <w:b/>
                <w:i/>
                <w:strike w:val="0"/>
                <w:color w:val="auto"/>
                <w:highlight w:val="none"/>
                <w:u w:val="none" w:color="auto"/>
                <w:vertAlign w:val="baseline"/>
              </w:rPr>
              <w:t>použití</w:t>
            </w:r>
            <w:r>
              <w:t xml:space="preserve"> článku 20 nařízení (EU) č. 909/2014, příslušný orgán, který udělil zvláštní </w:t>
            </w:r>
            <w:r>
              <w:rPr>
                <w:b/>
                <w:i/>
                <w:strike w:val="0"/>
                <w:color w:val="auto"/>
                <w:highlight w:val="none"/>
                <w:u w:val="none" w:color="auto"/>
                <w:vertAlign w:val="baseline"/>
              </w:rPr>
              <w:t>povolení</w:t>
            </w:r>
            <w:r>
              <w:t xml:space="preserve"> podle tohoto nařízení, toto povolení nebo </w:t>
            </w:r>
            <w:r>
              <w:rPr>
                <w:b/>
                <w:i/>
                <w:strike w:val="0"/>
                <w:color w:val="auto"/>
                <w:highlight w:val="none"/>
                <w:u w:val="none" w:color="auto"/>
                <w:vertAlign w:val="baseline"/>
              </w:rPr>
              <w:t>kteroukoli z udělených výjimek</w:t>
            </w:r>
            <w:r>
              <w:t xml:space="preserve"> po konzultaci s orgánem ESMA v souladu s odstavcem 3 </w:t>
            </w:r>
            <w:r>
              <w:rPr>
                <w:b/>
                <w:i/>
                <w:strike w:val="0"/>
                <w:color w:val="auto"/>
                <w:highlight w:val="none"/>
                <w:u w:val="none" w:color="auto"/>
                <w:vertAlign w:val="baseline"/>
              </w:rPr>
              <w:t>odejme</w:t>
            </w:r>
            <w:r>
              <w:t>, pokud:</w:t>
            </w:r>
          </w:p>
        </w:tc>
        <w:tc>
          <w:tcPr>
            <w:tcW w:w="4876" w:type="dxa"/>
            <w:vAlign w:val="top"/>
          </w:tcPr>
          <w:p>
            <w:pPr>
              <w:pStyle w:val="Normal6a"/>
            </w:pPr>
            <w:r>
              <w:t>6.</w:t>
            </w:r>
            <w:r>
              <w:tab/>
            </w:r>
            <w:r>
              <w:t xml:space="preserve">Aniž je dotčeno </w:t>
            </w:r>
            <w:r>
              <w:rPr>
                <w:b/>
                <w:i/>
                <w:strike w:val="0"/>
                <w:color w:val="auto"/>
                <w:highlight w:val="none"/>
                <w:u w:val="none" w:color="auto"/>
                <w:vertAlign w:val="baseline"/>
              </w:rPr>
              <w:t>uplatňování</w:t>
            </w:r>
            <w:r>
              <w:t xml:space="preserve"> článku 20 nařízení (EU) č. 909/2014, příslušný orgán, který udělil zvláštní </w:t>
            </w:r>
            <w:r>
              <w:rPr>
                <w:b/>
                <w:i/>
                <w:strike w:val="0"/>
                <w:color w:val="auto"/>
                <w:highlight w:val="none"/>
                <w:u w:val="none" w:color="auto"/>
                <w:vertAlign w:val="baseline"/>
              </w:rPr>
              <w:t>svolení</w:t>
            </w:r>
            <w:r>
              <w:t xml:space="preserve"> podle tohoto nařízení, toto povolení nebo </w:t>
            </w:r>
            <w:r>
              <w:rPr>
                <w:b/>
                <w:i/>
                <w:strike w:val="0"/>
                <w:color w:val="auto"/>
                <w:highlight w:val="none"/>
                <w:u w:val="none" w:color="auto"/>
                <w:vertAlign w:val="baseline"/>
              </w:rPr>
              <w:t>jakoukoli udělenou výjimku zruší</w:t>
            </w:r>
            <w:r>
              <w:t xml:space="preserve"> po konzultaci s orgánem ESMA </w:t>
            </w:r>
            <w:r>
              <w:rPr>
                <w:b/>
                <w:i/>
                <w:strike w:val="0"/>
                <w:color w:val="auto"/>
                <w:highlight w:val="none"/>
                <w:u w:val="none" w:color="auto"/>
                <w:vertAlign w:val="baseline"/>
              </w:rPr>
              <w:t>a příslušnými orgány uvedenými v článku 12 (EU) No 909/2014 a informuje v případě úvěrové instituce její obezřetnostní dozor, včetně ECB v případě významných úvěrových institucí, včetně ECB,</w:t>
            </w:r>
            <w:r>
              <w:t xml:space="preserve"> v souladu s odstavcem 3, pokud </w:t>
            </w:r>
            <w:r>
              <w:rPr>
                <w:b/>
                <w:i/>
                <w:strike w:val="0"/>
                <w:color w:val="auto"/>
                <w:highlight w:val="none"/>
                <w:u w:val="none" w:color="auto"/>
                <w:vertAlign w:val="baseline"/>
              </w:rPr>
              <w:t>došlo k některé z těchto skutečností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Podle stanoviska ECB.</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442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6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byly zjištěny nedostatky ve fungování DLT nebo v poskytovaných službách a činnostech vykonávaných </w:t>
            </w:r>
            <w:r>
              <w:rPr>
                <w:b/>
                <w:i/>
                <w:strike w:val="0"/>
                <w:color w:val="auto"/>
                <w:highlight w:val="none"/>
                <w:u w:val="none" w:color="auto"/>
                <w:vertAlign w:val="baseline"/>
              </w:rPr>
              <w:t>centrálním depozitářem</w:t>
            </w:r>
            <w:r>
              <w:t xml:space="preserve"> provozujícím systém vypořádání obchodů s cennými papíry vedenými na DLT, které představují riziko pro integritu trhu, ochranu investorů nebo finanční stabilitu převažující nad výhodami experimentálně poskytovaných služeb a prováděných činností, nebo</w:t>
            </w:r>
          </w:p>
        </w:tc>
        <w:tc>
          <w:tcPr>
            <w:tcW w:w="4876" w:type="dxa"/>
            <w:vAlign w:val="top"/>
          </w:tcPr>
          <w:p>
            <w:pPr>
              <w:pStyle w:val="Normal6a"/>
            </w:pPr>
            <w:r>
              <w:t>a)</w:t>
            </w:r>
            <w:r>
              <w:tab/>
            </w:r>
            <w:r>
              <w:t xml:space="preserve">byly zjištěny nedostatky ve fungování DLT nebo v poskytovaných službách a činnostech vykonávaných </w:t>
            </w:r>
            <w:r>
              <w:rPr>
                <w:b/>
                <w:i/>
                <w:strike w:val="0"/>
                <w:color w:val="auto"/>
                <w:highlight w:val="none"/>
                <w:u w:val="none" w:color="auto"/>
                <w:vertAlign w:val="baseline"/>
              </w:rPr>
              <w:t>subjektem</w:t>
            </w:r>
            <w:r>
              <w:t xml:space="preserve"> provozujícím systém vypořádání obchodů s cennými papíry vedenými na DLT, které představují riziko pro integritu trhu, ochranu investorů nebo finanční stabilitu převažující nad výhodami experimentálně poskytovaných služeb a prováděných činností, nebo </w:t>
            </w:r>
            <w:r>
              <w:rPr>
                <w:b/>
                <w:i/>
                <w:strike w:val="0"/>
                <w:color w:val="auto"/>
                <w:highlight w:val="none"/>
                <w:u w:val="none" w:color="auto"/>
                <w:vertAlign w:val="baseline"/>
              </w:rPr>
              <w:t>Or. en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443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6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rPr>
                <w:b/>
                <w:i/>
                <w:strike w:val="0"/>
                <w:color w:val="auto"/>
                <w:highlight w:val="none"/>
                <w:u w:val="none" w:color="auto"/>
                <w:vertAlign w:val="baseline"/>
              </w:rPr>
              <w:t>centrální depozitář</w:t>
            </w:r>
            <w:r>
              <w:t xml:space="preserve"> provozující systém vypořádání obchodů s cennými papíry vedenými na DLT poruší podmínky spojené s výjimkami udělenými příslušným orgánem, nebo</w:t>
            </w:r>
          </w:p>
        </w:tc>
        <w:tc>
          <w:tcPr>
            <w:tcW w:w="4876" w:type="dxa"/>
            <w:vAlign w:val="top"/>
          </w:tcPr>
          <w:p>
            <w:pPr>
              <w:pStyle w:val="Normal6a"/>
            </w:pPr>
            <w:r>
              <w:t>b)</w:t>
            </w:r>
            <w:r>
              <w:tab/>
            </w:r>
            <w:r>
              <w:rPr>
                <w:b/>
                <w:i/>
                <w:strike w:val="0"/>
                <w:color w:val="auto"/>
                <w:highlight w:val="none"/>
                <w:u w:val="none" w:color="auto"/>
                <w:vertAlign w:val="baseline"/>
              </w:rPr>
              <w:t>subjekt</w:t>
            </w:r>
            <w:r>
              <w:t xml:space="preserve"> provozující systém vypořádání obchodů s cennými papíry vedenými na DLT poruší podmínky spojené s výjimkami udělenými příslušným orgánem, nebo </w:t>
            </w:r>
            <w:r>
              <w:rPr>
                <w:b/>
                <w:i/>
                <w:strike w:val="0"/>
                <w:color w:val="auto"/>
                <w:highlight w:val="none"/>
                <w:u w:val="none" w:color="auto"/>
                <w:vertAlign w:val="baseline"/>
              </w:rPr>
              <w:t>Or. en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444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6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rPr>
                <w:b/>
                <w:i/>
                <w:strike w:val="0"/>
                <w:color w:val="auto"/>
                <w:highlight w:val="none"/>
                <w:u w:val="none" w:color="auto"/>
                <w:vertAlign w:val="baseline"/>
              </w:rPr>
              <w:t>centrální depozitář</w:t>
            </w:r>
            <w:r>
              <w:t xml:space="preserve"> provozující systém vypořádání obchodů s cennými papíry vedenými na DLT zaeviduje finanční nástroje, které nesplňují podmínky stanovené v čl. 3 odst. 1 a 2, nebo</w:t>
            </w:r>
          </w:p>
        </w:tc>
        <w:tc>
          <w:tcPr>
            <w:tcW w:w="4876" w:type="dxa"/>
            <w:vAlign w:val="top"/>
          </w:tcPr>
          <w:p>
            <w:pPr>
              <w:pStyle w:val="Normal6a"/>
            </w:pPr>
            <w:r>
              <w:t>c)</w:t>
            </w:r>
            <w:r>
              <w:tab/>
            </w:r>
            <w:r>
              <w:rPr>
                <w:b/>
                <w:i/>
                <w:strike w:val="0"/>
                <w:color w:val="auto"/>
                <w:highlight w:val="none"/>
                <w:u w:val="none" w:color="auto"/>
                <w:vertAlign w:val="baseline"/>
              </w:rPr>
              <w:t>subjekt</w:t>
            </w:r>
            <w:r>
              <w:t xml:space="preserve"> provozující systém vypořádání obchodů s cennými papíry vedenými na DLT zaeviduje finanční nástroje, které nesplňují podmínky stanovené v čl. 3 odst. 1 a 2, nebo </w:t>
            </w:r>
            <w:r>
              <w:rPr>
                <w:b/>
                <w:i/>
                <w:strike w:val="0"/>
                <w:color w:val="auto"/>
                <w:highlight w:val="none"/>
                <w:u w:val="none" w:color="auto"/>
                <w:vertAlign w:val="baseline"/>
              </w:rPr>
              <w:t>Or. en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445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6 – písm.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rPr>
                <w:b/>
                <w:i/>
                <w:strike w:val="0"/>
                <w:color w:val="auto"/>
                <w:highlight w:val="none"/>
                <w:u w:val="none" w:color="auto"/>
                <w:vertAlign w:val="baseline"/>
              </w:rPr>
              <w:t>centrální depozitář</w:t>
            </w:r>
            <w:r>
              <w:t xml:space="preserve"> provozující systém vypořádání obchodů s cennými papíry vedenými na DLT překročí finanční limity uvedené v čl. 3 odst. 3 a čl. 3 odst. 5 třetím pododstavci, nebo</w:t>
            </w:r>
          </w:p>
        </w:tc>
        <w:tc>
          <w:tcPr>
            <w:tcW w:w="4876" w:type="dxa"/>
            <w:vAlign w:val="top"/>
          </w:tcPr>
          <w:p>
            <w:pPr>
              <w:pStyle w:val="Normal6a"/>
            </w:pPr>
            <w:r>
              <w:t>d)</w:t>
            </w:r>
            <w:r>
              <w:tab/>
            </w:r>
            <w:r>
              <w:rPr>
                <w:b/>
                <w:i/>
                <w:strike w:val="0"/>
                <w:color w:val="auto"/>
                <w:highlight w:val="none"/>
                <w:u w:val="none" w:color="auto"/>
                <w:vertAlign w:val="baseline"/>
              </w:rPr>
              <w:t>subjekt</w:t>
            </w:r>
            <w:r>
              <w:t xml:space="preserve"> provozující systém vypořádání obchodů s cennými papíry vedenými na DLT překročí finanční limity uvedené v čl. 3 odst. 3 a čl. 3 odst. 5 třetím pododstavci, nebo </w:t>
            </w:r>
            <w:r>
              <w:rPr>
                <w:b/>
                <w:i/>
                <w:strike w:val="0"/>
                <w:color w:val="auto"/>
                <w:highlight w:val="none"/>
                <w:u w:val="none" w:color="auto"/>
                <w:vertAlign w:val="baseline"/>
              </w:rPr>
              <w:t>Or. en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446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6 – písm.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e)</w:t>
            </w:r>
            <w:r>
              <w:tab/>
            </w:r>
            <w:r>
              <w:t xml:space="preserve">příslušný orgán zjistí, že </w:t>
            </w:r>
            <w:r>
              <w:rPr>
                <w:b/>
                <w:i/>
                <w:strike w:val="0"/>
                <w:color w:val="auto"/>
                <w:highlight w:val="none"/>
                <w:u w:val="none" w:color="auto"/>
                <w:vertAlign w:val="baseline"/>
              </w:rPr>
              <w:t>centrální depozitář</w:t>
            </w:r>
            <w:r>
              <w:t xml:space="preserve"> provozující systém vypořádání obchodů s cennými papíry vedenými na DLT, který požádal o zvláštní povolení k provozování systému vypořádání obchodů s cennými papíry vedenými na DLT, získal takové povolení nebo související výjimky na základě poskytnutí zavádějících informací, včetně v důsledku podstatného opomenutí.</w:t>
            </w:r>
          </w:p>
        </w:tc>
        <w:tc>
          <w:tcPr>
            <w:tcW w:w="4876" w:type="dxa"/>
            <w:vAlign w:val="top"/>
          </w:tcPr>
          <w:p>
            <w:pPr>
              <w:pStyle w:val="Normal6a"/>
            </w:pPr>
            <w:r>
              <w:t>e)</w:t>
            </w:r>
            <w:r>
              <w:tab/>
            </w:r>
            <w:r>
              <w:t xml:space="preserve">příslušný orgán zjistí, že </w:t>
            </w:r>
            <w:r>
              <w:rPr>
                <w:b/>
                <w:i/>
                <w:strike w:val="0"/>
                <w:color w:val="auto"/>
                <w:highlight w:val="none"/>
                <w:u w:val="none" w:color="auto"/>
                <w:vertAlign w:val="baseline"/>
              </w:rPr>
              <w:t>subjekt</w:t>
            </w:r>
            <w:r>
              <w:t xml:space="preserve"> provozující systém vypořádání obchodů s cennými papíry vedenými na DLT, který požádal o zvláštní povolení k provozování systému vypořádání obchodů s cennými papíry vedenými na DLT, získal takové povolení nebo související výjimky na základě poskytnutí zavádějících informací, včetně v důsledku podstatného opomenutí.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447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7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Pokud se </w:t>
            </w:r>
            <w:r>
              <w:rPr>
                <w:b/>
                <w:i/>
                <w:strike w:val="0"/>
                <w:color w:val="auto"/>
                <w:highlight w:val="none"/>
                <w:u w:val="none" w:color="auto"/>
                <w:vertAlign w:val="baseline"/>
              </w:rPr>
              <w:t>centrální depozitář</w:t>
            </w:r>
            <w:r>
              <w:t xml:space="preserve"> provozující systém vypořádání obchodů s cennými papíry vedenými na DLT během provozování své činnosti chystá zavést podstatnou změnu fungování DLT nebo svých služeb či činností, která vyžaduje nové povolení, novou výjimku nebo změnu jedné nebo více stávajících výjimek nebo jakýchkoli podmínek s těmito výjimkami spojených, požádá o takové povolení, výjimku nebo změnu v souladu s článkem 5. Toto povolení, výjimka nebo změna budou zpracovány příslušným orgánem v souladu s odstavci 2 až 5.</w:t>
            </w:r>
          </w:p>
        </w:tc>
        <w:tc>
          <w:tcPr>
            <w:tcW w:w="4876" w:type="dxa"/>
            <w:vAlign w:val="top"/>
          </w:tcPr>
          <w:p>
            <w:pPr>
              <w:pStyle w:val="Normal6a"/>
            </w:pPr>
            <w:r>
              <w:t>7.</w:t>
            </w:r>
            <w:r>
              <w:tab/>
            </w:r>
            <w:r>
              <w:t xml:space="preserve">Pokud se </w:t>
            </w:r>
            <w:r>
              <w:rPr>
                <w:b/>
                <w:i/>
                <w:strike w:val="0"/>
                <w:color w:val="auto"/>
                <w:highlight w:val="none"/>
                <w:u w:val="none" w:color="auto"/>
                <w:vertAlign w:val="baseline"/>
              </w:rPr>
              <w:t>subjekt</w:t>
            </w:r>
            <w:r>
              <w:t xml:space="preserve"> provozující systém vypořádání obchodů s cennými papíry vedenými na DLT během provozování své činnosti chystá zavést podstatnou změnu fungování DLT nebo svých služeb či činností, která vyžaduje nové povolení, novou výjimku nebo změnu jedné nebo více stávajících výjimek nebo jakýchkoli podmínek s těmito výjimkami spojených, požádá o takové povolení, výjimku nebo změnu v souladu s článkem 5. Toto povolení, výjimka nebo změna budou zpracovány příslušným orgánem v souladu s odstavci 2 až 5.</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7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Pokud </w:t>
            </w:r>
            <w:r>
              <w:rPr>
                <w:b/>
                <w:i/>
                <w:strike w:val="0"/>
                <w:color w:val="auto"/>
                <w:highlight w:val="none"/>
                <w:u w:val="none" w:color="auto"/>
                <w:vertAlign w:val="baseline"/>
              </w:rPr>
              <w:t>centrální depozitář</w:t>
            </w:r>
            <w:r>
              <w:t xml:space="preserve"> provozující systém vypořádání obchodů s cennými papíry vedenými na DLT žádá během provozování své činnosti o nové povolení nebo výjimku, postupuje v souladu s článkem 5. Toto povolení, výjimka nebo změna bude zpracována příslušným orgánem v souladu s odstavci 2 až 5.</w:t>
            </w:r>
          </w:p>
        </w:tc>
        <w:tc>
          <w:tcPr>
            <w:tcW w:w="4876" w:type="dxa"/>
            <w:vAlign w:val="top"/>
          </w:tcPr>
          <w:p>
            <w:pPr>
              <w:pStyle w:val="Normal6a"/>
            </w:pPr>
            <w:r>
              <w:t xml:space="preserve">Pokud </w:t>
            </w:r>
            <w:r>
              <w:rPr>
                <w:b/>
                <w:i/>
                <w:strike w:val="0"/>
                <w:color w:val="auto"/>
                <w:highlight w:val="none"/>
                <w:u w:val="none" w:color="auto"/>
                <w:vertAlign w:val="baseline"/>
              </w:rPr>
              <w:t>subjekt</w:t>
            </w:r>
            <w:r>
              <w:t xml:space="preserve"> provozující systém vypořádání obchodů s cennými papíry vedenými na DLT žádá během provozování své činnosti o nové povolení nebo výjimku, postupuje v souladu s článkem 5. Toto povolení, výjimka nebo změna bude zpracována příslušným orgánem v souladu s odstavci 2 až 5.</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pododstavec 7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7a.</w:t>
            </w:r>
            <w:r>
              <w:tab/>
            </w:r>
            <w:r>
              <w:rPr>
                <w:b/>
                <w:i/>
                <w:strike w:val="0"/>
                <w:color w:val="auto"/>
                <w:highlight w:val="none"/>
                <w:u w:val="none" w:color="auto"/>
                <w:vertAlign w:val="baseline"/>
              </w:rPr>
              <w:t>Orgán ESMA vypracuje prováděcí technické normy pro upřesnění obsahu, standardizovaných formátů a šablon pro prezentaci a předávání informací požadovaných pro účely povolení podle tohoto článku a podle článku 7.</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Evropský orgán pro cenné papíry a trhy předloží návrh těchto prováděcích technických norem Komisi do ... [šest měsíců ode dne vstupu tohoto nařízení v platnost].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Komisi je svěřena pravomoc přijmout prováděcí technické normy uvedené v prvním pododstavci v souladu s článkem 15 nařízení (EU) č. 1095/2010.</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Aniž je dotčeno </w:t>
            </w:r>
            <w:r>
              <w:rPr>
                <w:b/>
                <w:i/>
                <w:strike w:val="0"/>
                <w:color w:val="auto"/>
                <w:highlight w:val="none"/>
                <w:u w:val="none" w:color="auto"/>
                <w:vertAlign w:val="baseline"/>
              </w:rPr>
              <w:t>použití jakýchkoli</w:t>
            </w:r>
            <w:r>
              <w:t xml:space="preserve"> příslušných ustanovení směrnice 2014/65/EU a nařízení (EU) č. 909/2014, provozovatelé tržních infrastruktur DLT spolupracují s příslušnými orgány, které jsou pověřeny udělováním zvláštních povolení podle tohoto nařízení, a s orgánem </w:t>
            </w:r>
            <w:r>
              <w:rPr>
                <w:b/>
                <w:i/>
                <w:strike w:val="0"/>
                <w:color w:val="auto"/>
                <w:highlight w:val="none"/>
                <w:u w:val="none" w:color="auto"/>
                <w:vertAlign w:val="baseline"/>
              </w:rPr>
              <w:t>ESMA</w:t>
            </w:r>
            <w:r>
              <w:t>.</w:t>
            </w:r>
          </w:p>
        </w:tc>
        <w:tc>
          <w:tcPr>
            <w:tcW w:w="4876" w:type="dxa"/>
            <w:vAlign w:val="top"/>
          </w:tcPr>
          <w:p>
            <w:pPr>
              <w:pStyle w:val="Normal6a"/>
            </w:pPr>
            <w:r>
              <w:t>1.</w:t>
            </w:r>
            <w:r>
              <w:tab/>
            </w:r>
            <w:r>
              <w:t xml:space="preserve">Aniž je dotčeno </w:t>
            </w:r>
            <w:r>
              <w:rPr>
                <w:b/>
                <w:i/>
                <w:strike w:val="0"/>
                <w:color w:val="auto"/>
                <w:highlight w:val="none"/>
                <w:u w:val="none" w:color="auto"/>
                <w:vertAlign w:val="baseline"/>
              </w:rPr>
              <w:t>uplatňování</w:t>
            </w:r>
            <w:r>
              <w:t xml:space="preserve"> příslušných ustanovení směrnice 2014/65/EU a nařízení (EU) č. 909/2014, provozovatelé tržních infrastruktur DLT spolupracují s příslušnými orgány, </w:t>
            </w:r>
            <w:r>
              <w:rPr>
                <w:b/>
                <w:i/>
                <w:strike w:val="0"/>
                <w:color w:val="auto"/>
                <w:highlight w:val="none"/>
                <w:u w:val="none" w:color="auto"/>
                <w:vertAlign w:val="baseline"/>
              </w:rPr>
              <w:t>v případě úvěrových institucí včetně jejich obezřetnostních orgánů dohledu, a v případě významných úvěrových institucí včetně ECB,</w:t>
            </w:r>
            <w:r>
              <w:t xml:space="preserve"> které jsou pověřeny udělováním zvláštních povolení podle tohoto nařízení, a s </w:t>
            </w:r>
            <w:r>
              <w:rPr>
                <w:b/>
                <w:i/>
                <w:strike w:val="0"/>
                <w:color w:val="auto"/>
                <w:highlight w:val="none"/>
                <w:u w:val="none" w:color="auto"/>
                <w:vertAlign w:val="baseline"/>
              </w:rPr>
              <w:t>Evropským</w:t>
            </w:r>
            <w:r>
              <w:t xml:space="preserve"> orgánem </w:t>
            </w:r>
            <w:r>
              <w:rPr>
                <w:b/>
                <w:i/>
                <w:strike w:val="0"/>
                <w:color w:val="auto"/>
                <w:highlight w:val="none"/>
                <w:u w:val="none" w:color="auto"/>
                <w:vertAlign w:val="baseline"/>
              </w:rPr>
              <w:t>pro cenné papíry a trhy</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tohoto pozměňovacího návrhu je zohlednit návrh uvedený ve stanovisku ECB.</w:t>
      </w:r>
      <w:r>
        <w:t xml:space="preserve"> </w:t>
      </w:r>
      <w:r>
        <w:t xml:space="preserve">S ohledem na pravomoci jak příslušných vnitrostátních orgánů v oblasti obezřetnostního dohledu, pravomocí ECB týkající se významných úvěrových institucí, by příslušné vnitrostátní orgány a ECB měly být průběžně informovány o veškerých významných změnách následujících po povolení, které by jim měly být příslušně oznamovány. </w:t>
      </w:r>
      <w:r>
        <w:t xml:space="preserve"> </w:t>
      </w:r>
      <w:r>
        <w:t>Mimoto by poskytování hlavních služeb centrálního depozitáře ze strany provozovatele tržní infrastruktury DLT mělo vyžadovat hodnocení ze strany příslušných orgánů, včetně centrálních bank ESCB, v souladu s články 16 a 17 nařízení 909/2014.</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Aniž je dotčeno </w:t>
            </w:r>
            <w:r>
              <w:rPr>
                <w:b/>
                <w:i/>
                <w:strike w:val="0"/>
                <w:color w:val="auto"/>
                <w:highlight w:val="none"/>
                <w:u w:val="none" w:color="auto"/>
                <w:vertAlign w:val="baseline"/>
              </w:rPr>
              <w:t>použití jakýchkoli</w:t>
            </w:r>
            <w:r>
              <w:t xml:space="preserve"> příslušných ustanovení směrnice 2014/65/EU a nařízení (EU) č. 909/2014, provozovatelé tržních infrastruktur DLT spolupracují s příslušnými orgány, které jsou pověřeny udělováním zvláštních povolení podle tohoto nařízení, a s orgánem </w:t>
            </w:r>
            <w:r>
              <w:rPr>
                <w:b/>
                <w:i/>
                <w:strike w:val="0"/>
                <w:color w:val="auto"/>
                <w:highlight w:val="none"/>
                <w:u w:val="none" w:color="auto"/>
                <w:vertAlign w:val="baseline"/>
              </w:rPr>
              <w:t>ESMA</w:t>
            </w:r>
            <w:r>
              <w:t>.</w:t>
            </w:r>
          </w:p>
        </w:tc>
        <w:tc>
          <w:tcPr>
            <w:tcW w:w="4876" w:type="dxa"/>
            <w:vAlign w:val="top"/>
          </w:tcPr>
          <w:p>
            <w:pPr>
              <w:pStyle w:val="Normal6a"/>
            </w:pPr>
            <w:r>
              <w:t>1.</w:t>
            </w:r>
            <w:r>
              <w:tab/>
            </w:r>
            <w:r>
              <w:t xml:space="preserve">Aniž je dotčeno </w:t>
            </w:r>
            <w:r>
              <w:rPr>
                <w:b/>
                <w:i/>
                <w:strike w:val="0"/>
                <w:color w:val="auto"/>
                <w:highlight w:val="none"/>
                <w:u w:val="none" w:color="auto"/>
                <w:vertAlign w:val="baseline"/>
              </w:rPr>
              <w:t>uplatňování</w:t>
            </w:r>
            <w:r>
              <w:t xml:space="preserve"> příslušných ustanovení směrnice 2014/65/EU a nařízení (EU) č. 909/2014, provozovatelé tržních infrastruktur DLT spolupracují s příslušnými orgány, </w:t>
            </w:r>
            <w:r>
              <w:rPr>
                <w:b/>
                <w:i/>
                <w:strike w:val="0"/>
                <w:color w:val="auto"/>
                <w:highlight w:val="none"/>
                <w:u w:val="none" w:color="auto"/>
                <w:vertAlign w:val="baseline"/>
              </w:rPr>
              <w:t>v případě úvěrových institucí včetně jejich obezřetnostních orgánů dohledu, a v případě významných úvěrových institucí včetně ECB,</w:t>
            </w:r>
            <w:r>
              <w:t xml:space="preserve"> které jsou pověřeny udělováním zvláštních povolení podle tohoto nařízení, a s </w:t>
            </w:r>
            <w:r>
              <w:rPr>
                <w:b/>
                <w:i/>
                <w:strike w:val="0"/>
                <w:color w:val="auto"/>
                <w:highlight w:val="none"/>
                <w:u w:val="none" w:color="auto"/>
                <w:vertAlign w:val="baseline"/>
              </w:rPr>
              <w:t>Evropským</w:t>
            </w:r>
            <w:r>
              <w:t xml:space="preserve"> orgánem </w:t>
            </w:r>
            <w:r>
              <w:rPr>
                <w:b/>
                <w:i/>
                <w:strike w:val="0"/>
                <w:color w:val="auto"/>
                <w:highlight w:val="none"/>
                <w:u w:val="none" w:color="auto"/>
                <w:vertAlign w:val="baseline"/>
              </w:rPr>
              <w:t>pro cenné papíry a trhy</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Podle stanoviska ECB.</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Christophe Hansen</w:t>
      </w:r>
      <w:r>
        <w:t xml:space="preserve">, </w:t>
      </w:r>
      <w:r>
        <w:t>Lídia Pereira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Aniž je dotčeno použití jakýchkoli příslušných ustanovení směrnice 2014/65/EU a nařízení (EU) č. 909/2014, provozovatelé tržních infrastruktur DLT spolupracují s příslušnými orgány, které jsou pověřeny udělováním zvláštních povolení podle tohoto nařízení</w:t>
            </w:r>
            <w:r>
              <w:rPr>
                <w:b/>
                <w:i/>
                <w:strike w:val="0"/>
                <w:color w:val="auto"/>
                <w:highlight w:val="none"/>
                <w:u w:val="none" w:color="auto"/>
                <w:vertAlign w:val="baseline"/>
              </w:rPr>
              <w:t>, a s orgánem ESMA</w:t>
            </w:r>
            <w:r>
              <w:t>.</w:t>
            </w:r>
          </w:p>
        </w:tc>
        <w:tc>
          <w:tcPr>
            <w:tcW w:w="4876" w:type="dxa"/>
            <w:vAlign w:val="top"/>
          </w:tcPr>
          <w:p>
            <w:pPr>
              <w:pStyle w:val="Normal6a"/>
            </w:pPr>
            <w:r>
              <w:t>1.</w:t>
            </w:r>
            <w:r>
              <w:tab/>
            </w:r>
            <w:r>
              <w:t>Aniž je dotčeno použití jakýchkoli příslušných ustanovení směrnice 2014/65/EU a nařízení (EU) č. 909/2014, provozovatelé tržních infrastruktur DLT spolupracují s příslušnými orgány, které jsou pověřeny udělováním zvláštních povolení podle tohoto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1 – pododstavec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Zejména </w:t>
            </w:r>
            <w:r>
              <w:rPr>
                <w:b/>
                <w:i/>
                <w:strike w:val="0"/>
                <w:color w:val="auto"/>
                <w:highlight w:val="none"/>
                <w:u w:val="none" w:color="auto"/>
                <w:vertAlign w:val="baseline"/>
              </w:rPr>
              <w:t>bezprostředně</w:t>
            </w:r>
            <w:r>
              <w:t xml:space="preserve"> poté, co se </w:t>
            </w:r>
            <w:r>
              <w:rPr>
                <w:b/>
                <w:i/>
                <w:strike w:val="0"/>
                <w:color w:val="auto"/>
                <w:highlight w:val="none"/>
                <w:u w:val="none" w:color="auto"/>
                <w:vertAlign w:val="baseline"/>
              </w:rPr>
              <w:t>provozovatelé tržních infrastruktur DLT dozví o kterékoli ze skutečností uvedených níže, učiní o ní oznámení dotyčným příslušným</w:t>
            </w:r>
            <w:r>
              <w:t xml:space="preserve"> orgánům </w:t>
            </w:r>
            <w:r>
              <w:rPr>
                <w:b/>
                <w:i/>
                <w:strike w:val="0"/>
                <w:color w:val="auto"/>
                <w:highlight w:val="none"/>
                <w:u w:val="none" w:color="auto"/>
                <w:vertAlign w:val="baseline"/>
              </w:rPr>
              <w:t>a</w:t>
            </w:r>
            <w:r>
              <w:t xml:space="preserve"> orgánu </w:t>
            </w:r>
            <w:r>
              <w:rPr>
                <w:b/>
                <w:i/>
                <w:strike w:val="0"/>
                <w:color w:val="auto"/>
                <w:highlight w:val="none"/>
                <w:u w:val="none" w:color="auto"/>
                <w:vertAlign w:val="baseline"/>
              </w:rPr>
              <w:t>ESMA</w:t>
            </w:r>
            <w:r>
              <w:t>.</w:t>
            </w:r>
            <w:r>
              <w:rPr>
                <w:b/>
                <w:i/>
                <w:strike w:val="0"/>
                <w:color w:val="auto"/>
                <w:highlight w:val="none"/>
                <w:u w:val="none" w:color="auto"/>
                <w:vertAlign w:val="baseline"/>
              </w:rPr>
              <w:t xml:space="preserve">  </w:t>
            </w:r>
            <w:r>
              <w:t>Mezi tyto skutečnosti mimo jiné patří:</w:t>
            </w:r>
          </w:p>
        </w:tc>
        <w:tc>
          <w:tcPr>
            <w:tcW w:w="4876" w:type="dxa"/>
            <w:vAlign w:val="top"/>
          </w:tcPr>
          <w:p>
            <w:pPr>
              <w:pStyle w:val="Normal6a"/>
            </w:pPr>
            <w:r>
              <w:t xml:space="preserve">Zejména </w:t>
            </w:r>
            <w:r>
              <w:rPr>
                <w:b/>
                <w:i/>
                <w:strike w:val="0"/>
                <w:color w:val="auto"/>
                <w:highlight w:val="none"/>
                <w:u w:val="none" w:color="auto"/>
                <w:vertAlign w:val="baseline"/>
              </w:rPr>
              <w:t>provozovatelé tržních infrastruktur DLT okamžitě</w:t>
            </w:r>
            <w:r>
              <w:t xml:space="preserve"> poté, co se </w:t>
            </w:r>
            <w:r>
              <w:rPr>
                <w:b/>
                <w:i/>
                <w:strike w:val="0"/>
                <w:color w:val="auto"/>
                <w:highlight w:val="none"/>
                <w:u w:val="none" w:color="auto"/>
                <w:vertAlign w:val="baseline"/>
              </w:rPr>
              <w:t>dozví o některém z níže uvedených skutečností, oznámí tuto skutečnost uvedeným příslušným orgánům, včetně v případě úvěrových institucí jejich</w:t>
            </w:r>
            <w:r>
              <w:t xml:space="preserve"> orgánům </w:t>
            </w:r>
            <w:r>
              <w:rPr>
                <w:b/>
                <w:i/>
                <w:strike w:val="0"/>
                <w:color w:val="auto"/>
                <w:highlight w:val="none"/>
                <w:u w:val="none" w:color="auto"/>
                <w:vertAlign w:val="baseline"/>
              </w:rPr>
              <w:t>obezřetnostního dohledu, včetně ECB v případě významných úvěrových institucí, a Evropskému</w:t>
            </w:r>
            <w:r>
              <w:t xml:space="preserve"> orgánu </w:t>
            </w:r>
            <w:r>
              <w:rPr>
                <w:b/>
                <w:i/>
                <w:strike w:val="0"/>
                <w:color w:val="auto"/>
                <w:highlight w:val="none"/>
                <w:u w:val="none" w:color="auto"/>
                <w:vertAlign w:val="baseline"/>
              </w:rPr>
              <w:t>pro cenné papíry a trhy</w:t>
            </w:r>
            <w:r>
              <w:t>. Mezi tyto skutečnosti mimo jiné patří: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tohoto pozměňovacího návrhu je zohlednit návrh uvedený ve stanovisku ECB.</w:t>
      </w:r>
      <w:r>
        <w:t xml:space="preserve"> </w:t>
      </w:r>
      <w:r>
        <w:t xml:space="preserve">S ohledem na pravomoc příslušných vnitrostátních orgánů v oblasti obezřetnostního dohledu a ECB ve vztahu k významným úvěrovým institucím by měly bý příslušné vnitrostání orgánjy a ECB informovány o veškerých materiálních změnách následujícím po povolení a tyto změny by jim měly být řádně oznamovány. </w:t>
      </w:r>
      <w:r>
        <w:t xml:space="preserve"> </w:t>
      </w:r>
      <w:r>
        <w:t>Mimoto by poskytování hlavních služeb centrálního depozitáře ze strany provozovatele tržní infrastruktury DLT mělo vyžadovat hodnocení ze strany příslušných orgánů, včetně centrálních bank ESCB, v souladu s články 16 a 17 nařízení 909/2014.</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1 – pododstavec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Zejména </w:t>
            </w:r>
            <w:r>
              <w:rPr>
                <w:b/>
                <w:i/>
                <w:strike w:val="0"/>
                <w:color w:val="auto"/>
                <w:highlight w:val="none"/>
                <w:u w:val="none" w:color="auto"/>
                <w:vertAlign w:val="baseline"/>
              </w:rPr>
              <w:t>bezprostředně</w:t>
            </w:r>
            <w:r>
              <w:t xml:space="preserve"> poté, co se </w:t>
            </w:r>
            <w:r>
              <w:rPr>
                <w:b/>
                <w:i/>
                <w:strike w:val="0"/>
                <w:color w:val="auto"/>
                <w:highlight w:val="none"/>
                <w:u w:val="none" w:color="auto"/>
                <w:vertAlign w:val="baseline"/>
              </w:rPr>
              <w:t>provozovatelé tržních infrastruktur DLT dozví o kterékoli ze skutečností uvedených níže, učiní o ní oznámení dotyčným příslušným</w:t>
            </w:r>
            <w:r>
              <w:t xml:space="preserve"> orgánům </w:t>
            </w:r>
            <w:r>
              <w:rPr>
                <w:b/>
                <w:i/>
                <w:strike w:val="0"/>
                <w:color w:val="auto"/>
                <w:highlight w:val="none"/>
                <w:u w:val="none" w:color="auto"/>
                <w:vertAlign w:val="baseline"/>
              </w:rPr>
              <w:t>a</w:t>
            </w:r>
            <w:r>
              <w:t xml:space="preserve"> orgánu </w:t>
            </w:r>
            <w:r>
              <w:rPr>
                <w:b/>
                <w:i/>
                <w:strike w:val="0"/>
                <w:color w:val="auto"/>
                <w:highlight w:val="none"/>
                <w:u w:val="none" w:color="auto"/>
                <w:vertAlign w:val="baseline"/>
              </w:rPr>
              <w:t>ESMA</w:t>
            </w:r>
            <w:r>
              <w:t>.</w:t>
            </w:r>
            <w:r>
              <w:rPr>
                <w:b/>
                <w:i/>
                <w:strike w:val="0"/>
                <w:color w:val="auto"/>
                <w:highlight w:val="none"/>
                <w:u w:val="none" w:color="auto"/>
                <w:vertAlign w:val="baseline"/>
              </w:rPr>
              <w:t xml:space="preserve">  </w:t>
            </w:r>
            <w:r>
              <w:t>Mezi tyto skutečnosti mimo jiné patří:</w:t>
            </w:r>
          </w:p>
        </w:tc>
        <w:tc>
          <w:tcPr>
            <w:tcW w:w="4876" w:type="dxa"/>
            <w:vAlign w:val="top"/>
          </w:tcPr>
          <w:p>
            <w:pPr>
              <w:pStyle w:val="Normal6a"/>
            </w:pPr>
            <w:r>
              <w:t xml:space="preserve">Zejména </w:t>
            </w:r>
            <w:r>
              <w:rPr>
                <w:b/>
                <w:i/>
                <w:strike w:val="0"/>
                <w:color w:val="auto"/>
                <w:highlight w:val="none"/>
                <w:u w:val="none" w:color="auto"/>
                <w:vertAlign w:val="baseline"/>
              </w:rPr>
              <w:t>provozovatelé tržních infrastruktur DLT okamžitě</w:t>
            </w:r>
            <w:r>
              <w:t xml:space="preserve"> poté, co se </w:t>
            </w:r>
            <w:r>
              <w:rPr>
                <w:b/>
                <w:i/>
                <w:strike w:val="0"/>
                <w:color w:val="auto"/>
                <w:highlight w:val="none"/>
                <w:u w:val="none" w:color="auto"/>
                <w:vertAlign w:val="baseline"/>
              </w:rPr>
              <w:t>dozví o některém z níže uvedených skutečností, oznámí tuto skutečnost uvedeným příslušným orgánům, včetně v případě úvěrových institucí jejich</w:t>
            </w:r>
            <w:r>
              <w:t xml:space="preserve"> orgánům </w:t>
            </w:r>
            <w:r>
              <w:rPr>
                <w:b/>
                <w:i/>
                <w:strike w:val="0"/>
                <w:color w:val="auto"/>
                <w:highlight w:val="none"/>
                <w:u w:val="none" w:color="auto"/>
                <w:vertAlign w:val="baseline"/>
              </w:rPr>
              <w:t>obezřetnostního dohledu, včetně ECB v případě významných úvěrových institucí, a Evropskému</w:t>
            </w:r>
            <w:r>
              <w:t xml:space="preserve"> orgánu </w:t>
            </w:r>
            <w:r>
              <w:rPr>
                <w:b/>
                <w:i/>
                <w:strike w:val="0"/>
                <w:color w:val="auto"/>
                <w:highlight w:val="none"/>
                <w:u w:val="none" w:color="auto"/>
                <w:vertAlign w:val="baseline"/>
              </w:rPr>
              <w:t>pro cenné papíry a trhy</w:t>
            </w:r>
            <w:r>
              <w:t>. Mezi tyto skutečnosti mimo jiné patří: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Podle stanoviska ECB.</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Christophe Hansen</w:t>
      </w:r>
      <w:r>
        <w:t xml:space="preserve">, </w:t>
      </w:r>
      <w:r>
        <w:t>Lídia Pereira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1 – pododstavec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Zejména bezprostředně poté, co se provozovatelé tržních infrastruktur DLT dozví o kterékoli ze skutečností uvedených níže, učiní o ní oznámení dotyčným příslušným orgánům a orgánu ESMA.</w:t>
            </w:r>
            <w:r>
              <w:rPr>
                <w:b/>
                <w:i/>
                <w:strike w:val="0"/>
                <w:color w:val="auto"/>
                <w:highlight w:val="none"/>
                <w:u w:val="none" w:color="auto"/>
                <w:vertAlign w:val="baseline"/>
              </w:rPr>
              <w:t xml:space="preserve">  </w:t>
            </w:r>
            <w:r>
              <w:t>Mezi tyto skutečnosti mimo jiné patří:</w:t>
            </w:r>
          </w:p>
        </w:tc>
        <w:tc>
          <w:tcPr>
            <w:tcW w:w="4876" w:type="dxa"/>
            <w:vAlign w:val="top"/>
          </w:tcPr>
          <w:p>
            <w:pPr>
              <w:pStyle w:val="Normal6a"/>
            </w:pPr>
            <w:r>
              <w:t>Zejména bezprostředně poté, co se provozovatelé tržních infrastruktur DLT dozví o kterékoli ze skutečností uvedených níže, učiní o ní oznámení dotyčným příslušným orgánům a orgánu ESMA. Mezi tyto skutečnosti mimo jiné patří: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Provozovatelé tržních infrastruktur DLT poskytnou příslušnému orgánu, který udělil zvláštní povolení, a orgánu ESMA veškeré příslušné informace, které jsou tyto orgány oprávněny požadovat.</w:t>
            </w:r>
          </w:p>
        </w:tc>
        <w:tc>
          <w:tcPr>
            <w:tcW w:w="4876" w:type="dxa"/>
            <w:vAlign w:val="top"/>
          </w:tcPr>
          <w:p>
            <w:pPr>
              <w:pStyle w:val="Normal6a"/>
            </w:pPr>
            <w:r>
              <w:t>2.</w:t>
            </w:r>
            <w:r>
              <w:tab/>
            </w:r>
            <w:r>
              <w:t xml:space="preserve">Provozovatelé tržních infrastruktur DLT poskytnou příslušnému orgánu, který udělil zvláštní povolení, a orgánu ESMA veškeré příslušné informace, které jsou tyto orgány oprávněny požadovat. </w:t>
            </w:r>
            <w:r>
              <w:rPr>
                <w:b/>
                <w:i/>
                <w:strike w:val="0"/>
                <w:color w:val="auto"/>
                <w:highlight w:val="none"/>
                <w:u w:val="none" w:color="auto"/>
                <w:vertAlign w:val="baseline"/>
              </w:rPr>
              <w:t>V případě, že systém DLT SSS nebo MTF DLT poskytují základní služby centrálního depozitáře, příslušný orgán co nejdříve předá informace o fungování vypořádacího systému příslušným orgánům uvedeným v článku 12 nařízení (EU) č. 909/2014.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Podle stanoviska ECB.</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Provozovatelé tržních infrastruktur DLT poskytnou příslušnému orgánu, který udělil zvláštní povolení, a orgánu ESMA veškeré příslušné informace, které jsou tyto orgány oprávněny požadovat.</w:t>
            </w:r>
          </w:p>
        </w:tc>
        <w:tc>
          <w:tcPr>
            <w:tcW w:w="4876" w:type="dxa"/>
            <w:vAlign w:val="top"/>
          </w:tcPr>
          <w:p>
            <w:pPr>
              <w:pStyle w:val="Normal6a"/>
            </w:pPr>
            <w:r>
              <w:t>2.</w:t>
            </w:r>
            <w:r>
              <w:tab/>
            </w:r>
            <w:r>
              <w:t xml:space="preserve">Provozovatelé tržních infrastruktur DLT poskytnou příslušnému orgánu, který udělil zvláštní povolení, a orgánu ESMA veškeré příslušné informace, které jsou tyto orgány oprávněny požadovat. </w:t>
            </w:r>
            <w:r>
              <w:rPr>
                <w:b/>
                <w:i/>
                <w:strike w:val="0"/>
                <w:color w:val="auto"/>
                <w:highlight w:val="none"/>
                <w:u w:val="none" w:color="auto"/>
                <w:vertAlign w:val="baseline"/>
              </w:rPr>
              <w:t>V případě, že systém DLT SSS nebo DLT TSS, příslušný orgán co nejdříve předá informace o fungování vypořádacího systému příslušným orgánům uvedeným v článku 12 nařízení (EU) č. 909/2014.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tohoto pozměňovacího návrhu je zohlednit návrh uvedený ve stanovisku ECB.</w:t>
      </w:r>
      <w:r>
        <w:t xml:space="preserve"> </w:t>
      </w:r>
      <w:r>
        <w:t xml:space="preserve">S ohledem na pravomoci jak příslušných vnitrostátních orgánů v oblasti obezřetnostního dohledu, pravomocí ECB týkající se významných úvěrových institucí, by příslušné vnitrostátní orgány a ECB měly být průběžně informovány o veškerých významných změnách následujících po povolení, které by jim měly být příslušně oznamovány. </w:t>
      </w:r>
      <w:r>
        <w:t xml:space="preserve"> </w:t>
      </w:r>
      <w:r>
        <w:t>Mimoto by poskytování hlavních služeb centrálního depozitáře ze strany provozovatele tržní infrastruktury DLT mělo vyžadovat hodnocení ze strany příslušných orgánů, včetně centrálních bank ESCB, v souladu s články 16 a 17 nařízení 909/2014.</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4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Každých šest měsíců </w:t>
            </w:r>
            <w:r>
              <w:rPr>
                <w:b/>
                <w:i/>
                <w:strike w:val="0"/>
                <w:color w:val="auto"/>
                <w:highlight w:val="none"/>
                <w:u w:val="none" w:color="auto"/>
                <w:vertAlign w:val="baseline"/>
              </w:rPr>
              <w:t>od</w:t>
            </w:r>
            <w:r>
              <w:t xml:space="preserve"> udělení zvláštního povolení </w:t>
            </w:r>
            <w:r>
              <w:rPr>
                <w:b/>
                <w:i/>
                <w:strike w:val="0"/>
                <w:color w:val="auto"/>
                <w:highlight w:val="none"/>
                <w:u w:val="none" w:color="auto"/>
                <w:vertAlign w:val="baseline"/>
              </w:rPr>
              <w:t>předkládá</w:t>
            </w:r>
            <w:r>
              <w:t xml:space="preserve"> provozovatel </w:t>
            </w:r>
            <w:r>
              <w:rPr>
                <w:b/>
                <w:i/>
                <w:strike w:val="0"/>
                <w:color w:val="auto"/>
                <w:highlight w:val="none"/>
                <w:u w:val="none" w:color="auto"/>
                <w:vertAlign w:val="baseline"/>
              </w:rPr>
              <w:t>tržní infrastruktury DLT zprávu</w:t>
            </w:r>
            <w:r>
              <w:t xml:space="preserve"> příslušnému orgánu </w:t>
            </w:r>
            <w:r>
              <w:rPr>
                <w:b/>
                <w:i/>
                <w:strike w:val="0"/>
                <w:color w:val="auto"/>
                <w:highlight w:val="none"/>
                <w:u w:val="none" w:color="auto"/>
                <w:vertAlign w:val="baseline"/>
              </w:rPr>
              <w:t>a orgánu ESMA. Tato zpráva mimo jiné obsahuje:</w:t>
            </w:r>
          </w:p>
        </w:tc>
        <w:tc>
          <w:tcPr>
            <w:tcW w:w="4876" w:type="dxa"/>
            <w:vAlign w:val="top"/>
          </w:tcPr>
          <w:p>
            <w:pPr>
              <w:pStyle w:val="Normal6a"/>
            </w:pPr>
            <w:r>
              <w:t>4.</w:t>
            </w:r>
            <w:r>
              <w:tab/>
            </w:r>
            <w:r>
              <w:t xml:space="preserve">Každých šest měsíců </w:t>
            </w:r>
            <w:r>
              <w:rPr>
                <w:b/>
                <w:i/>
                <w:strike w:val="0"/>
                <w:color w:val="auto"/>
                <w:highlight w:val="none"/>
                <w:u w:val="none" w:color="auto"/>
                <w:vertAlign w:val="baseline"/>
              </w:rPr>
              <w:t>ode dne</w:t>
            </w:r>
            <w:r>
              <w:t xml:space="preserve"> udělení zvláštního povolení </w:t>
            </w:r>
            <w:r>
              <w:rPr>
                <w:b/>
                <w:i/>
                <w:strike w:val="0"/>
                <w:color w:val="auto"/>
                <w:highlight w:val="none"/>
                <w:u w:val="none" w:color="auto"/>
                <w:vertAlign w:val="baseline"/>
              </w:rPr>
              <w:t>předloží</w:t>
            </w:r>
            <w:r>
              <w:t xml:space="preserve"> provozovatel </w:t>
            </w:r>
            <w:r>
              <w:rPr>
                <w:b/>
                <w:i/>
                <w:strike w:val="0"/>
                <w:color w:val="auto"/>
                <w:highlight w:val="none"/>
                <w:u w:val="none" w:color="auto"/>
                <w:vertAlign w:val="baseline"/>
              </w:rPr>
              <w:t>infrastruktury trhu distribuované účetní knihy</w:t>
            </w:r>
            <w:r>
              <w:t xml:space="preserve"> příslušnému orgánu </w:t>
            </w:r>
            <w:r>
              <w:rPr>
                <w:b/>
                <w:i/>
                <w:strike w:val="0"/>
                <w:color w:val="auto"/>
                <w:highlight w:val="none"/>
                <w:u w:val="none" w:color="auto"/>
                <w:vertAlign w:val="baseline"/>
              </w:rPr>
              <w:t>zprávu zahrnující v případě úvěrové instituce obezřetnostní orgán dohledu, v případě významných úvěrových institucí ECB, a Evropský orgán pro cenné papíry a trhy.</w:t>
            </w:r>
            <w:r>
              <w:t xml:space="preserve"> </w:t>
            </w:r>
            <w:r>
              <w:rPr>
                <w:b/>
                <w:i/>
                <w:strike w:val="0"/>
                <w:color w:val="auto"/>
                <w:highlight w:val="none"/>
                <w:u w:val="none" w:color="auto"/>
                <w:vertAlign w:val="baseline"/>
              </w:rPr>
              <w:t>V případě vypořádacího systému DLT nebo mnohostranného obchodního systému DLT poskytujícího základní služby centrálního depozitáře předá příslušný orgán tyto informace co nejdříve relevantním orgánům uvedeným v článku 12 nařízení (EU) č. 909/2014.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Podle stanoviska ECB.</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4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Každých šest měsíců </w:t>
            </w:r>
            <w:r>
              <w:rPr>
                <w:b/>
                <w:i/>
                <w:strike w:val="0"/>
                <w:color w:val="auto"/>
                <w:highlight w:val="none"/>
                <w:u w:val="none" w:color="auto"/>
                <w:vertAlign w:val="baseline"/>
              </w:rPr>
              <w:t>od</w:t>
            </w:r>
            <w:r>
              <w:t xml:space="preserve"> udělení zvláštního povolení </w:t>
            </w:r>
            <w:r>
              <w:rPr>
                <w:b/>
                <w:i/>
                <w:strike w:val="0"/>
                <w:color w:val="auto"/>
                <w:highlight w:val="none"/>
                <w:u w:val="none" w:color="auto"/>
                <w:vertAlign w:val="baseline"/>
              </w:rPr>
              <w:t>předkládá</w:t>
            </w:r>
            <w:r>
              <w:t xml:space="preserve"> provozovatel </w:t>
            </w:r>
            <w:r>
              <w:rPr>
                <w:b/>
                <w:i/>
                <w:strike w:val="0"/>
                <w:color w:val="auto"/>
                <w:highlight w:val="none"/>
                <w:u w:val="none" w:color="auto"/>
                <w:vertAlign w:val="baseline"/>
              </w:rPr>
              <w:t>tržní infrastruktury DLT zprávu</w:t>
            </w:r>
            <w:r>
              <w:t xml:space="preserve"> příslušnému orgánu </w:t>
            </w:r>
            <w:r>
              <w:rPr>
                <w:b/>
                <w:i/>
                <w:strike w:val="0"/>
                <w:color w:val="auto"/>
                <w:highlight w:val="none"/>
                <w:u w:val="none" w:color="auto"/>
                <w:vertAlign w:val="baseline"/>
              </w:rPr>
              <w:t>a orgánu ESMA</w:t>
            </w:r>
            <w:r>
              <w:t>. Tato zpráva mimo jiné obsahuje:</w:t>
            </w:r>
          </w:p>
        </w:tc>
        <w:tc>
          <w:tcPr>
            <w:tcW w:w="4876" w:type="dxa"/>
            <w:vAlign w:val="top"/>
          </w:tcPr>
          <w:p>
            <w:pPr>
              <w:pStyle w:val="Normal6a"/>
            </w:pPr>
            <w:r>
              <w:t>4.</w:t>
            </w:r>
            <w:r>
              <w:tab/>
            </w:r>
            <w:r>
              <w:t xml:space="preserve">Každých šest měsíců </w:t>
            </w:r>
            <w:r>
              <w:rPr>
                <w:b/>
                <w:i/>
                <w:strike w:val="0"/>
                <w:color w:val="auto"/>
                <w:highlight w:val="none"/>
                <w:u w:val="none" w:color="auto"/>
                <w:vertAlign w:val="baseline"/>
              </w:rPr>
              <w:t>ode dne</w:t>
            </w:r>
            <w:r>
              <w:t xml:space="preserve"> udělení zvláštního povolení </w:t>
            </w:r>
            <w:r>
              <w:rPr>
                <w:b/>
                <w:i/>
                <w:strike w:val="0"/>
                <w:color w:val="auto"/>
                <w:highlight w:val="none"/>
                <w:u w:val="none" w:color="auto"/>
                <w:vertAlign w:val="baseline"/>
              </w:rPr>
              <w:t>předloží</w:t>
            </w:r>
            <w:r>
              <w:t xml:space="preserve"> provozovatel </w:t>
            </w:r>
            <w:r>
              <w:rPr>
                <w:b/>
                <w:i/>
                <w:strike w:val="0"/>
                <w:color w:val="auto"/>
                <w:highlight w:val="none"/>
                <w:u w:val="none" w:color="auto"/>
                <w:vertAlign w:val="baseline"/>
              </w:rPr>
              <w:t>infrastruktury trhu distribuované účetní knihy</w:t>
            </w:r>
            <w:r>
              <w:t xml:space="preserve"> příslušnému orgánu </w:t>
            </w:r>
            <w:r>
              <w:rPr>
                <w:b/>
                <w:i/>
                <w:strike w:val="0"/>
                <w:color w:val="auto"/>
                <w:highlight w:val="none"/>
                <w:u w:val="none" w:color="auto"/>
                <w:vertAlign w:val="baseline"/>
              </w:rPr>
              <w:t>zprávu zahrnující v případě úvěrové instituce obezřetnostní orgán dohledu, v případě významných úvěrových institucí ECB, a Evropský orgán pro cenné papíry a trhy.</w:t>
            </w:r>
            <w:r>
              <w:t xml:space="preserve"> </w:t>
            </w:r>
            <w:r>
              <w:rPr>
                <w:b/>
                <w:i/>
                <w:strike w:val="0"/>
                <w:color w:val="auto"/>
                <w:highlight w:val="none"/>
                <w:u w:val="none" w:color="auto"/>
                <w:vertAlign w:val="baseline"/>
              </w:rPr>
              <w:t>V případě vypořádacího systému DLT nebo mnohostranného obchodního systému DLT poskytujícího základní služby centrálního depozitáře předá příslušný orgán tyto informace co nejdříve relevantním orgánům uvedeným v článku 12 nařízení (EU) č. 909/2014</w:t>
            </w:r>
            <w:r>
              <w:t>. Tato zpráva mimo jiné obsahuje: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tohoto pozměňovacího návrhu je zohlednit návrh uvedený ve stanovisku ECB.</w:t>
      </w:r>
      <w:r>
        <w:t xml:space="preserve"> </w:t>
      </w:r>
      <w:r>
        <w:t xml:space="preserve">S ohledem na pravomoci jak příslušných vnitrostátních orgánů v oblasti obezřetnostního dohledu, pravomocí ECB týkající se významných úvěrových institucí, by příslušné vnitrostátní orgány a ECB měly být průběžně informovány o veškerých významných změnách následujících po povolení, které by jim měly být příslušně oznamovány. </w:t>
      </w:r>
      <w:r>
        <w:t xml:space="preserve"> </w:t>
      </w:r>
      <w:r>
        <w:t>Mimoto by poskytování hlavních služeb centrálního depozitáře ze strany provozovatele tržní infrastruktury DLT mělo vyžadovat hodnocení ze strany příslušných orgánů, včetně centrálních bank ESCB, v souladu s články 16 a 17 nařízení 909/2014.</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4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 xml:space="preserve">počet a hodnotu převoditelných cenných papírů vedených na DLT přijatých k obchodování v systému DLT MTF, počet a hodnotu převoditelných cenných papírů vedených na DLT zaevidovaných </w:t>
            </w:r>
            <w:r>
              <w:rPr>
                <w:b/>
                <w:i/>
                <w:strike w:val="0"/>
                <w:color w:val="auto"/>
                <w:highlight w:val="none"/>
                <w:u w:val="none" w:color="auto"/>
                <w:vertAlign w:val="baseline"/>
              </w:rPr>
              <w:t>centrálním depozitářem</w:t>
            </w:r>
            <w:r>
              <w:t xml:space="preserve"> provozujícím systémy vypořádání obchodů s cennými papíry vedenými na DLT a případně počet a hodnotu převoditelných cenných papírů zaevidovaných </w:t>
            </w:r>
            <w:r>
              <w:rPr>
                <w:b/>
                <w:i/>
                <w:strike w:val="0"/>
                <w:color w:val="auto"/>
                <w:highlight w:val="none"/>
                <w:u w:val="none" w:color="auto"/>
                <w:vertAlign w:val="baseline"/>
              </w:rPr>
              <w:t>investičním podnikem nebo organizátorem trhu</w:t>
            </w:r>
            <w:r>
              <w:t xml:space="preserve"> provozujícím systém DLT MTF;</w:t>
            </w:r>
          </w:p>
        </w:tc>
        <w:tc>
          <w:tcPr>
            <w:tcW w:w="4876" w:type="dxa"/>
            <w:vAlign w:val="top"/>
          </w:tcPr>
          <w:p>
            <w:pPr>
              <w:pStyle w:val="Normal6a"/>
            </w:pPr>
            <w:r>
              <w:t>b)</w:t>
            </w:r>
            <w:r>
              <w:tab/>
            </w:r>
            <w:r>
              <w:t xml:space="preserve">počet a hodnotu převoditelných cenných papírů vedených na DLT přijatých k obchodování v systému DLT MTF, počet a hodnotu převoditelných cenných papírů vedených na DLT zaevidovaných </w:t>
            </w:r>
            <w:r>
              <w:rPr>
                <w:b/>
                <w:i/>
                <w:strike w:val="0"/>
                <w:color w:val="auto"/>
                <w:highlight w:val="none"/>
                <w:u w:val="none" w:color="auto"/>
                <w:vertAlign w:val="baseline"/>
              </w:rPr>
              <w:t>subjektem</w:t>
            </w:r>
            <w:r>
              <w:t xml:space="preserve"> provozujícím systémy vypořádání obchodů s cennými papíry vedenými na DLT a případně počet a hodnotu převoditelných cenných papírů zaevidovaných </w:t>
            </w:r>
            <w:r>
              <w:rPr>
                <w:b/>
                <w:i/>
                <w:strike w:val="0"/>
                <w:color w:val="auto"/>
                <w:highlight w:val="none"/>
                <w:u w:val="none" w:color="auto"/>
                <w:vertAlign w:val="baseline"/>
              </w:rPr>
              <w:t>subjektem</w:t>
            </w:r>
            <w:r>
              <w:t> provozujícím systém DLT MTF;</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4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počet a hodnotu převoditelných cenných papírů vedených na DLT přijatých k obchodování v systému DLT MTF, počet a hodnotu převoditelných cenných papírů vedených na DLT zaevidovaných centrálním depozitářem provozujícím systémy vypořádání obchodů s cennými papíry vedenými na DLT a případně počet a hodnotu převoditelných cenných papírů zaevidovaných investičním podnikem nebo organizátorem trhu provozujícím systém DLT MTF;</w:t>
            </w:r>
          </w:p>
        </w:tc>
        <w:tc>
          <w:tcPr>
            <w:tcW w:w="4876" w:type="dxa"/>
            <w:vAlign w:val="top"/>
          </w:tcPr>
          <w:p>
            <w:pPr>
              <w:pStyle w:val="Normal6a"/>
            </w:pPr>
            <w:r>
              <w:t>b)</w:t>
            </w:r>
            <w:r>
              <w:tab/>
            </w:r>
            <w:r>
              <w:t xml:space="preserve">počet a hodnotu převoditelných cenných papírů vedených na DLT přijatých k obchodování v systému DLT MTF, počet a hodnotu převoditelných cenných papírů vedených na DLT zaevidovaných centrálním depozitářem provozujícím systémy vypořádání obchodů s cennými papíry vedenými na DLT </w:t>
            </w:r>
            <w:r>
              <w:rPr>
                <w:b/>
                <w:i/>
                <w:strike w:val="0"/>
                <w:color w:val="auto"/>
                <w:highlight w:val="none"/>
                <w:u w:val="none" w:color="auto"/>
                <w:vertAlign w:val="baseline"/>
              </w:rPr>
              <w:t>SSS</w:t>
            </w:r>
            <w:r>
              <w:t xml:space="preserve"> a případně počet a hodnotu převoditelných cenných papírů zaevidovaných investičním podnikem nebo organizátorem trhu provozujícím systém DLT MTF;</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Editační poznámka.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4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počet a hodnotu transakcí zobchodovaných v systému DLT MTF a vypořádaných </w:t>
            </w:r>
            <w:r>
              <w:rPr>
                <w:b/>
                <w:i/>
                <w:strike w:val="0"/>
                <w:color w:val="auto"/>
                <w:highlight w:val="none"/>
                <w:u w:val="none" w:color="auto"/>
                <w:vertAlign w:val="baseline"/>
              </w:rPr>
              <w:t>centrálním depozitářem</w:t>
            </w:r>
            <w:r>
              <w:t xml:space="preserve"> provozujícím systém vypořádání obchodů s cennými papíry vedenými na DLT, nebo případně </w:t>
            </w:r>
            <w:r>
              <w:rPr>
                <w:b/>
                <w:i/>
                <w:strike w:val="0"/>
                <w:color w:val="auto"/>
                <w:highlight w:val="none"/>
                <w:u w:val="none" w:color="auto"/>
                <w:vertAlign w:val="baseline"/>
              </w:rPr>
              <w:t>investičním podnikem nebo organizátorem trhu</w:t>
            </w:r>
            <w:r>
              <w:t xml:space="preserve"> provozujícím systém DLT MTF;</w:t>
            </w:r>
          </w:p>
        </w:tc>
        <w:tc>
          <w:tcPr>
            <w:tcW w:w="4876" w:type="dxa"/>
            <w:vAlign w:val="top"/>
          </w:tcPr>
          <w:p>
            <w:pPr>
              <w:pStyle w:val="Normal6a"/>
            </w:pPr>
            <w:r>
              <w:t>c)</w:t>
            </w:r>
            <w:r>
              <w:tab/>
            </w:r>
            <w:r>
              <w:t xml:space="preserve">počet a hodnotu transakcí zobchodovaných v systému DLT MTF a vypořádaných </w:t>
            </w:r>
            <w:r>
              <w:rPr>
                <w:b/>
                <w:i/>
                <w:strike w:val="0"/>
                <w:color w:val="auto"/>
                <w:highlight w:val="none"/>
                <w:u w:val="none" w:color="auto"/>
                <w:vertAlign w:val="baseline"/>
              </w:rPr>
              <w:t>subjektem</w:t>
            </w:r>
            <w:r>
              <w:t xml:space="preserve"> provozujícím systém vypořádání obchodů s cennými papíry vedenými na DLT, nebo případně </w:t>
            </w:r>
            <w:r>
              <w:rPr>
                <w:b/>
                <w:i/>
                <w:strike w:val="0"/>
                <w:color w:val="auto"/>
                <w:highlight w:val="none"/>
                <w:u w:val="none" w:color="auto"/>
                <w:vertAlign w:val="baseline"/>
              </w:rPr>
              <w:t>subjektem</w:t>
            </w:r>
            <w:r>
              <w:t xml:space="preserve"> provozujícím systém DLT MTF;</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4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počet a hodnotu transakcí zobchodovaných v systému DLT MTF a vypořádaných centrálním depozitářem provozujícím </w:t>
            </w:r>
            <w:r>
              <w:rPr>
                <w:b/>
                <w:i/>
                <w:strike w:val="0"/>
                <w:color w:val="auto"/>
                <w:highlight w:val="none"/>
                <w:u w:val="none" w:color="auto"/>
                <w:vertAlign w:val="baseline"/>
              </w:rPr>
              <w:t>systém vypořádání obchodů s cennými papíry vedenými na DLT</w:t>
            </w:r>
            <w:r>
              <w:t>, nebo případně investičním podnikem nebo organizátorem trhu provozujícím systém DLT MTF;</w:t>
            </w:r>
          </w:p>
        </w:tc>
        <w:tc>
          <w:tcPr>
            <w:tcW w:w="4876" w:type="dxa"/>
            <w:vAlign w:val="top"/>
          </w:tcPr>
          <w:p>
            <w:pPr>
              <w:pStyle w:val="Normal6a"/>
            </w:pPr>
            <w:r>
              <w:t>c)</w:t>
            </w:r>
            <w:r>
              <w:tab/>
            </w:r>
            <w:r>
              <w:t xml:space="preserve">počet a hodnotu transakcí zobchodovaných v systému DLT MTF a vypořádaných centrálním depozitářem provozujícím </w:t>
            </w:r>
            <w:r>
              <w:rPr>
                <w:b/>
                <w:i/>
                <w:strike w:val="0"/>
                <w:color w:val="auto"/>
                <w:highlight w:val="none"/>
                <w:u w:val="none" w:color="auto"/>
                <w:vertAlign w:val="baseline"/>
              </w:rPr>
              <w:t>DLT SSS</w:t>
            </w:r>
            <w:r>
              <w:t>, nebo případně investičním podnikem nebo organizátorem trhu provozujícím systém DLT MTF;</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Editační poznámka.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pododstavec 4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4a.</w:t>
            </w:r>
            <w:r>
              <w:tab/>
            </w:r>
            <w:r>
              <w:rPr>
                <w:b/>
                <w:i/>
                <w:strike w:val="0"/>
                <w:color w:val="auto"/>
                <w:highlight w:val="none"/>
                <w:u w:val="none" w:color="auto"/>
                <w:vertAlign w:val="baseline"/>
              </w:rPr>
              <w:t>Evropský orgán pro cenné papíry a trhy zprávy uvedené v prvním pododstavci zveřejní na svých internetových stránkách.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5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Orgán ESMA plní úlohu koordinátora příslušných orgánů s cílem vybudovat společný pohled na technologii sdíleného registru a tržní infrastruktury DLT, jakož i společnou kulturu dohledu a sladěné postupy dohledu zajišťující jednotné přístupy a sbližování výsledků dohledu.</w:t>
            </w:r>
          </w:p>
        </w:tc>
        <w:tc>
          <w:tcPr>
            <w:tcW w:w="4876" w:type="dxa"/>
            <w:vAlign w:val="top"/>
          </w:tcPr>
          <w:p>
            <w:pPr>
              <w:pStyle w:val="Normal6a"/>
            </w:pPr>
            <w:r>
              <w:t>5.</w:t>
            </w:r>
            <w:r>
              <w:tab/>
            </w:r>
            <w:r>
              <w:t xml:space="preserve">Orgán ESMA plní úlohu koordinátora příslušných orgánů s cílem vybudovat společný pohled na technologii sdíleného registru a tržní infrastruktury DLT, jakož i společnou kulturu dohledu a sladěné postupy dohledu zajišťující jednotné přístupy a sbližování výsledků dohledu. </w:t>
            </w:r>
            <w:r>
              <w:rPr>
                <w:b/>
                <w:i/>
                <w:strike w:val="0"/>
                <w:color w:val="auto"/>
                <w:highlight w:val="none"/>
                <w:u w:val="none" w:color="auto"/>
                <w:vertAlign w:val="baseline"/>
              </w:rPr>
              <w:t>Orgán ESMA by měl zřídit poradní výbor ad hoc v podobě skupiny zúčastněných stran, který by sdružoval zástupce veřejných i soukromých zúčastněných stran po omezenou dobu odpovídající době trvání pilotního režimu.</w:t>
            </w:r>
            <w:r>
              <w:t xml:space="preserve"> </w:t>
            </w:r>
            <w:r>
              <w:rPr>
                <w:b/>
                <w:i/>
                <w:strike w:val="0"/>
                <w:color w:val="auto"/>
                <w:highlight w:val="none"/>
                <w:u w:val="none" w:color="auto"/>
                <w:vertAlign w:val="baseline"/>
              </w:rPr>
              <w:t>Tento ad hoc poradní výbor by měl být pověřen prováděním přípravných a konzultačních prací potřebných na podporu orgánu ESMA při vydávání doporučení podle tohoto nařízení tím, že orgánu ESMA předá písemné prohlášení uvádějící důvody zamítnutí výjimky nebo povolení, které výbor považuje za nedostatečně odůvodněné nebo nevhodné ve vztahu k požadavkům tohoto nařízení.</w:t>
            </w:r>
            <w:r>
              <w:t xml:space="preserve"> </w:t>
            </w:r>
            <w:r>
              <w:rPr>
                <w:b/>
                <w:i/>
                <w:strike w:val="0"/>
                <w:color w:val="auto"/>
                <w:highlight w:val="none"/>
                <w:u w:val="none" w:color="auto"/>
                <w:vertAlign w:val="baseline"/>
              </w:rPr>
              <w:t>Kromě toho by tento ad hoc poradní výbor měl přezkoumat stížnosti podané přímo orgánu ESMA v případech, kdy se žadatel domnívá, že jeho žádost o výjimku nebo povolení účastnit se pilotního režimu byla jeho příslušným vnitrostátním orgánem nevhodně zamítnuta.</w:t>
            </w:r>
            <w:r>
              <w:t xml:space="preserve"> </w:t>
            </w:r>
            <w:r>
              <w:rPr>
                <w:b/>
                <w:i/>
                <w:strike w:val="0"/>
                <w:color w:val="auto"/>
                <w:highlight w:val="none"/>
                <w:u w:val="none" w:color="auto"/>
                <w:vertAlign w:val="baseline"/>
              </w:rPr>
              <w:t>Aby se zabránilo tomu, že žadatelé podávají orgánu ESMA zneužívající stížnosti, budou analyzovány pouze úplné a řádně zdokumentované stížnosti předložené poradnímu výboru.</w:t>
            </w:r>
            <w:r>
              <w:t xml:space="preserve"> </w:t>
            </w:r>
            <w:r>
              <w:rPr>
                <w:b/>
                <w:i/>
                <w:strike w:val="0"/>
                <w:color w:val="auto"/>
                <w:highlight w:val="none"/>
                <w:u w:val="none" w:color="auto"/>
                <w:vertAlign w:val="baseline"/>
              </w:rPr>
              <w:t>Poradní výbor ad hoc může požádat o kratší lhůtu pro předání poté, co příslušný vnitrostátní orgán pro hospodářskou soutěž odpoví, a může rovněž požádat, aby byl poradnímu výboru předán soubor dokumentů, včetně zejména souhrnu činností žadatele a požadované výjimky (výjimek).</w:t>
            </w:r>
            <w:r>
              <w:t xml:space="preserve"> </w:t>
            </w:r>
            <w:r>
              <w:rPr>
                <w:b/>
                <w:i/>
                <w:strike w:val="0"/>
                <w:color w:val="auto"/>
                <w:highlight w:val="none"/>
                <w:u w:val="none" w:color="auto"/>
                <w:vertAlign w:val="baseline"/>
              </w:rPr>
              <w:t>Příslušné předložené dokumenty, jakož i rozhodnutí příslušného vnitrostátního orgánu o zamítnutí požadované výjimky/požadovaných výjimek nebo povolení, by měly být přeloženy do angličtiny.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V souladu s opatřením č. 16 nového akčního plánu Unie kapitálových trhů vypracovaného Komisí.</w:t>
      </w:r>
      <w:r>
        <w:t xml:space="preserve"> </w:t>
      </w:r>
      <w:r>
        <w:t>S cílem zajistit sbližování dohledu, soudržnost a přiměřenost výjimek udělených podle tohoto nařízení různými příslušnými vnitrostátními orgány v celé Unii, které nemusí sdílet stejnou úroveň technologických vědomostí, a tím podpořit rovné podmínky a odrazovat od regulatorní arbitráže, se navrhuje posílit úlohu orgánu ESMA.</w:t>
      </w:r>
      <w:r>
        <w:t xml:space="preserve"> </w:t>
      </w:r>
      <w:r>
        <w:t>Mimoto se navrhuje, aby orgán ESMA vydával doporučení, nikoli nezávazné stanovisko.</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9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Článek 9 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Ohlašování porušení a ochrana oznamujících osob</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Na ohlašování porušení tohoto nařízení a ochranu osob oznamujících tato porušení se vztahuje směrnice (EU) 2019/1937.</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Orgán ESMA poskytne jeden nebo více zabezpečených komunikačních kanálů pro oznamování případů porušení tohoto nařízení a splní požadavky stanovené ve směrnici (EU) 2019/1937.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rPr>
                <w:b/>
                <w:i/>
                <w:strike w:val="0"/>
                <w:color w:val="auto"/>
                <w:highlight w:val="none"/>
                <w:u w:val="none" w:color="auto"/>
                <w:vertAlign w:val="baseline"/>
              </w:rPr>
              <w:t>Nejpozději po pěti letech</w:t>
            </w:r>
            <w:r>
              <w:t xml:space="preserve"> od vstupu tohoto nařízení v platnost </w:t>
            </w:r>
            <w:r>
              <w:rPr>
                <w:b/>
                <w:i/>
                <w:strike w:val="0"/>
                <w:color w:val="auto"/>
                <w:highlight w:val="none"/>
                <w:u w:val="none" w:color="auto"/>
                <w:vertAlign w:val="baseline"/>
              </w:rPr>
              <w:t>předloží orgán ESMA Komisi</w:t>
            </w:r>
            <w:r>
              <w:t xml:space="preserve"> zprávu o:</w:t>
            </w:r>
          </w:p>
        </w:tc>
        <w:tc>
          <w:tcPr>
            <w:tcW w:w="4876" w:type="dxa"/>
            <w:vAlign w:val="top"/>
          </w:tcPr>
          <w:p>
            <w:pPr>
              <w:pStyle w:val="Normal6a"/>
            </w:pPr>
            <w:r>
              <w:t>1.</w:t>
            </w:r>
            <w:r>
              <w:tab/>
            </w:r>
            <w:r>
              <w:rPr>
                <w:b/>
                <w:i/>
                <w:strike w:val="0"/>
                <w:color w:val="auto"/>
                <w:highlight w:val="none"/>
                <w:u w:val="none" w:color="auto"/>
                <w:vertAlign w:val="baseline"/>
              </w:rPr>
              <w:t>ESMA předloží Komise zprávu o posouzení předčasného ukončení do [tříleté období posouzení předčasného ukončení by mělo být počítáno</w:t>
            </w:r>
            <w:r>
              <w:t xml:space="preserve"> od vstupu tohoto nařízení v platnost </w:t>
            </w:r>
            <w:r>
              <w:rPr>
                <w:b/>
                <w:i/>
                <w:strike w:val="0"/>
                <w:color w:val="auto"/>
                <w:highlight w:val="none"/>
                <w:u w:val="none" w:color="auto"/>
                <w:vertAlign w:val="baseline"/>
              </w:rPr>
              <w:t>platnost, tudíž včetně 12 měsíčního období nezbytného pro návrh regulačních technických norem, jak předpokládá toto nařízení] a pokud není režim stanovený tímto nařízením není do té dob y ukončen, a konečnou</w:t>
            </w:r>
            <w:r>
              <w:t xml:space="preserve"> zprávu </w:t>
            </w:r>
            <w:r>
              <w:rPr>
                <w:b/>
                <w:i/>
                <w:strike w:val="0"/>
                <w:color w:val="auto"/>
                <w:highlight w:val="none"/>
                <w:u w:val="none" w:color="auto"/>
                <w:vertAlign w:val="baseline"/>
              </w:rPr>
              <w:t>do a [pěti let od vstupu tohoto nařízení v platnost]</w:t>
            </w:r>
            <w:r>
              <w:t xml:space="preserve"> o:</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Zasazovat se o to, aby orgán ESMA provedl posouzení předčasného ukončení činnosti, které by informovalo a doporučilo Komisi, aby Evropskému parlamentu a Radě předložilo posouzení možné úpravy nebo ukončení pilotního režimu DLT po třech letech.</w:t>
      </w:r>
      <w:r>
        <w:t xml:space="preserve"> </w:t>
      </w:r>
      <w:r>
        <w:t>V případě, že bude rozhodnuto o ukončení pilotního režimu s cílem přejít na nový trvalý regulační rámec, stálá povolení udělená podle tohoto nařízení by měla být po všech nezbytných úpravách přizpůsobena novému regulačnímu rámci.</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Nejpozději po </w:t>
            </w:r>
            <w:r>
              <w:rPr>
                <w:b/>
                <w:i/>
                <w:strike w:val="0"/>
                <w:color w:val="auto"/>
                <w:highlight w:val="none"/>
                <w:u w:val="none" w:color="auto"/>
                <w:vertAlign w:val="baseline"/>
              </w:rPr>
              <w:t>pěti letech</w:t>
            </w:r>
            <w:r>
              <w:t xml:space="preserve"> od vstupu tohoto nařízení v platnost předloží orgán ESMA Komisi zprávu o:</w:t>
            </w:r>
          </w:p>
        </w:tc>
        <w:tc>
          <w:tcPr>
            <w:tcW w:w="4876" w:type="dxa"/>
            <w:vAlign w:val="top"/>
          </w:tcPr>
          <w:p>
            <w:pPr>
              <w:pStyle w:val="Normal6a"/>
            </w:pPr>
            <w:r>
              <w:t>1.</w:t>
            </w:r>
            <w:r>
              <w:tab/>
            </w:r>
            <w:r>
              <w:t xml:space="preserve">Nejpozději po </w:t>
            </w:r>
            <w:r>
              <w:rPr>
                <w:b/>
                <w:i/>
                <w:strike w:val="0"/>
                <w:color w:val="auto"/>
                <w:highlight w:val="none"/>
                <w:u w:val="none" w:color="auto"/>
                <w:vertAlign w:val="baseline"/>
              </w:rPr>
              <w:t>tři roky</w:t>
            </w:r>
            <w:r>
              <w:t xml:space="preserve"> od vstupu tohoto nařízení v platnost předloží orgán ESMA Komisi </w:t>
            </w:r>
            <w:r>
              <w:rPr>
                <w:b/>
                <w:i/>
                <w:strike w:val="0"/>
                <w:color w:val="auto"/>
                <w:highlight w:val="none"/>
                <w:u w:val="none" w:color="auto"/>
                <w:vertAlign w:val="baseline"/>
              </w:rPr>
              <w:t>souhrnnou</w:t>
            </w:r>
            <w:r>
              <w:t xml:space="preserve"> zprávu o:</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 MacManus</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Nejpozději </w:t>
            </w:r>
            <w:r>
              <w:rPr>
                <w:b/>
                <w:i/>
                <w:strike w:val="0"/>
                <w:color w:val="auto"/>
                <w:highlight w:val="none"/>
                <w:u w:val="none" w:color="auto"/>
                <w:vertAlign w:val="baseline"/>
              </w:rPr>
              <w:t>po pěti letech</w:t>
            </w:r>
            <w:r>
              <w:t xml:space="preserve"> od vstupu tohoto nařízení v platnost předloží orgán ESMA Komisi zprávu o:</w:t>
            </w:r>
          </w:p>
        </w:tc>
        <w:tc>
          <w:tcPr>
            <w:tcW w:w="4876" w:type="dxa"/>
            <w:vAlign w:val="top"/>
          </w:tcPr>
          <w:p>
            <w:pPr>
              <w:pStyle w:val="Normal6a"/>
            </w:pPr>
            <w:r>
              <w:t>1.</w:t>
            </w:r>
            <w:r>
              <w:tab/>
            </w:r>
            <w:r>
              <w:t xml:space="preserve">Nejpozději </w:t>
            </w:r>
            <w:r>
              <w:rPr>
                <w:b/>
                <w:i/>
                <w:strike w:val="0"/>
                <w:color w:val="auto"/>
                <w:highlight w:val="none"/>
                <w:u w:val="none" w:color="auto"/>
                <w:vertAlign w:val="baseline"/>
              </w:rPr>
              <w:t>dva roky</w:t>
            </w:r>
            <w:r>
              <w:t xml:space="preserve"> od vstupu tohoto nařízení v platnost předloží orgán ESMA Komisi zprávu o:</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Christophe Hansen</w:t>
      </w:r>
      <w:r>
        <w:t xml:space="preserve">, </w:t>
      </w:r>
      <w:r>
        <w:t>Lídia Pereira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rPr>
                <w:b/>
                <w:i/>
                <w:strike w:val="0"/>
                <w:color w:val="auto"/>
                <w:highlight w:val="none"/>
                <w:u w:val="none" w:color="auto"/>
                <w:vertAlign w:val="baseline"/>
              </w:rPr>
              <w:t>Nejpozději</w:t>
            </w:r>
            <w:r>
              <w:t xml:space="preserve"> po pěti letech od vstupu tohoto nařízení v platnost předloží orgán ESMA Komisi zprávu o:</w:t>
            </w:r>
          </w:p>
        </w:tc>
        <w:tc>
          <w:tcPr>
            <w:tcW w:w="4876" w:type="dxa"/>
            <w:vAlign w:val="top"/>
          </w:tcPr>
          <w:p>
            <w:pPr>
              <w:pStyle w:val="Normal6a"/>
            </w:pPr>
            <w:r>
              <w:t>1.</w:t>
            </w:r>
            <w:r>
              <w:tab/>
            </w:r>
            <w:r>
              <w:t>Po pěti letech od vstupu tohoto nařízení v platnost předloží orgán ESMA Komisi zprávu o:</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 xml:space="preserve">počtu systémů DLT MTF a </w:t>
            </w:r>
            <w:r>
              <w:rPr>
                <w:b/>
                <w:i/>
                <w:strike w:val="0"/>
                <w:color w:val="auto"/>
                <w:highlight w:val="none"/>
                <w:u w:val="none" w:color="auto"/>
                <w:vertAlign w:val="baseline"/>
              </w:rPr>
              <w:t>centrálních depozitářů</w:t>
            </w:r>
            <w:r>
              <w:t xml:space="preserve"> provozujících systém vypořádání obchodů s cennými papíry vedenými na DLT, kterým bylo uděleno zvláštní povolení podle tohoto nařízení;</w:t>
            </w:r>
          </w:p>
        </w:tc>
        <w:tc>
          <w:tcPr>
            <w:tcW w:w="4876" w:type="dxa"/>
            <w:vAlign w:val="top"/>
          </w:tcPr>
          <w:p>
            <w:pPr>
              <w:pStyle w:val="Normal6a"/>
            </w:pPr>
            <w:r>
              <w:t>b)</w:t>
            </w:r>
            <w:r>
              <w:tab/>
            </w:r>
            <w:r>
              <w:t>počtu systémů DLT MTF a </w:t>
            </w:r>
            <w:r>
              <w:rPr>
                <w:b/>
                <w:i/>
                <w:strike w:val="0"/>
                <w:color w:val="auto"/>
                <w:highlight w:val="none"/>
                <w:u w:val="none" w:color="auto"/>
                <w:vertAlign w:val="baseline"/>
              </w:rPr>
              <w:t>subjektů</w:t>
            </w:r>
            <w:r>
              <w:t xml:space="preserve"> provozujících systém vypořádání obchodů s cennými papíry vedenými na DLT, kterým bylo uděleno zvláštní povolení podle tohoto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 xml:space="preserve">počtu systémů DLT MTF a centrálních depozitářů provozujících </w:t>
            </w:r>
            <w:r>
              <w:rPr>
                <w:b/>
                <w:i/>
                <w:strike w:val="0"/>
                <w:color w:val="auto"/>
                <w:highlight w:val="none"/>
                <w:u w:val="none" w:color="auto"/>
                <w:vertAlign w:val="baseline"/>
              </w:rPr>
              <w:t>systém vypořádání obchodů s cennými papíry vedenými na DLT</w:t>
            </w:r>
            <w:r>
              <w:t>, kterým bylo uděleno zvláštní povolení podle tohoto nařízení;</w:t>
            </w:r>
          </w:p>
        </w:tc>
        <w:tc>
          <w:tcPr>
            <w:tcW w:w="4876" w:type="dxa"/>
            <w:vAlign w:val="top"/>
          </w:tcPr>
          <w:p>
            <w:pPr>
              <w:pStyle w:val="Normal6a"/>
            </w:pPr>
            <w:r>
              <w:t>b)</w:t>
            </w:r>
            <w:r>
              <w:tab/>
            </w:r>
            <w:r>
              <w:t xml:space="preserve">počtu systémů DLT MTF a centrálních depozitářů provozujících </w:t>
            </w:r>
            <w:r>
              <w:rPr>
                <w:b/>
                <w:i/>
                <w:strike w:val="0"/>
                <w:color w:val="auto"/>
                <w:highlight w:val="none"/>
                <w:u w:val="none" w:color="auto"/>
                <w:vertAlign w:val="baseline"/>
              </w:rPr>
              <w:t>DLT SSS</w:t>
            </w:r>
            <w:r>
              <w:t>, kterým bylo uděleno zvláštní povolení podle tohoto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Editační poznámka.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písm.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t xml:space="preserve">počtu a hodnotě převoditelných cenných papírů vedených na DLT přijatých k obchodování v systémech DLT MTF, počtu a hodnotě převoditelných cenných papírů vedených na DLT evidovaných </w:t>
            </w:r>
            <w:r>
              <w:rPr>
                <w:b/>
                <w:i/>
                <w:strike w:val="0"/>
                <w:color w:val="auto"/>
                <w:highlight w:val="none"/>
                <w:u w:val="none" w:color="auto"/>
                <w:vertAlign w:val="baseline"/>
              </w:rPr>
              <w:t>centrálními depozitáři</w:t>
            </w:r>
            <w:r>
              <w:t xml:space="preserve"> provozujícími systémy vypořádání obchodů s cennými papíry vedenými na DLT a v příslušných případech o počtu a hodnotě převoditelných cenných papírů evidovaných systémy DLT MTF;</w:t>
            </w:r>
          </w:p>
        </w:tc>
        <w:tc>
          <w:tcPr>
            <w:tcW w:w="4876" w:type="dxa"/>
            <w:vAlign w:val="top"/>
          </w:tcPr>
          <w:p>
            <w:pPr>
              <w:pStyle w:val="Normal6a"/>
            </w:pPr>
            <w:r>
              <w:t>d)</w:t>
            </w:r>
            <w:r>
              <w:tab/>
            </w:r>
            <w:r>
              <w:t xml:space="preserve">počtu a hodnotě převoditelných cenných papírů vedených na DLT přijatých k obchodování v systémech DLT MTF, počtu a hodnotě převoditelných cenných papírů vedených na DLT evidovaných </w:t>
            </w:r>
            <w:r>
              <w:rPr>
                <w:b/>
                <w:i/>
                <w:strike w:val="0"/>
                <w:color w:val="auto"/>
                <w:highlight w:val="none"/>
                <w:u w:val="none" w:color="auto"/>
                <w:vertAlign w:val="baseline"/>
              </w:rPr>
              <w:t>subjekty</w:t>
            </w:r>
            <w:r>
              <w:t xml:space="preserve"> provozujícími systémy vypořádání obchodů s cennými papíry vedenými na DLT a v příslušných případech o počtu a hodnotě převoditelných cenných papírů evidovaných systémy DLT MTF;</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písm.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t xml:space="preserve">počtu a hodnotě převoditelných cenných papírů vedených na DLT přijatých k obchodování v systémech DLT MTF, počtu a hodnotě převoditelných cenných papírů vedených na DLT evidovaných centrálními depozitáři provozujícími </w:t>
            </w:r>
            <w:r>
              <w:rPr>
                <w:b/>
                <w:i/>
                <w:strike w:val="0"/>
                <w:color w:val="auto"/>
                <w:highlight w:val="none"/>
                <w:u w:val="none" w:color="auto"/>
                <w:vertAlign w:val="baseline"/>
              </w:rPr>
              <w:t>systémy vypořádání obchodů s cennými papíry vedenými na DLT</w:t>
            </w:r>
            <w:r>
              <w:t xml:space="preserve"> a v příslušných případech o počtu a hodnotě převoditelných cenných papírů evidovaných systémy DLT MTF;</w:t>
            </w:r>
          </w:p>
        </w:tc>
        <w:tc>
          <w:tcPr>
            <w:tcW w:w="4876" w:type="dxa"/>
            <w:vAlign w:val="top"/>
          </w:tcPr>
          <w:p>
            <w:pPr>
              <w:pStyle w:val="Normal6a"/>
            </w:pPr>
            <w:r>
              <w:t>d)</w:t>
            </w:r>
            <w:r>
              <w:tab/>
            </w:r>
            <w:r>
              <w:t xml:space="preserve">počtu a hodnotě převoditelných cenných papírů vedených na DLT přijatých k obchodování v systémech DLT MTF, počtu a hodnotě převoditelných cenných papírů vedených na DLT evidovaných centrálními depozitáři provozujícími </w:t>
            </w:r>
            <w:r>
              <w:rPr>
                <w:b/>
                <w:i/>
                <w:strike w:val="0"/>
                <w:color w:val="auto"/>
                <w:highlight w:val="none"/>
                <w:u w:val="none" w:color="auto"/>
                <w:vertAlign w:val="baseline"/>
              </w:rPr>
              <w:t>DLT SSS</w:t>
            </w:r>
            <w:r>
              <w:t xml:space="preserve"> a v příslušných případech o počtu a hodnotě převoditelných cenných papírů evidovaných systémy DLT MTF;</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Editační poznámka.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písm.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e)</w:t>
            </w:r>
            <w:r>
              <w:tab/>
            </w:r>
            <w:r>
              <w:t xml:space="preserve">počtu a hodnotě transakcí zobchodovaných v systémech DLT MTF a </w:t>
            </w:r>
            <w:r>
              <w:rPr>
                <w:b/>
                <w:i/>
                <w:strike w:val="0"/>
                <w:color w:val="auto"/>
                <w:highlight w:val="none"/>
                <w:u w:val="none" w:color="auto"/>
                <w:vertAlign w:val="baseline"/>
              </w:rPr>
              <w:t>vypořádaných centrálními depozitáři</w:t>
            </w:r>
            <w:r>
              <w:t xml:space="preserve"> provozujícími systém vypořádání obchodů s cennými papíry vedenými na DLT, popřípadě systémy DLT MTF;</w:t>
            </w:r>
          </w:p>
        </w:tc>
        <w:tc>
          <w:tcPr>
            <w:tcW w:w="4876" w:type="dxa"/>
            <w:vAlign w:val="top"/>
          </w:tcPr>
          <w:p>
            <w:pPr>
              <w:pStyle w:val="Normal6a"/>
            </w:pPr>
            <w:r>
              <w:t>e)</w:t>
            </w:r>
            <w:r>
              <w:tab/>
            </w:r>
            <w:r>
              <w:t xml:space="preserve">počtu a hodnotě transakcí zobchodovaných v systémech DLT MTF a </w:t>
            </w:r>
            <w:r>
              <w:rPr>
                <w:b/>
                <w:i/>
                <w:strike w:val="0"/>
                <w:color w:val="auto"/>
                <w:highlight w:val="none"/>
                <w:u w:val="none" w:color="auto"/>
                <w:vertAlign w:val="baseline"/>
              </w:rPr>
              <w:t>subjekty</w:t>
            </w:r>
            <w:r>
              <w:t xml:space="preserve"> provozujícími systém vypořádání obchodů s cennými papíry vedenými na DLT, popřípadě systémy DLT MTF;</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písm.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e)</w:t>
            </w:r>
            <w:r>
              <w:tab/>
            </w:r>
            <w:r>
              <w:t xml:space="preserve">počtu a hodnotě transakcí zobchodovaných v systémech DLT MTF a vypořádaných centrálními depozitáři provozujícími </w:t>
            </w:r>
            <w:r>
              <w:rPr>
                <w:b/>
                <w:i/>
                <w:strike w:val="0"/>
                <w:color w:val="auto"/>
                <w:highlight w:val="none"/>
                <w:u w:val="none" w:color="auto"/>
                <w:vertAlign w:val="baseline"/>
              </w:rPr>
              <w:t>systém vypořádání obchodů s cennými papíry vedenými na DLT</w:t>
            </w:r>
            <w:r>
              <w:t>, popřípadě systémy DLT MTF;</w:t>
            </w:r>
          </w:p>
        </w:tc>
        <w:tc>
          <w:tcPr>
            <w:tcW w:w="4876" w:type="dxa"/>
            <w:vAlign w:val="top"/>
          </w:tcPr>
          <w:p>
            <w:pPr>
              <w:pStyle w:val="Normal6a"/>
            </w:pPr>
            <w:r>
              <w:t>e)</w:t>
            </w:r>
            <w:r>
              <w:tab/>
            </w:r>
            <w:r>
              <w:t xml:space="preserve">počtu a hodnotě transakcí zobchodovaných v systémech DLT MTF a vypořádaných centrálními depozitáři provozujícími </w:t>
            </w:r>
            <w:r>
              <w:rPr>
                <w:b/>
                <w:i/>
                <w:strike w:val="0"/>
                <w:color w:val="auto"/>
                <w:highlight w:val="none"/>
                <w:u w:val="none" w:color="auto"/>
                <w:vertAlign w:val="baseline"/>
              </w:rPr>
              <w:t>DLT SSS</w:t>
            </w:r>
            <w:r>
              <w:t>, popřípadě systémy DLT MTF;</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Editační poznámka.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písm. h</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h)</w:t>
            </w:r>
            <w:r>
              <w:tab/>
            </w:r>
            <w:r>
              <w:rPr>
                <w:b/>
                <w:i/>
                <w:strike w:val="0"/>
                <w:color w:val="auto"/>
                <w:highlight w:val="none"/>
                <w:u w:val="none" w:color="auto"/>
                <w:vertAlign w:val="baseline"/>
              </w:rPr>
              <w:t>veškerých rizicích spojených s používáním DLT</w:t>
            </w:r>
            <w:r>
              <w:t>;</w:t>
            </w:r>
          </w:p>
        </w:tc>
        <w:tc>
          <w:tcPr>
            <w:tcW w:w="4876" w:type="dxa"/>
            <w:vAlign w:val="top"/>
          </w:tcPr>
          <w:p>
            <w:pPr>
              <w:pStyle w:val="Normal6a"/>
            </w:pPr>
            <w:r>
              <w:t>h)</w:t>
            </w:r>
            <w:r>
              <w:tab/>
            </w:r>
            <w:r>
              <w:rPr>
                <w:b/>
                <w:i/>
                <w:strike w:val="0"/>
                <w:color w:val="auto"/>
                <w:highlight w:val="none"/>
                <w:u w:val="none" w:color="auto"/>
                <w:vertAlign w:val="baseline"/>
              </w:rPr>
              <w:t>veškerá rizika vyplývající z použití technologie distribuované účetní knihy k ochraně investorů, integritě trhu a finanční stabilitě, včetně nových typů právních, systémových a provozních rizik, která stávající pravidla dostatečně neřeší, a jakékoli nezamýšlené účinky na likviditu a volatilitu a finanční stabilitu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Markus Ferber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písm. h</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h)</w:t>
            </w:r>
            <w:r>
              <w:tab/>
            </w:r>
            <w:r>
              <w:rPr>
                <w:b/>
                <w:i/>
                <w:strike w:val="0"/>
                <w:color w:val="auto"/>
                <w:highlight w:val="none"/>
                <w:u w:val="none" w:color="auto"/>
                <w:vertAlign w:val="baseline"/>
              </w:rPr>
              <w:t>veškerých rizicích spojených s používáním</w:t>
            </w:r>
            <w:r>
              <w:t xml:space="preserve"> DLT;</w:t>
            </w:r>
          </w:p>
        </w:tc>
        <w:tc>
          <w:tcPr>
            <w:tcW w:w="4876" w:type="dxa"/>
            <w:vAlign w:val="top"/>
          </w:tcPr>
          <w:p>
            <w:pPr>
              <w:pStyle w:val="Normal6a"/>
            </w:pPr>
            <w:r>
              <w:t>h)</w:t>
            </w:r>
            <w:r>
              <w:tab/>
            </w:r>
            <w:r>
              <w:rPr>
                <w:b/>
                <w:i/>
                <w:strike w:val="0"/>
                <w:color w:val="auto"/>
                <w:highlight w:val="none"/>
                <w:u w:val="none" w:color="auto"/>
                <w:vertAlign w:val="baseline"/>
              </w:rPr>
              <w:t>veškerá rizika, slabá místa a neefektivnost vyplývající z používání</w:t>
            </w:r>
            <w:r>
              <w:t xml:space="preserve"> DLT;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Markus Ferber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písm. h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ha)</w:t>
            </w:r>
            <w:r>
              <w:tab/>
            </w:r>
            <w:r>
              <w:rPr>
                <w:b/>
                <w:i/>
                <w:strike w:val="0"/>
                <w:color w:val="auto"/>
                <w:highlight w:val="none"/>
                <w:u w:val="none" w:color="auto"/>
                <w:vertAlign w:val="baseline"/>
              </w:rPr>
              <w:t>rizika regulatorní arbitráže nebo otázky rovných podmínek ve srovnání s tržní infrastrukturou mimo DLT;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písm. j</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j)</w:t>
            </w:r>
            <w:r>
              <w:tab/>
            </w:r>
            <w:r>
              <w:rPr>
                <w:b/>
                <w:i/>
                <w:strike w:val="0"/>
                <w:color w:val="auto"/>
                <w:highlight w:val="none"/>
                <w:u w:val="none" w:color="auto"/>
                <w:vertAlign w:val="baseline"/>
              </w:rPr>
              <w:t>výhodách plynoucích z použití DLT</w:t>
            </w:r>
            <w:r>
              <w:t xml:space="preserve">, pokud jde o zlepšení </w:t>
            </w:r>
            <w:r>
              <w:rPr>
                <w:b/>
                <w:i/>
                <w:strike w:val="0"/>
                <w:color w:val="auto"/>
                <w:highlight w:val="none"/>
                <w:u w:val="none" w:color="auto"/>
                <w:vertAlign w:val="baseline"/>
              </w:rPr>
              <w:t>efektivity</w:t>
            </w:r>
            <w:r>
              <w:t xml:space="preserve"> a snížení rizik v </w:t>
            </w:r>
            <w:r>
              <w:rPr>
                <w:b/>
                <w:i/>
                <w:strike w:val="0"/>
                <w:color w:val="auto"/>
                <w:highlight w:val="none"/>
                <w:u w:val="none" w:color="auto"/>
                <w:vertAlign w:val="baseline"/>
              </w:rPr>
              <w:t>celém obchodním a poobchodním řetězci, mimo jiné též co se týče evidování a úschovy</w:t>
            </w:r>
            <w:r>
              <w:t xml:space="preserve"> převoditelných cenných papírů </w:t>
            </w:r>
            <w:r>
              <w:rPr>
                <w:b/>
                <w:i/>
                <w:strike w:val="0"/>
                <w:color w:val="auto"/>
                <w:highlight w:val="none"/>
                <w:u w:val="none" w:color="auto"/>
                <w:vertAlign w:val="baseline"/>
              </w:rPr>
              <w:t>vedených na DLT, sledovatelnosti</w:t>
            </w:r>
            <w:r>
              <w:t xml:space="preserve"> transakcí</w:t>
            </w:r>
            <w:r>
              <w:rPr>
                <w:b/>
                <w:i/>
                <w:strike w:val="0"/>
                <w:color w:val="auto"/>
                <w:highlight w:val="none"/>
                <w:u w:val="none" w:color="auto"/>
                <w:vertAlign w:val="baseline"/>
              </w:rPr>
              <w:t>, podnikových</w:t>
            </w:r>
            <w:r>
              <w:t xml:space="preserve"> opatření, podávání zpráv a dohledu na úrovni tržní infrastruktury DLT;</w:t>
            </w:r>
          </w:p>
        </w:tc>
        <w:tc>
          <w:tcPr>
            <w:tcW w:w="4876" w:type="dxa"/>
            <w:vAlign w:val="top"/>
          </w:tcPr>
          <w:p>
            <w:pPr>
              <w:pStyle w:val="Normal6a"/>
            </w:pPr>
            <w:r>
              <w:t>j)</w:t>
            </w:r>
            <w:r>
              <w:tab/>
            </w:r>
            <w:r>
              <w:rPr>
                <w:b/>
                <w:i/>
                <w:strike w:val="0"/>
                <w:color w:val="auto"/>
                <w:highlight w:val="none"/>
                <w:u w:val="none" w:color="auto"/>
                <w:vertAlign w:val="baseline"/>
              </w:rPr>
              <w:t>veškeré výhody plynoucí z používání technologie distribuované účetní knihy</w:t>
            </w:r>
            <w:r>
              <w:t xml:space="preserve">, pokud jde o </w:t>
            </w:r>
            <w:r>
              <w:rPr>
                <w:b/>
                <w:i/>
                <w:strike w:val="0"/>
                <w:color w:val="auto"/>
                <w:highlight w:val="none"/>
                <w:u w:val="none" w:color="auto"/>
                <w:vertAlign w:val="baseline"/>
              </w:rPr>
              <w:t>dodatečnou likviditu a financování pro začínající podniky a malé a střední podniky, veškerá</w:t>
            </w:r>
            <w:r>
              <w:t xml:space="preserve"> zlepšení </w:t>
            </w:r>
            <w:r>
              <w:rPr>
                <w:b/>
                <w:i/>
                <w:strike w:val="0"/>
                <w:color w:val="auto"/>
                <w:highlight w:val="none"/>
                <w:u w:val="none" w:color="auto"/>
                <w:vertAlign w:val="baseline"/>
              </w:rPr>
              <w:t>bezpečnosti a účinnosti</w:t>
            </w:r>
            <w:r>
              <w:t xml:space="preserve"> a snížení rizik v </w:t>
            </w:r>
            <w:r>
              <w:rPr>
                <w:b/>
                <w:i/>
                <w:strike w:val="0"/>
                <w:color w:val="auto"/>
                <w:highlight w:val="none"/>
                <w:u w:val="none" w:color="auto"/>
                <w:vertAlign w:val="baseline"/>
              </w:rPr>
              <w:t>rámci celého obchodního a poobchodního řetězce, a to i bez omezení, pokud jde o zaznamenávání a úschovu</w:t>
            </w:r>
            <w:r>
              <w:t xml:space="preserve"> převoditelných cenných papírů </w:t>
            </w:r>
            <w:r>
              <w:rPr>
                <w:b/>
                <w:i/>
                <w:strike w:val="0"/>
                <w:color w:val="auto"/>
                <w:highlight w:val="none"/>
                <w:u w:val="none" w:color="auto"/>
                <w:vertAlign w:val="baseline"/>
              </w:rPr>
              <w:t>distribuované účetní knihy, sledovatelnost</w:t>
            </w:r>
            <w:r>
              <w:t xml:space="preserve"> transakcí </w:t>
            </w:r>
            <w:r>
              <w:rPr>
                <w:b/>
                <w:i/>
                <w:strike w:val="0"/>
                <w:color w:val="auto"/>
                <w:highlight w:val="none"/>
                <w:u w:val="none" w:color="auto"/>
                <w:vertAlign w:val="baseline"/>
              </w:rPr>
              <w:t>a lepší dodržování znalostí vašeho klienta a postupů boje proti praní peněz,</w:t>
            </w:r>
            <w:r>
              <w:t xml:space="preserve"> opatření </w:t>
            </w:r>
            <w:r>
              <w:rPr>
                <w:b/>
                <w:i/>
                <w:strike w:val="0"/>
                <w:color w:val="auto"/>
                <w:highlight w:val="none"/>
                <w:u w:val="none" w:color="auto"/>
                <w:vertAlign w:val="baseline"/>
              </w:rPr>
              <w:t>společností a přímého výkonu práv investorů prostřednictvím inteligentních smluv</w:t>
            </w:r>
            <w:r>
              <w:t>, podávání zpráv a dohledu na úrovni tržní infrastruktury DLT;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Jonás Fernández</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písm. j</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j)</w:t>
            </w:r>
            <w:r>
              <w:tab/>
            </w:r>
            <w:r>
              <w:t xml:space="preserve">výhodách plynoucích z použití DLT, pokud jde o zlepšení efektivity </w:t>
            </w:r>
            <w:r>
              <w:rPr>
                <w:b/>
                <w:i/>
                <w:strike w:val="0"/>
                <w:color w:val="auto"/>
                <w:highlight w:val="none"/>
                <w:u w:val="none" w:color="auto"/>
                <w:vertAlign w:val="baseline"/>
              </w:rPr>
              <w:t>a snížení</w:t>
            </w:r>
            <w:r>
              <w:t xml:space="preserve"> rizik v celém obchodním a poobchodním řetězci, mimo jiné též co se týče evidování a úschovy převoditelných cenných papírů vedených na DLT, sledovatelnosti transakcí, podnikových opatření, podávání zpráv a dohledu na úrovni tržní infrastruktury DLT;</w:t>
            </w:r>
          </w:p>
        </w:tc>
        <w:tc>
          <w:tcPr>
            <w:tcW w:w="4876" w:type="dxa"/>
            <w:vAlign w:val="top"/>
          </w:tcPr>
          <w:p>
            <w:pPr>
              <w:pStyle w:val="Normal6a"/>
            </w:pPr>
            <w:r>
              <w:t>j)</w:t>
            </w:r>
            <w:r>
              <w:tab/>
            </w:r>
            <w:r>
              <w:t xml:space="preserve">výhodách </w:t>
            </w:r>
            <w:r>
              <w:rPr>
                <w:b/>
                <w:i/>
                <w:strike w:val="0"/>
                <w:color w:val="auto"/>
                <w:highlight w:val="none"/>
                <w:u w:val="none" w:color="auto"/>
                <w:vertAlign w:val="baseline"/>
              </w:rPr>
              <w:t>a nákladech</w:t>
            </w:r>
            <w:r>
              <w:t xml:space="preserve"> plynoucích z použití DLT, pokud jde o zlepšení efektivity</w:t>
            </w:r>
            <w:r>
              <w:rPr>
                <w:b/>
                <w:i/>
                <w:strike w:val="0"/>
                <w:color w:val="auto"/>
                <w:highlight w:val="none"/>
                <w:u w:val="none" w:color="auto"/>
                <w:vertAlign w:val="baseline"/>
              </w:rPr>
              <w:t>, spotřeby energie a zmírnění</w:t>
            </w:r>
            <w:r>
              <w:t xml:space="preserve"> rizik v celém obchodním a poobchodním řetězci, mimo jiné též co se týče evidování a úschovy převoditelných cenných papírů vedených na DLT, sledovatelnosti transakcí, podnikových opatření, podávání zpráv a dohledu na úrovni tržní infrastruktury DLT;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písm. j</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j)</w:t>
            </w:r>
            <w:r>
              <w:tab/>
            </w:r>
            <w:r>
              <w:t>výhodách plynoucích z použití DLT, pokud jde o zlepšení efektivity a snížení rizik v celém obchodním a poobchodním řetězci, mimo jiné též co se týče evidování a úschovy převoditelných cenných papírů vedených na DLT, sledovatelnosti transakcí, podnikových opatření, podávání zpráv a dohledu na úrovni tržní infrastruktury DLT;</w:t>
            </w:r>
          </w:p>
        </w:tc>
        <w:tc>
          <w:tcPr>
            <w:tcW w:w="4876" w:type="dxa"/>
            <w:vAlign w:val="top"/>
          </w:tcPr>
          <w:p>
            <w:pPr>
              <w:pStyle w:val="Normal6a"/>
            </w:pPr>
            <w:r>
              <w:t>j)</w:t>
            </w:r>
            <w:r>
              <w:tab/>
            </w:r>
            <w:r>
              <w:t xml:space="preserve">výhodách </w:t>
            </w:r>
            <w:r>
              <w:rPr>
                <w:b/>
                <w:i/>
                <w:strike w:val="0"/>
                <w:color w:val="auto"/>
                <w:highlight w:val="none"/>
                <w:u w:val="none" w:color="auto"/>
                <w:vertAlign w:val="baseline"/>
              </w:rPr>
              <w:t>a nákladech</w:t>
            </w:r>
            <w:r>
              <w:t xml:space="preserve"> plynoucích z použití DLT, pokud jde o zlepšení efektivity a snížení rizik v celém obchodním a poobchodním řetězci, mimo jiné též co se týče evidování a úschovy převoditelných cenných papírů vedených na DLT, sledovatelnosti transakcí, podnikových opatření, podávání zpráv a dohledu na úrovni tržní infrastruktury DLT;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Editační poznámka.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písm. l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la)</w:t>
            </w:r>
            <w:r>
              <w:tab/>
            </w:r>
            <w:r>
              <w:rPr>
                <w:b/>
                <w:i/>
                <w:strike w:val="0"/>
                <w:color w:val="auto"/>
                <w:highlight w:val="none"/>
                <w:u w:val="none" w:color="auto"/>
                <w:vertAlign w:val="baseline"/>
              </w:rPr>
              <w:t>možné důsledky vyplývající ze zvýšení prahových hodnot uvedených v článku 3 s přihlédnutím zejména k systémovým aspektům a různým druhům technologie distribuované účetní knihy;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Markus Ferber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písm. l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la)</w:t>
            </w:r>
            <w:r>
              <w:tab/>
            </w:r>
            <w:r>
              <w:rPr>
                <w:b/>
                <w:i/>
                <w:strike w:val="0"/>
                <w:color w:val="auto"/>
                <w:highlight w:val="none"/>
                <w:u w:val="none" w:color="auto"/>
                <w:vertAlign w:val="baseline"/>
              </w:rPr>
              <w:t>celkové posouzení nákladů a přínosů pilotního projektu a doporučení, zda a za jakých podmínek bude pokračovat v pilotním režimu;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Při zvážení jednotlivých bodů by měl orgán ESMA poskytnout celkové posouzení a doporučení, jak postupovat.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 MacManus</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2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Na základě zprávy uvedené v odstavci 1 předloží Komise Evropskému parlamentu a Radě zprávu </w:t>
            </w:r>
            <w:r>
              <w:rPr>
                <w:b/>
                <w:i/>
                <w:strike w:val="0"/>
                <w:color w:val="auto"/>
                <w:highlight w:val="none"/>
                <w:u w:val="none" w:color="auto"/>
                <w:vertAlign w:val="baseline"/>
              </w:rPr>
              <w:t>obsahující analýzu nákladů a přínosů a týkající se toho, zda by režim pro tržní infrastruktury DLT podle tohoto nařízení měl být:</w:t>
            </w:r>
          </w:p>
        </w:tc>
        <w:tc>
          <w:tcPr>
            <w:tcW w:w="4876" w:type="dxa"/>
            <w:vAlign w:val="top"/>
          </w:tcPr>
          <w:p>
            <w:pPr>
              <w:pStyle w:val="Normal6a"/>
            </w:pPr>
            <w:r>
              <w:t>2.</w:t>
            </w:r>
            <w:r>
              <w:tab/>
            </w:r>
            <w:r>
              <w:t>Na základě zprávy uvedené v odstavci 1 předloží Komise Evropskému parlamentu a Radě zprávu</w:t>
            </w:r>
            <w:r>
              <w:rPr>
                <w:b/>
                <w:i/>
                <w:strike w:val="0"/>
                <w:color w:val="auto"/>
                <w:highlight w:val="none"/>
                <w:u w:val="none" w:color="auto"/>
                <w:vertAlign w:val="baseline"/>
              </w:rPr>
              <w:t>, v níž uvede, jak hodlá zapracovat získané poznatky do stávajících právních předpisů.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Orgán ESMA by měl vypracovat zprávu s cílem zjistit, jaká nová rizika představují tyto infrastruktury finančního trhu a jaké změny jsou nezbytné pro jejich začlenění (konvergence) do stávajícího prostředí, přičemž by měly být zohledněny všechny následné faktory.</w:t>
      </w:r>
      <w:r>
        <w:t xml:space="preserve"> </w:t>
      </w:r>
      <w:r>
        <w:t>Takový přístup by byl v souladu se zásadou „technologické neutrality“ přijatého balíčku opatření v oblasti digitálního financování, která je rovněž použita v návrhu slídy.</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2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Na základě </w:t>
            </w:r>
            <w:r>
              <w:rPr>
                <w:b/>
                <w:i/>
                <w:strike w:val="0"/>
                <w:color w:val="auto"/>
                <w:highlight w:val="none"/>
                <w:u w:val="none" w:color="auto"/>
                <w:vertAlign w:val="baseline"/>
              </w:rPr>
              <w:t>zprávy uvedené</w:t>
            </w:r>
            <w:r>
              <w:t xml:space="preserve"> v odstavci 1 předloží Komise Evropskému parlamentu a Radě zprávu obsahující analýzu nákladů a přínosů a týkající se toho, zda by režim pro tržní infrastruktury DLT podle tohoto nařízení měl být:</w:t>
            </w:r>
          </w:p>
        </w:tc>
        <w:tc>
          <w:tcPr>
            <w:tcW w:w="4876" w:type="dxa"/>
            <w:vAlign w:val="top"/>
          </w:tcPr>
          <w:p>
            <w:pPr>
              <w:pStyle w:val="Normal6a"/>
            </w:pPr>
            <w:r>
              <w:t>2.</w:t>
            </w:r>
            <w:r>
              <w:tab/>
            </w:r>
            <w:r>
              <w:t xml:space="preserve">Na základě </w:t>
            </w:r>
            <w:r>
              <w:rPr>
                <w:b/>
                <w:i/>
                <w:strike w:val="0"/>
                <w:color w:val="auto"/>
                <w:highlight w:val="none"/>
                <w:u w:val="none" w:color="auto"/>
                <w:vertAlign w:val="baseline"/>
              </w:rPr>
              <w:t>zpráv uvedených</w:t>
            </w:r>
            <w:r>
              <w:t xml:space="preserve"> v odstavci 1 předloží Komise </w:t>
            </w:r>
            <w:r>
              <w:rPr>
                <w:b/>
                <w:i/>
                <w:strike w:val="0"/>
                <w:color w:val="auto"/>
                <w:highlight w:val="none"/>
                <w:u w:val="none" w:color="auto"/>
                <w:vertAlign w:val="baseline"/>
              </w:rPr>
              <w:t>do tří měsíců od obdržení každé zprávy</w:t>
            </w:r>
            <w:r>
              <w:t xml:space="preserve"> Evropskému parlamentu a Radě zprávu obsahující analýzu nákladů a přínosů a týkající se toho, zda by režim pro tržní infrastruktury DLT podle tohoto nařízení měl být: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Navrhuje se lhůta, v níž má Komise předložit svou zprávu Evropskému parlamentu a Radě.</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 MacManus</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2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a)</w:t>
            </w:r>
            <w:r>
              <w:tab/>
            </w:r>
            <w:r>
              <w:rPr>
                <w:b/>
                <w:i/>
                <w:strike w:val="0"/>
                <w:color w:val="auto"/>
                <w:highlight w:val="none"/>
                <w:u w:val="none" w:color="auto"/>
                <w:vertAlign w:val="baseline"/>
              </w:rPr>
              <w:t>prodloužen o další období;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2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rPr>
                <w:b/>
                <w:i/>
                <w:strike w:val="0"/>
                <w:color w:val="auto"/>
                <w:highlight w:val="none"/>
                <w:u w:val="none" w:color="auto"/>
                <w:vertAlign w:val="baseline"/>
              </w:rPr>
              <w:t>prodloužen</w:t>
            </w:r>
            <w:r>
              <w:t xml:space="preserve"> o další období;</w:t>
            </w:r>
          </w:p>
        </w:tc>
        <w:tc>
          <w:tcPr>
            <w:tcW w:w="4876" w:type="dxa"/>
            <w:vAlign w:val="top"/>
          </w:tcPr>
          <w:p>
            <w:pPr>
              <w:pStyle w:val="Normal6a"/>
            </w:pPr>
            <w:r>
              <w:t>a)</w:t>
            </w:r>
            <w:r>
              <w:tab/>
            </w:r>
            <w:r>
              <w:rPr>
                <w:b/>
                <w:i/>
                <w:strike w:val="0"/>
                <w:color w:val="auto"/>
                <w:highlight w:val="none"/>
                <w:u w:val="none" w:color="auto"/>
                <w:vertAlign w:val="baseline"/>
              </w:rPr>
              <w:t>prodlouženo</w:t>
            </w:r>
            <w:r>
              <w:t xml:space="preserve"> o další </w:t>
            </w:r>
            <w:r>
              <w:rPr>
                <w:b/>
                <w:i/>
                <w:strike w:val="0"/>
                <w:color w:val="auto"/>
                <w:highlight w:val="none"/>
                <w:u w:val="none" w:color="auto"/>
                <w:vertAlign w:val="baseline"/>
              </w:rPr>
              <w:t>dvouleté</w:t>
            </w:r>
            <w:r>
              <w:t xml:space="preserve"> období </w:t>
            </w:r>
            <w:r>
              <w:rPr>
                <w:b/>
                <w:i/>
                <w:strike w:val="0"/>
                <w:color w:val="auto"/>
                <w:highlight w:val="none"/>
                <w:u w:val="none" w:color="auto"/>
                <w:vertAlign w:val="baseline"/>
              </w:rPr>
              <w:t>v případě hodnotící zprávy o předčasném odchodu podle čl. 10 odst. 1</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Sladěno s navrhovaným posouzením orgánu ESMA v rané fázi provádění čl. 10 odst. 1.</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 MacManus</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2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b)</w:t>
            </w:r>
            <w:r>
              <w:tab/>
            </w:r>
            <w:r>
              <w:rPr>
                <w:b/>
                <w:i/>
                <w:strike w:val="0"/>
                <w:color w:val="auto"/>
                <w:highlight w:val="none"/>
                <w:u w:val="none" w:color="auto"/>
                <w:vertAlign w:val="baseline"/>
              </w:rPr>
              <w:t>rozšířen o další typy finančních nástrojů, které lze emitovat, evidovat, převádět nebo uchovávat na DLT;</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 MacManus</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2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c)</w:t>
            </w:r>
            <w:r>
              <w:tab/>
            </w:r>
            <w:r>
              <w:rPr>
                <w:b/>
                <w:i/>
                <w:strike w:val="0"/>
                <w:color w:val="auto"/>
                <w:highlight w:val="none"/>
                <w:u w:val="none" w:color="auto"/>
                <w:vertAlign w:val="baseline"/>
              </w:rPr>
              <w:t>změněn;</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 MacManus</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2 – písm.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d)</w:t>
            </w:r>
            <w:r>
              <w:tab/>
            </w:r>
            <w:r>
              <w:rPr>
                <w:b/>
                <w:i/>
                <w:strike w:val="0"/>
                <w:color w:val="auto"/>
                <w:highlight w:val="none"/>
                <w:u w:val="none" w:color="auto"/>
                <w:vertAlign w:val="baseline"/>
              </w:rPr>
              <w:t>zaveden trvale ve stávající podobě, nebo se změnami, nebo</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2 – písm.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d)</w:t>
            </w:r>
            <w:r>
              <w:tab/>
            </w:r>
            <w:r>
              <w:rPr>
                <w:b/>
                <w:i/>
                <w:strike w:val="0"/>
                <w:color w:val="auto"/>
                <w:highlight w:val="none"/>
                <w:u w:val="none" w:color="auto"/>
                <w:vertAlign w:val="baseline"/>
              </w:rPr>
              <w:t>zaveden trvale ve stávající podobě, nebo se změnami, nebo</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2 – písm.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rPr>
                <w:b/>
                <w:i/>
                <w:strike w:val="0"/>
                <w:color w:val="auto"/>
                <w:highlight w:val="none"/>
                <w:u w:val="none" w:color="auto"/>
                <w:vertAlign w:val="baseline"/>
              </w:rPr>
              <w:t>zaveden trvale ve stávající podobě, nebo se změnami, nebo</w:t>
            </w:r>
          </w:p>
        </w:tc>
        <w:tc>
          <w:tcPr>
            <w:tcW w:w="4876" w:type="dxa"/>
            <w:vAlign w:val="top"/>
          </w:tcPr>
          <w:p>
            <w:pPr>
              <w:pStyle w:val="Normal6a"/>
            </w:pPr>
            <w:r>
              <w:t>d)</w:t>
            </w:r>
            <w:r>
              <w:tab/>
            </w:r>
            <w:r>
              <w:rPr>
                <w:b/>
                <w:i/>
                <w:strike w:val="0"/>
                <w:color w:val="auto"/>
                <w:highlight w:val="none"/>
                <w:u w:val="none" w:color="auto"/>
                <w:vertAlign w:val="baseline"/>
              </w:rPr>
              <w:t>byly trvalými úpravami rámce Unie pro právní předpisy v oblasti finančních služeb;</w:t>
            </w:r>
            <w:r>
              <w:t xml:space="preserve"> </w:t>
            </w:r>
            <w:r>
              <w:rPr>
                <w:b/>
                <w:i/>
                <w:strike w:val="0"/>
                <w:color w:val="auto"/>
                <w:highlight w:val="none"/>
                <w:u w:val="none" w:color="auto"/>
                <w:vertAlign w:val="baseline"/>
              </w:rPr>
              <w:t>Or. en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Markus Ferber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2 – písm.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rPr>
                <w:b/>
                <w:i/>
                <w:strike w:val="0"/>
                <w:color w:val="auto"/>
                <w:highlight w:val="none"/>
                <w:u w:val="none" w:color="auto"/>
                <w:vertAlign w:val="baseline"/>
              </w:rPr>
              <w:t>zaveden trvale ve stávající podobě, nebo se změnami, nebo</w:t>
            </w:r>
          </w:p>
        </w:tc>
        <w:tc>
          <w:tcPr>
            <w:tcW w:w="4876" w:type="dxa"/>
            <w:vAlign w:val="top"/>
          </w:tcPr>
          <w:p>
            <w:pPr>
              <w:pStyle w:val="Normal6a"/>
            </w:pPr>
            <w:r>
              <w:t>d)</w:t>
            </w:r>
            <w:r>
              <w:tab/>
            </w:r>
            <w:r>
              <w:rPr>
                <w:b/>
                <w:i/>
                <w:strike w:val="0"/>
                <w:color w:val="auto"/>
                <w:highlight w:val="none"/>
                <w:u w:val="none" w:color="auto"/>
                <w:vertAlign w:val="baseline"/>
              </w:rPr>
              <w:t>učinila trvalým přizpůsobením příslušných právních předpisů Unie v oblasti finančních služeb;</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Je třeba se vyhnout existenci dvou paralelních režimů.</w:t>
      </w:r>
      <w:r>
        <w:t xml:space="preserve"> </w:t>
      </w:r>
      <w:r>
        <w:t>Pokud se ukáže, že pilotní projekt je úspěšný, měla by být jeho ustanovení provedena do</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 MacManus</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2 – písm.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e)</w:t>
            </w:r>
            <w:r>
              <w:tab/>
            </w:r>
            <w:r>
              <w:rPr>
                <w:b/>
                <w:i/>
                <w:strike w:val="0"/>
                <w:color w:val="auto"/>
                <w:highlight w:val="none"/>
                <w:u w:val="none" w:color="auto"/>
                <w:vertAlign w:val="baseline"/>
              </w:rPr>
              <w:t>ukončen.</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 MacManus</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2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Ve své zprávě může Komise navrhnout jakékoli vhodné změny právního rámce EU pro finanční služby nebo harmonizaci vnitrostátních právních předpisů, které by usnadnily používání technologie sdíleného registru ve finančním sektoru, jakož i opatření nezbytná pro to, aby tržní infrastruktury DLT mohly opustit pilotní režim.</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10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Článek 10 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Průběžné zprávy</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Orgán ESMA zveřejňuje každý rok průběžné zprávy s cílem poskytovat účastníkům trhu informace o fungování trhů, řešit nesprávné jednání provozovatelů, vyjasňovat uplatňování tohoto nařízení a aktualizovat předchozí pokyny na základě vývoje technologie DLT.</w:t>
            </w:r>
            <w:r>
              <w:t xml:space="preserve"> </w:t>
            </w:r>
            <w:r>
              <w:rPr>
                <w:b/>
                <w:i/>
                <w:strike w:val="0"/>
                <w:color w:val="auto"/>
                <w:highlight w:val="none"/>
                <w:u w:val="none" w:color="auto"/>
                <w:vertAlign w:val="baseline"/>
              </w:rPr>
              <w:t>Tyto zprávy poskytují také všeobecný popis pilotního režimu zaměřený trendy a nově se objevující rizika, a měly by být předloženy Evropskému parlamentu, Radě a Komisi.</w:t>
            </w:r>
            <w:r>
              <w:t xml:space="preserve"> </w:t>
            </w:r>
            <w:r>
              <w:rPr>
                <w:b/>
                <w:i/>
                <w:strike w:val="0"/>
                <w:color w:val="auto"/>
                <w:highlight w:val="none"/>
                <w:u w:val="none" w:color="auto"/>
                <w:vertAlign w:val="baseline"/>
              </w:rPr>
              <w:t>První zpráva se zveřejní [12 měsíců ode dne vstupu tohoto nařízení v platnost].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Antonio Maria Rinaldi</w:t>
      </w:r>
      <w:r>
        <w:t xml:space="preserve">, </w:t>
      </w:r>
      <w:r>
        <w:t>Francesca Donato</w:t>
      </w:r>
      <w:r>
        <w:t xml:space="preserve">, </w:t>
      </w:r>
      <w:r>
        <w:t>Valentino Grant</w:t>
      </w:r>
      <w:r>
        <w:t xml:space="preserve">, </w:t>
      </w:r>
      <w:r>
        <w:t>Marco Zanni</w:t>
      </w:r>
      <w:r>
        <w:t xml:space="preserve">, </w:t>
      </w:r>
      <w:r>
        <w:t>Gunnar Beck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10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Článek 10 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Pokud to považuje za nezbytné, orgán ESMA může zajistit zveřejnění průběžných zpráv s cílem poskytovat účastníkům trhu informace o fungování trhů, řešit nesprávné jednání provozovatelů, vyjasňovat uplatňování tohoto nařízení a jeho prováděcích aktů a aktualizovat předchozí pokyny v souladu s vývojem technologie DLT.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Markus Ferber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10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Článek 10 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Pravidelný přezkum</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Nejpozději jeden rok od vstupu tohoto nařízení v platnost a poté každý rok předloží orgán ESMA Evropskému parlamentu, Radě a Komisi zprávu zdůrazňující nejdůležitější trendy, rizika a slabá místa v souvislosti s pilotním projektem.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693.549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92</w:t>
    </w:r>
    <w:r>
      <w:fldChar w:fldCharType="end"/>
    </w:r>
    <w:r>
      <w:t>/</w:t>
    </w:r>
    <w:r>
      <w:fldChar w:fldCharType="begin"/>
    </w:r>
    <w:r>
      <w:instrText>NUMPAGES</w:instrText>
    </w:r>
    <w:r>
      <w:fldChar w:fldCharType="separate"/>
    </w:r>
    <w:r>
      <w:t>92</w:t>
    </w:r>
    <w:r>
      <w:fldChar w:fldCharType="end"/>
    </w:r>
    <w:r>
      <w:tab/>
    </w:r>
    <w:r>
      <w:rPr>
        <w:rStyle w:val="HideTWBExt"/>
      </w:rPr>
      <w:t>&lt;</w:t>
    </w:r>
    <w:r>
      <w:rPr>
        <w:rStyle w:val="HideTWBExt"/>
      </w:rPr>
      <w:t>PathFdR</w:t>
    </w:r>
    <w:r>
      <w:rPr>
        <w:rStyle w:val="HideTWBExt"/>
      </w:rPr>
      <w:t>&gt;</w:t>
    </w:r>
    <w:r>
      <w:t>AM\1232226CS.docx</w:t>
    </w:r>
    <w:r>
      <w:rPr>
        <w:rStyle w:val="HideTWBExt"/>
      </w:rPr>
      <w:t>&lt;/</w:t>
    </w:r>
    <w:r>
      <w:rPr>
        <w:rStyle w:val="HideTWBExt"/>
      </w:rPr>
      <w:t>PathFdR</w:t>
    </w:r>
    <w:r>
      <w:rPr>
        <w:rStyle w:val="HideTWBExt"/>
      </w:rPr>
      <w:t>&gt;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AM\1232226CS.docx</w:t>
    </w:r>
    <w:r>
      <w:rPr>
        <w:rStyle w:val="HideTWBExt"/>
      </w:rPr>
      <w:t>&lt;/</w:t>
    </w:r>
    <w:r>
      <w:rPr>
        <w:rStyle w:val="HideTWBExt"/>
      </w:rPr>
      <w:t>PathFdR</w:t>
    </w:r>
    <w:r>
      <w:rPr>
        <w:rStyle w:val="HideTWBExt"/>
      </w:rPr>
      <w:t>&gt;</w:t>
    </w:r>
    <w:r>
      <w:tab/>
    </w:r>
    <w:r>
      <w:fldChar w:fldCharType="begin"/>
    </w:r>
    <w:r>
      <w:instrText>PAGE</w:instrText>
    </w:r>
    <w:r>
      <w:fldChar w:fldCharType="separate"/>
    </w:r>
    <w:r>
      <w:t>91</w:t>
    </w:r>
    <w:r>
      <w:fldChar w:fldCharType="end"/>
    </w:r>
    <w:r>
      <w:t>/</w:t>
    </w:r>
    <w:r>
      <w:fldChar w:fldCharType="begin"/>
    </w:r>
    <w:r>
      <w:instrText>NUMPAGES</w:instrText>
    </w:r>
    <w:r>
      <w:fldChar w:fldCharType="separate"/>
    </w:r>
    <w:r>
      <w:t>92</w:t>
    </w:r>
    <w:r>
      <w:fldChar w:fldCharType="end"/>
    </w:r>
    <w:r>
      <w:tab/>
    </w:r>
    <w:r>
      <w:t>PE</w:t>
    </w:r>
    <w:r>
      <w:rPr>
        <w:rStyle w:val="HideTWBExt"/>
      </w:rPr>
      <w:t>&lt;</w:t>
    </w:r>
    <w:r>
      <w:rPr>
        <w:rStyle w:val="HideTWBExt"/>
      </w:rPr>
      <w:t>NoPE</w:t>
    </w:r>
    <w:r>
      <w:rPr>
        <w:rStyle w:val="HideTWBExt"/>
      </w:rPr>
      <w:t>&gt;</w:t>
    </w:r>
    <w:r>
      <w:t>693.549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AM\1232226CS.docx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693.549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CS</w:t>
    </w:r>
    <w:r>
      <w:tab/>
    </w:r>
    <w:r>
      <w:rPr>
        <w:rStyle w:val="EPFooter2Middle"/>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gruik" w:val="value of gruik"/>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iddle">
    <w:name w:val="EPFooter2Middle"/>
    <w:uiPriority w:val="1"/>
    <w:qFormat/>
    <w:rsid w:val="00305047"/>
    <w:rPr>
      <w:rFonts w:ascii="Arial" w:hAnsi="Arial"/>
      <w:b w:val="0"/>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92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1232226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20210616-180113-318785-712301</vt:lpwstr>
  </property>
  <property fmtid="{D5CDD505-2E9C-101B-9397-08002B2CF9AE}" pid="7" name="FooterPath">
    <vt:lpwstr>AM\1232226CS.docx</vt:lpwstr>
  </property>
  <property fmtid="{D5CDD505-2E9C-101B-9397-08002B2CF9AE}" pid="8" name="PE Number">
    <vt:lpwstr>693.549</vt:lpwstr>
  </property>
  <property fmtid="{D5CDD505-2E9C-101B-9397-08002B2CF9AE}" pid="9" name="UID">
    <vt:lpwstr>eu.europa.europarl-DIN1-2021-0000041987_02.00-cs-01.00_text-xml</vt:lpwstr>
  </property>
</Properties>
</file>