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9.3 -->
  <w:body>
    <w:tbl>
      <w:tblPr>
        <w:jc w:val="center"/>
        <w:tblLayout w:type="fixed"/>
        <w:tblCellMar>
          <w:top w:w="0" w:type="dxa"/>
          <w:left w:w="108" w:type="dxa"/>
          <w:bottom w:w="0" w:type="dxa"/>
          <w:right w:w="108" w:type="dxa"/>
        </w:tblCellMar>
      </w:tblPr>
      <w:tblGrid>
        <w:gridCol w:w="6804"/>
        <w:gridCol w:w="2268"/>
      </w:tblGrid>
      <w:tr>
        <w:tblPrEx>
          <w:jc w:val="center"/>
          <w:tblLayout w:type="fixed"/>
          <w:tblCellMar>
            <w:top w:w="0" w:type="dxa"/>
            <w:left w:w="108" w:type="dxa"/>
            <w:bottom w:w="0" w:type="dxa"/>
            <w:right w:w="108" w:type="dxa"/>
          </w:tblCellMar>
        </w:tblPrEx>
        <w:trPr>
          <w:cantSplit w:val="0"/>
          <w:trHeight w:hRule="exact" w:val="1417"/>
          <w:jc w:val="center"/>
        </w:trPr>
        <w:tc>
          <w:tcPr>
            <w:tcW w:w="6804" w:type="dxa"/>
            <w:vAlign w:val="center"/>
          </w:tcPr>
          <w:p>
            <w:pPr>
              <w:pStyle w:val="EPName"/>
            </w:pPr>
            <w:r w:rsidR="00A77B3E">
              <w:t>Parlamentul European</w:t>
            </w:r>
          </w:p>
          <w:p>
            <w:pPr>
              <w:pStyle w:val="EPTerm"/>
            </w:pPr>
            <w:r>
              <w:t>2019-2024</w:t>
            </w:r>
          </w:p>
        </w:tc>
        <w:tc>
          <w:tcPr>
            <w:tcW w:w="226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987592" name=""/>
                          <pic:cNvPicPr>
                            <a:picLocks noChangeAspect="1"/>
                          </pic:cNvPicPr>
                        </pic:nvPicPr>
                        <pic:blipFill>
                          <a:blip xmlns:r="http://schemas.openxmlformats.org/officeDocument/2006/relationships" r:embed="rId4"/>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{ECON}</w:t>
      </w:r>
      <w:r>
        <w:t>Comisia pentru afaceri economice și monetare</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2020/0267</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(COD)</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26/05/2021</w:t>
      </w:r>
      <w:r>
        <w:rPr>
          <w:rStyle w:val="HideTWBInt"/>
        </w:rPr>
        <w:t>}</w:t>
      </w:r>
      <w:r>
        <w:t>26.5.2021</w:t>
      </w:r>
      <w:r>
        <w:rPr>
          <w:rStyle w:val="HideTWBExt"/>
        </w:rPr>
        <w:t>&lt;/</w:t>
      </w:r>
      <w:r>
        <w:rPr>
          <w:rStyle w:val="HideTWBExt"/>
        </w:rPr>
        <w:t>Date</w:t>
      </w:r>
      <w:r>
        <w:rPr>
          <w:rStyle w:val="HideTWBExt"/>
        </w:rPr>
        <w:t>&gt;</w:t>
      </w:r>
    </w:p>
    <w:p>
      <w:pPr>
        <w:pStyle w:val="CoverDocType"/>
      </w:pPr>
      <w:r>
        <w:rPr>
          <w:rStyle w:val="HideTWBExt"/>
        </w:rPr>
        <w:t>&lt;</w:t>
      </w:r>
      <w:r>
        <w:rPr>
          <w:rStyle w:val="HideTWBExt"/>
        </w:rPr>
        <w:t>TypeAM</w:t>
      </w:r>
      <w:r>
        <w:rPr>
          <w:rStyle w:val="HideTWBExt"/>
        </w:rPr>
        <w:t>&gt;</w:t>
      </w:r>
      <w:r>
        <w:t>AMENDAMENTELE</w:t>
      </w:r>
      <w:r>
        <w:rPr>
          <w:rStyle w:val="HideTWBExt"/>
        </w:rPr>
        <w:t>&lt;/</w:t>
      </w:r>
      <w:r>
        <w:rPr>
          <w:rStyle w:val="HideTWBExt"/>
        </w:rPr>
        <w:t>TypeAM</w:t>
      </w:r>
      <w:r>
        <w:rPr>
          <w:rStyle w:val="HideTWBExt"/>
        </w:rPr>
        <w:t>&gt;</w:t>
      </w:r>
    </w:p>
    <w:p>
      <w:pPr>
        <w:pStyle w:val="CoverDocType24a"/>
      </w:pPr>
      <w:r>
        <w:rPr>
          <w:rStyle w:val="HideTWBExt"/>
        </w:rPr>
        <w:t>&lt;</w:t>
      </w:r>
      <w:r>
        <w:rPr>
          <w:rStyle w:val="HideTWBExt"/>
        </w:rPr>
        <w:t>RangeAM</w:t>
      </w:r>
      <w:r>
        <w:rPr>
          <w:rStyle w:val="HideTWBExt"/>
        </w:rPr>
        <w:t>&gt;</w:t>
      </w:r>
      <w:r>
        <w:t>335 - 499</w:t>
      </w:r>
      <w:r>
        <w:rPr>
          <w:rStyle w:val="HideTWBExt"/>
        </w:rPr>
        <w:t>&lt;/</w:t>
      </w:r>
      <w:r>
        <w:rPr>
          <w:rStyle w:val="HideTWBExt"/>
        </w:rPr>
        <w:t>RangeAM</w:t>
      </w:r>
      <w:r>
        <w:rPr>
          <w:rStyle w:val="HideTWBExt"/>
        </w:rPr>
        <w:t>&gt;</w:t>
      </w:r>
    </w:p>
    <w:p>
      <w:pPr>
        <w:pStyle w:val="CoverBold"/>
      </w:pPr>
      <w:r>
        <w:rPr>
          <w:rStyle w:val="HideTWBExt"/>
        </w:rPr>
        <w:t>&lt;</w:t>
      </w:r>
      <w:r>
        <w:rPr>
          <w:rStyle w:val="HideTWBExt"/>
        </w:rPr>
        <w:t>TitreType</w:t>
      </w:r>
      <w:r>
        <w:rPr>
          <w:rStyle w:val="HideTWBExt"/>
        </w:rPr>
        <w:t>&gt;</w:t>
      </w:r>
      <w:r>
        <w:t>Proiect de raport</w:t>
      </w:r>
      <w:r>
        <w:rPr>
          <w:rStyle w:val="HideTWBExt"/>
        </w:rPr>
        <w:t>&lt;/</w:t>
      </w:r>
      <w:r>
        <w:rPr>
          <w:rStyle w:val="HideTWBExt"/>
        </w:rPr>
        <w:t>TitreType</w:t>
      </w:r>
      <w:r>
        <w:rPr>
          <w:rStyle w:val="HideTWBExt"/>
        </w:rPr>
        <w:t>&gt;</w:t>
      </w:r>
    </w:p>
    <w:p>
      <w:pPr>
        <w:pStyle w:val="CoverBold"/>
      </w:pPr>
      <w:r>
        <w:rPr>
          <w:rStyle w:val="HideTWBExt"/>
        </w:rPr>
        <w:t>&lt;</w:t>
      </w:r>
      <w:r>
        <w:rPr>
          <w:rStyle w:val="HideTWBExt"/>
        </w:rPr>
        <w:t>Rapporteur</w:t>
      </w:r>
      <w:r>
        <w:rPr>
          <w:rStyle w:val="HideTWBExt"/>
        </w:rPr>
        <w:t>&gt;</w:t>
      </w:r>
      <w:r>
        <w:t>Johan Van Overtveldt</w:t>
      </w:r>
      <w:r>
        <w:rPr>
          <w:rStyle w:val="HideTWBExt"/>
        </w:rPr>
        <w:t>&lt;/</w:t>
      </w:r>
      <w:r>
        <w:rPr>
          <w:rStyle w:val="HideTWBExt"/>
        </w:rPr>
        <w:t>Rapporteur</w:t>
      </w:r>
      <w:r>
        <w:rPr>
          <w:rStyle w:val="HideTWBExt"/>
        </w:rPr>
        <w:t>&gt;</w:t>
      </w:r>
    </w:p>
    <w:p>
      <w:pPr>
        <w:pStyle w:val="CoverNormal24a"/>
      </w:pPr>
      <w:r>
        <w:rPr>
          <w:rStyle w:val="HideTWBExt"/>
        </w:rPr>
        <w:t>&lt;</w:t>
      </w:r>
      <w:r>
        <w:rPr>
          <w:rStyle w:val="HideTWBExt"/>
        </w:rPr>
        <w:t>DocRefPE</w:t>
      </w:r>
      <w:r>
        <w:rPr>
          <w:rStyle w:val="HideTWBExt"/>
        </w:rPr>
        <w:t>&gt;</w:t>
      </w:r>
      <w:r>
        <w:t>(</w:t>
      </w:r>
      <w:r>
        <w:t>PE689.571v01-00</w:t>
      </w:r>
      <w:r>
        <w:t>)</w:t>
      </w:r>
      <w:r>
        <w:rPr>
          <w:rStyle w:val="HideTWBExt"/>
        </w:rPr>
        <w:t>&lt;/</w:t>
      </w:r>
      <w:r>
        <w:rPr>
          <w:rStyle w:val="HideTWBExt"/>
        </w:rPr>
        <w:t>DocRefPE</w:t>
      </w:r>
      <w:r>
        <w:rPr>
          <w:rStyle w:val="HideTWBExt"/>
        </w:rPr>
        <w:t>&gt;</w:t>
      </w:r>
    </w:p>
    <w:p>
      <w:pPr>
        <w:pStyle w:val="CoverNormal24a"/>
      </w:pPr>
      <w:r>
        <w:rPr>
          <w:rStyle w:val="HideTWBExt"/>
        </w:rPr>
        <w:t>&lt;</w:t>
      </w:r>
      <w:r>
        <w:rPr>
          <w:rStyle w:val="HideTWBExt"/>
        </w:rPr>
        <w:t>Titre</w:t>
      </w:r>
      <w:r>
        <w:rPr>
          <w:rStyle w:val="HideTWBExt"/>
        </w:rPr>
        <w:t>&gt;</w:t>
      </w:r>
      <w:r>
        <w:t>Regimul-pilot pentru infrastructurile pieței bazate pe tehnologia registrelor distribuite</w:t>
      </w:r>
      <w:r>
        <w:rPr>
          <w:rStyle w:val="HideTWBExt"/>
        </w:rPr>
        <w:t>&lt;/</w:t>
      </w:r>
      <w:r>
        <w:rPr>
          <w:rStyle w:val="HideTWBExt"/>
        </w:rPr>
        <w:t>Titre</w:t>
      </w:r>
      <w:r>
        <w:rPr>
          <w:rStyle w:val="HideTWBExt"/>
        </w:rPr>
        <w:t>&gt;</w:t>
      </w:r>
    </w:p>
    <w:p>
      <w:pPr>
        <w:pStyle w:val="CoverNormal"/>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CoverNormal24a"/>
      </w:pPr>
      <w:r>
        <w:rPr>
          <w:rStyle w:val="HideTWBExt"/>
        </w:rPr>
        <w:t>&lt;</w:t>
      </w:r>
      <w:r>
        <w:rPr>
          <w:rStyle w:val="HideTWBExt"/>
        </w:rPr>
        <w:t>DocRef</w:t>
      </w:r>
      <w:r>
        <w:rPr>
          <w:rStyle w:val="HideTWBExt"/>
        </w:rPr>
        <w:t>&gt;</w:t>
      </w:r>
      <w:r>
        <w:t>(</w:t>
      </w:r>
      <w:r>
        <w:t>COM(2020)0594</w:t>
      </w:r>
      <w:r>
        <w:t xml:space="preserve"> – </w:t>
      </w:r>
      <w:r>
        <w:t>C9-0305/2020</w:t>
      </w:r>
      <w:r>
        <w:t xml:space="preserve"> – </w:t>
      </w:r>
      <w:r>
        <w:t>2020/0267(COD)</w:t>
      </w:r>
      <w:r>
        <w:t>)</w:t>
      </w:r>
      <w:r>
        <w:rPr>
          <w:rStyle w:val="HideTWBExt"/>
        </w:rPr>
        <w:t>&lt;/</w:t>
      </w:r>
      <w:r>
        <w:rPr>
          <w:rStyle w:val="HideTWBExt"/>
        </w:rPr>
        <w:t>DocRef</w:t>
      </w:r>
      <w:r>
        <w:rPr>
          <w:rStyle w:val="HideTWBExt"/>
        </w:rPr>
        <w:t>&gt;</w:t>
      </w:r>
    </w:p>
    <w:p>
      <w:r>
        <w:br w:type="page"/>
      </w:r>
      <w:r>
        <w:t>AM_Com_LegReport</w:t>
      </w:r>
    </w:p>
    <w:p>
      <w:pPr>
        <w:pStyle w:val="AmNumberTabs"/>
      </w:pPr>
      <w:r>
        <w:br w:type="page"/>
      </w:r>
      <w:r>
        <w:rPr>
          <w:rStyle w:val="HideTWBExt"/>
        </w:rPr>
        <w:t>&lt;</w:t>
      </w:r>
      <w:r>
        <w:rPr>
          <w:rStyle w:val="HideTWBExt"/>
        </w:rPr>
        <w:t>RepeatBlock-Amend</w:t>
      </w:r>
      <w:r>
        <w:rPr>
          <w:rStyle w:val="HideTWBExt"/>
        </w:rPr>
        <w:t>&gt;</w:t>
      </w: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335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2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 xml:space="preserve">La cererea sa, </w:t>
            </w:r>
            <w:r>
              <w:rPr>
                <w:b/>
                <w:i/>
                <w:strike w:val="0"/>
                <w:color w:val="auto"/>
                <w:highlight w:val="none"/>
                <w:u w:val="none" w:color="auto"/>
                <w:vertAlign w:val="baseline"/>
              </w:rPr>
              <w:t>un CSD</w:t>
            </w:r>
            <w:r>
              <w:t xml:space="preserve"> care gestionează un sistem de decontare a titlurilor de valoare bazat pe DLT poate să primească derogare de la autoritatea competentă de la aplicarea articolului 2 alineatul (1) punctul 4 privind forma dematerializată, a articolului 2 alineatul (1) punctul 9 privind ordinele de transfer, a articolului 2 alineatul (1) punctul 28 privind conturile de titluri de valoare, a articolului 3 privind înregistrarea titlurilor de valoare, a articolului 37 privind integritatea emisiunii, a articolului 38 privind separarea activelor din Regulamentul (UE) nr. 909/2014, cu condiția ca </w:t>
            </w:r>
            <w:r>
              <w:rPr>
                <w:b/>
                <w:i/>
                <w:strike w:val="0"/>
                <w:color w:val="auto"/>
                <w:highlight w:val="none"/>
                <w:u w:val="none" w:color="auto"/>
                <w:vertAlign w:val="baseline"/>
              </w:rPr>
              <w:t>CSD-ul</w:t>
            </w:r>
            <w:r>
              <w:t xml:space="preserve"> care gestionează sistemul de decontare a titlurilor de valoare bazate pe DLT:</w:t>
            </w:r>
          </w:p>
        </w:tc>
        <w:tc>
          <w:tcPr>
            <w:tcW w:w="4876" w:type="dxa"/>
            <w:vAlign w:val="top"/>
          </w:tcPr>
          <w:p>
            <w:pPr>
              <w:pStyle w:val="Normal6a"/>
            </w:pPr>
            <w:r>
              <w:t>2.</w:t>
            </w:r>
            <w:r>
              <w:tab/>
            </w:r>
            <w:r>
              <w:t xml:space="preserve">La cererea sa, </w:t>
            </w:r>
            <w:r>
              <w:rPr>
                <w:b/>
                <w:i/>
                <w:strike w:val="0"/>
                <w:color w:val="auto"/>
                <w:highlight w:val="none"/>
                <w:u w:val="none" w:color="auto"/>
                <w:vertAlign w:val="baseline"/>
              </w:rPr>
              <w:t>o entitate</w:t>
            </w:r>
            <w:r>
              <w:t xml:space="preserve"> care gestionează un sistem de decontare a titlurilor de valoare bazat pe DLT poate să primească derogare de la autoritatea competentă de la aplicarea articolului 2 alineatul (1) punctul 4 privind forma dematerializată, a articolului 2 alineatul (1) punctul 9 privind ordinele de transfer, a articolului 2 alineatul (1) punctul 28 privind conturile de titluri de valoare, a articolului 3 privind înregistrarea titlurilor de valoare, a articolului 37 privind integritatea emisiunii, a articolului 38 privind separarea activelor din Regulamentul (UE) nr. 909/2014, cu condiția ca </w:t>
            </w:r>
            <w:r>
              <w:rPr>
                <w:b/>
                <w:i/>
                <w:strike w:val="0"/>
                <w:color w:val="auto"/>
                <w:highlight w:val="none"/>
                <w:u w:val="none" w:color="auto"/>
                <w:vertAlign w:val="baseline"/>
              </w:rPr>
              <w:t>entitatea</w:t>
            </w:r>
            <w:r>
              <w:t xml:space="preserve"> care gestionează sistemul de decontare a titlurilor de valoare bazate pe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336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Jessica Polfjärd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2 – litera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(a)</w:t>
            </w:r>
            <w:r>
              <w:tab/>
            </w:r>
            <w:r>
              <w:t xml:space="preserve">să demonstreze că nu există compatibilitate între utilizarea unui „cont de titluri de valoare”, astfel cum este definit la articolul 2 alineatul (1) punctul 28 din Regulamentul (UE) nr. 909/2014, sau a înscrierii în cont, cu </w:t>
            </w:r>
            <w:r>
              <w:rPr>
                <w:b/>
                <w:i/>
                <w:strike w:val="0"/>
                <w:color w:val="auto"/>
                <w:highlight w:val="none"/>
                <w:u w:val="none" w:color="auto"/>
                <w:vertAlign w:val="baseline"/>
              </w:rPr>
              <w:t>utilizarea DLT respective</w:t>
            </w:r>
            <w:r>
              <w:t>;</w:t>
            </w:r>
          </w:p>
        </w:tc>
        <w:tc>
          <w:tcPr>
            <w:tcW w:w="4876" w:type="dxa"/>
            <w:vAlign w:val="top"/>
          </w:tcPr>
          <w:p>
            <w:pPr>
              <w:pStyle w:val="Normal6a"/>
            </w:pPr>
            <w:r>
              <w:t>(a)</w:t>
            </w:r>
            <w:r>
              <w:tab/>
            </w:r>
            <w:r>
              <w:t xml:space="preserve">să demonstreze că nu există compatibilitate între utilizarea unui „cont de titluri de valoare”, astfel cum este definit la articolul 2 alineatul (1) punctul 28 din Regulamentul (UE) nr. 909/2014, sau a înscrierii în cont, cu </w:t>
            </w:r>
            <w:r>
              <w:rPr>
                <w:b/>
                <w:i/>
                <w:strike w:val="0"/>
                <w:color w:val="auto"/>
                <w:highlight w:val="none"/>
                <w:u w:val="none" w:color="auto"/>
                <w:vertAlign w:val="baseline"/>
              </w:rPr>
              <w:t>DLT respectivă utilizată de CSD-ul în cauză</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337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2 – litera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(a)</w:t>
            </w:r>
            <w:r>
              <w:tab/>
            </w:r>
            <w:r>
              <w:t>să demonstreze că nu există compatibilitate între utilizarea unui „cont de titluri de valoare”, astfel cum este definit la articolul 2 alineatul (1) punctul 28 din Regulamentul (UE) nr. 909/2014, sau a înscrierii în cont, cu utilizarea DLT respective;</w:t>
            </w:r>
          </w:p>
        </w:tc>
        <w:tc>
          <w:tcPr>
            <w:tcW w:w="4876" w:type="dxa"/>
            <w:vAlign w:val="top"/>
          </w:tcPr>
          <w:p>
            <w:pPr>
              <w:pStyle w:val="Normal6a"/>
            </w:pPr>
            <w:r>
              <w:t>(a)</w:t>
            </w:r>
            <w:r>
              <w:tab/>
            </w:r>
            <w:r>
              <w:t>să demonstreze că nu există compatibilitate între utilizarea unui „cont de titluri de valoare”, astfel cum este definit la articolul 2 alineatul (1) punctul 28 din Regulamentul (UE) nr. 909/2014, sau a înscrierii în cont, cu utilizarea DLT respective</w:t>
            </w:r>
            <w:r>
              <w:rPr>
                <w:b/>
                <w:i/>
                <w:strike w:val="0"/>
                <w:color w:val="auto"/>
                <w:highlight w:val="none"/>
                <w:u w:val="none" w:color="auto"/>
                <w:vertAlign w:val="baseline"/>
              </w:rPr>
              <w:t> puse în aplicare</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În contextul unei abordări mai neutre din punct de vedere tehnologic privind utilizarea DLT.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338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2 – litera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(b)</w:t>
            </w:r>
            <w:r>
              <w:tab/>
            </w:r>
            <w:r>
              <w:t>să propună măsuri compensatorii pentru îndeplinirea obiectivelor urmărite de dispozițiile de la care se solicită derogarea și să asigure cel puțin:</w:t>
            </w:r>
          </w:p>
        </w:tc>
        <w:tc>
          <w:tcPr>
            <w:tcW w:w="4876" w:type="dxa"/>
            <w:vAlign w:val="top"/>
          </w:tcPr>
          <w:p>
            <w:pPr>
              <w:pStyle w:val="Normal6a"/>
            </w:pPr>
            <w:r>
              <w:t>(b)</w:t>
            </w:r>
            <w:r>
              <w:tab/>
            </w:r>
            <w:r>
              <w:t xml:space="preserve">să propună măsuri compensatorii </w:t>
            </w:r>
            <w:r>
              <w:rPr>
                <w:b/>
                <w:i/>
                <w:strike w:val="0"/>
                <w:color w:val="auto"/>
                <w:highlight w:val="none"/>
                <w:u w:val="none" w:color="auto"/>
                <w:vertAlign w:val="baseline"/>
              </w:rPr>
              <w:t>sau corective</w:t>
            </w:r>
            <w:r>
              <w:t xml:space="preserve"> pentru îndeplinirea obiectivelor urmărite de dispozițiile de la care se solicită derogarea și să asigure cel puțin:</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339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3.</w:t>
            </w:r>
            <w:r>
              <w:tab/>
            </w:r>
            <w:r>
              <w:rPr>
                <w:b/>
                <w:i/>
                <w:strike w:val="0"/>
                <w:color w:val="auto"/>
                <w:highlight w:val="none"/>
                <w:u w:val="none" w:color="auto"/>
                <w:vertAlign w:val="baseline"/>
              </w:rPr>
              <w:t>La cererea sa, un CSD care gestionează un sistem de decontare a titlurilor de valoare bazat pe DLT poate să primească derogare de la autoritatea competentă de la aplicarea articolului 19 și a articolului 30 din Regulamentul (UE) nr. 909/2014, cu condiția ca:</w:t>
            </w:r>
          </w:p>
        </w:tc>
        <w:tc>
          <w:tcPr>
            <w:tcW w:w="4876" w:type="dxa"/>
            <w:vAlign w:val="top"/>
          </w:tcPr>
          <w:p>
            <w:pPr>
              <w:pStyle w:val="Normal6a"/>
            </w:pPr>
            <w:r>
              <w:rPr>
                <w:b/>
                <w:i/>
                <w:strike w:val="0"/>
                <w:color w:val="auto"/>
                <w:highlight w:val="none"/>
                <w:u w:val="none" w:color="auto"/>
                <w:vertAlign w:val="baseline"/>
              </w:rPr>
              <w:t>eliminat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(a) aceste dispoziții să fie incompatibile cu utilizarea unei DLT, astfel cum este avută în vedere de către DLT-ul gestionat de CSD-ul în cauză și</w:t>
            </w:r>
          </w:p>
        </w:tc>
        <w:tc>
          <w:tcPr>
            <w:tcW w:w="4876" w:type="dxa"/>
            <w:vAlign w:val="top"/>
          </w:tcPr>
          <w:p>
            <w:pPr>
              <w:pStyle w:val="Normal6a"/>
            </w:pP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(b) CSD-ul care gestionează sistemul de decontare a titlurilor de valoare bazat pe DLT să asigure respectarea condițiilor prevăzute la articolul 30 alineatul (1) literele (c)-(i) și la articolul 30 alineatul (2) din Regulamentul (UE) nr. 909/2014.</w:t>
            </w:r>
          </w:p>
        </w:tc>
        <w:tc>
          <w:tcPr>
            <w:tcW w:w="4876" w:type="dxa"/>
            <w:vAlign w:val="top"/>
          </w:tcPr>
          <w:p>
            <w:pPr>
              <w:pStyle w:val="Normal6a"/>
            </w:pP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Nu ar trebui să existe nicio delegare a responsabilității în legătură cu externalizarea activităților sau a serviciilor către o parte terță.</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340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Jonás Fernández</w:t>
      </w:r>
      <w:r>
        <w:t xml:space="preserve">, </w:t>
      </w:r>
      <w:r>
        <w:t>Eero Heinäluoma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3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La cererea sa, un CSD care gestionează un sistem de decontare a titlurilor de valoare bazat pe DLT poate să primească derogare de la autoritatea competentă de la aplicarea articolului 19 și a articolului 30 din Regulamentul (UE) nr. 909/2014, cu condiția ca:</w:t>
            </w:r>
          </w:p>
        </w:tc>
        <w:tc>
          <w:tcPr>
            <w:tcW w:w="4876" w:type="dxa"/>
            <w:vAlign w:val="top"/>
          </w:tcPr>
          <w:p>
            <w:pPr>
              <w:pStyle w:val="Normal6a"/>
            </w:pPr>
            <w:r>
              <w:t>3.</w:t>
            </w:r>
            <w:r>
              <w:tab/>
            </w:r>
            <w:r>
              <w:t>La cererea sa, un CSD care gestionează un sistem de decontare a titlurilor de valoare bazat pe DLT poate să primească derogare de la autoritatea competentă de la aplicarea articolului 19 și a articolului 30 din Regulamentul (UE) nr. 909/2014</w:t>
            </w:r>
            <w:r>
              <w:rPr>
                <w:b/>
                <w:i/>
                <w:strike w:val="0"/>
                <w:color w:val="auto"/>
                <w:highlight w:val="none"/>
                <w:u w:val="none" w:color="auto"/>
                <w:vertAlign w:val="baseline"/>
              </w:rPr>
              <w:t> numai în ceea ce privește externalizarea unui serviciu de bază către o parte terță, și de la aplicarea articolului 30 din regulamentul respectiv</w:t>
            </w:r>
            <w:r>
              <w:t>, cu condiția ca:</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Conform avizului BCE.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341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Johan Van Overtveldt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3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La cererea sa, un CSD care gestionează un </w:t>
            </w:r>
            <w:r>
              <w:rPr>
                <w:b/>
                <w:i/>
                <w:strike w:val="0"/>
                <w:color w:val="auto"/>
                <w:highlight w:val="none"/>
                <w:u w:val="none" w:color="auto"/>
                <w:vertAlign w:val="baseline"/>
              </w:rPr>
              <w:t>sistem de decontare a titlurilor de valoare bazat pe</w:t>
            </w:r>
            <w:r>
              <w:t xml:space="preserve"> DLT poate să primească derogare de la autoritatea competentă de la aplicarea articolului 19 și a articolului 30 din Regulamentul (UE) nr. 909/2014, cu condiția ca:</w:t>
            </w:r>
          </w:p>
        </w:tc>
        <w:tc>
          <w:tcPr>
            <w:tcW w:w="4876" w:type="dxa"/>
            <w:vAlign w:val="top"/>
          </w:tcPr>
          <w:p>
            <w:pPr>
              <w:pStyle w:val="Normal6a"/>
            </w:pPr>
            <w:r>
              <w:t>3.</w:t>
            </w:r>
            <w:r>
              <w:tab/>
            </w:r>
            <w:r>
              <w:t xml:space="preserve">La cererea sa, un CSD care gestionează un </w:t>
            </w:r>
            <w:r>
              <w:rPr>
                <w:b/>
                <w:i/>
                <w:strike w:val="0"/>
                <w:color w:val="auto"/>
                <w:highlight w:val="none"/>
                <w:u w:val="none" w:color="auto"/>
                <w:vertAlign w:val="baseline"/>
              </w:rPr>
              <w:t>SSS</w:t>
            </w:r>
            <w:r>
              <w:t xml:space="preserve"> DLT poate să primească derogare de la autoritatea competentă de la aplicarea articolului 19 și a articolului 30 din Regulamentul (UE) nr. 909/2014 </w:t>
            </w:r>
            <w:r>
              <w:rPr>
                <w:b/>
                <w:i/>
                <w:strike w:val="0"/>
                <w:color w:val="auto"/>
                <w:highlight w:val="none"/>
                <w:u w:val="none" w:color="auto"/>
                <w:vertAlign w:val="baseline"/>
              </w:rPr>
              <w:t>numai în ceea ce privește externalizarea unui serviciu de bază către o parte terță, și de la aplicarea articolului 30 din regulamentul respectiv</w:t>
            </w:r>
            <w:r>
              <w:t>, cu condiția ca:</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Acest amendament urmărește luarea în considerare a unei sugestii din avizul BCE.</w:t>
      </w:r>
      <w:r>
        <w:t xml:space="preserve"> </w:t>
      </w:r>
      <w:r>
        <w:t>Derogarea de la articolul 19 din Regulamentul (UE) nr. 909/2014 ar trebui să se limiteze la externalizarea serviciilor.</w:t>
      </w:r>
      <w:r>
        <w:t xml:space="preserve"> </w:t>
      </w:r>
      <w:r>
        <w:t>În plus, exploatarea de către un CSD a unui SSS bazat pe DLT nu poate echivala cu operarea unui „sistem”.</w:t>
      </w:r>
      <w:r>
        <w:t xml:space="preserve"> </w:t>
      </w:r>
      <w:r>
        <w:t>În acest caz, exploatarea unui sistem de decontare a titlurilor de valoare bazat pe DLT nu ar fi considerată o extindere a activităților sau a serviciilor în temeiul Regulamentului (UE) nr. 909/2014.</w:t>
      </w:r>
      <w:r>
        <w:t xml:space="preserve"> </w:t>
      </w:r>
      <w:r>
        <w:t>Prin urmare, ar fi necesară o evaluare de către autoritățile relevante a autorizației de exploatare a unui sistem de decontare a titlurilor de valoare bazat pe DLT, în conformitate cu articolul 19 din Regulamentul (UE) nr. 909/2014.</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342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3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La cererea sa, </w:t>
            </w:r>
            <w:r>
              <w:rPr>
                <w:b/>
                <w:i/>
                <w:strike w:val="0"/>
                <w:color w:val="auto"/>
                <w:highlight w:val="none"/>
                <w:u w:val="none" w:color="auto"/>
                <w:vertAlign w:val="baseline"/>
              </w:rPr>
              <w:t>un CSD</w:t>
            </w:r>
            <w:r>
              <w:t xml:space="preserve"> care gestionează un sistem de decontare a titlurilor de valoare bazat pe DLT poate să primească derogare de la autoritatea competentă de la aplicarea articolului 19 și a articolului 30 din Regulamentul (UE) nr. 909/2014, cu condiția ca:</w:t>
            </w:r>
          </w:p>
        </w:tc>
        <w:tc>
          <w:tcPr>
            <w:tcW w:w="4876" w:type="dxa"/>
            <w:vAlign w:val="top"/>
          </w:tcPr>
          <w:p>
            <w:pPr>
              <w:pStyle w:val="Normal6a"/>
            </w:pPr>
            <w:r>
              <w:t>3.</w:t>
            </w:r>
            <w:r>
              <w:tab/>
            </w:r>
            <w:r>
              <w:t xml:space="preserve">La cererea sa, </w:t>
            </w:r>
            <w:r>
              <w:rPr>
                <w:b/>
                <w:i/>
                <w:strike w:val="0"/>
                <w:color w:val="auto"/>
                <w:highlight w:val="none"/>
                <w:u w:val="none" w:color="auto"/>
                <w:vertAlign w:val="baseline"/>
              </w:rPr>
              <w:t>o entitate</w:t>
            </w:r>
            <w:r>
              <w:t xml:space="preserve"> care gestionează un sistem de decontare a titlurilor de valoare bazat pe DLT poate să primească derogare de la autoritatea competentă de la aplicarea articolului 19 și a articolului 30 din Regulamentul (UE) nr. 909/2014, cu condiția ca:</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343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3 – litera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(a)</w:t>
            </w:r>
            <w:r>
              <w:tab/>
            </w:r>
            <w:r>
              <w:t xml:space="preserve">aceste dispoziții să fie incompatibile cu utilizarea unei DLT, astfel cum este avută în vedere de către DLT-ul gestionat de </w:t>
            </w:r>
            <w:r>
              <w:rPr>
                <w:b/>
                <w:i/>
                <w:strike w:val="0"/>
                <w:color w:val="auto"/>
                <w:highlight w:val="none"/>
                <w:u w:val="none" w:color="auto"/>
                <w:vertAlign w:val="baseline"/>
              </w:rPr>
              <w:t>CSD-ul</w:t>
            </w:r>
            <w:r>
              <w:t xml:space="preserve"> în cauză și</w:t>
            </w:r>
          </w:p>
        </w:tc>
        <w:tc>
          <w:tcPr>
            <w:tcW w:w="4876" w:type="dxa"/>
            <w:vAlign w:val="top"/>
          </w:tcPr>
          <w:p>
            <w:pPr>
              <w:pStyle w:val="Normal6a"/>
            </w:pPr>
            <w:r>
              <w:t>(a)</w:t>
            </w:r>
            <w:r>
              <w:tab/>
            </w:r>
            <w:r>
              <w:t xml:space="preserve">aceste dispoziții să fie incompatibile cu utilizarea unei DLT, astfel cum este avută în vedere de către DLT-ul gestionat de </w:t>
            </w:r>
            <w:r>
              <w:rPr>
                <w:b/>
                <w:i/>
                <w:strike w:val="0"/>
                <w:color w:val="auto"/>
                <w:highlight w:val="none"/>
                <w:u w:val="none" w:color="auto"/>
                <w:vertAlign w:val="baseline"/>
              </w:rPr>
              <w:t>entitatea</w:t>
            </w:r>
            <w:r>
              <w:t xml:space="preserve"> în cauză și</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344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3 – litera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(b)</w:t>
            </w:r>
            <w:r>
              <w:tab/>
            </w:r>
            <w:r>
              <w:rPr>
                <w:b/>
                <w:i/>
                <w:strike w:val="0"/>
                <w:color w:val="auto"/>
                <w:highlight w:val="none"/>
                <w:u w:val="none" w:color="auto"/>
                <w:vertAlign w:val="baseline"/>
              </w:rPr>
              <w:t>CSD-ul</w:t>
            </w:r>
            <w:r>
              <w:t xml:space="preserve"> care gestionează sistemul de decontare a titlurilor de valoare bazat pe DLT să asigure respectarea condițiilor prevăzute la articolul 30 alineatul (1) literele (c)-(i) și la articolul 30 alineatul (2) din Regulamentul (UE) nr. 909/2014.</w:t>
            </w:r>
          </w:p>
        </w:tc>
        <w:tc>
          <w:tcPr>
            <w:tcW w:w="4876" w:type="dxa"/>
            <w:vAlign w:val="top"/>
          </w:tcPr>
          <w:p>
            <w:pPr>
              <w:pStyle w:val="Normal6a"/>
            </w:pPr>
            <w:r>
              <w:t>(b)</w:t>
            </w:r>
            <w:r>
              <w:tab/>
            </w:r>
            <w:r>
              <w:rPr>
                <w:b/>
                <w:i/>
                <w:strike w:val="0"/>
                <w:color w:val="auto"/>
                <w:highlight w:val="none"/>
                <w:u w:val="none" w:color="auto"/>
                <w:vertAlign w:val="baseline"/>
              </w:rPr>
              <w:t>entitatea</w:t>
            </w:r>
            <w:r>
              <w:t xml:space="preserve"> care gestionează sistemul de decontare a titlurilor de valoare bazat pe DLT să asigure respectarea condițiilor prevăzute la articolul 30 alineatul (1) literele (c)-(i) și la articolul 30 alineatul (2) din Regulamentul (UE) nr. 909/2014.</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345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4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 xml:space="preserve">La cererea sa, </w:t>
            </w:r>
            <w:r>
              <w:rPr>
                <w:b/>
                <w:i/>
                <w:strike w:val="0"/>
                <w:color w:val="auto"/>
                <w:highlight w:val="none"/>
                <w:u w:val="none" w:color="auto"/>
                <w:vertAlign w:val="baseline"/>
              </w:rPr>
              <w:t>un CSD</w:t>
            </w:r>
            <w:r>
              <w:t xml:space="preserve"> care gestionează un sistem de decontare a titlurilor de valoare bazat pe DLT poate să primească derogare de la autoritatea competentă de la aplicarea articolului 2 alineatul (1) punctul 19 din Regulamentul (UE) nr. 909/2014 cu privire la participanți și poate fi autorizat să admită ca participanți persoane fizice și juridice diferite de cele menționate la articolul 2 alineatul (1) punctul 19, cu condiția ca aceste persoane:</w:t>
            </w:r>
          </w:p>
        </w:tc>
        <w:tc>
          <w:tcPr>
            <w:tcW w:w="4876" w:type="dxa"/>
            <w:vAlign w:val="top"/>
          </w:tcPr>
          <w:p>
            <w:pPr>
              <w:pStyle w:val="Normal6a"/>
            </w:pPr>
            <w:r>
              <w:t>4.</w:t>
            </w:r>
            <w:r>
              <w:tab/>
            </w:r>
            <w:r>
              <w:t xml:space="preserve">La cererea sa, </w:t>
            </w:r>
            <w:r>
              <w:rPr>
                <w:b/>
                <w:i/>
                <w:strike w:val="0"/>
                <w:color w:val="auto"/>
                <w:highlight w:val="none"/>
                <w:u w:val="none" w:color="auto"/>
                <w:vertAlign w:val="baseline"/>
              </w:rPr>
              <w:t>o entitate</w:t>
            </w:r>
            <w:r>
              <w:t xml:space="preserve"> care gestionează un sistem de decontare a titlurilor de valoare bazat pe DLT poate să primească derogare de la autoritatea competentă de la aplicarea articolului 2 alineatul (1) punctul 19 din Regulamentul (UE) nr. 909/2014 cu privire la participanți și poate fi autorizat să admită ca participanți persoane fizice și juridice diferite de cele menționate la articolul 2 alineatul (1) punctul 19, cu condiția ca aceste persoane: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346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4 – litera ba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(ba)</w:t>
            </w:r>
            <w:r>
              <w:tab/>
            </w:r>
            <w:r>
              <w:rPr>
                <w:b/>
                <w:i/>
                <w:strike w:val="0"/>
                <w:color w:val="auto"/>
                <w:highlight w:val="none"/>
                <w:u w:val="none" w:color="auto"/>
                <w:vertAlign w:val="baseline"/>
              </w:rPr>
              <w:t>să își fi dat consimțământul în cunoștință de cauză pentru a fi incluși în regimul-pilot prevăzut în prezentul regulament și să fi fost informați în mod corespunzător cu privire la natura sa experimentală și riscurile asociate.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347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5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 xml:space="preserve">La cererea </w:t>
            </w:r>
            <w:r>
              <w:rPr>
                <w:b/>
                <w:i/>
                <w:strike w:val="0"/>
                <w:color w:val="auto"/>
                <w:highlight w:val="none"/>
                <w:u w:val="none" w:color="auto"/>
                <w:vertAlign w:val="baseline"/>
              </w:rPr>
              <w:t>unui CSD</w:t>
            </w:r>
            <w:r>
              <w:t xml:space="preserve"> care gestionează un sistem de decontare a titlurilor de valoare bazat pe DLT</w:t>
            </w:r>
            <w:r>
              <w:rPr>
                <w:b/>
                <w:i/>
                <w:strike w:val="0"/>
                <w:color w:val="auto"/>
                <w:highlight w:val="none"/>
                <w:u w:val="none" w:color="auto"/>
                <w:vertAlign w:val="baseline"/>
              </w:rPr>
              <w:t>, autoritatea competentă</w:t>
            </w:r>
            <w:r>
              <w:t xml:space="preserve"> poate să </w:t>
            </w:r>
            <w:r>
              <w:rPr>
                <w:b/>
                <w:i/>
                <w:strike w:val="0"/>
                <w:color w:val="auto"/>
                <w:highlight w:val="none"/>
                <w:u w:val="none" w:color="auto"/>
                <w:vertAlign w:val="baseline"/>
              </w:rPr>
              <w:t>îi acorde acestuia derogare</w:t>
            </w:r>
            <w:r>
              <w:t xml:space="preserve"> de la aplicarea articolului 40 din Regulamentul (UE) nr. 909/2014 referitor la decontarea în fonduri bănești, cu condiția ca </w:t>
            </w:r>
            <w:r>
              <w:rPr>
                <w:b/>
                <w:i/>
                <w:strike w:val="0"/>
                <w:color w:val="auto"/>
                <w:highlight w:val="none"/>
                <w:u w:val="none" w:color="auto"/>
                <w:vertAlign w:val="baseline"/>
              </w:rPr>
              <w:t>CSD-ul</w:t>
            </w:r>
            <w:r>
              <w:t xml:space="preserve"> să asigure livrarea contra plată.</w:t>
            </w:r>
          </w:p>
        </w:tc>
        <w:tc>
          <w:tcPr>
            <w:tcW w:w="4876" w:type="dxa"/>
            <w:vAlign w:val="top"/>
          </w:tcPr>
          <w:p>
            <w:pPr>
              <w:pStyle w:val="Normal6a"/>
            </w:pPr>
            <w:r>
              <w:t>5.</w:t>
            </w:r>
            <w:r>
              <w:tab/>
            </w:r>
            <w:r>
              <w:t xml:space="preserve">La cererea </w:t>
            </w:r>
            <w:r>
              <w:rPr>
                <w:b/>
                <w:i/>
                <w:strike w:val="0"/>
                <w:color w:val="auto"/>
                <w:highlight w:val="none"/>
                <w:u w:val="none" w:color="auto"/>
                <w:vertAlign w:val="baseline"/>
              </w:rPr>
              <w:t>sa, o entitate</w:t>
            </w:r>
            <w:r>
              <w:t xml:space="preserve"> care gestionează un sistem de decontare a titlurilor de valoare bazat pe DLT poate să </w:t>
            </w:r>
            <w:r>
              <w:rPr>
                <w:b/>
                <w:i/>
                <w:strike w:val="0"/>
                <w:color w:val="auto"/>
                <w:highlight w:val="none"/>
                <w:u w:val="none" w:color="auto"/>
                <w:vertAlign w:val="baseline"/>
              </w:rPr>
              <w:t>primească derogare de la autoritatea competentă</w:t>
            </w:r>
            <w:r>
              <w:t xml:space="preserve"> de la aplicarea articolului 40 din Regulamentul (UE) nr. 909/2014 referitor la decontarea în fonduri bănești, cu condiția ca </w:t>
            </w:r>
            <w:r>
              <w:rPr>
                <w:b/>
                <w:i/>
                <w:strike w:val="0"/>
                <w:color w:val="auto"/>
                <w:highlight w:val="none"/>
                <w:u w:val="none" w:color="auto"/>
                <w:vertAlign w:val="baseline"/>
              </w:rPr>
              <w:t>entitatea</w:t>
            </w:r>
            <w:r>
              <w:t xml:space="preserve"> să asigure livrarea contra plată.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348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5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 xml:space="preserve">La cererea unui CSD care gestionează un </w:t>
            </w:r>
            <w:r>
              <w:rPr>
                <w:b/>
                <w:i/>
                <w:strike w:val="0"/>
                <w:color w:val="auto"/>
                <w:highlight w:val="none"/>
                <w:u w:val="none" w:color="auto"/>
                <w:vertAlign w:val="baseline"/>
              </w:rPr>
              <w:t>sistem de decontare a titlurilor de valoare bazat pe</w:t>
            </w:r>
            <w:r>
              <w:t xml:space="preserve"> DLT, autoritatea competentă poate să îi acorde acestuia derogare de la aplicarea articolului 40 din Regulamentul (UE) nr. 909/2014 referitor la decontarea în fonduri bănești, cu condiția ca CSD-ul să asigure livrarea contra plată.</w:t>
            </w:r>
          </w:p>
        </w:tc>
        <w:tc>
          <w:tcPr>
            <w:tcW w:w="4876" w:type="dxa"/>
            <w:vAlign w:val="top"/>
          </w:tcPr>
          <w:p>
            <w:pPr>
              <w:pStyle w:val="Normal6a"/>
            </w:pPr>
            <w:r>
              <w:t>5.</w:t>
            </w:r>
            <w:r>
              <w:tab/>
            </w:r>
            <w:r>
              <w:t xml:space="preserve">La cererea unui CSD care gestionează un </w:t>
            </w:r>
            <w:r>
              <w:rPr>
                <w:b/>
                <w:i/>
                <w:strike w:val="0"/>
                <w:color w:val="auto"/>
                <w:highlight w:val="none"/>
                <w:u w:val="none" w:color="auto"/>
                <w:vertAlign w:val="baseline"/>
              </w:rPr>
              <w:t>SSS</w:t>
            </w:r>
            <w:r>
              <w:t xml:space="preserve"> DLT, autoritatea competentă poate să îi acorde acestuia derogare de la aplicarea articolului 40 din Regulamentul (UE) nr. 909/2014 referitor la decontarea în fonduri bănești, cu condiția ca CSD-ul să asigure livrarea contra plată.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349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Johan Van Overtveldt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5 -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Decontarea </w:t>
            </w:r>
            <w:r>
              <w:rPr>
                <w:b/>
                <w:i/>
                <w:strike w:val="0"/>
                <w:color w:val="auto"/>
                <w:highlight w:val="none"/>
                <w:u w:val="none" w:color="auto"/>
                <w:vertAlign w:val="baseline"/>
              </w:rPr>
              <w:t>plăților poate fi</w:t>
            </w:r>
            <w:r>
              <w:t xml:space="preserve"> efectuată prin banii băncii centrale, în funcție de posibilitate și disponibilitate, sau, în caz contrar, prin banii băncii comerciale, inclusiv banii băncii comerciale sub formă de tokenuri, sau prin tokenuri asimilate monedelor electronice.</w:t>
            </w:r>
          </w:p>
        </w:tc>
        <w:tc>
          <w:tcPr>
            <w:tcW w:w="4876" w:type="dxa"/>
            <w:vAlign w:val="top"/>
          </w:tcPr>
          <w:p>
            <w:pPr>
              <w:pStyle w:val="Normal6a"/>
            </w:pPr>
            <w:r>
              <w:t xml:space="preserve">Decontarea </w:t>
            </w:r>
            <w:r>
              <w:rPr>
                <w:b/>
                <w:i/>
                <w:strike w:val="0"/>
                <w:color w:val="auto"/>
                <w:highlight w:val="none"/>
                <w:u w:val="none" w:color="auto"/>
                <w:vertAlign w:val="baseline"/>
              </w:rPr>
              <w:t>segmentului de plată este</w:t>
            </w:r>
            <w:r>
              <w:t xml:space="preserve"> efectuată prin banii băncii centrale, în funcție de posibilitate și disponibilitate, sau, în caz contrar, prin banii băncii comerciale, inclusiv banii băncii comerciale sub formă de tokenuri, sau prin tokenuri asimilate monedelor electronice.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Acest amendament urmărește luarea în considerare a unei sugestii din avizul BCE.</w:t>
      </w:r>
      <w:r>
        <w:t xml:space="preserve"> </w:t>
      </w:r>
      <w:r>
        <w:t>Decontarea la banca centrală ar trebui să fie cerința implicită pentru infrastructurile pieței bazate pe DLT.</w:t>
      </w:r>
      <w:r>
        <w:t xml:space="preserve"> </w:t>
      </w:r>
      <w:r>
        <w:t>O derogare de la această cerință ar trebui să fie posibilă numai în cazurile în care infrastructura relevantă a pieței bazate pe DLT dovedește că această metodă de decontare nu este disponibilă și practicabilă.</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350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5 -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Decontarea </w:t>
            </w:r>
            <w:r>
              <w:rPr>
                <w:b/>
                <w:i/>
                <w:strike w:val="0"/>
                <w:color w:val="auto"/>
                <w:highlight w:val="none"/>
                <w:u w:val="none" w:color="auto"/>
                <w:vertAlign w:val="baseline"/>
              </w:rPr>
              <w:t>plăților</w:t>
            </w:r>
            <w:r>
              <w:t xml:space="preserve"> poate fi efectuată prin banii băncii centrale, în funcție de posibilitate și disponibilitate, sau, în caz contrar, prin banii băncii comerciale, inclusiv banii băncii comerciale sub formă de tokenuri, sau prin tokenuri asimilate monedelor electronice.</w:t>
            </w:r>
          </w:p>
        </w:tc>
        <w:tc>
          <w:tcPr>
            <w:tcW w:w="4876" w:type="dxa"/>
            <w:vAlign w:val="top"/>
          </w:tcPr>
          <w:p>
            <w:pPr>
              <w:pStyle w:val="Normal6a"/>
            </w:pPr>
            <w:r>
              <w:t xml:space="preserve">Decontarea </w:t>
            </w:r>
            <w:r>
              <w:rPr>
                <w:b/>
                <w:i/>
                <w:strike w:val="0"/>
                <w:color w:val="auto"/>
                <w:highlight w:val="none"/>
                <w:u w:val="none" w:color="auto"/>
                <w:vertAlign w:val="baseline"/>
              </w:rPr>
              <w:t>segmentului de plată</w:t>
            </w:r>
            <w:r>
              <w:t xml:space="preserve"> poate fi efectuată prin banii băncii centrale, în funcție de posibilitate și disponibilitate, sau, în caz contrar, prin banii băncii comerciale, inclusiv banii băncii comerciale sub formă de tokenuri, sau prin tokenuri asimilate monedelor electronice.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351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Jonás Fernández</w:t>
      </w:r>
      <w:r>
        <w:t xml:space="preserve">, </w:t>
      </w:r>
      <w:r>
        <w:t>Eero Heinäluoma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5 -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Decontarea plăților </w:t>
            </w:r>
            <w:r>
              <w:rPr>
                <w:b/>
                <w:i/>
                <w:strike w:val="0"/>
                <w:color w:val="auto"/>
                <w:highlight w:val="none"/>
                <w:u w:val="none" w:color="auto"/>
                <w:vertAlign w:val="baseline"/>
              </w:rPr>
              <w:t>poate fi</w:t>
            </w:r>
            <w:r>
              <w:t xml:space="preserve"> efectuată prin banii băncii centrale, în funcție de posibilitate și disponibilitate, sau, în caz contrar, prin banii băncii comerciale, inclusiv banii băncii comerciale sub formă de tokenuri, sau prin tokenuri asimilate monedelor electronice.</w:t>
            </w:r>
          </w:p>
        </w:tc>
        <w:tc>
          <w:tcPr>
            <w:tcW w:w="4876" w:type="dxa"/>
            <w:vAlign w:val="top"/>
          </w:tcPr>
          <w:p>
            <w:pPr>
              <w:pStyle w:val="Normal6a"/>
            </w:pPr>
            <w:r>
              <w:t xml:space="preserve">Decontarea plăților </w:t>
            </w:r>
            <w:r>
              <w:rPr>
                <w:b/>
                <w:i/>
                <w:strike w:val="0"/>
                <w:color w:val="auto"/>
                <w:highlight w:val="none"/>
                <w:u w:val="none" w:color="auto"/>
                <w:vertAlign w:val="baseline"/>
              </w:rPr>
              <w:t>este</w:t>
            </w:r>
            <w:r>
              <w:t xml:space="preserve"> efectuată prin banii băncii centrale, în funcție de posibilitate și disponibilitate, sau, în caz contrar, prin banii băncii comerciale, inclusiv banii băncii comerciale sub formă de tokenuri, sau prin tokenuri asimilate monedelor electronice.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Conform avizului BCE.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352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5 - paragraful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În cazul în care decontarea are loc prin banii băncii comerciale sau prin tokenuri asimilate monedelor electronice, firma de investiții sau operatorul de piață care gestionează </w:t>
            </w:r>
            <w:r>
              <w:rPr>
                <w:b/>
                <w:i/>
                <w:strike w:val="0"/>
                <w:color w:val="auto"/>
                <w:highlight w:val="none"/>
                <w:u w:val="none" w:color="auto"/>
                <w:vertAlign w:val="baseline"/>
              </w:rPr>
              <w:t>MTF</w:t>
            </w:r>
            <w:r>
              <w:t xml:space="preserve"> DLT trebuie să identifice, să măsoare, să monitorizeze, să gestioneze și să reducă la minimum eventualul risc de contraparte care decurge din utilizarea unor astfel de fonduri.</w:t>
            </w:r>
          </w:p>
        </w:tc>
        <w:tc>
          <w:tcPr>
            <w:tcW w:w="4876" w:type="dxa"/>
            <w:vAlign w:val="top"/>
          </w:tcPr>
          <w:p>
            <w:pPr>
              <w:pStyle w:val="Normal6a"/>
            </w:pPr>
            <w:r>
              <w:t xml:space="preserve">În cazul în care decontarea are loc prin banii băncii comerciale sau prin tokenuri asimilate monedelor electronice, firma de investiții sau operatorul de piață care gestionează </w:t>
            </w:r>
            <w:r>
              <w:rPr>
                <w:b/>
                <w:i/>
                <w:strike w:val="0"/>
                <w:color w:val="auto"/>
                <w:highlight w:val="none"/>
                <w:u w:val="none" w:color="auto"/>
                <w:vertAlign w:val="baseline"/>
              </w:rPr>
              <w:t>SSS</w:t>
            </w:r>
            <w:r>
              <w:t xml:space="preserve"> DLT trebuie să identifice, să măsoare, să monitorizeze, să gestioneze și să reducă la minimum eventualul risc de contraparte care decurge din utilizarea unor astfel de fonduri. </w:t>
            </w:r>
            <w:r>
              <w:rPr>
                <w:b/>
                <w:i/>
                <w:strike w:val="0"/>
                <w:color w:val="auto"/>
                <w:highlight w:val="none"/>
                <w:u w:val="none" w:color="auto"/>
                <w:vertAlign w:val="baseline"/>
              </w:rPr>
              <w:t>În cazul în care decontarea are loc prin tokenuri asimilate monedelor electronice pentru segmentul de plată, participanții la un SSS DLT pot deschide conturi direct la SSS DLT în scopul decontării segmentului în numerar în tokenuri asimilate monedelor electronice sau, alternativ, SSS DLT și participanții la acesta pot deschide un cont la o parte terță care furnizează servicii legate de tokenurile asimilate monedelor electronice.</w:t>
            </w:r>
            <w:r>
              <w:t xml:space="preserve"> </w:t>
            </w:r>
            <w:r>
              <w:rPr>
                <w:b/>
                <w:i/>
                <w:strike w:val="0"/>
                <w:color w:val="auto"/>
                <w:highlight w:val="none"/>
                <w:u w:val="none" w:color="auto"/>
                <w:vertAlign w:val="baseline"/>
              </w:rPr>
              <w:t>În aceste cazuri, SSS DLT sau partea terță este emitentul tokenurilor asimilate monedelor electronice și se asigură că decontarea segmentului de plată are loc în tokenuri asimilate monedelor electronice.</w:t>
            </w:r>
            <w:r>
              <w:t xml:space="preserve"> </w:t>
            </w:r>
            <w:r>
              <w:rPr>
                <w:b/>
                <w:i/>
                <w:strike w:val="0"/>
                <w:color w:val="auto"/>
                <w:highlight w:val="none"/>
                <w:u w:val="none" w:color="auto"/>
                <w:vertAlign w:val="baseline"/>
              </w:rPr>
              <w:t>Întrucât tokenurile asimilate monedelor electronice pot fi emise doar de instituții de credit sau de instituții emitente de monedă electronică în temeiul Regulamentului nr. 2021/XX privind piețele criptoactivelor, derogarea prevăzută în temeiul prezentului regulament în ceea ce privește dispozițiile referitoare la decontarea plăților din CSDR nu are scopul de a scuti un SSS DLT, respectiv o parte terță care emite tokenuri asimilate monedelor electronice și decontează segmentul de plată al tranzacțiilor cu titluri de valoare prin propriile sale conturi, de la cerințele de acordare a licențelor în temeiul Regulamentului nr. 2021/XX privind piețele criptoactivelor.</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Rectificare (articolul 5 se referă la SSS-uri DLT și nu la MTF-uri DLT).</w:t>
      </w:r>
      <w:r>
        <w:t xml:space="preserve"> </w:t>
      </w:r>
      <w:r>
        <w:t>În plus, se propune să se includă punctul 3.3.7 din Avizul BCE referitor la regimul-pilot privind DLT din 28 aprilie în ceea ce privește decontarea prin tokenuri asimilate monedelor electronice.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353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Jonás Fernández</w:t>
      </w:r>
      <w:r>
        <w:t xml:space="preserve">, </w:t>
      </w:r>
      <w:r>
        <w:t>Eero Heinäluoma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5 - paragraful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În cazul în care decontarea are loc prin banii băncii comerciale sau prin tokenuri asimilate monedelor electronice, </w:t>
            </w:r>
            <w:r>
              <w:rPr>
                <w:b/>
                <w:i/>
                <w:strike w:val="0"/>
                <w:color w:val="auto"/>
                <w:highlight w:val="none"/>
                <w:u w:val="none" w:color="auto"/>
                <w:vertAlign w:val="baseline"/>
              </w:rPr>
              <w:t>firma de investiții sau operatorul de piață care gestionează MTF DLT trebuie să identifice, să măsoare, să monitorizeze, să gestioneze și să reducă</w:t>
            </w:r>
            <w:r>
              <w:t xml:space="preserve"> la minimum </w:t>
            </w:r>
            <w:r>
              <w:rPr>
                <w:b/>
                <w:i/>
                <w:strike w:val="0"/>
                <w:color w:val="auto"/>
                <w:highlight w:val="none"/>
                <w:u w:val="none" w:color="auto"/>
                <w:vertAlign w:val="baseline"/>
              </w:rPr>
              <w:t>eventualul risc de contraparte</w:t>
            </w:r>
            <w:r>
              <w:t xml:space="preserve"> care decurge din utilizarea unor astfel de fonduri.</w:t>
            </w:r>
          </w:p>
        </w:tc>
        <w:tc>
          <w:tcPr>
            <w:tcW w:w="4876" w:type="dxa"/>
            <w:vAlign w:val="top"/>
          </w:tcPr>
          <w:p>
            <w:pPr>
              <w:pStyle w:val="Normal6a"/>
            </w:pPr>
            <w:r>
              <w:t xml:space="preserve">În cazul în care decontarea are loc prin banii băncii comerciale sau prin tokenuri asimilate monedelor electronice, </w:t>
            </w:r>
            <w:r>
              <w:rPr>
                <w:b/>
                <w:i/>
                <w:strike w:val="0"/>
                <w:color w:val="auto"/>
                <w:highlight w:val="none"/>
                <w:u w:val="none" w:color="auto"/>
                <w:vertAlign w:val="baseline"/>
              </w:rPr>
              <w:t>CSD-ul care gestionează sistemul de decontare a titlurilor de valoare bazat pe DLT identifică, măsoară, monitorizează, gestionează și reduce</w:t>
            </w:r>
            <w:r>
              <w:t xml:space="preserve"> la minimum </w:t>
            </w:r>
            <w:r>
              <w:rPr>
                <w:b/>
                <w:i/>
                <w:strike w:val="0"/>
                <w:color w:val="auto"/>
                <w:highlight w:val="none"/>
                <w:u w:val="none" w:color="auto"/>
                <w:vertAlign w:val="baseline"/>
              </w:rPr>
              <w:t>orice risc</w:t>
            </w:r>
            <w:r>
              <w:t xml:space="preserve"> care decurge din utilizarea unor astfel de fonduri</w:t>
            </w:r>
            <w:r>
              <w:rPr>
                <w:b/>
                <w:i/>
                <w:strike w:val="0"/>
                <w:color w:val="auto"/>
                <w:highlight w:val="none"/>
                <w:u w:val="none" w:color="auto"/>
                <w:vertAlign w:val="baseline"/>
              </w:rPr>
              <w:t>, ținând seama și de orice risc care decurge din desemnarea sau nedesemnarea SSS DLT ca sistem în sensul Directivei 98/26/CE și al alineatului (8) din prezentul articol</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Conform avizului BCE.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354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Johan Van Overtveldt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5 - paragraful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În cazul în care decontarea are loc prin banii băncii comerciale sau prin tokenuri asimilate monedelor electronice, </w:t>
            </w:r>
            <w:r>
              <w:rPr>
                <w:b/>
                <w:i/>
                <w:strike w:val="0"/>
                <w:color w:val="auto"/>
                <w:highlight w:val="none"/>
                <w:u w:val="none" w:color="auto"/>
                <w:vertAlign w:val="baseline"/>
              </w:rPr>
              <w:t>firma de investiții sau operatorul de piață care</w:t>
            </w:r>
            <w:r>
              <w:t xml:space="preserve"> gestionează </w:t>
            </w:r>
            <w:r>
              <w:rPr>
                <w:b/>
                <w:i/>
                <w:strike w:val="0"/>
                <w:color w:val="auto"/>
                <w:highlight w:val="none"/>
                <w:u w:val="none" w:color="auto"/>
                <w:vertAlign w:val="baseline"/>
              </w:rPr>
              <w:t>MTF DLT trebuie să identifice, să măsoare, să monitorizeze, să gestioneze și să reducă la minimum eventualul risc de contraparte</w:t>
            </w:r>
            <w:r>
              <w:t xml:space="preserve"> care decurge din </w:t>
            </w:r>
            <w:r>
              <w:rPr>
                <w:b/>
                <w:i/>
                <w:strike w:val="0"/>
                <w:color w:val="auto"/>
                <w:highlight w:val="none"/>
                <w:u w:val="none" w:color="auto"/>
                <w:vertAlign w:val="baseline"/>
              </w:rPr>
              <w:t>utilizarea unor astfel de fonduri</w:t>
            </w:r>
            <w:r>
              <w:t>.</w:t>
            </w:r>
          </w:p>
        </w:tc>
        <w:tc>
          <w:tcPr>
            <w:tcW w:w="4876" w:type="dxa"/>
            <w:vAlign w:val="top"/>
          </w:tcPr>
          <w:p>
            <w:pPr>
              <w:pStyle w:val="Normal6a"/>
            </w:pPr>
            <w:r>
              <w:t>În cazul în care decontarea are loc prin banii băncii comerciale sau prin tokenuri asimilate monedelor electronice, </w:t>
            </w:r>
            <w:r>
              <w:rPr>
                <w:b/>
                <w:i/>
                <w:strike w:val="0"/>
                <w:color w:val="auto"/>
                <w:highlight w:val="none"/>
                <w:u w:val="none" w:color="auto"/>
                <w:vertAlign w:val="baseline"/>
              </w:rPr>
              <w:t>CSD-ul care gestionează un SSS DLT identifică, măsoară, monitorizează,</w:t>
            </w:r>
            <w:r>
              <w:t xml:space="preserve"> gestionează </w:t>
            </w:r>
            <w:r>
              <w:rPr>
                <w:b/>
                <w:i/>
                <w:strike w:val="0"/>
                <w:color w:val="auto"/>
                <w:highlight w:val="none"/>
                <w:u w:val="none" w:color="auto"/>
                <w:vertAlign w:val="baseline"/>
              </w:rPr>
              <w:t>și reduce la minimum orice risc care decurge din utilizarea unor astfel de fonduri, ținând seama și de orice risc</w:t>
            </w:r>
            <w:r>
              <w:t xml:space="preserve"> care decurge din </w:t>
            </w:r>
            <w:r>
              <w:rPr>
                <w:b/>
                <w:i/>
                <w:strike w:val="0"/>
                <w:color w:val="auto"/>
                <w:highlight w:val="none"/>
                <w:u w:val="none" w:color="auto"/>
                <w:vertAlign w:val="baseline"/>
              </w:rPr>
              <w:t>desemnarea sau nedesemnarea SSS DLT ca sistem în sensul Directivei 98/26/CE și al alineatului (8) din prezentul articol</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Acest amendament urmărește să ia în considerare o sugestie din avizul BCE.</w:t>
      </w:r>
      <w:r>
        <w:t xml:space="preserve"> </w:t>
      </w:r>
      <w:r>
        <w:t>Atunci când CSD-ul care gestionează sistemul de decontare a titlurilor de valoare bazat pe DLT identifică riscurile care decurg din utilizarea banilor băncii comerciale și a tokenurilor asimilate monedelor electronice, acesta ar trebui să ia în considerare și dacă există sau nu protecție în caz de insolvență în temeiul Directivei 98/26/CE.</w:t>
      </w:r>
      <w:r>
        <w:t xml:space="preserve"> </w:t>
      </w:r>
      <w:r>
        <w:t>A se vedea punctele 3.3.2 și 3.3.5-3.4 din avizul BCE.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355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Jessica Polfjärd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5 - paragraful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În cazul în care decontarea are loc prin banii băncii comerciale sau prin tokenuri asimilate monedelor electronice, </w:t>
            </w:r>
            <w:r>
              <w:rPr>
                <w:b/>
                <w:i/>
                <w:strike w:val="0"/>
                <w:color w:val="auto"/>
                <w:highlight w:val="none"/>
                <w:u w:val="none" w:color="auto"/>
                <w:vertAlign w:val="baseline"/>
              </w:rPr>
              <w:t>firma de investiții sau operatorul de piață care gestionează MTF DLT trebuie să identifice, să măsoare, să monitorizeze, să gestioneze și să reducă</w:t>
            </w:r>
            <w:r>
              <w:t xml:space="preserve"> la minimum eventualul risc de contraparte care decurge din utilizarea unor astfel de fonduri.</w:t>
            </w:r>
          </w:p>
        </w:tc>
        <w:tc>
          <w:tcPr>
            <w:tcW w:w="4876" w:type="dxa"/>
            <w:vAlign w:val="top"/>
          </w:tcPr>
          <w:p>
            <w:pPr>
              <w:pStyle w:val="Normal6a"/>
            </w:pPr>
            <w:r>
              <w:t xml:space="preserve">În cazul în care decontarea are loc prin banii băncii comerciale sau prin tokenuri asimilate monedelor electronice, </w:t>
            </w:r>
            <w:r>
              <w:rPr>
                <w:b/>
                <w:i/>
                <w:strike w:val="0"/>
                <w:color w:val="auto"/>
                <w:highlight w:val="none"/>
                <w:u w:val="none" w:color="auto"/>
                <w:vertAlign w:val="baseline"/>
              </w:rPr>
              <w:t>CSD-ul care gestionează sistemul de decontare a titlurilor de valoare bazate pe DLT identifică, măsoară, monitorizează, gestionează și reduce</w:t>
            </w:r>
            <w:r>
              <w:t xml:space="preserve"> la minimum eventualul risc de contraparte care decurge din utilizarea unor astfel de fonduri.</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356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5 - paragraful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În cazul în care decontarea are loc prin banii băncii comerciale sau prin tokenuri asimilate monedelor electronice, </w:t>
            </w:r>
            <w:r>
              <w:rPr>
                <w:b/>
                <w:i/>
                <w:strike w:val="0"/>
                <w:color w:val="auto"/>
                <w:highlight w:val="none"/>
                <w:u w:val="none" w:color="auto"/>
                <w:vertAlign w:val="baseline"/>
              </w:rPr>
              <w:t>firma de investiții sau operatorul de piață</w:t>
            </w:r>
            <w:r>
              <w:t xml:space="preserve"> care gestionează MTF DLT trebuie să identifice, să măsoare, să monitorizeze, să gestioneze și să reducă la minimum eventualul risc de contraparte care decurge din utilizarea unor astfel de fonduri.</w:t>
            </w:r>
          </w:p>
        </w:tc>
        <w:tc>
          <w:tcPr>
            <w:tcW w:w="4876" w:type="dxa"/>
            <w:vAlign w:val="top"/>
          </w:tcPr>
          <w:p>
            <w:pPr>
              <w:pStyle w:val="Normal6a"/>
            </w:pPr>
            <w:r>
              <w:t xml:space="preserve">În cazul în care decontarea are loc prin banii băncii comerciale sau prin tokenuri asimilate monedelor electronice, </w:t>
            </w:r>
            <w:r>
              <w:rPr>
                <w:b/>
                <w:i/>
                <w:strike w:val="0"/>
                <w:color w:val="auto"/>
                <w:highlight w:val="none"/>
                <w:u w:val="none" w:color="auto"/>
                <w:vertAlign w:val="baseline"/>
              </w:rPr>
              <w:t>entitate</w:t>
            </w:r>
            <w:r>
              <w:t xml:space="preserve"> care gestionează MTF DLT trebuie să identifice, să măsoare, să monitorizeze, să gestioneze și să reducă la minimum eventualul risc de contraparte care decurge din utilizarea unor astfel de fonduri.</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357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6.</w:t>
            </w:r>
            <w:r>
              <w:tab/>
            </w:r>
            <w:r>
              <w:t xml:space="preserve">La cererea </w:t>
            </w:r>
            <w:r>
              <w:rPr>
                <w:b/>
                <w:i/>
                <w:strike w:val="0"/>
                <w:color w:val="auto"/>
                <w:highlight w:val="none"/>
                <w:u w:val="none" w:color="auto"/>
                <w:vertAlign w:val="baseline"/>
              </w:rPr>
              <w:t>unui CSD</w:t>
            </w:r>
            <w:r>
              <w:t xml:space="preserve"> care gestionează un sistem de decontare a titlurilor de valoare bazat pe DLT, autoritatea competentă poate să îi acorde acestuia derogare de la aplicarea articolului 50 și/sau a articolului 53 privind accesul prin conexiune standard și accesul între un CSD și o altă infrastructură a pieței din Regulamentul (UE) nr. 909/2014, cu condiția să demonstreze că utilizarea unei DLT este incompatibilă cu sistemele preexistente ale altor CSD-uri sau altor infrastructuri ale pieței sau că acordarea unui astfel de acces unui alt CSD sau unei alte infrastructuri a pieței care utilizează sisteme preexistente ar ocaziona costuri disproporționate, având în vedere dimensiunea sistemului de decontare a titlurilor de valoare bazat pe DLT.</w:t>
            </w:r>
          </w:p>
        </w:tc>
        <w:tc>
          <w:tcPr>
            <w:tcW w:w="4876" w:type="dxa"/>
            <w:vAlign w:val="top"/>
          </w:tcPr>
          <w:p>
            <w:pPr>
              <w:pStyle w:val="Normal6a"/>
            </w:pPr>
            <w:r>
              <w:t>6.</w:t>
            </w:r>
            <w:r>
              <w:tab/>
            </w:r>
            <w:r>
              <w:t xml:space="preserve">La cererea </w:t>
            </w:r>
            <w:r>
              <w:rPr>
                <w:b/>
                <w:i/>
                <w:strike w:val="0"/>
                <w:color w:val="auto"/>
                <w:highlight w:val="none"/>
                <w:u w:val="none" w:color="auto"/>
                <w:vertAlign w:val="baseline"/>
              </w:rPr>
              <w:t>unei entități</w:t>
            </w:r>
            <w:r>
              <w:t xml:space="preserve"> care gestionează un sistem de decontare a titlurilor de valoare bazat pe DLT, autoritatea competentă poate să îi acorde acestuia derogare de la aplicarea articolului 50 și/sau a articolului 53 privind accesul prin conexiune standard și accesul între un CSD și o altă infrastructură a pieței din Regulamentul (UE) nr. 909/2014, cu condiția să demonstreze că utilizarea unei DLT este incompatibilă cu sistemele preexistente ale altor CSD-uri sau altor infrastructuri ale pieței sau că acordarea unui astfel de acces unui alt CSD sau unei alte infrastructuri a pieței care utilizează sisteme preexistente ar ocaziona costuri disproporționate, având în vedere dimensiunea sistemului de decontare a titlurilor de valoare bazat pe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358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6.</w:t>
            </w:r>
            <w:r>
              <w:tab/>
            </w:r>
            <w:r>
              <w:t xml:space="preserve">La cererea unui CSD care gestionează un </w:t>
            </w:r>
            <w:r>
              <w:rPr>
                <w:b/>
                <w:i/>
                <w:strike w:val="0"/>
                <w:color w:val="auto"/>
                <w:highlight w:val="none"/>
                <w:u w:val="none" w:color="auto"/>
                <w:vertAlign w:val="baseline"/>
              </w:rPr>
              <w:t>sistem de decontare a titlurilor de valoare bazat pe</w:t>
            </w:r>
            <w:r>
              <w:t xml:space="preserve"> DLT, autoritatea competentă poate să îi acorde acestuia derogare de la aplicarea articolului 50 și/sau a articolului 53 privind accesul prin conexiune standard și accesul între un CSD și o altă infrastructură a pieței din Regulamentul (UE) nr. 909/2014, cu condiția să demonstreze că utilizarea unei DLT este incompatibilă cu sistemele preexistente ale altor CSD-uri sau altor infrastructuri ale pieței sau că acordarea unui astfel de acces unui alt CSD sau unei alte infrastructuri a pieței care utilizează sisteme preexistente ar ocaziona costuri disproporționate, având în vedere dimensiunea sistemului de decontare a titlurilor de valoare bazat pe DLT.</w:t>
            </w:r>
          </w:p>
        </w:tc>
        <w:tc>
          <w:tcPr>
            <w:tcW w:w="4876" w:type="dxa"/>
            <w:vAlign w:val="top"/>
          </w:tcPr>
          <w:p>
            <w:pPr>
              <w:pStyle w:val="Normal6a"/>
            </w:pPr>
            <w:r>
              <w:t>6.</w:t>
            </w:r>
            <w:r>
              <w:tab/>
            </w:r>
            <w:r>
              <w:t xml:space="preserve">La cererea unui CSD care gestionează un </w:t>
            </w:r>
            <w:r>
              <w:rPr>
                <w:b/>
                <w:i/>
                <w:strike w:val="0"/>
                <w:color w:val="auto"/>
                <w:highlight w:val="none"/>
                <w:u w:val="none" w:color="auto"/>
                <w:vertAlign w:val="baseline"/>
              </w:rPr>
              <w:t>SSS</w:t>
            </w:r>
            <w:r>
              <w:t xml:space="preserve"> DLT, autoritatea competentă poate să îi acorde acestuia derogare de la aplicarea articolului 50 și/sau a articolului 53 privind accesul prin conexiune standard și accesul între un CSD și o altă infrastructură a pieței din Regulamentul (UE) nr. 909/2014, cu condiția să demonstreze că utilizarea unei DLT este incompatibilă cu sistemele preexistente ale altor CSD-uri sau altor infrastructuri ale pieței sau că acordarea unui astfel de acces unui alt CSD sau unei alte infrastructuri a pieței care utilizează sisteme preexistente ar ocaziona costuri disproporționate, având în vedere dimensiunea sistemului de decontare a titlurilor de valoare bazat pe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359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7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7.</w:t>
            </w:r>
            <w:r>
              <w:tab/>
            </w:r>
            <w:r>
              <w:t xml:space="preserve">În cazul în care un CSD care gestionează un </w:t>
            </w:r>
            <w:r>
              <w:rPr>
                <w:b/>
                <w:i/>
                <w:strike w:val="0"/>
                <w:color w:val="auto"/>
                <w:highlight w:val="none"/>
                <w:u w:val="none" w:color="auto"/>
                <w:vertAlign w:val="baseline"/>
              </w:rPr>
              <w:t>sistem de decontare a titlurilor de valoare bazat pe</w:t>
            </w:r>
            <w:r>
              <w:t xml:space="preserve"> DLT a solicitat o derogare în conformitate cu primul paragraf, acesta oferă acces altor CSD-uri care gestionează un </w:t>
            </w:r>
            <w:r>
              <w:rPr>
                <w:b/>
                <w:i/>
                <w:strike w:val="0"/>
                <w:color w:val="auto"/>
                <w:highlight w:val="none"/>
                <w:u w:val="none" w:color="auto"/>
                <w:vertAlign w:val="baseline"/>
              </w:rPr>
              <w:t>sistem de decontare a titlurilor de valoare bazat pe</w:t>
            </w:r>
            <w:r>
              <w:t xml:space="preserve"> DLT sau MTF-urilor DLT.</w:t>
            </w:r>
          </w:p>
        </w:tc>
        <w:tc>
          <w:tcPr>
            <w:tcW w:w="4876" w:type="dxa"/>
            <w:vAlign w:val="top"/>
          </w:tcPr>
          <w:p>
            <w:pPr>
              <w:pStyle w:val="Normal6a"/>
            </w:pPr>
            <w:r>
              <w:t>7.</w:t>
            </w:r>
            <w:r>
              <w:tab/>
            </w:r>
            <w:r>
              <w:t xml:space="preserve">În cazul în care un CSD care gestionează un </w:t>
            </w:r>
            <w:r>
              <w:rPr>
                <w:b/>
                <w:i/>
                <w:strike w:val="0"/>
                <w:color w:val="auto"/>
                <w:highlight w:val="none"/>
                <w:u w:val="none" w:color="auto"/>
                <w:vertAlign w:val="baseline"/>
              </w:rPr>
              <w:t>SSS</w:t>
            </w:r>
            <w:r>
              <w:t xml:space="preserve"> DLT a solicitat o derogare în conformitate cu primul paragraf, acesta oferă acces altor CSD-uri care gestionează un </w:t>
            </w:r>
            <w:r>
              <w:rPr>
                <w:b/>
                <w:i/>
                <w:strike w:val="0"/>
                <w:color w:val="auto"/>
                <w:highlight w:val="none"/>
                <w:u w:val="none" w:color="auto"/>
                <w:vertAlign w:val="baseline"/>
              </w:rPr>
              <w:t>SSS</w:t>
            </w:r>
            <w:r>
              <w:t xml:space="preserve"> DLT sau MTF-urilor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360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7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7.</w:t>
            </w:r>
            <w:r>
              <w:tab/>
            </w:r>
            <w:r>
              <w:t xml:space="preserve">În cazul în care </w:t>
            </w:r>
            <w:r>
              <w:rPr>
                <w:b/>
                <w:i/>
                <w:strike w:val="0"/>
                <w:color w:val="auto"/>
                <w:highlight w:val="none"/>
                <w:u w:val="none" w:color="auto"/>
                <w:vertAlign w:val="baseline"/>
              </w:rPr>
              <w:t>un CSD</w:t>
            </w:r>
            <w:r>
              <w:t xml:space="preserve"> care gestionează un sistem de decontare a titlurilor de valoare bazat pe DLT a solicitat o derogare în conformitate cu primul paragraf, acesta oferă acces altor </w:t>
            </w:r>
            <w:r>
              <w:rPr>
                <w:b/>
                <w:i/>
                <w:strike w:val="0"/>
                <w:color w:val="auto"/>
                <w:highlight w:val="none"/>
                <w:u w:val="none" w:color="auto"/>
                <w:vertAlign w:val="baseline"/>
              </w:rPr>
              <w:t>CSD-uri</w:t>
            </w:r>
            <w:r>
              <w:t xml:space="preserve"> care gestionează un sistem de decontare a titlurilor de valoare bazat pe DLT sau MTF-urilor DLT.</w:t>
            </w:r>
          </w:p>
        </w:tc>
        <w:tc>
          <w:tcPr>
            <w:tcW w:w="4876" w:type="dxa"/>
            <w:vAlign w:val="top"/>
          </w:tcPr>
          <w:p>
            <w:pPr>
              <w:pStyle w:val="Normal6a"/>
            </w:pPr>
            <w:r>
              <w:t>7.</w:t>
            </w:r>
            <w:r>
              <w:tab/>
            </w:r>
            <w:r>
              <w:t xml:space="preserve">În cazul în care </w:t>
            </w:r>
            <w:r>
              <w:rPr>
                <w:b/>
                <w:i/>
                <w:strike w:val="0"/>
                <w:color w:val="auto"/>
                <w:highlight w:val="none"/>
                <w:u w:val="none" w:color="auto"/>
                <w:vertAlign w:val="baseline"/>
              </w:rPr>
              <w:t>o entitate</w:t>
            </w:r>
            <w:r>
              <w:t xml:space="preserve"> care gestionează un sistem de decontare a titlurilor de valoare bazat pe DLT a solicitat o derogare în conformitate cu primul paragraf, acesta oferă acces altor </w:t>
            </w:r>
            <w:r>
              <w:rPr>
                <w:b/>
                <w:i/>
                <w:strike w:val="0"/>
                <w:color w:val="auto"/>
                <w:highlight w:val="none"/>
                <w:u w:val="none" w:color="auto"/>
                <w:vertAlign w:val="baseline"/>
              </w:rPr>
              <w:t>entități</w:t>
            </w:r>
            <w:r>
              <w:t xml:space="preserve"> care gestionează un sistem de decontare a titlurilor de valoare bazat pe DLT sau MTF-urilor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361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7 – paragraful 1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În cazul în care </w:t>
            </w:r>
            <w:r>
              <w:rPr>
                <w:b/>
                <w:i/>
                <w:strike w:val="0"/>
                <w:color w:val="auto"/>
                <w:highlight w:val="none"/>
                <w:u w:val="none" w:color="auto"/>
                <w:vertAlign w:val="baseline"/>
              </w:rPr>
              <w:t>un CSD</w:t>
            </w:r>
            <w:r>
              <w:t xml:space="preserve"> care gestionează un sistem de decontare a titlurilor de valoare bazat pe DLT solicită o derogare în conformitate cu alineatele (2)-(6), acesta trebuie să demonstreze în orice caz că:</w:t>
            </w:r>
          </w:p>
        </w:tc>
        <w:tc>
          <w:tcPr>
            <w:tcW w:w="4876" w:type="dxa"/>
            <w:vAlign w:val="top"/>
          </w:tcPr>
          <w:p>
            <w:pPr>
              <w:pStyle w:val="Normal6a"/>
            </w:pPr>
            <w:r>
              <w:t xml:space="preserve">În cazul în care </w:t>
            </w:r>
            <w:r>
              <w:rPr>
                <w:b/>
                <w:i/>
                <w:strike w:val="0"/>
                <w:color w:val="auto"/>
                <w:highlight w:val="none"/>
                <w:u w:val="none" w:color="auto"/>
                <w:vertAlign w:val="baseline"/>
              </w:rPr>
              <w:t>o entitate</w:t>
            </w:r>
            <w:r>
              <w:t xml:space="preserve"> care gestionează un sistem de decontare a titlurilor de valoare bazat pe DLT solicită o derogare în conformitate cu alineatele (2)-(6), acesta trebuie să demonstreze în orice caz că: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362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7 – paragraful 1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În cazul în care un CSD care gestionează un </w:t>
            </w:r>
            <w:r>
              <w:rPr>
                <w:b/>
                <w:i/>
                <w:strike w:val="0"/>
                <w:color w:val="auto"/>
                <w:highlight w:val="none"/>
                <w:u w:val="none" w:color="auto"/>
                <w:vertAlign w:val="baseline"/>
              </w:rPr>
              <w:t>sistem de decontare a titlurilor de valoare bazat pe</w:t>
            </w:r>
            <w:r>
              <w:t xml:space="preserve"> DLT solicită o derogare în conformitate cu alineatele (2)-(6), acesta trebuie să demonstreze în orice caz că:</w:t>
            </w:r>
          </w:p>
        </w:tc>
        <w:tc>
          <w:tcPr>
            <w:tcW w:w="4876" w:type="dxa"/>
            <w:vAlign w:val="top"/>
          </w:tcPr>
          <w:p>
            <w:pPr>
              <w:pStyle w:val="Normal6a"/>
            </w:pPr>
            <w:r>
              <w:t xml:space="preserve">În cazul în care un CSD care gestionează un </w:t>
            </w:r>
            <w:r>
              <w:rPr>
                <w:b/>
                <w:i/>
                <w:strike w:val="0"/>
                <w:color w:val="auto"/>
                <w:highlight w:val="none"/>
                <w:u w:val="none" w:color="auto"/>
                <w:vertAlign w:val="baseline"/>
              </w:rPr>
              <w:t>SSS</w:t>
            </w:r>
            <w:r>
              <w:t xml:space="preserve"> DLT solicită o derogare în conformitate cu alineatele (2)-(6), acesta trebuie să demonstreze în orice caz că: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363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Jessica Polfjärd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7 – paragraful 1 – litera 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(a)</w:t>
            </w:r>
            <w:r>
              <w:tab/>
            </w:r>
            <w:r>
              <w:t>derogarea solicitată este proporțională și justificată de utilizarea DLT și</w:t>
            </w:r>
          </w:p>
        </w:tc>
        <w:tc>
          <w:tcPr>
            <w:tcW w:w="4876" w:type="dxa"/>
            <w:vAlign w:val="top"/>
          </w:tcPr>
          <w:p>
            <w:pPr>
              <w:pStyle w:val="Normal6a"/>
            </w:pPr>
            <w:r>
              <w:t>(a)</w:t>
            </w:r>
            <w:r>
              <w:tab/>
            </w:r>
            <w:r>
              <w:t xml:space="preserve">derogarea solicitată este proporțională și justificată de utilizarea DLT </w:t>
            </w:r>
            <w:r>
              <w:rPr>
                <w:b/>
                <w:i/>
                <w:strike w:val="0"/>
                <w:color w:val="auto"/>
                <w:highlight w:val="none"/>
                <w:u w:val="none" w:color="auto"/>
                <w:vertAlign w:val="baseline"/>
              </w:rPr>
              <w:t>specifică utilizată de CSD-ul în cauză</w:t>
            </w:r>
            <w:r>
              <w:t xml:space="preserve"> și</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364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7 – paragraful 1 – litera 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(a)</w:t>
            </w:r>
            <w:r>
              <w:tab/>
            </w:r>
            <w:r>
              <w:t>derogarea solicitată este proporțională și justificată de utilizarea DLT și</w:t>
            </w:r>
          </w:p>
        </w:tc>
        <w:tc>
          <w:tcPr>
            <w:tcW w:w="4876" w:type="dxa"/>
            <w:vAlign w:val="top"/>
          </w:tcPr>
          <w:p>
            <w:pPr>
              <w:pStyle w:val="Normal6a"/>
            </w:pPr>
            <w:r>
              <w:rPr>
                <w:b w:val="0"/>
                <w:i/>
                <w:strike w:val="0"/>
                <w:color w:val="auto"/>
                <w:highlight w:val="none"/>
                <w:u w:val="none" w:color="auto"/>
                <w:vertAlign w:val="baseline"/>
              </w:rPr>
              <w:t>(Nu privește versiunea în limba română.)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rPr>
          <w:b w:val="0"/>
          <w:i/>
          <w:strike w:val="0"/>
          <w:color w:val="auto"/>
          <w:highlight w:val="none"/>
          <w:u w:val="none" w:color="auto"/>
          <w:vertAlign w:val="baseline"/>
        </w:rPr>
        <w:t>(Nu privește versiunea în limba română.)</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365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7 – paragraful 1 – litera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(b)</w:t>
            </w:r>
            <w:r>
              <w:tab/>
            </w:r>
            <w:r>
              <w:t xml:space="preserve">derogarea solicitată se limitează la sistemul de decontare a titlurilor de valoare bazat pe DLT și nu se extinde la niciun alt sistem de decontare a titlurilor de valoare, astfel cum este definit la articolul 2 alineatul 1 punctul 10 din Regulamentul (UE) nr. 909/2014, gestionat de </w:t>
            </w:r>
            <w:r>
              <w:rPr>
                <w:b/>
                <w:i/>
                <w:strike w:val="0"/>
                <w:color w:val="auto"/>
                <w:highlight w:val="none"/>
                <w:u w:val="none" w:color="auto"/>
                <w:vertAlign w:val="baseline"/>
              </w:rPr>
              <w:t>același CSD</w:t>
            </w:r>
            <w:r>
              <w:t>.</w:t>
            </w:r>
          </w:p>
        </w:tc>
        <w:tc>
          <w:tcPr>
            <w:tcW w:w="4876" w:type="dxa"/>
            <w:vAlign w:val="top"/>
          </w:tcPr>
          <w:p>
            <w:pPr>
              <w:pStyle w:val="Normal6a"/>
            </w:pPr>
            <w:r>
              <w:t>(b)</w:t>
            </w:r>
            <w:r>
              <w:tab/>
            </w:r>
            <w:r>
              <w:t xml:space="preserve">derogarea solicitată se limitează la sistemul de decontare a titlurilor de valoare bazat pe DLT și nu se extinde la niciun alt sistem de decontare a titlurilor de valoare, astfel cum este definit la articolul 2 alineatul 1 punctul 10 din Regulamentul (UE) nr. 909/2014, gestionat de </w:t>
            </w:r>
            <w:r>
              <w:rPr>
                <w:b/>
                <w:i/>
                <w:strike w:val="0"/>
                <w:color w:val="auto"/>
                <w:highlight w:val="none"/>
                <w:u w:val="none" w:color="auto"/>
                <w:vertAlign w:val="baseline"/>
              </w:rPr>
              <w:t>aceeași entitate</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366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7 – paragraful 1 – litera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(b)</w:t>
            </w:r>
            <w:r>
              <w:tab/>
            </w:r>
            <w:r>
              <w:t xml:space="preserve">derogarea solicitată se limitează la </w:t>
            </w:r>
            <w:r>
              <w:rPr>
                <w:b/>
                <w:i/>
                <w:strike w:val="0"/>
                <w:color w:val="auto"/>
                <w:highlight w:val="none"/>
                <w:u w:val="none" w:color="auto"/>
                <w:vertAlign w:val="baseline"/>
              </w:rPr>
              <w:t>sistemul de decontare a titlurilor de valoare bazat pe</w:t>
            </w:r>
            <w:r>
              <w:t xml:space="preserve"> DLT și nu se extinde la niciun alt sistem de decontare a titlurilor de valoare, astfel cum este definit la articolul 2 alineatul 1 punctul 10 din Regulamentul (UE) nr. 909/2014, gestionat de același CSD.</w:t>
            </w:r>
          </w:p>
        </w:tc>
        <w:tc>
          <w:tcPr>
            <w:tcW w:w="4876" w:type="dxa"/>
            <w:vAlign w:val="top"/>
          </w:tcPr>
          <w:p>
            <w:pPr>
              <w:pStyle w:val="Normal6a"/>
            </w:pPr>
            <w:r>
              <w:t>(b)</w:t>
            </w:r>
            <w:r>
              <w:tab/>
            </w:r>
            <w:r>
              <w:t xml:space="preserve">derogarea solicitată se limitează la </w:t>
            </w:r>
            <w:r>
              <w:rPr>
                <w:b/>
                <w:i/>
                <w:strike w:val="0"/>
                <w:color w:val="auto"/>
                <w:highlight w:val="none"/>
                <w:u w:val="none" w:color="auto"/>
                <w:vertAlign w:val="baseline"/>
              </w:rPr>
              <w:t>SSS</w:t>
            </w:r>
            <w:r>
              <w:t xml:space="preserve"> DLT și nu se extinde la niciun alt sistem de decontare a titlurilor de valoare, astfel cum este definit la articolul 2 alineatul 1 punctul 10 din Regulamentul (UE) nr. 909/2014, gestionat de același CSD.</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367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8</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8.</w:t>
            </w:r>
            <w:r>
              <w:tab/>
            </w:r>
            <w:r>
              <w:t xml:space="preserve">În cazul în care un CSD a solicitat și a obținut o derogare în temeiul alineatului (3), cerința de la articolul 39 alineatul (1) din Regulamentul (UE) nr. 909/2014 ca statele membre să desemneze și să notifice </w:t>
            </w:r>
            <w:r>
              <w:rPr>
                <w:b/>
                <w:i/>
                <w:strike w:val="0"/>
                <w:color w:val="auto"/>
                <w:highlight w:val="none"/>
                <w:u w:val="none" w:color="auto"/>
                <w:vertAlign w:val="baseline"/>
              </w:rPr>
              <w:t>sistemul de decontare a titlurilor de valoare</w:t>
            </w:r>
            <w:r>
              <w:t xml:space="preserve"> gestionat de CSD în conformitate cu Directiva 98/26/CE nu se aplică </w:t>
            </w:r>
            <w:r>
              <w:rPr>
                <w:b/>
                <w:i/>
                <w:strike w:val="0"/>
                <w:color w:val="auto"/>
                <w:highlight w:val="none"/>
                <w:u w:val="none" w:color="auto"/>
                <w:vertAlign w:val="baseline"/>
              </w:rPr>
              <w:t>sistemului de decontare a titlurilor de valoare bazat pe</w:t>
            </w:r>
            <w:r>
              <w:t xml:space="preserve"> DLT. Dispozițiile de mai sus nu împiedică statele membre să desemneze și să notifice un </w:t>
            </w:r>
            <w:r>
              <w:rPr>
                <w:b/>
                <w:i/>
                <w:strike w:val="0"/>
                <w:color w:val="auto"/>
                <w:highlight w:val="none"/>
                <w:u w:val="none" w:color="auto"/>
                <w:vertAlign w:val="baseline"/>
              </w:rPr>
              <w:t>sistem de decontare a titlurilor de valoare bazat pe</w:t>
            </w:r>
            <w:r>
              <w:t xml:space="preserve"> DLT, în conformitate cu Directiva 98/26/CE, în cazul în care </w:t>
            </w:r>
            <w:r>
              <w:rPr>
                <w:b/>
                <w:i/>
                <w:strike w:val="0"/>
                <w:color w:val="auto"/>
                <w:highlight w:val="none"/>
                <w:u w:val="none" w:color="auto"/>
                <w:vertAlign w:val="baseline"/>
              </w:rPr>
              <w:t>sistemul de decontare a titlurilor de valoare bazat pe</w:t>
            </w:r>
            <w:r>
              <w:t xml:space="preserve"> DLT îndeplinește toate cerințele din directiva respectivă.</w:t>
            </w:r>
          </w:p>
        </w:tc>
        <w:tc>
          <w:tcPr>
            <w:tcW w:w="4876" w:type="dxa"/>
            <w:vAlign w:val="top"/>
          </w:tcPr>
          <w:p>
            <w:pPr>
              <w:pStyle w:val="Normal6a"/>
            </w:pPr>
            <w:r>
              <w:t>8.</w:t>
            </w:r>
            <w:r>
              <w:tab/>
            </w:r>
            <w:r>
              <w:t xml:space="preserve">În cazul în care un CSD a solicitat și a obținut o derogare în temeiul alineatului (3), cerința de la articolul 39 alineatul (1) din Regulamentul (UE) nr. 909/2014 ca statele membre să desemneze și să notifice </w:t>
            </w:r>
            <w:r>
              <w:rPr>
                <w:b/>
                <w:i/>
                <w:strike w:val="0"/>
                <w:color w:val="auto"/>
                <w:highlight w:val="none"/>
                <w:u w:val="none" w:color="auto"/>
                <w:vertAlign w:val="baseline"/>
              </w:rPr>
              <w:t>SSS</w:t>
            </w:r>
            <w:r>
              <w:t xml:space="preserve"> gestionat de CSD în conformitate cu Directiva 98/26/CE nu se aplică </w:t>
            </w:r>
            <w:r>
              <w:rPr>
                <w:b/>
                <w:i/>
                <w:strike w:val="0"/>
                <w:color w:val="auto"/>
                <w:highlight w:val="none"/>
                <w:u w:val="none" w:color="auto"/>
                <w:vertAlign w:val="baseline"/>
              </w:rPr>
              <w:t>SSS</w:t>
            </w:r>
            <w:r>
              <w:t xml:space="preserve"> DLT. Dispozițiile de mai sus nu împiedică statele membre să desemneze și să notifice un </w:t>
            </w:r>
            <w:r>
              <w:rPr>
                <w:b/>
                <w:i/>
                <w:strike w:val="0"/>
                <w:color w:val="auto"/>
                <w:highlight w:val="none"/>
                <w:u w:val="none" w:color="auto"/>
                <w:vertAlign w:val="baseline"/>
              </w:rPr>
              <w:t>SSS</w:t>
            </w:r>
            <w:r>
              <w:t xml:space="preserve"> DLT, în conformitate cu Directiva 98/26/CE, în cazul în care </w:t>
            </w:r>
            <w:r>
              <w:rPr>
                <w:b/>
                <w:i/>
                <w:strike w:val="0"/>
                <w:color w:val="auto"/>
                <w:highlight w:val="none"/>
                <w:u w:val="none" w:color="auto"/>
                <w:vertAlign w:val="baseline"/>
              </w:rPr>
              <w:t>SSS</w:t>
            </w:r>
            <w:r>
              <w:t xml:space="preserve"> DLT îndeplinește toate cerințele din directiva respectivă.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368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alineatul 8</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8.</w:t>
            </w:r>
            <w:r>
              <w:tab/>
            </w:r>
            <w:r>
              <w:t xml:space="preserve">În cazul în care </w:t>
            </w:r>
            <w:r>
              <w:rPr>
                <w:b/>
                <w:i/>
                <w:strike w:val="0"/>
                <w:color w:val="auto"/>
                <w:highlight w:val="none"/>
                <w:u w:val="none" w:color="auto"/>
                <w:vertAlign w:val="baseline"/>
              </w:rPr>
              <w:t>un CSD</w:t>
            </w:r>
            <w:r>
              <w:t xml:space="preserve"> a solicitat și a obținut o derogare în temeiul alineatului (3), cerința de la articolul 39 alineatul (1) din Regulamentul (UE) nr. 909/2014 ca statele membre să desemneze și să notifice sistemul de decontare a titlurilor de valoare gestionat de </w:t>
            </w:r>
            <w:r>
              <w:rPr>
                <w:b/>
                <w:i/>
                <w:strike w:val="0"/>
                <w:color w:val="auto"/>
                <w:highlight w:val="none"/>
                <w:u w:val="none" w:color="auto"/>
                <w:vertAlign w:val="baseline"/>
              </w:rPr>
              <w:t>CSD</w:t>
            </w:r>
            <w:r>
              <w:t xml:space="preserve"> în conformitate cu Directiva 98/26/CE nu se aplică sistemului de decontare a titlurilor de valoare bazat pe DLT. Dispozițiile de mai sus nu împiedică statele membre să desemneze și să notifice un sistem de decontare a titlurilor de valoare bazat pe DLT, în conformitate cu Directiva 98/26/CE, în cazul în care sistemul de decontare a titlurilor de valoare bazat pe DLT îndeplinește toate cerințele din directiva respectivă.</w:t>
            </w:r>
          </w:p>
        </w:tc>
        <w:tc>
          <w:tcPr>
            <w:tcW w:w="4876" w:type="dxa"/>
            <w:vAlign w:val="top"/>
          </w:tcPr>
          <w:p>
            <w:pPr>
              <w:pStyle w:val="Normal6a"/>
            </w:pPr>
            <w:r>
              <w:t>8.</w:t>
            </w:r>
            <w:r>
              <w:tab/>
            </w:r>
            <w:r>
              <w:t xml:space="preserve">În cazul în care </w:t>
            </w:r>
            <w:r>
              <w:rPr>
                <w:b/>
                <w:i/>
                <w:strike w:val="0"/>
                <w:color w:val="auto"/>
                <w:highlight w:val="none"/>
                <w:u w:val="none" w:color="auto"/>
                <w:vertAlign w:val="baseline"/>
              </w:rPr>
              <w:t>o entitate</w:t>
            </w:r>
            <w:r>
              <w:t xml:space="preserve"> a solicitat și a obținut o derogare în temeiul alineatului (3), cerința de la articolul 39 alineatul (1) din Regulamentul (UE) nr. 909/2014 ca statele membre să desemneze și să notifice sistemul de decontare a titlurilor de valoare gestionat de </w:t>
            </w:r>
            <w:r>
              <w:rPr>
                <w:b/>
                <w:i/>
                <w:strike w:val="0"/>
                <w:color w:val="auto"/>
                <w:highlight w:val="none"/>
                <w:u w:val="none" w:color="auto"/>
                <w:vertAlign w:val="baseline"/>
              </w:rPr>
              <w:t>entitate</w:t>
            </w:r>
            <w:r>
              <w:t xml:space="preserve"> în conformitate cu Directiva 98/26/CE nu se aplică sistemului de decontare a titlurilor de valoare bazat pe DLT. Dispozițiile de mai sus nu împiedică statele membre să desemneze și să notifice un sistem de decontare a titlurilor de valoare bazat pe DLT, în conformitate cu Directiva 98/26/CE, în cazul în care sistemul de decontare a titlurilor de valoare bazat pe DLT îndeplinește toate cerințele din directiva respectivă.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369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paragraful 8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8a.</w:t>
            </w:r>
            <w:r>
              <w:tab/>
            </w:r>
            <w:r>
              <w:rPr>
                <w:b/>
                <w:i/>
                <w:strike w:val="0"/>
                <w:color w:val="auto"/>
                <w:highlight w:val="none"/>
                <w:u w:val="none" w:color="auto"/>
                <w:vertAlign w:val="baseline"/>
              </w:rPr>
              <w:t>O entitate care nu face obiectul cerințelor aplicabile unui CSD în temeiul Regulamentului (UE) nr. 909/2014 la momentul solicitării unei autorizații specifice de administrare a unui MTF DLT în temeiul prezentului regulament este autorizată să se aplice în conformitate cu alineatele (1) - (8) de la prezentul articol.</w:t>
            </w:r>
            <w:r>
              <w:t xml:space="preserve"> </w:t>
            </w:r>
            <w:r>
              <w:rPr>
                <w:b/>
                <w:i/>
                <w:strike w:val="0"/>
                <w:color w:val="auto"/>
                <w:highlight w:val="none"/>
                <w:u w:val="none" w:color="auto"/>
                <w:vertAlign w:val="baseline"/>
              </w:rPr>
              <w:t>Autoritățile competente instituie proceduri specifice pentru entitățile care nu fac obiectul cerințelor aplicabile unui CSD în temeiul Regulamentului (UE) nr. 909/2014 la momentul solicitării.</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Procedură accelerată pentru entitățile care nu au fost autorizate ca CSD în momentul solicitării.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370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5 – paragraful 8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8a.</w:t>
            </w:r>
            <w:r>
              <w:tab/>
            </w:r>
            <w:r>
              <w:rPr>
                <w:b/>
                <w:i/>
                <w:strike w:val="0"/>
                <w:color w:val="auto"/>
                <w:highlight w:val="none"/>
                <w:u w:val="none" w:color="auto"/>
                <w:vertAlign w:val="baseline"/>
              </w:rPr>
              <w:t>La cererea sa și în conformitate cu articolul 7, un CSD care gestionează un SSS DLT poate să exploateze și un MTF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Reciprocitate și condiții de concurență echitabile între MTF LDT și SSS DLT, oferind SSS DLT care doresc să exploateze un MTF DLT.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371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Antonio Maria Rinaldi</w:t>
      </w:r>
      <w:r>
        <w:t xml:space="preserve">, </w:t>
      </w:r>
      <w:r>
        <w:t>Francesca Donato</w:t>
      </w:r>
      <w:r>
        <w:t xml:space="preserve">, </w:t>
      </w:r>
      <w:r>
        <w:t>Valentino Grant</w:t>
      </w:r>
      <w:r>
        <w:t xml:space="preserve">, </w:t>
      </w:r>
      <w:r>
        <w:t>Marco Zanni</w:t>
      </w:r>
      <w:r>
        <w:t xml:space="preserve">, </w:t>
      </w:r>
      <w:r>
        <w:t>Gunnar Beck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1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Operatorii infrastructurilor pieței bazate pe DLT trebuie, de asemenea, să dispună de documente scrise actualizate, clare și detaliate, disponibile publicului, care să poată fi puse la dispoziție prin mijloace electronice, prin care se definesc normele în temeiul cărora funcționează infrastructura pieței bazată pe DLT, inclusiv prevederile juridice aferente care definesc drepturile, obligațiile, responsabilitățile și răspunderea operatorului infrastructurii pieței bazate pe DLT, precum și pe cele ale membrilor, participanților, emitenților și/sau ale clienților care utilizează infrastructura pieței bazată pe DLT în cauză. Aceste dispoziții juridice trebuie să precizeze legea aplicabilă, mecanismul de soluționare a litigiilor în faza precontencioasă și competența de a introduce o acțiune în justiție.</w:t>
            </w:r>
          </w:p>
        </w:tc>
        <w:tc>
          <w:tcPr>
            <w:tcW w:w="4876" w:type="dxa"/>
            <w:vAlign w:val="top"/>
          </w:tcPr>
          <w:p>
            <w:pPr>
              <w:pStyle w:val="Normal6a"/>
            </w:pPr>
            <w:r>
              <w:t xml:space="preserve">Operatorii infrastructurilor pieței bazate pe DLT trebuie, de asemenea, să dispună de documente scrise actualizate, clare și detaliate, disponibile publicului, care să poată fi puse la dispoziție prin mijloace electronice, prin care se definesc normele în temeiul cărora funcționează infrastructura pieței bazată pe DLT, inclusiv prevederile juridice aferente care definesc drepturile, obligațiile, responsabilitățile și răspunderea operatorului infrastructurii pieței bazate pe DLT, precum și pe cele ale membrilor, participanților, emitenților și/sau ale clienților care utilizează infrastructura pieței bazată pe DLT în cauză. </w:t>
            </w:r>
            <w:r>
              <w:rPr>
                <w:b/>
                <w:i/>
                <w:strike w:val="0"/>
                <w:color w:val="auto"/>
                <w:highlight w:val="none"/>
                <w:u w:val="none" w:color="auto"/>
                <w:vertAlign w:val="baseline"/>
              </w:rPr>
              <w:t>Aceleași documente includ, de asemenea, declarația de confidențialitate care conține lista operațiunilor de prelucrare efectuate în cadrul infrastructurii pieței bazate pe DLT, precum și rolurile și responsabilitățile părților implicate în prelucrarea datelor cu caracter personal.</w:t>
            </w:r>
            <w:r>
              <w:t xml:space="preserve"> Aceste dispoziții juridice trebuie să precizeze legea aplicabilă, mecanismul de soluționare a litigiilor în faza precontencioasă și competența de a introduce o acțiune în justiție.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IT</w:t>
      </w:r>
      <w:r>
        <w:rPr>
          <w:rStyle w:val="HideTWBInt"/>
        </w:rPr>
        <w:t>}</w:t>
      </w:r>
      <w:r>
        <w:t>it</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372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Johan Van Overtveldt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1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Operatorii infrastructurilor pieței bazate pe DLT trebuie, de asemenea, să dispună de documente scrise actualizate, clare și detaliate, disponibile publicului, care să poată fi puse la dispoziție prin mijloace electronice, prin care se definesc normele în temeiul cărora funcționează </w:t>
            </w:r>
            <w:r>
              <w:rPr>
                <w:b/>
                <w:i/>
                <w:strike w:val="0"/>
                <w:color w:val="auto"/>
                <w:highlight w:val="none"/>
                <w:u w:val="none" w:color="auto"/>
                <w:vertAlign w:val="baseline"/>
              </w:rPr>
              <w:t>infrastructura</w:t>
            </w:r>
            <w:r>
              <w:t xml:space="preserve"> pieței </w:t>
            </w:r>
            <w:r>
              <w:rPr>
                <w:b/>
                <w:i/>
                <w:strike w:val="0"/>
                <w:color w:val="auto"/>
                <w:highlight w:val="none"/>
                <w:u w:val="none" w:color="auto"/>
                <w:vertAlign w:val="baseline"/>
              </w:rPr>
              <w:t>bazată</w:t>
            </w:r>
            <w:r>
              <w:t xml:space="preserve"> pe DLT, inclusiv prevederile juridice aferente care definesc drepturile, obligațiile, responsabilitățile și răspunderea operatorului infrastructurii pieței bazate pe DLT, precum și pe cele ale membrilor, participanților, emitenților și/sau ale clienților care utilizează infrastructura pieței bazată pe DLT în cauză. Aceste dispoziții juridice trebuie să precizeze legea aplicabilă, mecanismul de soluționare a litigiilor în faza precontencioasă și competența de a introduce o acțiune în justiție.</w:t>
            </w:r>
          </w:p>
        </w:tc>
        <w:tc>
          <w:tcPr>
            <w:tcW w:w="4876" w:type="dxa"/>
            <w:vAlign w:val="top"/>
          </w:tcPr>
          <w:p>
            <w:pPr>
              <w:pStyle w:val="Normal6a"/>
            </w:pPr>
            <w:r>
              <w:t xml:space="preserve">Operatorii infrastructurilor pieței bazate pe DLT trebuie, de asemenea, să dispună de documente scrise actualizate, clare și detaliate, disponibile publicului, care să poată fi puse la dispoziție prin mijloace electronice, prin care se definesc normele în temeiul cărora funcționează </w:t>
            </w:r>
            <w:r>
              <w:rPr>
                <w:b/>
                <w:i/>
                <w:strike w:val="0"/>
                <w:color w:val="auto"/>
                <w:highlight w:val="none"/>
                <w:u w:val="none" w:color="auto"/>
                <w:vertAlign w:val="baseline"/>
              </w:rPr>
              <w:t>infrastructurile</w:t>
            </w:r>
            <w:r>
              <w:t xml:space="preserve"> pieței </w:t>
            </w:r>
            <w:r>
              <w:rPr>
                <w:b/>
                <w:i/>
                <w:strike w:val="0"/>
                <w:color w:val="auto"/>
                <w:highlight w:val="none"/>
                <w:u w:val="none" w:color="auto"/>
                <w:vertAlign w:val="baseline"/>
              </w:rPr>
              <w:t>bazate</w:t>
            </w:r>
            <w:r>
              <w:t xml:space="preserve"> pe DLT </w:t>
            </w:r>
            <w:r>
              <w:rPr>
                <w:b/>
                <w:i/>
                <w:strike w:val="0"/>
                <w:color w:val="auto"/>
                <w:highlight w:val="none"/>
                <w:u w:val="none" w:color="auto"/>
                <w:vertAlign w:val="baseline"/>
              </w:rPr>
              <w:t>și operatorii lor</w:t>
            </w:r>
            <w:r>
              <w:t>, inclusiv prevederile juridice aferente care definesc drepturile, obligațiile, responsabilitățile și răspunderea operatorului infrastructurii pieței bazate pe DLT, precum și pe cele ale membrilor, participanților, emitenților și/sau ale clienților care utilizează infrastructura pieței bazată pe DLT în cauză. Aceste dispoziții juridice trebuie să precizeze legea aplicabilă, mecanismul de soluționare a litigiilor în faza precontencioasă</w:t>
            </w:r>
            <w:r>
              <w:rPr>
                <w:b/>
                <w:i/>
                <w:strike w:val="0"/>
                <w:color w:val="auto"/>
                <w:highlight w:val="none"/>
                <w:u w:val="none" w:color="auto"/>
                <w:vertAlign w:val="baseline"/>
              </w:rPr>
              <w:t>, orice măsuri de protecție în caz de insolvență în temeiul Directivei 98/26/CE</w:t>
            </w:r>
            <w:r>
              <w:t xml:space="preserve"> și competența de a introduce o acțiune în justiție.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Acest amendament urmărește luarea în considerare a unei sugestii din avizul BCE.</w:t>
      </w:r>
      <w:r>
        <w:t xml:space="preserve"> </w:t>
      </w:r>
      <w:r>
        <w:t>Din perspectiva supravegherii, caracterul definitiv al decontării și riscurile de insolvență, împreună cu măsurile de atenuare relevante, ar trebui să fie specificate și comunicate participanților la infrastructurile pieței bazate pe DLT.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373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1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Operatorii infrastructurilor pieței bazate pe DLT trebuie, de asemenea, să dispună de documente scrise actualizate, clare și detaliate, disponibile publicului, care să poată fi puse la dispoziție prin mijloace electronice, prin care se definesc normele în temeiul cărora funcționează infrastructura pieței bazată pe DLT, inclusiv prevederile juridice aferente care definesc drepturile, obligațiile, responsabilitățile și răspunderea operatorului infrastructurii pieței bazate pe DLT, precum și pe cele ale membrilor, participanților, emitenților și/sau ale clienților care utilizează infrastructura pieței bazată pe DLT în cauză. Aceste dispoziții juridice trebuie să precizeze legea aplicabilă, mecanismul de soluționare a litigiilor în faza precontencioasă și competența de a introduce o acțiune în justiție.</w:t>
            </w:r>
          </w:p>
        </w:tc>
        <w:tc>
          <w:tcPr>
            <w:tcW w:w="4876" w:type="dxa"/>
            <w:vAlign w:val="top"/>
          </w:tcPr>
          <w:p>
            <w:pPr>
              <w:pStyle w:val="Normal6a"/>
            </w:pPr>
            <w:r>
              <w:t>Operatorii infrastructurilor pieței bazate pe DLT trebuie, de asemenea, să dispună de documente scrise actualizate, clare și detaliate, disponibile publicului, care să poată fi puse la dispoziție prin mijloace electronice, prin care se definesc normele în temeiul cărora funcționează infrastructura pieței bazată pe DLT, inclusiv prevederile juridice aferente care definesc drepturile, obligațiile, responsabilitățile și răspunderea operatorului infrastructurii pieței bazate pe DLT, precum și pe cele ale membrilor, participanților, emitenților și/sau ale clienților care utilizează infrastructura pieței bazată pe DLT în cauză. Aceste dispoziții juridice trebuie să precizeze legea aplicabilă, mecanismul de soluționare a litigiilor în faza precontencioasă</w:t>
            </w:r>
            <w:r>
              <w:rPr>
                <w:b/>
                <w:i/>
                <w:strike w:val="0"/>
                <w:color w:val="auto"/>
                <w:highlight w:val="none"/>
                <w:u w:val="none" w:color="auto"/>
                <w:vertAlign w:val="baseline"/>
              </w:rPr>
              <w:t>, orice măsuri de protecție în caz de insolvență în temeiul Directivei 98/26/CE</w:t>
            </w:r>
            <w:r>
              <w:t xml:space="preserve"> și competența de a introduce o acțiune în justiție.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Integrează recomandarea în avizul BCE.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374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Jonás Fernández</w:t>
      </w:r>
      <w:r>
        <w:t xml:space="preserve">, </w:t>
      </w:r>
      <w:r>
        <w:t>Eero Heinäluoma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1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Operatorii infrastructurilor pieței bazate pe DLT trebuie, de asemenea, să dispună de documente scrise actualizate, clare și detaliate, disponibile publicului, care să poată fi puse la dispoziție prin mijloace electronice, prin care se definesc normele în temeiul cărora funcționează infrastructura pieței bazată pe DLT, inclusiv prevederile juridice aferente care definesc drepturile, obligațiile, responsabilitățile și răspunderea operatorului infrastructurii pieței bazate pe DLT, precum și pe cele ale membrilor, participanților, emitenților și/sau ale clienților care utilizează infrastructura pieței bazată pe DLT în cauză. Aceste dispoziții juridice trebuie să precizeze legea aplicabilă, mecanismul de soluționare a litigiilor în faza precontencioasă și competența de a introduce o acțiune în justiție.</w:t>
            </w:r>
          </w:p>
        </w:tc>
        <w:tc>
          <w:tcPr>
            <w:tcW w:w="4876" w:type="dxa"/>
            <w:vAlign w:val="top"/>
          </w:tcPr>
          <w:p>
            <w:pPr>
              <w:pStyle w:val="Normal6a"/>
            </w:pPr>
            <w:r>
              <w:t>Operatorii infrastructurilor pieței bazate pe DLT trebuie, de asemenea, să dispună de documente scrise actualizate, clare și detaliate, disponibile publicului, care să poată fi puse la dispoziție prin mijloace electronice, prin care se definesc normele în temeiul cărora funcționează infrastructura pieței bazată pe DLT, inclusiv prevederile juridice aferente care definesc drepturile, obligațiile, responsabilitățile și răspunderea operatorului infrastructurii pieței bazate pe DLT, precum și pe cele ale membrilor, participanților, emitenților și/sau ale clienților care utilizează infrastructura pieței bazată pe DLT în cauză. Aceste dispoziții juridice trebuie să precizeze legea aplicabilă, mecanismul de soluționare a litigiilor în faza precontencioasă</w:t>
            </w:r>
            <w:r>
              <w:rPr>
                <w:b/>
                <w:i/>
                <w:strike w:val="0"/>
                <w:color w:val="auto"/>
                <w:highlight w:val="none"/>
                <w:u w:val="none" w:color="auto"/>
                <w:vertAlign w:val="baseline"/>
              </w:rPr>
              <w:t>, orice măsuri de protecție în caz de insolvență în temeiul Directivei 98/26/CE</w:t>
            </w:r>
            <w:r>
              <w:t xml:space="preserve"> și competența de a introduce o acțiune în justiție.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Conform avizului BCE.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375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1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Operatorii infrastructurilor pieței bazate pe DLT trebuie, de asemenea, să dispună de documente scrise actualizate, clare și detaliate, disponibile publicului, care să poată fi puse la dispoziție prin mijloace electronice, prin care se definesc normele în temeiul cărora funcționează infrastructura pieței bazată pe DLT, inclusiv prevederile juridice aferente care definesc drepturile, obligațiile, responsabilitățile și răspunderea operatorului infrastructurii pieței bazate pe DLT, precum și pe cele ale membrilor, participanților, emitenților și/sau ale clienților care utilizează infrastructura pieței bazată pe DLT în cauză. Aceste dispoziții juridice trebuie să precizeze legea aplicabilă, mecanismul de soluționare a litigiilor în faza precontencioasă și competența de a introduce o acțiune în justiție.</w:t>
            </w:r>
          </w:p>
        </w:tc>
        <w:tc>
          <w:tcPr>
            <w:tcW w:w="4876" w:type="dxa"/>
            <w:vAlign w:val="top"/>
          </w:tcPr>
          <w:p>
            <w:pPr>
              <w:pStyle w:val="Normal6a"/>
            </w:pPr>
            <w:r>
              <w:rPr>
                <w:b w:val="0"/>
                <w:i/>
                <w:strike w:val="0"/>
                <w:color w:val="auto"/>
                <w:highlight w:val="none"/>
                <w:u w:val="none" w:color="auto"/>
                <w:vertAlign w:val="baseline"/>
              </w:rPr>
              <w:t>(Nu privește versiunea în limba română.)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rPr>
          <w:b w:val="0"/>
          <w:i/>
          <w:strike w:val="0"/>
          <w:color w:val="auto"/>
          <w:highlight w:val="none"/>
          <w:u w:val="none" w:color="auto"/>
          <w:vertAlign w:val="baseline"/>
        </w:rPr>
        <w:t>(Nu privește versiunea în limba română.)</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376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Markus Ferber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1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Operatorii infrastructurilor pieței bazate pe DLT trebuie, de asemenea, să dispună de documente scrise actualizate, clare și detaliate, disponibile publicului, care să poată fi puse la dispoziție prin mijloace electronice, prin care se definesc normele în temeiul cărora funcționează infrastructura pieței bazată pe DLT, inclusiv prevederile juridice aferente care definesc drepturile, obligațiile, responsabilitățile și răspunderea operatorului infrastructurii pieței bazate pe DLT, precum și pe cele ale membrilor, participanților, emitenților și/sau ale clienților care utilizează infrastructura pieței bazată pe DLT în cauză. Aceste dispoziții juridice trebuie să precizeze legea aplicabilă, mecanismul de soluționare a litigiilor în faza precontencioasă și competența de a introduce o acțiune în justiție.</w:t>
            </w:r>
          </w:p>
        </w:tc>
        <w:tc>
          <w:tcPr>
            <w:tcW w:w="4876" w:type="dxa"/>
            <w:vAlign w:val="top"/>
          </w:tcPr>
          <w:p>
            <w:pPr>
              <w:pStyle w:val="Normal6a"/>
            </w:pPr>
            <w:r>
              <w:rPr>
                <w:b w:val="0"/>
                <w:i/>
                <w:strike w:val="0"/>
                <w:color w:val="auto"/>
                <w:highlight w:val="none"/>
                <w:u w:val="none" w:color="auto"/>
                <w:vertAlign w:val="baseline"/>
              </w:rPr>
              <w:t>(Nu privește versiunea în limba română.)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377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rPr>
                <w:b/>
                <w:i/>
                <w:strike w:val="0"/>
                <w:color w:val="auto"/>
                <w:highlight w:val="none"/>
                <w:u w:val="none" w:color="auto"/>
                <w:vertAlign w:val="baseline"/>
              </w:rPr>
              <w:t>Un CSD care gestionează un sistem de decontare a titlurilor de valoare bazat</w:t>
            </w:r>
            <w:r>
              <w:t xml:space="preserve"> pe DLT </w:t>
            </w:r>
            <w:r>
              <w:rPr>
                <w:b/>
                <w:i/>
                <w:strike w:val="0"/>
                <w:color w:val="auto"/>
                <w:highlight w:val="none"/>
                <w:u w:val="none" w:color="auto"/>
                <w:vertAlign w:val="baseline"/>
              </w:rPr>
              <w:t>și o firmă de investiții sau un operator de piață care gestionează un MTF DLT care solicită o derogare de la articolul 3 alineatul (2) din Regulamentul (UE) nr. 909/2014 trebuie să stabilească</w:t>
            </w:r>
            <w:r>
              <w:t xml:space="preserve"> norme privind funcționarea tehnologiei registrelor distribuite pe care o gestionează, inclusiv normele privind accesul la tehnologia registrelor distribuite, participarea nodurilor de validare, abordarea potențialelor conflicte de interese și gestionarea riscurilor, inclusiv eventualele măsuri de atenuare.</w:t>
            </w:r>
          </w:p>
        </w:tc>
        <w:tc>
          <w:tcPr>
            <w:tcW w:w="4876" w:type="dxa"/>
            <w:vAlign w:val="top"/>
          </w:tcPr>
          <w:p>
            <w:pPr>
              <w:pStyle w:val="Normal6a"/>
            </w:pPr>
            <w:r>
              <w:t>2.</w:t>
            </w:r>
            <w:r>
              <w:tab/>
            </w:r>
            <w:r>
              <w:rPr>
                <w:b/>
                <w:i/>
                <w:strike w:val="0"/>
                <w:color w:val="auto"/>
                <w:highlight w:val="none"/>
                <w:u w:val="none" w:color="auto"/>
                <w:vertAlign w:val="baseline"/>
              </w:rPr>
              <w:t>Operatorii infrastructurilor pieței bazate</w:t>
            </w:r>
            <w:r>
              <w:t xml:space="preserve"> pe DLT </w:t>
            </w:r>
            <w:r>
              <w:rPr>
                <w:b/>
                <w:i/>
                <w:strike w:val="0"/>
                <w:color w:val="auto"/>
                <w:highlight w:val="none"/>
                <w:u w:val="none" w:color="auto"/>
                <w:vertAlign w:val="baseline"/>
              </w:rPr>
              <w:t>rămân responsabili în permanență și pe deplin pentru serviciile și activitățile pe care le desfășoară în temeiul prezentului regulament, inclusiv pentru exploatarea DLT.</w:t>
            </w:r>
            <w:r>
              <w:t xml:space="preserve"> </w:t>
            </w:r>
            <w:r>
              <w:rPr>
                <w:b/>
                <w:i/>
                <w:strike w:val="0"/>
                <w:color w:val="auto"/>
                <w:highlight w:val="none"/>
                <w:u w:val="none" w:color="auto"/>
                <w:vertAlign w:val="baseline"/>
              </w:rPr>
              <w:t>Ei stabilesc</w:t>
            </w:r>
            <w:r>
              <w:t xml:space="preserve"> norme privind funcționarea tehnologiei registrelor distribuite pe care o gestionează, inclusiv normele privind accesul la tehnologia registrelor distribuite, participarea nodurilor de validare, abordarea potențialelor conflicte de interese și gestionarea riscurilor, inclusiv eventualele măsuri de atenuare </w:t>
            </w:r>
            <w:r>
              <w:rPr>
                <w:b/>
                <w:i/>
                <w:strike w:val="0"/>
                <w:color w:val="auto"/>
                <w:highlight w:val="none"/>
                <w:u w:val="none" w:color="auto"/>
                <w:vertAlign w:val="baseline"/>
              </w:rPr>
              <w:t>a riscurilor pentru a garanta protecția investitorilor și stabilitatea financiară.</w:t>
            </w:r>
            <w:r>
              <w:t xml:space="preserve"> </w:t>
            </w:r>
            <w:r>
              <w:rPr>
                <w:b/>
                <w:i/>
                <w:strike w:val="0"/>
                <w:color w:val="auto"/>
                <w:highlight w:val="none"/>
                <w:u w:val="none" w:color="auto"/>
                <w:vertAlign w:val="baseline"/>
              </w:rPr>
              <w:t>În cazul în care operatorii de infrastructuri ale pieței bazate pe DLT externalizează o parte din serviciile și activitățile lor, ei se asigură că sunt respectate pe deplin și mutatis mutandi, condițiile prevăzute la articolul 30 din Regulamentul (UE) nr. 909/2014</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378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Jonás Fernández</w:t>
      </w:r>
      <w:r>
        <w:t xml:space="preserve">, </w:t>
      </w:r>
      <w:r>
        <w:t>Eero Heinäluoma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 xml:space="preserve">Un CSD care gestionează un sistem de decontare a titlurilor de valoare bazat pe DLT și o firmă de investiții sau un operator de piață care gestionează un MTF DLT care solicită o derogare de la articolul 3 alineatul (2) din Regulamentul (UE) nr. 909/2014 </w:t>
            </w:r>
            <w:r>
              <w:rPr>
                <w:b/>
                <w:i/>
                <w:strike w:val="0"/>
                <w:color w:val="auto"/>
                <w:highlight w:val="none"/>
                <w:u w:val="none" w:color="auto"/>
                <w:vertAlign w:val="baseline"/>
              </w:rPr>
              <w:t>trebuie să stabilească norme privind funcționarea tehnologiei registrelor distribuite pe care o gestionează, inclusiv normele privind accesul la tehnologia registrelor distribuite, participarea nodurilor de validare, abordarea potențialelor conflicte de interese și gestionarea riscurilor, inclusiv eventualele măsuri de atenuare.</w:t>
            </w:r>
          </w:p>
        </w:tc>
        <w:tc>
          <w:tcPr>
            <w:tcW w:w="4876" w:type="dxa"/>
            <w:vAlign w:val="top"/>
          </w:tcPr>
          <w:p>
            <w:pPr>
              <w:pStyle w:val="Normal6a"/>
            </w:pPr>
            <w:r>
              <w:t>2.</w:t>
            </w:r>
            <w:r>
              <w:tab/>
            </w:r>
            <w:r>
              <w:t>Un CSD care gestionează un sistem de decontare a titlurilor de valoare bazat pe DLT și o firmă de investiții sau un operator de piață care gestionează un MTF DLT care solicită o derogare de la articolul 3 alineatul (2) din Regulamentul (UE) nr. 909/2014 </w:t>
            </w:r>
            <w:r>
              <w:rPr>
                <w:b/>
                <w:i/>
                <w:strike w:val="0"/>
                <w:color w:val="auto"/>
                <w:highlight w:val="none"/>
                <w:u w:val="none" w:color="auto"/>
                <w:vertAlign w:val="baseline"/>
              </w:rPr>
              <w:t>stabilesc:</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(a) norme privind funcționarea tehnologiei registrelor distribuite pe care o gestionează, inclusiv normele privind accesul la tehnologia registrelor distribuite, participarea nodurilor de validare, abordarea potențialelor conflicte de interese și gestionarea riscurilor, inclusiv eventualele măsuri de atenuare;</w:t>
            </w:r>
            <w:r>
              <w:t xml:space="preserve"> </w:t>
            </w:r>
            <w:r>
              <w:rPr>
                <w:b/>
                <w:i/>
                <w:strike w:val="0"/>
                <w:color w:val="auto"/>
                <w:highlight w:val="none"/>
                <w:u w:val="none" w:color="auto"/>
                <w:vertAlign w:val="baseline"/>
              </w:rPr>
              <w:t>și</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 măsuri de atenuare a riscurilor care decurg din insolvență, în cazul în care nu se aplică măsurile de protecție în caz de insolvență în temeiul Directivei 98/26/CE.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Conform avizului BCE.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379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Jessica Polfjärd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 xml:space="preserve">Un CSD care gestionează un sistem de decontare a titlurilor de valoare bazat pe DLT și o firmă de investiții sau un operator de piață care gestionează un MTF DLT care solicită o derogare de la articolul 3 alineatul (2) din Regulamentul (UE) nr. 909/2014 </w:t>
            </w:r>
            <w:r>
              <w:rPr>
                <w:b/>
                <w:i/>
                <w:strike w:val="0"/>
                <w:color w:val="auto"/>
                <w:highlight w:val="none"/>
                <w:u w:val="none" w:color="auto"/>
                <w:vertAlign w:val="baseline"/>
              </w:rPr>
              <w:t>trebuie să stabilească</w:t>
            </w:r>
            <w:r>
              <w:t xml:space="preserve"> norme privind funcționarea tehnologiei registrelor distribuite pe care o gestionează, inclusiv normele privind accesul la tehnologia registrelor distribuite, participarea nodurilor de validare, abordarea potențialelor conflicte de interese și gestionarea riscurilor, inclusiv eventualele măsuri de atenuare.</w:t>
            </w:r>
          </w:p>
        </w:tc>
        <w:tc>
          <w:tcPr>
            <w:tcW w:w="4876" w:type="dxa"/>
            <w:vAlign w:val="top"/>
          </w:tcPr>
          <w:p>
            <w:pPr>
              <w:pStyle w:val="Normal6a"/>
            </w:pPr>
            <w:r>
              <w:t>2.</w:t>
            </w:r>
            <w:r>
              <w:tab/>
            </w:r>
            <w:r>
              <w:t xml:space="preserve">Un CSD care gestionează un sistem de decontare a titlurilor de valoare bazat pe DLT și o firmă de investiții sau un operator de piață care gestionează un MTF DLT care solicită o derogare de la articolul 3 alineatul (2) din Regulamentul (UE) nr. 909/2014 </w:t>
            </w:r>
            <w:r>
              <w:rPr>
                <w:b/>
                <w:i/>
                <w:strike w:val="0"/>
                <w:color w:val="auto"/>
                <w:highlight w:val="none"/>
                <w:u w:val="none" w:color="auto"/>
                <w:vertAlign w:val="baseline"/>
              </w:rPr>
              <w:t>stabilește sau documentează, după caz,</w:t>
            </w:r>
            <w:r>
              <w:t xml:space="preserve"> norme privind funcționarea tehnologiei registrelor distribuite pe care o gestionează, inclusiv normele privind accesul la tehnologia registrelor distribuite, participarea nodurilor de validare, abordarea potențialelor conflicte de interese și gestionarea riscurilor, inclusiv eventualele măsuri de atenuare.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380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rPr>
                <w:b/>
                <w:i/>
                <w:strike w:val="0"/>
                <w:color w:val="auto"/>
                <w:highlight w:val="none"/>
                <w:u w:val="none" w:color="auto"/>
                <w:vertAlign w:val="baseline"/>
              </w:rPr>
              <w:t>Un CSD</w:t>
            </w:r>
            <w:r>
              <w:t xml:space="preserve"> care gestionează un sistem de decontare a titlurilor de valoare bazat pe DLT și o </w:t>
            </w:r>
            <w:r>
              <w:rPr>
                <w:b/>
                <w:i/>
                <w:strike w:val="0"/>
                <w:color w:val="auto"/>
                <w:highlight w:val="none"/>
                <w:u w:val="none" w:color="auto"/>
                <w:vertAlign w:val="baseline"/>
              </w:rPr>
              <w:t>firmă de investiții sau un operator de piață</w:t>
            </w:r>
            <w:r>
              <w:t xml:space="preserve"> care gestionează un MTF DLT care solicită o derogare de la articolul 3 alineatul (2) din Regulamentul (UE) nr. 909/2014 trebuie să stabilească norme privind funcționarea tehnologiei registrelor distribuite pe care o gestionează, inclusiv normele privind accesul la tehnologia registrelor distribuite, participarea nodurilor de validare, abordarea potențialelor conflicte de interese și gestionarea riscurilor, inclusiv eventualele măsuri de atenuare.</w:t>
            </w:r>
          </w:p>
        </w:tc>
        <w:tc>
          <w:tcPr>
            <w:tcW w:w="4876" w:type="dxa"/>
            <w:vAlign w:val="top"/>
          </w:tcPr>
          <w:p>
            <w:pPr>
              <w:pStyle w:val="Normal6a"/>
            </w:pPr>
            <w:r>
              <w:t>2.</w:t>
            </w:r>
            <w:r>
              <w:tab/>
            </w:r>
            <w:r>
              <w:rPr>
                <w:b/>
                <w:i/>
                <w:strike w:val="0"/>
                <w:color w:val="auto"/>
                <w:highlight w:val="none"/>
                <w:u w:val="none" w:color="auto"/>
                <w:vertAlign w:val="baseline"/>
              </w:rPr>
              <w:t>Atunci când folosește un DLT proprietar, o entitate</w:t>
            </w:r>
            <w:r>
              <w:t xml:space="preserve"> care gestionează un sistem de decontare a titlurilor de valoare bazat pe DLT și o </w:t>
            </w:r>
            <w:r>
              <w:rPr>
                <w:b/>
                <w:i/>
                <w:strike w:val="0"/>
                <w:color w:val="auto"/>
                <w:highlight w:val="none"/>
                <w:u w:val="none" w:color="auto"/>
                <w:vertAlign w:val="baseline"/>
              </w:rPr>
              <w:t>entitate</w:t>
            </w:r>
            <w:r>
              <w:t xml:space="preserve"> care gestionează un MTF DLT care solicită o derogare de la articolul 3 alineatul (2) din Regulamentul (UE) nr. 909/2014 trebuie să stabilească norme privind funcționarea tehnologiei registrelor distribuite pe care o gestionează, inclusiv normele privind accesul la tehnologia registrelor distribuite, participarea nodurilor de validare, abordarea potențialelor conflicte de interese și gestionarea riscurilor, inclusiv eventualele măsuri de atenuare.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 și neutralitate tehnologică în legătură cu DLT proprietare și publice.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381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 xml:space="preserve">Un CSD care gestionează un </w:t>
            </w:r>
            <w:r>
              <w:rPr>
                <w:b/>
                <w:i/>
                <w:strike w:val="0"/>
                <w:color w:val="auto"/>
                <w:highlight w:val="none"/>
                <w:u w:val="none" w:color="auto"/>
                <w:vertAlign w:val="baseline"/>
              </w:rPr>
              <w:t>sistem de decontare a titlurilor de valoare bazat pe</w:t>
            </w:r>
            <w:r>
              <w:t xml:space="preserve"> DLT și o firmă de investiții sau un operator de piață care gestionează un MTF DLT care solicită o derogare de la articolul 3 alineatul (2) din Regulamentul (UE) nr. 909/2014 </w:t>
            </w:r>
            <w:r>
              <w:rPr>
                <w:b/>
                <w:i/>
                <w:strike w:val="0"/>
                <w:color w:val="auto"/>
                <w:highlight w:val="none"/>
                <w:u w:val="none" w:color="auto"/>
                <w:vertAlign w:val="baseline"/>
              </w:rPr>
              <w:t>trebuie să stabilească</w:t>
            </w:r>
            <w:r>
              <w:t xml:space="preserve"> norme privind funcționarea tehnologiei registrelor distribuite pe care o </w:t>
            </w:r>
            <w:r>
              <w:rPr>
                <w:b/>
                <w:i/>
                <w:strike w:val="0"/>
                <w:color w:val="auto"/>
                <w:highlight w:val="none"/>
                <w:u w:val="none" w:color="auto"/>
                <w:vertAlign w:val="baseline"/>
              </w:rPr>
              <w:t>gestionează</w:t>
            </w:r>
            <w:r>
              <w:t>, inclusiv normele privind accesul la tehnologia registrelor distribuite, participarea nodurilor de validare, abordarea potențialelor conflicte de interese și gestionarea riscurilor, inclusiv eventualele măsuri de atenuare.</w:t>
            </w:r>
          </w:p>
        </w:tc>
        <w:tc>
          <w:tcPr>
            <w:tcW w:w="4876" w:type="dxa"/>
            <w:vAlign w:val="top"/>
          </w:tcPr>
          <w:p>
            <w:pPr>
              <w:pStyle w:val="Normal6a"/>
            </w:pPr>
            <w:r>
              <w:t>2.</w:t>
            </w:r>
            <w:r>
              <w:tab/>
            </w:r>
            <w:r>
              <w:t xml:space="preserve">Un CSD care gestionează un </w:t>
            </w:r>
            <w:r>
              <w:rPr>
                <w:b/>
                <w:i/>
                <w:strike w:val="0"/>
                <w:color w:val="auto"/>
                <w:highlight w:val="none"/>
                <w:u w:val="none" w:color="auto"/>
                <w:vertAlign w:val="baseline"/>
              </w:rPr>
              <w:t>SSS</w:t>
            </w:r>
            <w:r>
              <w:t xml:space="preserve"> DLT și o firmă de investiții sau un operator de piață care gestionează un MTF DLT care solicită o derogare de la articolul 3 alineatul (2) din Regulamentul (UE) nr. 909/2014 </w:t>
            </w:r>
            <w:r>
              <w:rPr>
                <w:b/>
                <w:i/>
                <w:strike w:val="0"/>
                <w:color w:val="auto"/>
                <w:highlight w:val="none"/>
                <w:u w:val="none" w:color="auto"/>
                <w:vertAlign w:val="baseline"/>
              </w:rPr>
              <w:t>stabilește sau documentează, după caz,</w:t>
            </w:r>
            <w:r>
              <w:t xml:space="preserve"> norme privind funcționarea tehnologiei registrelor distribuite pe care o </w:t>
            </w:r>
            <w:r>
              <w:rPr>
                <w:b/>
                <w:i/>
                <w:strike w:val="0"/>
                <w:color w:val="auto"/>
                <w:highlight w:val="none"/>
                <w:u w:val="none" w:color="auto"/>
                <w:vertAlign w:val="baseline"/>
              </w:rPr>
              <w:t>utilizează</w:t>
            </w:r>
            <w:r>
              <w:t>, inclusiv normele privind accesul la tehnologia registrelor distribuite, participarea nodurilor de validare, abordarea potențialelor conflicte de interese și gestionarea riscurilor, inclusiv eventualele măsuri de atenuare.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 și o formulare care reflectă o abordare mai neutră din punct de vedere tehnologic cu privire la utilizarea DLT.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382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Johan Van Overtveldt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 xml:space="preserve">Un CSD care gestionează un </w:t>
            </w:r>
            <w:r>
              <w:rPr>
                <w:b/>
                <w:i/>
                <w:strike w:val="0"/>
                <w:color w:val="auto"/>
                <w:highlight w:val="none"/>
                <w:u w:val="none" w:color="auto"/>
                <w:vertAlign w:val="baseline"/>
              </w:rPr>
              <w:t>sistem de decontare a titlurilor de valoare bazat pe</w:t>
            </w:r>
            <w:r>
              <w:t xml:space="preserve"> DLT și o firmă de investiții sau un operator de piață care gestionează un </w:t>
            </w:r>
            <w:r>
              <w:rPr>
                <w:b/>
                <w:i/>
                <w:strike w:val="0"/>
                <w:color w:val="auto"/>
                <w:highlight w:val="none"/>
                <w:u w:val="none" w:color="auto"/>
                <w:vertAlign w:val="baseline"/>
              </w:rPr>
              <w:t>MTF</w:t>
            </w:r>
            <w:r>
              <w:t xml:space="preserve"> DLT care solicită o derogare de la articolul 3 alineatul (2) din Regulamentul (UE) nr. 909/2014 </w:t>
            </w:r>
            <w:r>
              <w:rPr>
                <w:b/>
                <w:i/>
                <w:strike w:val="0"/>
                <w:color w:val="auto"/>
                <w:highlight w:val="none"/>
                <w:u w:val="none" w:color="auto"/>
                <w:vertAlign w:val="baseline"/>
              </w:rPr>
              <w:t>trebuie să stabilească norme privind funcționarea tehnologiei registrelor distribuite pe care o gestionează, inclusiv normele privind accesul la tehnologia registrelor distribuite, participarea nodurilor de validare, abordarea potențialelor conflicte de interese și gestionarea riscurilor, inclusiv eventualele măsuri de atenuare.</w:t>
            </w:r>
          </w:p>
        </w:tc>
        <w:tc>
          <w:tcPr>
            <w:tcW w:w="4876" w:type="dxa"/>
            <w:vAlign w:val="top"/>
          </w:tcPr>
          <w:p>
            <w:pPr>
              <w:pStyle w:val="Normal6a"/>
            </w:pPr>
            <w:r>
              <w:t>2.</w:t>
            </w:r>
            <w:r>
              <w:tab/>
            </w:r>
            <w:r>
              <w:t xml:space="preserve">Un CSD care gestionează un </w:t>
            </w:r>
            <w:r>
              <w:rPr>
                <w:b/>
                <w:i/>
                <w:strike w:val="0"/>
                <w:color w:val="auto"/>
                <w:highlight w:val="none"/>
                <w:u w:val="none" w:color="auto"/>
                <w:vertAlign w:val="baseline"/>
              </w:rPr>
              <w:t>SSS</w:t>
            </w:r>
            <w:r>
              <w:t xml:space="preserve"> DLT și o firmă de investiții sau un operator de piață care gestionează un </w:t>
            </w:r>
            <w:r>
              <w:rPr>
                <w:b/>
                <w:i/>
                <w:strike w:val="0"/>
                <w:color w:val="auto"/>
                <w:highlight w:val="none"/>
                <w:u w:val="none" w:color="auto"/>
                <w:vertAlign w:val="baseline"/>
              </w:rPr>
              <w:t>TSS</w:t>
            </w:r>
            <w:r>
              <w:t xml:space="preserve"> DLT care solicită o derogare de la articolul 3 alineatul (2) din Regulamentul (UE) nr. 909/2014 </w:t>
            </w:r>
            <w:r>
              <w:rPr>
                <w:b/>
                <w:i/>
                <w:strike w:val="0"/>
                <w:color w:val="auto"/>
                <w:highlight w:val="none"/>
                <w:u w:val="none" w:color="auto"/>
                <w:vertAlign w:val="baseline"/>
              </w:rPr>
              <w:t>stabilesc sau documentează, după caz:</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Acest amendament urmărește luarea în considerare a unei sugestii din avizul BCE.</w:t>
      </w:r>
      <w:r>
        <w:t xml:space="preserve"> </w:t>
      </w:r>
      <w:r>
        <w:t>Amendamentul restructurează articolul 6 alineatul (2) și adaugă că, din perspectiva supravegherii, caracterul definitiv al decontării și riscurile de insolvență, împreună cu măsurile de atenuare relevante, ar trebui să fie specificate și comunicate participanților la infrastructurile pieței bazate pe DLT.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383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Johan Van Overtveldt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2 – litera 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(a)</w:t>
            </w:r>
            <w:r>
              <w:tab/>
            </w:r>
            <w:r>
              <w:rPr>
                <w:b/>
                <w:i/>
                <w:strike w:val="0"/>
                <w:color w:val="auto"/>
                <w:highlight w:val="none"/>
                <w:u w:val="none" w:color="auto"/>
                <w:vertAlign w:val="baseline"/>
              </w:rPr>
              <w:t>(a) norme privind funcționarea tehnologiei registrelor distribuite pe care o gestionează, inclusiv normele privind accesul la tehnologia registrelor distribuite, participarea nodurilor de validare, soluționarea potențialelor conflicte de interese și gestionarea riscurilor, inclusiv eventualele măsuri de atenuare;</w:t>
            </w:r>
            <w:r>
              <w:t xml:space="preserve"> </w:t>
            </w:r>
            <w:r>
              <w:rPr>
                <w:b/>
                <w:i/>
                <w:strike w:val="0"/>
                <w:color w:val="auto"/>
                <w:highlight w:val="none"/>
                <w:u w:val="none" w:color="auto"/>
                <w:vertAlign w:val="baseline"/>
              </w:rPr>
              <w:t>și</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Acest amendament urmărește luarea în considerare a unei sugestii din avizul BCE.</w:t>
      </w:r>
      <w:r>
        <w:t xml:space="preserve"> </w:t>
      </w:r>
      <w:r>
        <w:t>Amendamentul restructurează articolul 6 alineatul (2) și adaugă că, din perspectiva supravegherii, caracterul definitiv al decontării și riscurile de insolvență, împreună cu măsurile de atenuare relevante, ar trebui să fie specificate și comunicate participanților la infrastructurile pieței bazate pe DLT.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384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Johan Van Overtveldt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2 – litera b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w:t>
            </w:r>
            <w:r>
              <w:tab/>
            </w:r>
            <w:r>
              <w:rPr>
                <w:b/>
                <w:i/>
                <w:strike w:val="0"/>
                <w:color w:val="auto"/>
                <w:highlight w:val="none"/>
                <w:u w:val="none" w:color="auto"/>
                <w:vertAlign w:val="baseline"/>
              </w:rPr>
              <w:t>măsuri de atenuare a riscurilor care decurg din insolvență, în cazul în care nu se aplică măsurile de protecție în caz de insolvență în temeiul Directivei 98/26/CE.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Acest amendament urmărește luarea în considerare a unei sugestii din avizul BCE.</w:t>
      </w:r>
      <w:r>
        <w:t xml:space="preserve"> </w:t>
      </w:r>
      <w:r>
        <w:t>Amendamentul restructurează articolul 6 alineatul (2) și adaugă că, din perspectiva supravegherii, caracterul definitiv al decontării și riscurile de insolvență, împreună cu măsurile de atenuare relevante, ar trebui să fie specificate și comunicate participanților la infrastructurile pieței bazate pe DLT.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385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2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2a.</w:t>
            </w:r>
            <w:r>
              <w:tab/>
            </w:r>
            <w:r>
              <w:rPr>
                <w:b/>
                <w:i/>
                <w:strike w:val="0"/>
                <w:color w:val="auto"/>
                <w:highlight w:val="none"/>
                <w:u w:val="none" w:color="auto"/>
                <w:vertAlign w:val="baseline"/>
              </w:rPr>
              <w:t>În cazul în care o entitate care exploatează un sistem de decontare a titlurilor de valoare bazat pe DLT și o entitate care exploatează un MTF DLT utilizează un DLT public și solicită o derogare de la articolul 3 alineatul (2) din Regulamentul (UE) nr. 909/2014, acestea trebuie să descrie în mod corespunzător autorității competente relevante funcționarea DLT pe care o utilizează, modul în care soluționează potențialele conflicte de interese și măsurile de gestionare a riscurilor.</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 și neutralitate tehnologică în legătură cu DLT proprietare și publice.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386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Operatorii de infrastructuri ale pieței bazate pe DLT furnizează membrilor, participanților, emitenților și clienților lor, pe site-urile lor, informații clare și lipsite de ambiguitate cu privire la modul de derulare a funcțiilor, serviciilor și activităților și cu privire la modul în care desfășurarea acestor funcții, servicii și activități se abate de la un MTF sau un </w:t>
            </w:r>
            <w:r>
              <w:rPr>
                <w:b/>
                <w:i/>
                <w:strike w:val="0"/>
                <w:color w:val="auto"/>
                <w:highlight w:val="none"/>
                <w:u w:val="none" w:color="auto"/>
                <w:vertAlign w:val="baseline"/>
              </w:rPr>
              <w:t>sistem de decontare a titlurilor de valoare. Aceste informații trebuie să includă tipul de DLT utilizată</w:t>
            </w:r>
            <w:r>
              <w:t>.</w:t>
            </w:r>
          </w:p>
        </w:tc>
        <w:tc>
          <w:tcPr>
            <w:tcW w:w="4876" w:type="dxa"/>
            <w:vAlign w:val="top"/>
          </w:tcPr>
          <w:p>
            <w:pPr>
              <w:pStyle w:val="Normal6a"/>
            </w:pPr>
            <w:r>
              <w:t>3.</w:t>
            </w:r>
            <w:r>
              <w:tab/>
            </w:r>
            <w:r>
              <w:t xml:space="preserve">Operatorii de infrastructuri ale pieței bazate pe DLT furnizează membrilor, participanților, emitenților și clienților lor, pe site-urile lor, informații clare și lipsite de ambiguitate cu privire la modul de derulare a funcțiilor, serviciilor și activităților și cu privire la modul în care desfășurarea acestor funcții, servicii și activități se abate de la un MTF sau un </w:t>
            </w:r>
            <w:r>
              <w:rPr>
                <w:b/>
                <w:i/>
                <w:strike w:val="0"/>
                <w:color w:val="auto"/>
                <w:highlight w:val="none"/>
                <w:u w:val="none" w:color="auto"/>
                <w:vertAlign w:val="baseline"/>
              </w:rPr>
              <w:t>SSS.</w:t>
            </w:r>
            <w:r>
              <w:t xml:space="preserve"> </w:t>
            </w:r>
            <w:r>
              <w:rPr>
                <w:b/>
                <w:i/>
                <w:strike w:val="0"/>
                <w:color w:val="auto"/>
                <w:highlight w:val="none"/>
                <w:u w:val="none" w:color="auto"/>
                <w:vertAlign w:val="baseline"/>
              </w:rPr>
              <w:t>Aceste informații trebuie să includă tipul de DLT utilizată.</w:t>
            </w:r>
            <w:r>
              <w:t xml:space="preserve"> </w:t>
            </w:r>
            <w:r>
              <w:rPr>
                <w:b/>
                <w:i/>
                <w:strike w:val="0"/>
                <w:color w:val="auto"/>
                <w:highlight w:val="none"/>
                <w:u w:val="none" w:color="auto"/>
                <w:vertAlign w:val="baseline"/>
              </w:rPr>
              <w:t>Mai mult decât atât, deoarece persoanele fizice pot participa direct la infrastructurile pieței bazate pe DLT, dacă segmentul de plată al tranzacțiilor cu valori mobiliare bazate pe DLT ar apărea în registrele unei persoane care nu este o instituție de credit cu licență, acest lucru ar avea drept consecință faptul că conturile în numerar deținute de persoane fizice și de persoane juridice, cum ar fi microîntreprinderile și întreprinderile mici și mijlocii, cu infrastructuri ale pieței bazate pe DLT nu ar beneficia de protecția sistemului de garantare a depozitelor în temeiul Directivei 2014/49/UE a Parlamentului European și a Consiliului (Directiva privind sistemele de garantare a depozitelor) și de tratamentul preferențial al depunătorilor în temeiul Directivei 2014/59/UE a Parlamentului European și a Consiliului (Directiva privind redresarea și rezoluția instituțiilor bancare).</w:t>
            </w:r>
            <w:r>
              <w:t xml:space="preserve"> </w:t>
            </w:r>
            <w:r>
              <w:rPr>
                <w:b/>
                <w:i/>
                <w:strike w:val="0"/>
                <w:color w:val="auto"/>
                <w:highlight w:val="none"/>
                <w:u w:val="none" w:color="auto"/>
                <w:vertAlign w:val="baseline"/>
              </w:rPr>
              <w:t>Directiva privind sistemele de garantare a depozitelor și tratamentul preferențial al depunătorilor în temeiul Directivei privind redresarea și rezoluția instituțiilor bancare se aplică numai depozitelor sub forma unui sold creditor care rezultă din fondurile rămase într-un cont sau din situații temporare care derivă din tranzacții bancare normale și pe care o instituție de credit este obligată să le ramburseze.</w:t>
            </w:r>
            <w:r>
              <w:t xml:space="preserve"> </w:t>
            </w:r>
            <w:r>
              <w:rPr>
                <w:b/>
                <w:i/>
                <w:strike w:val="0"/>
                <w:color w:val="auto"/>
                <w:highlight w:val="none"/>
                <w:u w:val="none" w:color="auto"/>
                <w:vertAlign w:val="baseline"/>
              </w:rPr>
              <w:t>În acest context, infrastructurile pieței bazate pe DLT ar trebui să comunice în mod explicit participanților lor faptul că nu sunt protejați în temeiul dispozițiilor relevante ale Directivei privind sistemele de garantare a depozitelor și ale Directivei privind redresarea și rezoluția instituțiilor bancare</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Pe baza punctului 3.3.9 din Avizul BCE privind DLT din 28 aprilie, este extrem de important, în spiritul unei protecții sporite a investitorilor, al unor dispoziții privind integritatea pieței și stabilitatea financiară, să se prevadă în mod explicit pentru infrastructurile pieței bazate pe DLT obligația de a face publice toate cazurile în care este posibil ca sistemele de garantare a depozitelor să nu fie în vigoare.</w:t>
      </w:r>
      <w:r>
        <w:t xml:space="preserve"> </w:t>
      </w: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387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4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Operatorii de infrastructuri ale pieței bazate pe DLT trebuie să aibă o procedură specifică privind </w:t>
            </w:r>
            <w:r>
              <w:rPr>
                <w:b/>
                <w:i/>
                <w:strike w:val="0"/>
                <w:color w:val="auto"/>
                <w:highlight w:val="none"/>
                <w:u w:val="none" w:color="auto"/>
                <w:vertAlign w:val="baseline"/>
              </w:rPr>
              <w:t>riscul</w:t>
            </w:r>
            <w:r>
              <w:t xml:space="preserve"> operațional pentru riscurile pe care le reprezintă utilizarea unei DLT și criptoactivele, precum și modul în care aceste riscuri ar fi abordate dacă s-ar concretiza.</w:t>
            </w:r>
          </w:p>
        </w:tc>
        <w:tc>
          <w:tcPr>
            <w:tcW w:w="4876" w:type="dxa"/>
            <w:vAlign w:val="top"/>
          </w:tcPr>
          <w:p>
            <w:pPr>
              <w:pStyle w:val="Normal6a"/>
            </w:pPr>
            <w:r>
              <w:t xml:space="preserve">Operatorii de infrastructuri ale pieței bazate pe DLT trebuie să aibă o procedură specifică privind </w:t>
            </w:r>
            <w:r>
              <w:rPr>
                <w:b/>
                <w:i/>
                <w:strike w:val="0"/>
                <w:color w:val="auto"/>
                <w:highlight w:val="none"/>
                <w:u w:val="none" w:color="auto"/>
                <w:vertAlign w:val="baseline"/>
              </w:rPr>
              <w:t>gestionarea riscului</w:t>
            </w:r>
            <w:r>
              <w:t xml:space="preserve"> operațional pentru riscurile pe care le reprezintă utilizarea unei DLT și criptoactivele, precum și modul în care aceste riscuri ar fi abordate dacă s-ar concretiza.</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 în scopul clarificării.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388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5 – paragraful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Mecanismele informatice și cibernetice generale, menționate la alineatul (4), trebuie să asigure că fondurile, garanțiile și valorile mobiliare bazate pe DLT respective, precum și mijloacele de acces la astfel de active sunt protejate împotriva riscurilor de acces neautorizat, de piraterie informatică, de degradare, de pierdere, de atac cibernetic </w:t>
            </w:r>
            <w:r>
              <w:rPr>
                <w:b/>
                <w:i/>
                <w:strike w:val="0"/>
                <w:color w:val="auto"/>
                <w:highlight w:val="none"/>
                <w:u w:val="none" w:color="auto"/>
                <w:vertAlign w:val="baseline"/>
              </w:rPr>
              <w:t>sau de furt</w:t>
            </w:r>
            <w:r>
              <w:t>.</w:t>
            </w:r>
          </w:p>
        </w:tc>
        <w:tc>
          <w:tcPr>
            <w:tcW w:w="4876" w:type="dxa"/>
            <w:vAlign w:val="top"/>
          </w:tcPr>
          <w:p>
            <w:pPr>
              <w:pStyle w:val="Normal6a"/>
            </w:pPr>
            <w:r>
              <w:t>Mecanismele informatice și cibernetice generale, menționate la alineatul (4), trebuie să asigure că fondurile, garanțiile și valorile mobiliare bazate pe DLT respective, precum și mijloacele de acces la astfel de active sunt protejate împotriva riscurilor de acces neautorizat, de piraterie informatică, de degradare, de pierdere, de atac cibernetic</w:t>
            </w:r>
            <w:r>
              <w:rPr>
                <w:b/>
                <w:i/>
                <w:strike w:val="0"/>
                <w:color w:val="auto"/>
                <w:highlight w:val="none"/>
                <w:u w:val="none" w:color="auto"/>
                <w:vertAlign w:val="baseline"/>
              </w:rPr>
              <w:t>, de furt, de fraudă, de neglijență sau alte disfuncționalități operaționale grave</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389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5 – paragraful 3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Operatorul unei infrastructuri a pieței bazate pe DLT este răspunzător față de clienții săi pentru orice pierdere de fonduri, garanții reale și valori mobiliare bazate pe DLT sau de mijloace de acces la astfel de active, care rezultă din accesul neautorizat, pirateria, degradarea, pierderea, frauda, atacurile cibernetice, furtul, neglijența sau alte disfuncționalități grave, până la o valoare care nu depășește valoarea de piață a activelor pierdute.</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Operatorul unei infrastructuri a pieței bazate pe DLT instituie mecanisme transparente și adecvate pentru a asigura protecția investitorilor și a oferi clienților mecanisme de tratare a plângerilor și proceduri de compensare sau de despăgubire în cazul prejudiciilor suferite de investitori ca urmare a disfuncționalităților grave menționate anterior sau a încetării activității din cauza oricăreia dintre circumstanțele menționate la articolul 7 alineatul (6) sau la articolul 8 alineatul (6), după caz.</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Operatorul unei infrastructuri a pieței bazate pe DLT trebuie să dispună de suficiente garanții prudențiale sub formă de fonduri proprii sau de poliță de asigurare împotriva oricărei răspunderi care rezultă din daunele cauzate clienților săi din cauza oricăreia dintre disfuncționalitățile grave menționate anterior și să asigure protecția investitorilor.</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390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6.</w:t>
            </w:r>
            <w:r>
              <w:tab/>
            </w:r>
            <w:r>
              <w:t xml:space="preserve">Operatorul unei infrastructuri a pieței bazate pe DLT trebuie să stabilească o strategie clară, detaliată și disponibilă în mod public pentru renunțarea la o anumită infrastructură a pieței bazate pe DLT sau lichidarea unei anumite infrastructuri a pieței bazate pe DLT (denumită în continuare „strategie de tranziție”), care poate să fie pusă în aplicare în timp util, în cazul în care autorizația sau unele dintre derogările acordate în conformitate cu articolul 4 sau cu articolul 5 trebuie retrase sau întrerupte în alt mod, sau în cazul </w:t>
            </w:r>
            <w:r>
              <w:rPr>
                <w:b/>
                <w:i/>
                <w:strike w:val="0"/>
                <w:color w:val="auto"/>
                <w:highlight w:val="none"/>
                <w:u w:val="none" w:color="auto"/>
                <w:vertAlign w:val="baseline"/>
              </w:rPr>
              <w:t>unei</w:t>
            </w:r>
            <w:r>
              <w:t xml:space="preserve"> încetări voluntare sau involuntare a activității </w:t>
            </w:r>
            <w:r>
              <w:rPr>
                <w:b/>
                <w:i/>
                <w:strike w:val="0"/>
                <w:color w:val="auto"/>
                <w:highlight w:val="none"/>
                <w:u w:val="none" w:color="auto"/>
                <w:vertAlign w:val="baseline"/>
              </w:rPr>
              <w:t>unui</w:t>
            </w:r>
            <w:r>
              <w:t xml:space="preserve"> MTF DLT sau a </w:t>
            </w:r>
            <w:r>
              <w:rPr>
                <w:b/>
                <w:i/>
                <w:strike w:val="0"/>
                <w:color w:val="auto"/>
                <w:highlight w:val="none"/>
                <w:u w:val="none" w:color="auto"/>
                <w:vertAlign w:val="baseline"/>
              </w:rPr>
              <w:t>unui sistem de decontare a titlurilor de valoare bazat pe</w:t>
            </w:r>
            <w:r>
              <w:t xml:space="preserve"> DLT. Strategia de tranziție trebuie să stabilească modul în care membrii, participanții, emitenții și clienții sunt tratați în cazul unei astfel de retrageri, întreruperi sau încetări. Strategia de tranziție trebuie actualizată permanent, pe baza acordului prealabil al autorității competente care a acordat autorizația de funcționare și derogările aferente în temeiul articolului 4 și al articolului 5.</w:t>
            </w:r>
          </w:p>
        </w:tc>
        <w:tc>
          <w:tcPr>
            <w:tcW w:w="4876" w:type="dxa"/>
            <w:vAlign w:val="top"/>
          </w:tcPr>
          <w:p>
            <w:pPr>
              <w:pStyle w:val="Normal6a"/>
            </w:pPr>
            <w:r>
              <w:t>6.</w:t>
            </w:r>
            <w:r>
              <w:tab/>
            </w:r>
            <w:r>
              <w:t xml:space="preserve">Operatorul unei infrastructuri a pieței bazate pe DLT trebuie să stabilească o strategie clară, detaliată și disponibilă în mod public pentru renunțarea la o anumită infrastructură a pieței bazate pe DLT sau lichidarea unei anumite infrastructuri a pieței bazate pe DLT (denumită în continuare „strategie de tranziție”), </w:t>
            </w:r>
            <w:r>
              <w:rPr>
                <w:b/>
                <w:i/>
                <w:strike w:val="0"/>
                <w:color w:val="auto"/>
                <w:highlight w:val="none"/>
                <w:u w:val="none" w:color="auto"/>
                <w:vertAlign w:val="baseline"/>
              </w:rPr>
              <w:t>inclusiv tranziția sau reorientarea operațiunilor lor bazate pe DLT către infrastructurile tradiționale,</w:t>
            </w:r>
            <w:r>
              <w:t xml:space="preserve"> care poate să fie pusă în aplicare în timp util, în cazul în care autorizația sau unele dintre derogările acordate în conformitate cu articolul 4 sau cu articolul 5 trebuie retrase sau întrerupte în alt mod, sau </w:t>
            </w:r>
            <w:r>
              <w:rPr>
                <w:b/>
                <w:i/>
                <w:strike w:val="0"/>
                <w:color w:val="auto"/>
                <w:highlight w:val="none"/>
                <w:u w:val="none" w:color="auto"/>
                <w:vertAlign w:val="baseline"/>
              </w:rPr>
              <w:t>pragurile prevăzute în prezentul regulament au fost atinse sau</w:t>
            </w:r>
            <w:r>
              <w:t xml:space="preserve"> în cazul </w:t>
            </w:r>
            <w:r>
              <w:rPr>
                <w:b/>
                <w:i/>
                <w:strike w:val="0"/>
                <w:color w:val="auto"/>
                <w:highlight w:val="none"/>
                <w:u w:val="none" w:color="auto"/>
                <w:vertAlign w:val="baseline"/>
              </w:rPr>
              <w:t>oricărei</w:t>
            </w:r>
            <w:r>
              <w:t xml:space="preserve"> încetări voluntare sau involuntare a activității MTF DLT sau a </w:t>
            </w:r>
            <w:r>
              <w:rPr>
                <w:b/>
                <w:i/>
                <w:strike w:val="0"/>
                <w:color w:val="auto"/>
                <w:highlight w:val="none"/>
                <w:u w:val="none" w:color="auto"/>
                <w:vertAlign w:val="baseline"/>
              </w:rPr>
              <w:t>SSS</w:t>
            </w:r>
            <w:r>
              <w:t xml:space="preserve"> DLT. Strategia de tranziție trebuie să stabilească modul în care membrii, participanții, emitenții și clienții sunt tratați în cazul unei astfel de retrageri, întreruperi sau încetări. Strategia de tranziție trebuie actualizată permanent, pe baza acordului prealabil al autorității competente care a acordat autorizația de funcționare și derogările aferente în temeiul articolului 4 și al articolului 5.</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r>
        <w:t xml:space="preserve"> </w:t>
      </w:r>
      <w:r>
        <w:t>În toate cazurile, trebuie să existe infrastructuri ale pieței bazate pe DLT pentru a reveni la infrastructurile tradiționale ale pieței, urmând o strategie clară de ieșire și de reorientare/tranziție.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391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6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6a.</w:t>
            </w:r>
            <w:r>
              <w:tab/>
            </w:r>
            <w:r>
              <w:rPr>
                <w:b/>
                <w:i/>
                <w:strike w:val="0"/>
                <w:color w:val="auto"/>
                <w:highlight w:val="none"/>
                <w:u w:val="none" w:color="auto"/>
                <w:vertAlign w:val="baseline"/>
              </w:rPr>
              <w:t>În cazul în care o infrastructură a pieței bazată pe DLT este autorizată să opereze cu derogări, în conformitate cu articolul 7 alineatul (1a) și cu articolul 8 alineatul (1a), și nu a solicitat autorizarea în temeiul Directivei 2014/65/UE sau al Regulamentului (UE) nr. 909/2014, strategia de tranziție include dispoziții specifice cu CSD-urile autorizate în temeiul Regulamentului (UE) nr. 909/2014 pentru a asigura continuitatea activității în interesul membrilor, participanților, emitenților și clienților.</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CSD-urile autorizate în temeiul Regulamentului (UE) nr. 909/2014 se oferă să încheie astfel de acorduri în mod nediscriminatoriu, contra unei taxe comerciale rezonabile bazate pe costurile reale.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392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Antonio Maria Rinaldi</w:t>
      </w:r>
      <w:r>
        <w:t xml:space="preserve">, </w:t>
      </w:r>
      <w:r>
        <w:t>Francesca Donato</w:t>
      </w:r>
      <w:r>
        <w:t xml:space="preserve">, </w:t>
      </w:r>
      <w:r>
        <w:t>Valentino Grant</w:t>
      </w:r>
      <w:r>
        <w:t xml:space="preserve">, </w:t>
      </w:r>
      <w:r>
        <w:t>Marco Zanni</w:t>
      </w:r>
      <w:r>
        <w:t xml:space="preserve">, </w:t>
      </w:r>
      <w:r>
        <w:t>Gunnar Beck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6 – alineatul 6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6a.</w:t>
            </w:r>
            <w:r>
              <w:tab/>
            </w:r>
            <w:r>
              <w:rPr>
                <w:b/>
                <w:i/>
                <w:strike w:val="0"/>
                <w:color w:val="auto"/>
                <w:highlight w:val="none"/>
                <w:u w:val="none" w:color="auto"/>
                <w:vertAlign w:val="baseline"/>
              </w:rPr>
              <w:t>În cazul în care activitățile legate de exploatarea infrastructurii pieței bazate pe DLT implică prelucrarea de date cu caracter personal, trebuie să fie îndeplinită cel puțin una dintre cele două condiții prevăzute la articolul 6 litera (b) sau (c) din Regulamentul (UE) 2016/67.</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IT</w:t>
      </w:r>
      <w:r>
        <w:rPr>
          <w:rStyle w:val="HideTWBInt"/>
        </w:rPr>
        <w:t>}</w:t>
      </w:r>
      <w:r>
        <w:t>it</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393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1.</w:t>
            </w:r>
            <w:r>
              <w:tab/>
            </w:r>
            <w:r>
              <w:rPr>
                <w:b/>
                <w:i/>
                <w:strike w:val="0"/>
                <w:color w:val="auto"/>
                <w:highlight w:val="none"/>
                <w:u w:val="none" w:color="auto"/>
                <w:vertAlign w:val="baseline"/>
              </w:rPr>
              <w:t>O persoană juridică autorizată fie în calitate de firmă de investiții, fie să opereze o piață reglementată, în temeiul Directivei 2014/65/UE, poate solicita o autorizație specifică pentru gestionarea unui MTF DLT în temeiul prezentului regulament.</w:t>
            </w:r>
          </w:p>
        </w:tc>
        <w:tc>
          <w:tcPr>
            <w:tcW w:w="4876" w:type="dxa"/>
            <w:vAlign w:val="top"/>
          </w:tcPr>
          <w:p>
            <w:pPr>
              <w:pStyle w:val="Normal6a"/>
            </w:pPr>
            <w:r>
              <w:rPr>
                <w:b/>
                <w:i/>
                <w:strike w:val="0"/>
                <w:color w:val="auto"/>
                <w:highlight w:val="none"/>
                <w:u w:val="none" w:color="auto"/>
                <w:vertAlign w:val="baseline"/>
              </w:rPr>
              <w:t>eliminat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 către operatorii nou-intrați.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394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1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1a.</w:t>
            </w:r>
            <w:r>
              <w:tab/>
            </w:r>
            <w:r>
              <w:rPr>
                <w:b/>
                <w:i/>
                <w:strike w:val="0"/>
                <w:color w:val="auto"/>
                <w:highlight w:val="none"/>
                <w:u w:val="none" w:color="auto"/>
                <w:vertAlign w:val="baseline"/>
              </w:rPr>
              <w:t>Prin derogare de la alineatul (1) de la prezentul articol, orice persoană juridică care nu este autorizată ca firmă de investiții în conformitate cu Directiva 2014/65/UE poate solicita o autorizație specifică de exploatare a unui MTF DLT în conformitate cu alineatul (2) din prezentul articol, cu condiția ca aceasta să respecte cerințele de autorizare și toate celelalte obligații prevăzute în Directiva 2014/65/UE, altele decât cerințele de la care solicitantului i s-a acordat o derogare în temeiul prezentului regulament.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395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Jessica Polfjärd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1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1a.</w:t>
            </w:r>
            <w:r>
              <w:tab/>
            </w:r>
            <w:r>
              <w:rPr>
                <w:b/>
                <w:i/>
                <w:strike w:val="0"/>
                <w:color w:val="auto"/>
                <w:highlight w:val="none"/>
                <w:u w:val="none" w:color="auto"/>
                <w:vertAlign w:val="baseline"/>
              </w:rPr>
              <w:t>În cazul în care o persoană juridică solicită autorizarea unui operator de piață sau a unei firme de investiții în temeiul Directivei 2014/65/UE și, în același timp, solicită o autorizație specifică în temeiul prezentului articol, cu unicul scop de a exploata un MTF DLT, autoritatea competentă nu evaluează conformitatea cu cerințele Directivei 2014/65/UE pentru care solicitantul a cerut și i s-a acordat o derogare în temeiul articolului 4 din prezentul regulament.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396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2 – litera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t xml:space="preserve">după caz, funcționarea DLT </w:t>
            </w:r>
            <w:r>
              <w:rPr>
                <w:b/>
                <w:i/>
                <w:strike w:val="0"/>
                <w:color w:val="auto"/>
                <w:highlight w:val="none"/>
                <w:u w:val="none" w:color="auto"/>
                <w:vertAlign w:val="baseline"/>
              </w:rPr>
              <w:t>proprie</w:t>
            </w:r>
            <w:r>
              <w:t>, astfel cum se menționează la articolul 6 alineatul (2);</w:t>
            </w:r>
          </w:p>
        </w:tc>
        <w:tc>
          <w:tcPr>
            <w:tcW w:w="4876" w:type="dxa"/>
            <w:vAlign w:val="top"/>
          </w:tcPr>
          <w:p>
            <w:pPr>
              <w:pStyle w:val="Normal6a"/>
            </w:pPr>
            <w:r>
              <w:t>(c)</w:t>
            </w:r>
            <w:r>
              <w:tab/>
            </w:r>
            <w:r>
              <w:t xml:space="preserve">după caz, funcționarea DLT </w:t>
            </w:r>
            <w:r>
              <w:rPr>
                <w:b/>
                <w:i/>
                <w:strike w:val="0"/>
                <w:color w:val="auto"/>
                <w:highlight w:val="none"/>
                <w:u w:val="none" w:color="auto"/>
                <w:vertAlign w:val="baseline"/>
              </w:rPr>
              <w:t>utilizată</w:t>
            </w:r>
            <w:r>
              <w:t>, astfel cum se menționează la articolul 6 alineatul (2);</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Eliminarea are scopul de a adopta o abordare mai neutră din punct de vedere tehnologic și de a permite infrastructurilor pieței bazate pe DLT să utilizeze, de asemenea, DLT proprietar și DLT sub formă de consorții, așa cum sunt utilizate în prezent în numeroase proiecte-pilot ale UE (de exemplu, emiterea de obligațiuni pentru DLT publică Société Générale Forge).</w:t>
      </w:r>
      <w:r>
        <w:t xml:space="preserve"> </w:t>
      </w:r>
      <w:r>
        <w:t>Indiferent de DLT utilizată, răspunderea pentru funcționarea DLT ar trebui să revină infrastructurii pieței bazate pe DLT.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397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Jessica Polfjärd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2 – litera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t xml:space="preserve">după caz, funcționarea DLT </w:t>
            </w:r>
            <w:r>
              <w:rPr>
                <w:b/>
                <w:i/>
                <w:strike w:val="0"/>
                <w:color w:val="auto"/>
                <w:highlight w:val="none"/>
                <w:u w:val="none" w:color="auto"/>
                <w:vertAlign w:val="baseline"/>
              </w:rPr>
              <w:t>proprie,</w:t>
            </w:r>
            <w:r>
              <w:t xml:space="preserve"> astfel cum se menționează la articolul 6 alineatul (2);</w:t>
            </w:r>
          </w:p>
        </w:tc>
        <w:tc>
          <w:tcPr>
            <w:tcW w:w="4876" w:type="dxa"/>
            <w:vAlign w:val="top"/>
          </w:tcPr>
          <w:p>
            <w:pPr>
              <w:pStyle w:val="Normal6a"/>
            </w:pPr>
            <w:r>
              <w:t>(c)</w:t>
            </w:r>
            <w:r>
              <w:tab/>
            </w:r>
            <w:r>
              <w:t>după caz, funcționarea DLT astfel cum se menționează la articolul 6 alineatul (2);</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398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2 – litera da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(da)</w:t>
            </w:r>
            <w:r>
              <w:tab/>
            </w:r>
            <w:r>
              <w:rPr>
                <w:b/>
                <w:i/>
                <w:strike w:val="0"/>
                <w:color w:val="auto"/>
                <w:highlight w:val="none"/>
                <w:u w:val="none" w:color="auto"/>
                <w:vertAlign w:val="baseline"/>
              </w:rPr>
              <w:t>dovada că solicitantul dispune de suficiente garanții prudențiale pentru a-și acoperi datoriile și pentru a-și despăgubi clienții în cazul unei disfuncționalități grave a DLT, astfel cum se menționează la articolul 6 alineatul (5b);</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399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2 – litera ea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(ea)</w:t>
            </w:r>
            <w:r>
              <w:tab/>
            </w:r>
            <w:r>
              <w:rPr>
                <w:b/>
                <w:i/>
                <w:strike w:val="0"/>
                <w:color w:val="auto"/>
                <w:highlight w:val="none"/>
                <w:u w:val="none" w:color="auto"/>
                <w:vertAlign w:val="baseline"/>
              </w:rPr>
              <w:t>o descriere a mecanismelor de asigurare a protecției investitorilor și a mecanismelor de tratare a reclamațiilor și de despăgubire a consumatorilor, astfel cum se menționează la articolul 6a (nou);</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400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2 – litera g</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(g)</w:t>
            </w:r>
            <w:r>
              <w:tab/>
            </w:r>
            <w:r>
              <w:t>derogările pe care le solicită în conformitate cu articolul 4, justificarea pentru fiecare derogare solicitată, orice măsuri compensatorii propuse, precum și mijloacele avute în vedere pentru respectarea condițiilor conexe acestor derogări în temeiul articolului 4.</w:t>
            </w:r>
          </w:p>
        </w:tc>
        <w:tc>
          <w:tcPr>
            <w:tcW w:w="4876" w:type="dxa"/>
            <w:vAlign w:val="top"/>
          </w:tcPr>
          <w:p>
            <w:pPr>
              <w:pStyle w:val="Normal6a"/>
            </w:pPr>
            <w:r>
              <w:t>(g)</w:t>
            </w:r>
            <w:r>
              <w:tab/>
            </w:r>
            <w:r>
              <w:t xml:space="preserve">derogările pe care le solicită în conformitate cu articolul 4, justificarea pentru fiecare derogare solicitată, orice măsuri compensatorii </w:t>
            </w:r>
            <w:r>
              <w:rPr>
                <w:b/>
                <w:i/>
                <w:strike w:val="0"/>
                <w:color w:val="auto"/>
                <w:highlight w:val="none"/>
                <w:u w:val="none" w:color="auto"/>
                <w:vertAlign w:val="baseline"/>
              </w:rPr>
              <w:t>sau corective</w:t>
            </w:r>
            <w:r>
              <w:t xml:space="preserve"> propuse, precum și mijloacele avute în vedere pentru respectarea condițiilor conexe acestor derogări în temeiul articolului 4.</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401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Johan Van Overtveldt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3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Înainte de a decide cu privire la o cerere pentru o autorizație specifică de gestionare a unui MTF DLT în temeiul prezentului regulament, autoritatea competentă a statului membru de origine notifică </w:t>
            </w:r>
            <w:r>
              <w:rPr>
                <w:b/>
                <w:i/>
                <w:strike w:val="0"/>
                <w:color w:val="auto"/>
                <w:highlight w:val="none"/>
                <w:u w:val="none" w:color="auto"/>
                <w:vertAlign w:val="baseline"/>
              </w:rPr>
              <w:t>ESMA</w:t>
            </w:r>
            <w:r>
              <w:t xml:space="preserve"> și furnizează </w:t>
            </w:r>
            <w:r>
              <w:rPr>
                <w:b/>
                <w:i/>
                <w:strike w:val="0"/>
                <w:color w:val="auto"/>
                <w:highlight w:val="none"/>
                <w:u w:val="none" w:color="auto"/>
                <w:vertAlign w:val="baseline"/>
              </w:rPr>
              <w:t>acesteia</w:t>
            </w:r>
            <w:r>
              <w:t xml:space="preserve"> toate informațiile relevante privind MTF DLT, o explicație a derogărilor solicitate, justificările acestora și orice măsuri compensatorii propuse de solicitant sau solicitate de autoritatea competentă.</w:t>
            </w:r>
          </w:p>
        </w:tc>
        <w:tc>
          <w:tcPr>
            <w:tcW w:w="4876" w:type="dxa"/>
            <w:vAlign w:val="top"/>
          </w:tcPr>
          <w:p>
            <w:pPr>
              <w:pStyle w:val="Normal6a"/>
            </w:pPr>
            <w:r>
              <w:t>3.</w:t>
            </w:r>
            <w:r>
              <w:tab/>
            </w:r>
            <w:r>
              <w:t>Înainte de a decide cu privire la o cerere pentru o autorizație specifică de gestionare a unui MTF DLT în temeiul prezentului regulament, autoritatea competentă a statului membru de origine notifică</w:t>
            </w:r>
            <w:r>
              <w:rPr>
                <w:b/>
                <w:i/>
                <w:strike w:val="0"/>
                <w:color w:val="auto"/>
                <w:highlight w:val="none"/>
                <w:u w:val="none" w:color="auto"/>
                <w:vertAlign w:val="baseline"/>
              </w:rPr>
              <w:t>, în cazul unei cereri depuse de o instituție de credit, autoritatea sa de supraveghere prudențială, inclusiv BCE pentru instituțiile de credit semnificative și, în toate cazurile, ESMA,</w:t>
            </w:r>
            <w:r>
              <w:t xml:space="preserve"> și furnizează </w:t>
            </w:r>
            <w:r>
              <w:rPr>
                <w:b/>
                <w:i/>
                <w:strike w:val="0"/>
                <w:color w:val="auto"/>
                <w:highlight w:val="none"/>
                <w:u w:val="none" w:color="auto"/>
                <w:vertAlign w:val="baseline"/>
              </w:rPr>
              <w:t>acestora</w:t>
            </w:r>
            <w:r>
              <w:t xml:space="preserve"> toate informațiile relevante privind MTF DLT, </w:t>
            </w:r>
            <w:r>
              <w:rPr>
                <w:b/>
                <w:i/>
                <w:strike w:val="0"/>
                <w:color w:val="auto"/>
                <w:highlight w:val="none"/>
                <w:u w:val="none" w:color="auto"/>
                <w:vertAlign w:val="baseline"/>
              </w:rPr>
              <w:t>inclusiv</w:t>
            </w:r>
            <w:r>
              <w:t xml:space="preserve"> o explicație a derogărilor solicitate, justificările acestora și orice măsuri compensatorii </w:t>
            </w:r>
            <w:r>
              <w:rPr>
                <w:b/>
                <w:i/>
                <w:strike w:val="0"/>
                <w:color w:val="auto"/>
                <w:highlight w:val="none"/>
                <w:u w:val="none" w:color="auto"/>
                <w:vertAlign w:val="baseline"/>
              </w:rPr>
              <w:t>sau corective</w:t>
            </w:r>
            <w:r>
              <w:t xml:space="preserve"> propuse de solicitant sau solicitate de autoritatea competentă. </w:t>
            </w:r>
            <w:r>
              <w:rPr>
                <w:b/>
                <w:i/>
                <w:strike w:val="0"/>
                <w:color w:val="auto"/>
                <w:highlight w:val="none"/>
                <w:u w:val="none" w:color="auto"/>
                <w:vertAlign w:val="baseline"/>
              </w:rPr>
              <w:t>În plus, în cazul în care un solicitant intenționează să presteze oricare dintre serviciile de bază enumerate în secțiunea A din anexa la Regulamentul (UE) nr. 909/2014, înainte de a decide cu privire la o cerere de acordare a unei autorizații specifice de exploatare a unui MTF DLT în temeiul prezentului regulament, autoritatea competentă din statul membru de origine transmite toate informațiile incluse în cerere autorităților relevante menționate la articolul 12 din Regulamentul (UE) nr. 909/2014 și consultă autoritățile respective cu privire la caracteristicile sistemului de decontare a titlurilor de valoare gestionat de solicitant.</w:t>
            </w:r>
            <w:r>
              <w:t xml:space="preserve"> </w:t>
            </w:r>
            <w:r>
              <w:rPr>
                <w:b/>
                <w:i/>
                <w:strike w:val="0"/>
                <w:color w:val="auto"/>
                <w:highlight w:val="none"/>
                <w:u w:val="none" w:color="auto"/>
                <w:vertAlign w:val="baseline"/>
              </w:rPr>
              <w:t>O autoritate relevantă poate informa autoritatea competentă cu privire la opiniile sale în termen de trei luni de la primirea informațiilor din partea autorității competente.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Acest amendament urmărește luarea în considerare a unei sugestii din avizul BCE.</w:t>
      </w:r>
      <w:r>
        <w:t xml:space="preserve"> </w:t>
      </w:r>
      <w:r>
        <w:t>Având în vedere competențele de supraveghere prudențială ale autorităților naționale competente și ale BCE în ceea ce privește instituțiile de credit, autoritățile naționale competente și BCE ar trebui să fie informate cu privire la procesul de evaluare.</w:t>
      </w:r>
      <w:r>
        <w:t xml:space="preserve"> </w:t>
      </w:r>
      <w:r>
        <w:t>În plus, furnizarea de către un operator a unui MTF DLT de servicii de tip CSD de bază ar trebui să necesite o evaluare din partea autorităților relevante, inclusiv a băncilor centrale din cadrul SEBC, în conformitate cu articolele 16 și 17 din Regulamentul (UE) nr. 909/2014.</w:t>
      </w:r>
      <w:r>
        <w:t xml:space="preserve"> </w:t>
      </w:r>
      <w:r>
        <w:t>Această cerință este satisfăcută implicit prin introducerea conceptului de TSS DLT.</w:t>
      </w:r>
      <w:r>
        <w:t xml:space="preserve"> </w:t>
      </w:r>
      <w:r>
        <w:t>Cu toate acestea, este relevant să se precizeze mai în detaliu acest aspect în această secțiune.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402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Jonás Fernández</w:t>
      </w:r>
      <w:r>
        <w:t xml:space="preserve">, </w:t>
      </w:r>
      <w:r>
        <w:t>Eero Heinäluoma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3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Înainte de a decide cu privire la o cerere pentru o autorizație specifică de gestionare a unui MTF DLT în temeiul prezentului regulament, autoritatea competentă a statului membru de origine notifică </w:t>
            </w:r>
            <w:r>
              <w:rPr>
                <w:b/>
                <w:i/>
                <w:strike w:val="0"/>
                <w:color w:val="auto"/>
                <w:highlight w:val="none"/>
                <w:u w:val="none" w:color="auto"/>
                <w:vertAlign w:val="baseline"/>
              </w:rPr>
              <w:t>ESMA</w:t>
            </w:r>
            <w:r>
              <w:t xml:space="preserve"> și furnizează </w:t>
            </w:r>
            <w:r>
              <w:rPr>
                <w:b/>
                <w:i/>
                <w:strike w:val="0"/>
                <w:color w:val="auto"/>
                <w:highlight w:val="none"/>
                <w:u w:val="none" w:color="auto"/>
                <w:vertAlign w:val="baseline"/>
              </w:rPr>
              <w:t>acesteia</w:t>
            </w:r>
            <w:r>
              <w:t xml:space="preserve"> toate informațiile relevante privind MTF DLT, o explicație a derogărilor solicitate, justificările acestora și orice măsuri compensatorii propuse de solicitant sau solicitate de autoritatea competentă.</w:t>
            </w:r>
          </w:p>
        </w:tc>
        <w:tc>
          <w:tcPr>
            <w:tcW w:w="4876" w:type="dxa"/>
            <w:vAlign w:val="top"/>
          </w:tcPr>
          <w:p>
            <w:pPr>
              <w:pStyle w:val="Normal6a"/>
            </w:pPr>
            <w:r>
              <w:t>3.</w:t>
            </w:r>
            <w:r>
              <w:tab/>
            </w:r>
            <w:r>
              <w:t>Înainte de a decide cu privire la o cerere pentru o autorizație specifică de gestionare a unui MTF DLT în temeiul prezentului regulament, autoritatea competentă a statului membru de origine notifică</w:t>
            </w:r>
            <w:r>
              <w:rPr>
                <w:b/>
                <w:i/>
                <w:strike w:val="0"/>
                <w:color w:val="auto"/>
                <w:highlight w:val="none"/>
                <w:u w:val="none" w:color="auto"/>
                <w:vertAlign w:val="baseline"/>
              </w:rPr>
              <w:t>, în cazul unei cereri depuse de o instituție de credit, autoritatea sa de supraveghere prudențială, inclusiv BCE pentru instituțiile de credit semnificative și, în toate cazurile, ESMA,</w:t>
            </w:r>
            <w:r>
              <w:t xml:space="preserve"> și furnizează </w:t>
            </w:r>
            <w:r>
              <w:rPr>
                <w:b/>
                <w:i/>
                <w:strike w:val="0"/>
                <w:color w:val="auto"/>
                <w:highlight w:val="none"/>
                <w:u w:val="none" w:color="auto"/>
                <w:vertAlign w:val="baseline"/>
              </w:rPr>
              <w:t>acestora</w:t>
            </w:r>
            <w:r>
              <w:t xml:space="preserve"> toate informațiile relevante privind MTF DLT, </w:t>
            </w:r>
            <w:r>
              <w:rPr>
                <w:b/>
                <w:i/>
                <w:strike w:val="0"/>
                <w:color w:val="auto"/>
                <w:highlight w:val="none"/>
                <w:u w:val="none" w:color="auto"/>
                <w:vertAlign w:val="baseline"/>
              </w:rPr>
              <w:t>inclusiv</w:t>
            </w:r>
            <w:r>
              <w:t xml:space="preserve"> o explicație a derogărilor solicitate, justificările acestora și orice măsuri compensatorii propuse de solicitant sau solicitate de autoritatea competentă. </w:t>
            </w:r>
            <w:r>
              <w:rPr>
                <w:b/>
                <w:i/>
                <w:strike w:val="0"/>
                <w:color w:val="auto"/>
                <w:highlight w:val="none"/>
                <w:u w:val="none" w:color="auto"/>
                <w:vertAlign w:val="baseline"/>
              </w:rPr>
              <w:t>În plus, în cazul în care un solicitant intenționează să presteze oricare dintre serviciile de bază enumerate în secțiunea A din anexa la Regulamentul (UE) nr. 909/2014, înainte de a decide cu privire la o cerere de acordare a unei autorizații specifice de exploatare a unui MTF DLT în temeiul prezentului regulament, autoritatea competentă din statul membru de origine transmite toate informațiile incluse în cerere autorităților relevante menționate la articolul 12 din Regulamentul (UE) nr. 909/2014 și consultă autoritățile respective cu privire la caracteristicile sistemului de decontare a titlurilor de valoare gestionat de solicitant.</w:t>
            </w:r>
            <w:r>
              <w:t xml:space="preserve"> </w:t>
            </w:r>
            <w:r>
              <w:rPr>
                <w:b/>
                <w:i/>
                <w:strike w:val="0"/>
                <w:color w:val="auto"/>
                <w:highlight w:val="none"/>
                <w:u w:val="none" w:color="auto"/>
                <w:vertAlign w:val="baseline"/>
              </w:rPr>
              <w:t>O autoritate relevantă poate informa autoritatea competentă cu privire la opiniile sale în termen de trei luni de la primirea informațiilor din partea autorității competente.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Conform avizului BCE.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403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3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Înainte de a decide cu privire la o cerere pentru o autorizație specifică de gestionare a unui MTF DLT în temeiul prezentului regulament, autoritatea competentă a statului membru de origine </w:t>
            </w:r>
            <w:r>
              <w:rPr>
                <w:b/>
                <w:i/>
                <w:strike w:val="0"/>
                <w:color w:val="auto"/>
                <w:highlight w:val="none"/>
                <w:u w:val="none" w:color="auto"/>
                <w:vertAlign w:val="baseline"/>
              </w:rPr>
              <w:t>notifică ESMA și furnizează acesteia toate informațiile relevante privind MTF DLT, o explicație a derogărilor solicitate, justificările acestora și orice măsuri compensatorii propuse de solicitant sau solicitate de autoritatea competentă</w:t>
            </w:r>
            <w:r>
              <w:t>.</w:t>
            </w:r>
          </w:p>
        </w:tc>
        <w:tc>
          <w:tcPr>
            <w:tcW w:w="4876" w:type="dxa"/>
            <w:vAlign w:val="top"/>
          </w:tcPr>
          <w:p>
            <w:pPr>
              <w:pStyle w:val="Normal6a"/>
            </w:pPr>
            <w:r>
              <w:t>3.</w:t>
            </w:r>
            <w:r>
              <w:tab/>
            </w:r>
            <w:r>
              <w:t xml:space="preserve">Înainte de a decide cu privire la o cerere pentru o autorizație specifică de gestionare a unui MTF DLT în temeiul prezentului regulament, </w:t>
            </w:r>
            <w:r>
              <w:rPr>
                <w:b/>
                <w:i/>
                <w:strike w:val="0"/>
                <w:color w:val="auto"/>
                <w:highlight w:val="none"/>
                <w:u w:val="none" w:color="auto"/>
                <w:vertAlign w:val="baseline"/>
              </w:rPr>
              <w:t>ESMA notifică</w:t>
            </w:r>
            <w:r>
              <w:t xml:space="preserve"> autoritatea competentă a statului membru de origine </w:t>
            </w:r>
            <w:r>
              <w:rPr>
                <w:b/>
                <w:i/>
                <w:strike w:val="0"/>
                <w:color w:val="auto"/>
                <w:highlight w:val="none"/>
                <w:u w:val="none" w:color="auto"/>
                <w:vertAlign w:val="baseline"/>
              </w:rPr>
              <w:t>și, în cazul în care MTF DLTT a solicitat permisiunea de a înregistra și de a deconta titlurile de valoare în conformitate cu articolul 4 alineatul (2), notifică, de asemenea, autoritățile relevante menționate la articolul 12 din Regulamentul (UE) nr. 909/2014 și consultă autoritățile respective cu privire la caracteristicile sistemului de decontare a titlurilor de valoare gestionat de solicitant</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404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3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Înainte de a decide cu privire la o cerere pentru o autorizație specifică de gestionare a unui MTF DLT în temeiul prezentului regulament, autoritatea competentă a statului membru de origine notifică ESMA și furnizează acesteia toate informațiile relevante privind MTF DLT, o explicație a derogărilor solicitate, justificările acestora și orice măsuri compensatorii propuse de solicitant sau solicitate de autoritatea competentă.</w:t>
            </w:r>
          </w:p>
        </w:tc>
        <w:tc>
          <w:tcPr>
            <w:tcW w:w="4876" w:type="dxa"/>
            <w:vAlign w:val="top"/>
          </w:tcPr>
          <w:p>
            <w:pPr>
              <w:pStyle w:val="Normal6a"/>
            </w:pPr>
            <w:r>
              <w:t>3.</w:t>
            </w:r>
            <w:r>
              <w:tab/>
            </w:r>
            <w:r>
              <w:t xml:space="preserve">Înainte de a decide cu privire la o cerere pentru o autorizație specifică de gestionare a unui MTF DLT în temeiul prezentului regulament, autoritatea competentă a statului membru de origine notifică ESMA și furnizează acesteia toate informațiile relevante privind MTF DLT, o explicație a derogărilor solicitate, justificările acestora și orice măsuri compensatorii </w:t>
            </w:r>
            <w:r>
              <w:rPr>
                <w:b/>
                <w:i/>
                <w:strike w:val="0"/>
                <w:color w:val="auto"/>
                <w:highlight w:val="none"/>
                <w:u w:val="none" w:color="auto"/>
                <w:vertAlign w:val="baseline"/>
              </w:rPr>
              <w:t>sau corective</w:t>
            </w:r>
            <w:r>
              <w:t xml:space="preserve"> propuse de solicitant sau solicitate de autoritatea competentă.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405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Christophe Hansen</w:t>
      </w:r>
      <w:r>
        <w:t xml:space="preserve">, </w:t>
      </w:r>
      <w:r>
        <w:t>Lídia Pereira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3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rPr>
                <w:b/>
                <w:i/>
                <w:strike w:val="0"/>
                <w:color w:val="auto"/>
                <w:highlight w:val="none"/>
                <w:u w:val="none" w:color="auto"/>
                <w:vertAlign w:val="baseline"/>
              </w:rPr>
              <w:t>Înainte de a decide</w:t>
            </w:r>
            <w:r>
              <w:t xml:space="preserve"> cu privire la o cerere pentru o autorizație specifică de gestionare a unui MTF DLT în temeiul prezentului regulament, autoritatea competentă a statului membru de origine notifică ESMA și </w:t>
            </w:r>
            <w:r>
              <w:rPr>
                <w:b/>
                <w:i/>
                <w:strike w:val="0"/>
                <w:color w:val="auto"/>
                <w:highlight w:val="none"/>
                <w:u w:val="none" w:color="auto"/>
                <w:vertAlign w:val="baseline"/>
              </w:rPr>
              <w:t>furnizează</w:t>
            </w:r>
            <w:r>
              <w:t xml:space="preserve"> acesteia </w:t>
            </w:r>
            <w:r>
              <w:rPr>
                <w:b/>
                <w:i/>
                <w:strike w:val="0"/>
                <w:color w:val="auto"/>
                <w:highlight w:val="none"/>
                <w:u w:val="none" w:color="auto"/>
                <w:vertAlign w:val="baseline"/>
              </w:rPr>
              <w:t>toate informațiile relevante privind</w:t>
            </w:r>
            <w:r>
              <w:t xml:space="preserve"> MTF DLT, </w:t>
            </w:r>
            <w:r>
              <w:rPr>
                <w:b/>
                <w:i/>
                <w:strike w:val="0"/>
                <w:color w:val="auto"/>
                <w:highlight w:val="none"/>
                <w:u w:val="none" w:color="auto"/>
                <w:vertAlign w:val="baseline"/>
              </w:rPr>
              <w:t>o explicație a derogărilor solicitate, justificările acestora și orice măsuri compensatorii propuse de solicitant sau solicitate de autoritatea competentă</w:t>
            </w:r>
            <w:r>
              <w:t>.</w:t>
            </w:r>
          </w:p>
        </w:tc>
        <w:tc>
          <w:tcPr>
            <w:tcW w:w="4876" w:type="dxa"/>
            <w:vAlign w:val="top"/>
          </w:tcPr>
          <w:p>
            <w:pPr>
              <w:pStyle w:val="Normal6a"/>
            </w:pPr>
            <w:r>
              <w:t>3.</w:t>
            </w:r>
            <w:r>
              <w:tab/>
            </w:r>
            <w:r>
              <w:rPr>
                <w:b/>
                <w:i/>
                <w:strike w:val="0"/>
                <w:color w:val="auto"/>
                <w:highlight w:val="none"/>
                <w:u w:val="none" w:color="auto"/>
                <w:vertAlign w:val="baseline"/>
              </w:rPr>
              <w:t>După luarea unei decizii</w:t>
            </w:r>
            <w:r>
              <w:t xml:space="preserve"> cu privire la o cerere pentru o autorizație specifică de gestionare a unui MTF DLT în temeiul prezentului regulament, autoritatea competentă a statului membru de origine notifică ESMA și </w:t>
            </w:r>
            <w:r>
              <w:rPr>
                <w:b/>
                <w:i/>
                <w:strike w:val="0"/>
                <w:color w:val="auto"/>
                <w:highlight w:val="none"/>
                <w:u w:val="none" w:color="auto"/>
                <w:vertAlign w:val="baseline"/>
              </w:rPr>
              <w:t>transmite</w:t>
            </w:r>
            <w:r>
              <w:t xml:space="preserve"> acesteia </w:t>
            </w:r>
            <w:r>
              <w:rPr>
                <w:b/>
                <w:i/>
                <w:strike w:val="0"/>
                <w:color w:val="auto"/>
                <w:highlight w:val="none"/>
                <w:u w:val="none" w:color="auto"/>
                <w:vertAlign w:val="baseline"/>
              </w:rPr>
              <w:t>cererea de operare a</w:t>
            </w:r>
            <w:r>
              <w:t xml:space="preserve"> MTF DLT, </w:t>
            </w:r>
            <w:r>
              <w:rPr>
                <w:b/>
                <w:i/>
                <w:strike w:val="0"/>
                <w:color w:val="auto"/>
                <w:highlight w:val="none"/>
                <w:u w:val="none" w:color="auto"/>
                <w:vertAlign w:val="baseline"/>
              </w:rPr>
              <w:t>în scop informativ și pentru a îndeplini obligațiile prevăzute la articolul 7 alineatul (5) al doilea paragraf</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406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3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În termen de trei luni de la primirea </w:t>
            </w:r>
            <w:r>
              <w:rPr>
                <w:b/>
                <w:i/>
                <w:strike w:val="0"/>
                <w:color w:val="auto"/>
                <w:highlight w:val="none"/>
                <w:u w:val="none" w:color="auto"/>
                <w:vertAlign w:val="baseline"/>
              </w:rPr>
              <w:t>notificării, ESMA furnizează autorității competente un aviz fără caracter obligatoriu privind cererea și formulează recomandări</w:t>
            </w:r>
            <w:r>
              <w:t xml:space="preserve"> privind derogările </w:t>
            </w:r>
            <w:r>
              <w:rPr>
                <w:b/>
                <w:i/>
                <w:strike w:val="0"/>
                <w:color w:val="auto"/>
                <w:highlight w:val="none"/>
                <w:u w:val="none" w:color="auto"/>
                <w:vertAlign w:val="baseline"/>
              </w:rPr>
              <w:t>solicitate</w:t>
            </w:r>
            <w:r>
              <w:t xml:space="preserve"> de solicitant, care sunt necesare pentru a asigura protecția investitorilor, integritatea pieței și stabilitatea financiară. </w:t>
            </w:r>
            <w:r>
              <w:rPr>
                <w:b/>
                <w:i/>
                <w:strike w:val="0"/>
                <w:color w:val="auto"/>
                <w:highlight w:val="none"/>
                <w:u w:val="none" w:color="auto"/>
                <w:vertAlign w:val="baseline"/>
              </w:rPr>
              <w:t>De asemenea, ESMA</w:t>
            </w:r>
            <w:r>
              <w:t xml:space="preserve"> promovează coerența și proporționalitatea derogărilor acordate de autoritățile competente firmelor de investiții sau operatorilor de piață care gestionează MTF-uri DLT în întreaga Uniune. </w:t>
            </w:r>
            <w:r>
              <w:rPr>
                <w:b/>
                <w:i/>
                <w:strike w:val="0"/>
                <w:color w:val="auto"/>
                <w:highlight w:val="none"/>
                <w:u w:val="none" w:color="auto"/>
                <w:vertAlign w:val="baseline"/>
              </w:rPr>
              <w:t>În acest scop, ESMA consultă autoritățile competente ale celorlalte state membre în timp util și ține seama în cea mai mare măsură de opiniile acestora în avizul său.</w:t>
            </w:r>
          </w:p>
        </w:tc>
        <w:tc>
          <w:tcPr>
            <w:tcW w:w="4876" w:type="dxa"/>
            <w:vAlign w:val="top"/>
          </w:tcPr>
          <w:p>
            <w:pPr>
              <w:pStyle w:val="Normal6a"/>
            </w:pPr>
            <w:r>
              <w:t xml:space="preserve">În termen de trei luni de la primirea </w:t>
            </w:r>
            <w:r>
              <w:rPr>
                <w:b/>
                <w:i/>
                <w:strike w:val="0"/>
                <w:color w:val="auto"/>
                <w:highlight w:val="none"/>
                <w:u w:val="none" w:color="auto"/>
                <w:vertAlign w:val="baseline"/>
              </w:rPr>
              <w:t>cererii, ESMA emite o decizie privind cererea și solicită orice măsuri compensatorii suplimentare</w:t>
            </w:r>
            <w:r>
              <w:t xml:space="preserve"> privind derogările </w:t>
            </w:r>
            <w:r>
              <w:rPr>
                <w:b/>
                <w:i/>
                <w:strike w:val="0"/>
                <w:color w:val="auto"/>
                <w:highlight w:val="none"/>
                <w:u w:val="none" w:color="auto"/>
                <w:vertAlign w:val="baseline"/>
              </w:rPr>
              <w:t>cerute</w:t>
            </w:r>
            <w:r>
              <w:t xml:space="preserve"> de solicitant, care sunt necesare pentru a asigura protecția investitorilor, integritatea pieței și stabilitatea financiară. </w:t>
            </w:r>
            <w:r>
              <w:rPr>
                <w:b/>
                <w:i/>
                <w:strike w:val="0"/>
                <w:color w:val="auto"/>
                <w:highlight w:val="none"/>
                <w:u w:val="none" w:color="auto"/>
                <w:vertAlign w:val="baseline"/>
              </w:rPr>
              <w:t>ESMA adoptă o abordare bazată pe riscuri și</w:t>
            </w:r>
            <w:r>
              <w:t xml:space="preserve"> promovează coerența și proporționalitatea derogărilor acordate de autoritățile competente firmelor de investiții sau operatorilor de piață care gestionează MTF-uri DLT în întreaga Uniune.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ESMA ar trebui să aibă un mandat direct de supraveghere pentru a supraveghea aplicarea acestui regim-pilot și pentru a acorda autorizații și derogări.</w:t>
      </w:r>
      <w:r>
        <w:t xml:space="preserve"> </w:t>
      </w:r>
      <w:r>
        <w:t>O centralizare către ESMA ar asigura coerența și eficacitatea supravegherii și ar evita concurența în materie de supraveghere și fragmentarea pieței.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407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3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În termen de trei luni de la primirea notificării, ESMA furnizează autorității competente </w:t>
            </w:r>
            <w:r>
              <w:rPr>
                <w:b/>
                <w:i/>
                <w:strike w:val="0"/>
                <w:color w:val="auto"/>
                <w:highlight w:val="none"/>
                <w:u w:val="none" w:color="auto"/>
                <w:vertAlign w:val="baseline"/>
              </w:rPr>
              <w:t>un aviz fără caracter obligatoriu</w:t>
            </w:r>
            <w:r>
              <w:t xml:space="preserve"> privind cererea și formulează recomandări privind derogările solicitate de solicitant, care sunt necesare pentru a asigura protecția investitorilor, integritatea pieței și stabilitatea financiară. De asemenea, ESMA promovează coerența și proporționalitatea derogărilor acordate de autoritățile competente firmelor de investiții sau operatorilor de piață care gestionează MTF-uri DLT în întreaga Uniune. În acest scop, ESMA consultă autoritățile competente ale celorlalte state membre în timp util și ține seama în cea mai mare măsură de opiniile acestora în </w:t>
            </w:r>
            <w:r>
              <w:rPr>
                <w:b/>
                <w:i/>
                <w:strike w:val="0"/>
                <w:color w:val="auto"/>
                <w:highlight w:val="none"/>
                <w:u w:val="none" w:color="auto"/>
                <w:vertAlign w:val="baseline"/>
              </w:rPr>
              <w:t>avizul său</w:t>
            </w:r>
            <w:r>
              <w:t>.</w:t>
            </w:r>
          </w:p>
        </w:tc>
        <w:tc>
          <w:tcPr>
            <w:tcW w:w="4876" w:type="dxa"/>
            <w:vAlign w:val="top"/>
          </w:tcPr>
          <w:p>
            <w:pPr>
              <w:pStyle w:val="Normal6a"/>
            </w:pPr>
            <w:r>
              <w:t xml:space="preserve">În termen de trei luni de la primirea notificării, ESMA furnizează autorității competente </w:t>
            </w:r>
            <w:r>
              <w:rPr>
                <w:b/>
                <w:i/>
                <w:strike w:val="0"/>
                <w:color w:val="auto"/>
                <w:highlight w:val="none"/>
                <w:u w:val="none" w:color="auto"/>
                <w:vertAlign w:val="baseline"/>
              </w:rPr>
              <w:t>o recomandare emisă în conformitate cu articolul 16 din Regulamentul (UE) nr. 1095/2010</w:t>
            </w:r>
            <w:r>
              <w:t xml:space="preserve"> privind cererea și formulează recomandări privind derogările solicitate de solicitant, care sunt necesare pentru a asigura protecția investitorilor, integritatea pieței și stabilitatea financiară. De asemenea, ESMA promovează coerența și proporționalitatea derogărilor acordate de autoritățile competente firmelor de investiții sau operatorilor de piață care gestionează MTF-uri DLT în întreaga Uniune. În acest scop, ESMA consultă autoritățile competente ale celorlalte state membre în timp util și ține seama în cea mai mare măsură de opiniile acestora în </w:t>
            </w:r>
            <w:r>
              <w:rPr>
                <w:b/>
                <w:i/>
                <w:strike w:val="0"/>
                <w:color w:val="auto"/>
                <w:highlight w:val="none"/>
                <w:u w:val="none" w:color="auto"/>
                <w:vertAlign w:val="baseline"/>
              </w:rPr>
              <w:t>recomandarea sa</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În vederea asigurării convergenței în materie de supraveghere, a coerenței și a proporționalității derogărilor acordate de diferitele autorități competente naționale din Uniune, care poate nu au același nivel de expertiză tehnică, și a promovării în acest mod a condițiilor de concurență egale și a descurajării arbitrajului de reglementare, se sugerează ca ESMA să emită o recomandare, și nu un aviz fără caracter obligatoriu.</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408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Markus Ferber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3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În termen de trei luni de la primirea notificării, ESMA furnizează autorității competente un aviz </w:t>
            </w:r>
            <w:r>
              <w:rPr>
                <w:b/>
                <w:i/>
                <w:strike w:val="0"/>
                <w:color w:val="auto"/>
                <w:highlight w:val="none"/>
                <w:u w:val="none" w:color="auto"/>
                <w:vertAlign w:val="baseline"/>
              </w:rPr>
              <w:t>fără</w:t>
            </w:r>
            <w:r>
              <w:t xml:space="preserve"> caracter obligatoriu privind cererea și formulează recomandări privind derogările solicitate de solicitant, care sunt necesare pentru a asigura protecția investitorilor, integritatea pieței și stabilitatea financiară. De asemenea, ESMA </w:t>
            </w:r>
            <w:r>
              <w:rPr>
                <w:b/>
                <w:i/>
                <w:strike w:val="0"/>
                <w:color w:val="auto"/>
                <w:highlight w:val="none"/>
                <w:u w:val="none" w:color="auto"/>
                <w:vertAlign w:val="baseline"/>
              </w:rPr>
              <w:t>promovează</w:t>
            </w:r>
            <w:r>
              <w:t xml:space="preserve"> coerența și proporționalitatea derogărilor acordate de autoritățile competente firmelor de investiții sau operatorilor de piață care gestionează MTF-uri DLT în întreaga Uniune. În acest scop, ESMA consultă autoritățile competente ale celorlalte state membre în timp util și ține seama în cea mai mare măsură de opiniile acestora în avizul său.</w:t>
            </w:r>
          </w:p>
        </w:tc>
        <w:tc>
          <w:tcPr>
            <w:tcW w:w="4876" w:type="dxa"/>
            <w:vAlign w:val="top"/>
          </w:tcPr>
          <w:p>
            <w:pPr>
              <w:pStyle w:val="Normal6a"/>
            </w:pPr>
            <w:r>
              <w:t xml:space="preserve">În termen de trei luni de la primirea notificării, ESMA furnizează autorității competente un aviz </w:t>
            </w:r>
            <w:r>
              <w:rPr>
                <w:b/>
                <w:i/>
                <w:strike w:val="0"/>
                <w:color w:val="auto"/>
                <w:highlight w:val="none"/>
                <w:u w:val="none" w:color="auto"/>
                <w:vertAlign w:val="baseline"/>
              </w:rPr>
              <w:t>cu</w:t>
            </w:r>
            <w:r>
              <w:t xml:space="preserve"> caracter obligatoriu privind cererea și formulează recomandări privind derogările solicitate de solicitant, care sunt necesare pentru a asigura protecția investitorilor, integritatea pieței și stabilitatea financiară. De asemenea, ESMA </w:t>
            </w:r>
            <w:r>
              <w:rPr>
                <w:b/>
                <w:i/>
                <w:strike w:val="0"/>
                <w:color w:val="auto"/>
                <w:highlight w:val="none"/>
                <w:u w:val="none" w:color="auto"/>
                <w:vertAlign w:val="baseline"/>
              </w:rPr>
              <w:t>garantează</w:t>
            </w:r>
            <w:r>
              <w:t xml:space="preserve"> coerența și proporționalitatea derogărilor acordate de autoritățile competente firmelor de investiții sau operatorilor de piață care gestionează MTF-uri DLT în întreaga Uniune. În acest scop, ESMA consultă autoritățile competente ale celorlalte state membre în timp util și ține seama în cea mai mare măsură de opiniile acestora în avizul său.</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Pentru a asigura o aplicare consecventă a normelor proiectului-pilot și pentru a evita arbitrajul de reglementare, avizul ESMA cu privire la oportunitatea exploatării infrastructurii pieței bazate pe DLT ar trebui să fie obligatoriu.</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409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3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În termen de trei luni de la primirea notificării, ESMA furnizează autorității competente un aviz fără caracter obligatoriu privind cererea și formulează recomandări privind derogările solicitate de solicitant, care sunt necesare pentru a asigura protecția investitorilor, integritatea pieței și stabilitatea financiară. De asemenea, ESMA promovează coerența și proporționalitatea derogărilor acordate de autoritățile competente </w:t>
            </w:r>
            <w:r>
              <w:rPr>
                <w:b/>
                <w:i/>
                <w:strike w:val="0"/>
                <w:color w:val="auto"/>
                <w:highlight w:val="none"/>
                <w:u w:val="none" w:color="auto"/>
                <w:vertAlign w:val="baseline"/>
              </w:rPr>
              <w:t>firmelor de investiții sau operatorilor de piață</w:t>
            </w:r>
            <w:r>
              <w:t xml:space="preserve"> care gestionează MTF-uri DLT în întreaga Uniune. În acest scop, ESMA consultă autoritățile competente ale celorlalte state membre în timp util și ține seama în cea mai mare măsură de opiniile acestora în avizul său.</w:t>
            </w:r>
          </w:p>
        </w:tc>
        <w:tc>
          <w:tcPr>
            <w:tcW w:w="4876" w:type="dxa"/>
            <w:vAlign w:val="top"/>
          </w:tcPr>
          <w:p>
            <w:pPr>
              <w:pStyle w:val="Normal6a"/>
            </w:pPr>
            <w:r>
              <w:t xml:space="preserve">În termen de trei luni de la primirea notificării, ESMA furnizează autorității competente un aviz fără caracter obligatoriu privind cererea și formulează recomandări privind derogările solicitate de solicitant, care sunt necesare pentru a asigura protecția investitorilor, integritatea pieței și stabilitatea financiară. De asemenea, ESMA promovează coerența și proporționalitatea derogărilor acordate de autoritățile competente </w:t>
            </w:r>
            <w:r>
              <w:rPr>
                <w:b/>
                <w:i/>
                <w:strike w:val="0"/>
                <w:color w:val="auto"/>
                <w:highlight w:val="none"/>
                <w:u w:val="none" w:color="auto"/>
                <w:vertAlign w:val="baseline"/>
              </w:rPr>
              <w:t>entităților</w:t>
            </w:r>
            <w:r>
              <w:t xml:space="preserve"> care gestionează MTF-uri DLT în întreaga Uniune. În acest scop, ESMA consultă autoritățile competente ale celorlalte state membre în timp util și ține seama în cea mai mare măsură de opiniile acestora în avizul său.</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410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3 – paragraful 1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În vederea stabilirii unor practici de supraveghere consecvente, eficiente și eficace și a asigurării aplicării comune, uniforme și consecvente a dreptului Uniunii, ESMA poate adopta orientări pentru a preciza mai în detaliu condițiile de acordare a derogărilor și de solicitare a unor măsuri compensatorii, pe baza experienței relevante a autorităților competente și a avizelor fără caracter obligatoriu ale ESMA.</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Pe lângă avizele fără caracter obligatoriu, ESMA poate dori să adopte orientări suplimentare sub formă de ghiduri.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411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5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 xml:space="preserve">Autorizația specifică acordată </w:t>
            </w:r>
            <w:r>
              <w:rPr>
                <w:b/>
                <w:i/>
                <w:strike w:val="0"/>
                <w:color w:val="auto"/>
                <w:highlight w:val="none"/>
                <w:u w:val="none" w:color="auto"/>
                <w:vertAlign w:val="baseline"/>
              </w:rPr>
              <w:t>fie unei firme de investiții, fie unui operator de piață</w:t>
            </w:r>
            <w:r>
              <w:t xml:space="preserve"> pentru gestionarea unui MTF DLT este valabilă pe întreg teritoriul Uniunii pentru o perioadă de până la șase ani de la data acordării autorizației specifice. Aceasta menționează derogările acordate, în conformitate cu articolul 4.</w:t>
            </w:r>
          </w:p>
        </w:tc>
        <w:tc>
          <w:tcPr>
            <w:tcW w:w="4876" w:type="dxa"/>
            <w:vAlign w:val="top"/>
          </w:tcPr>
          <w:p>
            <w:pPr>
              <w:pStyle w:val="Normal6a"/>
            </w:pPr>
            <w:r>
              <w:t>5.</w:t>
            </w:r>
            <w:r>
              <w:tab/>
            </w:r>
            <w:r>
              <w:t xml:space="preserve">Autorizația specifică acordată </w:t>
            </w:r>
            <w:r>
              <w:rPr>
                <w:b/>
                <w:i/>
                <w:strike w:val="0"/>
                <w:color w:val="auto"/>
                <w:highlight w:val="none"/>
                <w:u w:val="none" w:color="auto"/>
                <w:vertAlign w:val="baseline"/>
              </w:rPr>
              <w:t>unei entități</w:t>
            </w:r>
            <w:r>
              <w:t xml:space="preserve"> pentru gestionarea unui MTF DLT este valabilă pe întreg teritoriul Uniunii pentru o perioadă de până la șase ani de la data acordării autorizației specifice. Aceasta menționează derogările acordate, în conformitate cu articolul 4.</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412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5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 xml:space="preserve">Autorizația specifică acordată fie unei firme de investiții, fie unui operator de piață pentru gestionarea unui MTF DLT este valabilă pe întreg teritoriul Uniunii pentru o perioadă de până la </w:t>
            </w:r>
            <w:r>
              <w:rPr>
                <w:b/>
                <w:i/>
                <w:strike w:val="0"/>
                <w:color w:val="auto"/>
                <w:highlight w:val="none"/>
                <w:u w:val="none" w:color="auto"/>
                <w:vertAlign w:val="baseline"/>
              </w:rPr>
              <w:t>șase</w:t>
            </w:r>
            <w:r>
              <w:t xml:space="preserve"> ani de la data acordării autorizației specifice. Aceasta menționează derogările acordate, în conformitate cu articolul 4.</w:t>
            </w:r>
          </w:p>
        </w:tc>
        <w:tc>
          <w:tcPr>
            <w:tcW w:w="4876" w:type="dxa"/>
            <w:vAlign w:val="top"/>
          </w:tcPr>
          <w:p>
            <w:pPr>
              <w:pStyle w:val="Normal6a"/>
            </w:pPr>
            <w:r>
              <w:t>5.</w:t>
            </w:r>
            <w:r>
              <w:tab/>
            </w:r>
            <w:r>
              <w:t xml:space="preserve">Autorizația specifică acordată fie unei firme de investiții, fie unui operator de piață pentru gestionarea unui MTF DLT este valabilă pe întreg teritoriul Uniunii pentru o perioadă de până la </w:t>
            </w:r>
            <w:r>
              <w:rPr>
                <w:b/>
                <w:i/>
                <w:strike w:val="0"/>
                <w:color w:val="auto"/>
                <w:highlight w:val="none"/>
                <w:u w:val="none" w:color="auto"/>
                <w:vertAlign w:val="baseline"/>
              </w:rPr>
              <w:t>patru</w:t>
            </w:r>
            <w:r>
              <w:t xml:space="preserve"> ani de la data acordării autorizației specifice. Aceasta menționează derogările acordate, în conformitate cu articolul 4.</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413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5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ESMA publică pe site-ul său lista MTF-urilor DLT, datele de începere și de încetare a autorizațiilor lor specifice și lista derogărilor acordate fiecăruia dintre acestea.</w:t>
            </w:r>
          </w:p>
        </w:tc>
        <w:tc>
          <w:tcPr>
            <w:tcW w:w="4876" w:type="dxa"/>
            <w:vAlign w:val="top"/>
          </w:tcPr>
          <w:p>
            <w:pPr>
              <w:pStyle w:val="Normal6a"/>
            </w:pPr>
            <w:r>
              <w:t xml:space="preserve">ESMA publică pe site-ul său </w:t>
            </w:r>
            <w:r>
              <w:rPr>
                <w:b/>
                <w:i/>
                <w:strike w:val="0"/>
                <w:color w:val="auto"/>
                <w:highlight w:val="none"/>
                <w:u w:val="none" w:color="auto"/>
                <w:vertAlign w:val="baseline"/>
              </w:rPr>
              <w:t>(a)</w:t>
            </w:r>
            <w:r>
              <w:t xml:space="preserve"> lista MTF-urilor DLT, datele de începere și de încetare a autorizațiilor lor specifice și lista derogărilor acordate fiecăruia dintre acestea</w:t>
            </w:r>
            <w:r>
              <w:rPr>
                <w:b/>
                <w:i/>
                <w:strike w:val="0"/>
                <w:color w:val="auto"/>
                <w:highlight w:val="none"/>
                <w:u w:val="none" w:color="auto"/>
                <w:vertAlign w:val="baseline"/>
              </w:rPr>
              <w:t>, precum și (b) numărul total de cereri de derogare care au fost depuse în temeiul prezentului regulament, indicând numărul de derogări acceptate sau refuzate, împreună cu justificările corespunzătoare, în mod anonim</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Pentru a asigura transparența și uniformitatea, cererile de autorizații și derogări, precum și deciziile justificate respective ar trebui făcute publice.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414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Eero Heinäluoma</w:t>
      </w:r>
      <w:r>
        <w:t xml:space="preserve">, </w:t>
      </w:r>
      <w:r>
        <w:t>Paul Tang</w:t>
      </w:r>
      <w:r>
        <w:t xml:space="preserve">, </w:t>
      </w:r>
      <w:r>
        <w:t>Jonás Fernández</w:t>
      </w:r>
      <w:r>
        <w:t xml:space="preserve">, </w:t>
      </w:r>
      <w:r>
        <w:t>Pedro Marques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5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ESMA publică pe site-ul său lista MTF-urilor DLT, datele de începere și de încetare a autorizațiilor lor specifice și lista derogărilor acordate fiecăruia dintre acestea.</w:t>
            </w:r>
          </w:p>
        </w:tc>
        <w:tc>
          <w:tcPr>
            <w:tcW w:w="4876" w:type="dxa"/>
            <w:vAlign w:val="top"/>
          </w:tcPr>
          <w:p>
            <w:pPr>
              <w:pStyle w:val="Normal6a"/>
            </w:pPr>
            <w:r>
              <w:t xml:space="preserve">ESMA publică pe site-ul său lista MTF-urilor DLT, datele de începere și de încetare a autorizațiilor lor specifice și lista derogărilor acordate fiecăruia dintre acestea. </w:t>
            </w:r>
            <w:r>
              <w:rPr>
                <w:b/>
                <w:i/>
                <w:strike w:val="0"/>
                <w:color w:val="auto"/>
                <w:highlight w:val="none"/>
                <w:u w:val="none" w:color="auto"/>
                <w:vertAlign w:val="baseline"/>
              </w:rPr>
              <w:t>În plus, ESMA publică pe site-ul său toate cererile de derogare formulate în temeiul prezentului regulament, indicând în fiecare caz dacă ESMA a recomandat ca derogarea să fie acceptată sau refuzată.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415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Jonás Fernández</w:t>
      </w:r>
      <w:r>
        <w:t xml:space="preserve">, </w:t>
      </w:r>
      <w:r>
        <w:t>Eero Heinäluoma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6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6.</w:t>
            </w:r>
            <w:r>
              <w:tab/>
            </w:r>
            <w:r>
              <w:t>Fără a aduce atingere articolului 8 și articolului 44 din Directiva 2014/65/UE, autoritatea competentă care a acordat o autorizație specifică în temeiul prezentului regulament retrage autorizația sau derogările acordate, după consultarea ESMA, în conformitate cu alineatul (3), în cazul în care a survenit una dintre următoarele situații:</w:t>
            </w:r>
          </w:p>
        </w:tc>
        <w:tc>
          <w:tcPr>
            <w:tcW w:w="4876" w:type="dxa"/>
            <w:vAlign w:val="top"/>
          </w:tcPr>
          <w:p>
            <w:pPr>
              <w:pStyle w:val="Normal6a"/>
            </w:pPr>
            <w:r>
              <w:t>6.</w:t>
            </w:r>
            <w:r>
              <w:tab/>
            </w:r>
            <w:r>
              <w:t>Fără a aduce atingere articolului 8 și articolului 44 din Directiva 2014/65/UE, autoritatea competentă care a acordat o autorizație specifică în temeiul prezentului regulament retrage autorizația sau derogările acordate, după consultarea ESMA</w:t>
            </w:r>
            <w:r>
              <w:rPr>
                <w:b/>
                <w:i/>
                <w:strike w:val="0"/>
                <w:color w:val="auto"/>
                <w:highlight w:val="none"/>
                <w:u w:val="none" w:color="auto"/>
                <w:vertAlign w:val="baseline"/>
              </w:rPr>
              <w:t> și informarea autorităților relevante menționate la articolul 12 din Regulamentul (UE) nr. 909/2014 și, în cazul unei aprobări specifice acordate unei instituții de credit, autorității sale de supraveghere prudențială, inclusiv BCE pentru instituțiile de credit semnificative</w:t>
            </w:r>
            <w:r>
              <w:t>, în conformitate cu alineatul (3), în cazul în care a survenit una dintre următoarele situații:</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Conform avizului BCE.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416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Johan Van Overtveldt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6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6.</w:t>
            </w:r>
            <w:r>
              <w:tab/>
            </w:r>
            <w:r>
              <w:t>Fără a aduce atingere articolului 8 și articolului 44 din Directiva 2014/65/UE, autoritatea competentă care a acordat o autorizație specifică în temeiul prezentului regulament retrage autorizația sau derogările acordate, după consultarea ESMA</w:t>
            </w:r>
            <w:r>
              <w:rPr>
                <w:b/>
                <w:i/>
                <w:strike w:val="0"/>
                <w:color w:val="auto"/>
                <w:highlight w:val="none"/>
                <w:u w:val="none" w:color="auto"/>
                <w:vertAlign w:val="baseline"/>
              </w:rPr>
              <w:t>, în conformitate cu alineatul (3)</w:t>
            </w:r>
            <w:r>
              <w:t>, în cazul în care a survenit una dintre următoarele situații:</w:t>
            </w:r>
          </w:p>
        </w:tc>
        <w:tc>
          <w:tcPr>
            <w:tcW w:w="4876" w:type="dxa"/>
            <w:vAlign w:val="top"/>
          </w:tcPr>
          <w:p>
            <w:pPr>
              <w:pStyle w:val="Normal6a"/>
            </w:pPr>
            <w:r>
              <w:t>6.</w:t>
            </w:r>
            <w:r>
              <w:tab/>
            </w:r>
            <w:r>
              <w:t xml:space="preserve">Fără a aduce atingere articolului 8 și articolului 44 din Directiva 2014/65/UE, autoritatea competentă care a acordat o autorizație specifică în temeiul prezentului regulament retrage autorizația sau derogările acordate, după consultarea ESMA </w:t>
            </w:r>
            <w:r>
              <w:rPr>
                <w:b/>
                <w:i/>
                <w:strike w:val="0"/>
                <w:color w:val="auto"/>
                <w:highlight w:val="none"/>
                <w:u w:val="none" w:color="auto"/>
                <w:vertAlign w:val="baseline"/>
              </w:rPr>
              <w:t>și informarea autorităților relevante menționate la articolul 12 din Regulamentul (UE) nr. 909/2014 și, în cazul unei aprobări specifice acordate unei instituții de credit, autorității sale de supraveghere prudențială, inclusiv BCE pentru instituțiile de credit semnificative</w:t>
            </w:r>
            <w:r>
              <w:t>, în cazul în care a survenit una dintre următoarele situații:</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Acest amendament urmărește să ia în considerare o sugestie din avizul BCE.</w:t>
      </w:r>
      <w:r>
        <w:t xml:space="preserve"> </w:t>
      </w:r>
      <w:r>
        <w:t>Având în vedere competențele de supraveghere prudențială ale autorităților naționale competente și ale BCE în ceea ce privește instituțiile de credit, autoritățile naționale competente și BCE ar trebui să fie informate cu privire la procesul de evaluare.</w:t>
      </w:r>
      <w:r>
        <w:t xml:space="preserve"> </w:t>
      </w:r>
      <w:r>
        <w:t>În plus, furnizarea de către un operator a unui MTF DLT de servicii de tip CSD de bază ar trebui să necesite o evaluare din partea autorităților relevante, inclusiv a băncilor centrale din cadrul SEBC, în conformitate cu articolele 16 și 17 din Regulamentul (UE) nr. 909/2014.</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417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6 – litera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(b)</w:t>
            </w:r>
            <w:r>
              <w:tab/>
            </w:r>
            <w:r>
              <w:rPr>
                <w:b/>
                <w:i/>
                <w:strike w:val="0"/>
                <w:color w:val="auto"/>
                <w:highlight w:val="none"/>
                <w:u w:val="none" w:color="auto"/>
                <w:vertAlign w:val="baseline"/>
              </w:rPr>
              <w:t>firma de investiții sau operatorul de piață</w:t>
            </w:r>
            <w:r>
              <w:t xml:space="preserve"> care gestionează respectivul MTF DLT a încălcat condițiile conexe derogărilor acordate de autoritatea competentă;</w:t>
            </w:r>
          </w:p>
        </w:tc>
        <w:tc>
          <w:tcPr>
            <w:tcW w:w="4876" w:type="dxa"/>
            <w:vAlign w:val="top"/>
          </w:tcPr>
          <w:p>
            <w:pPr>
              <w:pStyle w:val="Normal6a"/>
            </w:pPr>
            <w:r>
              <w:t>(b)</w:t>
            </w:r>
            <w:r>
              <w:tab/>
            </w:r>
            <w:r>
              <w:rPr>
                <w:b/>
                <w:i/>
                <w:strike w:val="0"/>
                <w:color w:val="auto"/>
                <w:highlight w:val="none"/>
                <w:u w:val="none" w:color="auto"/>
                <w:vertAlign w:val="baseline"/>
              </w:rPr>
              <w:t>entitatea</w:t>
            </w:r>
            <w:r>
              <w:t xml:space="preserve"> care gestionează respectivul MTF DLT a încălcat condițiile conexe derogărilor acordate de autoritatea competentă;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418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6 – litera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rPr>
                <w:b/>
                <w:i/>
                <w:strike w:val="0"/>
                <w:color w:val="auto"/>
                <w:highlight w:val="none"/>
                <w:u w:val="none" w:color="auto"/>
                <w:vertAlign w:val="baseline"/>
              </w:rPr>
              <w:t>firma de investiții sau operatorul de piață</w:t>
            </w:r>
            <w:r>
              <w:t xml:space="preserve"> care gestionează un MTF DLT a admis la tranzacționare instrumente financiare care nu îndeplinesc condițiile prevăzute la articolul 3 alineatul (1) și la articolul 3 alineatul (2);</w:t>
            </w:r>
          </w:p>
        </w:tc>
        <w:tc>
          <w:tcPr>
            <w:tcW w:w="4876" w:type="dxa"/>
            <w:vAlign w:val="top"/>
          </w:tcPr>
          <w:p>
            <w:pPr>
              <w:pStyle w:val="Normal6a"/>
            </w:pPr>
            <w:r>
              <w:t>(c)</w:t>
            </w:r>
            <w:r>
              <w:tab/>
            </w:r>
            <w:r>
              <w:rPr>
                <w:b/>
                <w:i/>
                <w:strike w:val="0"/>
                <w:color w:val="auto"/>
                <w:highlight w:val="none"/>
                <w:u w:val="none" w:color="auto"/>
                <w:vertAlign w:val="baseline"/>
              </w:rPr>
              <w:t>entitatea</w:t>
            </w:r>
            <w:r>
              <w:t xml:space="preserve"> care gestionează un MTF DLT a admis la tranzacționare instrumente financiare care nu îndeplinesc condițiile prevăzute la articolul 3 alineatul (1) și la articolul 3 alineatul (2);</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419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6 – litera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(d)</w:t>
            </w:r>
            <w:r>
              <w:tab/>
            </w:r>
            <w:r>
              <w:rPr>
                <w:b/>
                <w:i/>
                <w:strike w:val="0"/>
                <w:color w:val="auto"/>
                <w:highlight w:val="none"/>
                <w:u w:val="none" w:color="auto"/>
                <w:vertAlign w:val="baseline"/>
              </w:rPr>
              <w:t>firma de investiții sau operatorul de piață</w:t>
            </w:r>
            <w:r>
              <w:t xml:space="preserve"> care gestionează un MTF DLT care a solicitat o derogare de la articolul 3 alineatul (2) din Regulamentul (UE) nr. 909/2014 a înregistrat valori mobiliare bazate pe DLT care nu îndeplinesc condițiile prevăzute la articolul 3 alineatul (1) și la articolul 3 alineatul (2);</w:t>
            </w:r>
          </w:p>
        </w:tc>
        <w:tc>
          <w:tcPr>
            <w:tcW w:w="4876" w:type="dxa"/>
            <w:vAlign w:val="top"/>
          </w:tcPr>
          <w:p>
            <w:pPr>
              <w:pStyle w:val="Normal6a"/>
            </w:pPr>
            <w:r>
              <w:t>(d)</w:t>
            </w:r>
            <w:r>
              <w:tab/>
            </w:r>
            <w:r>
              <w:rPr>
                <w:b/>
                <w:i/>
                <w:strike w:val="0"/>
                <w:color w:val="auto"/>
                <w:highlight w:val="none"/>
                <w:u w:val="none" w:color="auto"/>
                <w:vertAlign w:val="baseline"/>
              </w:rPr>
              <w:t>entitatea</w:t>
            </w:r>
            <w:r>
              <w:t xml:space="preserve"> care gestionează un MTF DLT care a solicitat o derogare de la articolul 3 alineatul (2) din Regulamentul (UE) nr. 909/2014 a înregistrat valori mobiliare bazate pe DLT care nu îndeplinesc condițiile prevăzute la articolul 3 alineatul (1) și la articolul 3 alineatul (2);</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420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6 – litera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(e)</w:t>
            </w:r>
            <w:r>
              <w:tab/>
            </w:r>
            <w:r>
              <w:rPr>
                <w:b/>
                <w:i/>
                <w:strike w:val="0"/>
                <w:color w:val="auto"/>
                <w:highlight w:val="none"/>
                <w:u w:val="none" w:color="auto"/>
                <w:vertAlign w:val="baseline"/>
              </w:rPr>
              <w:t>firma de investiții sau operatorul de piață</w:t>
            </w:r>
            <w:r>
              <w:t xml:space="preserve"> care gestionează un MTF DLT care a solicitat autorizația specifică de derogare de la aplicarea articolului 3 alineatul (2) din Regulamentul (UE) nr. 909/2014 a depășit pragurile menționate la articolul 3 alineatul (3) sau la articolul 3 alineatul (5) al treilea paragraf sau</w:t>
            </w:r>
          </w:p>
        </w:tc>
        <w:tc>
          <w:tcPr>
            <w:tcW w:w="4876" w:type="dxa"/>
            <w:vAlign w:val="top"/>
          </w:tcPr>
          <w:p>
            <w:pPr>
              <w:pStyle w:val="Normal6a"/>
            </w:pPr>
            <w:r>
              <w:t>(e)</w:t>
            </w:r>
            <w:r>
              <w:tab/>
            </w:r>
            <w:r>
              <w:rPr>
                <w:b/>
                <w:i/>
                <w:strike w:val="0"/>
                <w:color w:val="auto"/>
                <w:highlight w:val="none"/>
                <w:u w:val="none" w:color="auto"/>
                <w:vertAlign w:val="baseline"/>
              </w:rPr>
              <w:t>entitatea</w:t>
            </w:r>
            <w:r>
              <w:t xml:space="preserve"> care gestionează un MTF DLT care a solicitat autorizația specifică de derogare de la aplicarea articolului 3 alineatul (2) din Regulamentul (UE) nr. 909/2014 a depășit pragurile menționate la articolul 3 alineatul (3) sau la articolul 3 alineatul (5) al treilea paragraf sau </w:t>
            </w:r>
            <w:r>
              <w:rPr>
                <w:b/>
                <w:i/>
                <w:strike w:val="0"/>
                <w:color w:val="auto"/>
                <w:highlight w:val="none"/>
                <w:u w:val="none" w:color="auto"/>
                <w:vertAlign w:val="baseline"/>
              </w:rPr>
              <w:t>sau</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421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6 – litera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(f)</w:t>
            </w:r>
            <w:r>
              <w:tab/>
            </w:r>
            <w:r>
              <w:t xml:space="preserve">autoritatea competentă ia cunoștință de faptul că </w:t>
            </w:r>
            <w:r>
              <w:rPr>
                <w:b/>
                <w:i/>
                <w:strike w:val="0"/>
                <w:color w:val="auto"/>
                <w:highlight w:val="none"/>
                <w:u w:val="none" w:color="auto"/>
                <w:vertAlign w:val="baseline"/>
              </w:rPr>
              <w:t>firma de investiții sau operatorul de piață</w:t>
            </w:r>
            <w:r>
              <w:t xml:space="preserve"> care a solicitat o autorizație specifică pentru gestionarea unui MTF DLT a obținut această autorizație sau derogările aferente pe baza unor informații înșelătoare, inclusiv orice omisiune semnificativă.</w:t>
            </w:r>
          </w:p>
        </w:tc>
        <w:tc>
          <w:tcPr>
            <w:tcW w:w="4876" w:type="dxa"/>
            <w:vAlign w:val="top"/>
          </w:tcPr>
          <w:p>
            <w:pPr>
              <w:pStyle w:val="Normal6a"/>
            </w:pPr>
            <w:r>
              <w:t>(f)</w:t>
            </w:r>
            <w:r>
              <w:tab/>
            </w:r>
            <w:r>
              <w:t xml:space="preserve">autoritatea competentă ia cunoștință de faptul că </w:t>
            </w:r>
            <w:r>
              <w:rPr>
                <w:b/>
                <w:i/>
                <w:strike w:val="0"/>
                <w:color w:val="auto"/>
                <w:highlight w:val="none"/>
                <w:u w:val="none" w:color="auto"/>
                <w:vertAlign w:val="baseline"/>
              </w:rPr>
              <w:t>entitatea</w:t>
            </w:r>
            <w:r>
              <w:t xml:space="preserve"> care a solicitat o autorizație specifică pentru gestionarea unui MTF DLT a obținut această autorizație sau derogările aferente pe baza unor informații înșelătoare, inclusiv orice omisiune semnificativă.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422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7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7.</w:t>
            </w:r>
            <w:r>
              <w:tab/>
            </w:r>
            <w:r>
              <w:t>În cazul în care, în cursul activității sale, o firmă de investiții sau un operator de piață care gestionează un MTF DLT propune să introducă o modificare semnificativă în funcționarea DLT sau a serviciilor ori a activităților sale, care necesită o nouă autorizație, o nouă derogare sau modificarea uneia sau mai multor derogări existente sau a oricărei condiții conexe acestora, trebuie să solicite autorizația, derogarea sau modificarea în conformitate cu articolul 4. Această autorizație, derogare sau modificare trebuie tratată de autoritatea competentă în conformitate cu alineatele (2)­(5).</w:t>
            </w:r>
          </w:p>
        </w:tc>
        <w:tc>
          <w:tcPr>
            <w:tcW w:w="4876" w:type="dxa"/>
            <w:vAlign w:val="top"/>
          </w:tcPr>
          <w:p>
            <w:pPr>
              <w:pStyle w:val="Normal6a"/>
            </w:pPr>
            <w:r>
              <w:rPr>
                <w:b w:val="0"/>
                <w:i/>
                <w:strike w:val="0"/>
                <w:color w:val="auto"/>
                <w:highlight w:val="none"/>
                <w:u w:val="none" w:color="auto"/>
                <w:vertAlign w:val="baseline"/>
              </w:rPr>
              <w:t>(Nu privește versiunea în limba română.)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423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7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7.</w:t>
            </w:r>
            <w:r>
              <w:tab/>
            </w:r>
            <w:r>
              <w:t xml:space="preserve">În cazul în care, în cursul activității sale, o </w:t>
            </w:r>
            <w:r>
              <w:rPr>
                <w:b/>
                <w:i/>
                <w:strike w:val="0"/>
                <w:color w:val="auto"/>
                <w:highlight w:val="none"/>
                <w:u w:val="none" w:color="auto"/>
                <w:vertAlign w:val="baseline"/>
              </w:rPr>
              <w:t>firmă de investiții sau un operator de piață</w:t>
            </w:r>
            <w:r>
              <w:t xml:space="preserve"> care gestionează un MTF DLT propune să introducă o modificare semnificativă în funcționarea DLT sau a serviciilor ori a activităților sale, care necesită o nouă autorizație, o nouă derogare sau modificarea uneia sau mai multor derogări existente sau a oricărei condiții conexe acestora, trebuie să solicite autorizația, derogarea sau modificarea în conformitate cu articolul 4. Această autorizație, derogare sau modificare trebuie tratată de autoritatea competentă în conformitate cu alineatele </w:t>
            </w:r>
            <w:r>
              <w:rPr>
                <w:b/>
                <w:i/>
                <w:strike w:val="0"/>
                <w:color w:val="auto"/>
                <w:highlight w:val="none"/>
                <w:u w:val="none" w:color="auto"/>
                <w:vertAlign w:val="baseline"/>
              </w:rPr>
              <w:t>(2)­(5)</w:t>
            </w:r>
            <w:r>
              <w:t>.</w:t>
            </w:r>
          </w:p>
        </w:tc>
        <w:tc>
          <w:tcPr>
            <w:tcW w:w="4876" w:type="dxa"/>
            <w:vAlign w:val="top"/>
          </w:tcPr>
          <w:p>
            <w:pPr>
              <w:pStyle w:val="Normal6a"/>
            </w:pPr>
            <w:r>
              <w:t>7.</w:t>
            </w:r>
            <w:r>
              <w:tab/>
            </w:r>
            <w:r>
              <w:t xml:space="preserve">În cazul în care, în cursul activității sale, o </w:t>
            </w:r>
            <w:r>
              <w:rPr>
                <w:b/>
                <w:i/>
                <w:strike w:val="0"/>
                <w:color w:val="auto"/>
                <w:highlight w:val="none"/>
                <w:u w:val="none" w:color="auto"/>
                <w:vertAlign w:val="baseline"/>
              </w:rPr>
              <w:t>entitate</w:t>
            </w:r>
            <w:r>
              <w:t xml:space="preserve"> care gestionează un MTF DLT propune să introducă o modificare semnificativă în funcționarea DLT sau a serviciilor ori a activităților sale, care necesită o nouă autorizație, o nouă derogare sau modificarea uneia sau mai multor derogări existente sau a oricărei condiții conexe acestora, trebuie să solicite autorizația, derogarea sau modificarea în conformitate cu articolul 4. Această autorizație, derogare sau modificare trebuie tratată de autoritatea competentă în conformitate cu alineatele </w:t>
            </w:r>
            <w:r>
              <w:rPr>
                <w:b/>
                <w:i/>
                <w:strike w:val="0"/>
                <w:color w:val="auto"/>
                <w:highlight w:val="none"/>
                <w:u w:val="none" w:color="auto"/>
                <w:vertAlign w:val="baseline"/>
              </w:rPr>
              <w:t>(2)(5)</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424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Jessica Polfjärd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1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1a.</w:t>
            </w:r>
            <w:r>
              <w:tab/>
            </w:r>
            <w:r>
              <w:rPr>
                <w:b/>
                <w:i/>
                <w:strike w:val="0"/>
                <w:color w:val="auto"/>
                <w:highlight w:val="none"/>
                <w:u w:val="none" w:color="auto"/>
                <w:vertAlign w:val="baseline"/>
              </w:rPr>
              <w:t>În cazul în care o persoană juridică solicită autorizarea unui CSD în temeiul Regulamentului (UE) nr. 909/2014 și, în același timp, solicită o autorizație specifică în temeiul prezentului articol, cu unicul scop de a exploata un sistem de decontare a titlurilor de valoare bazat pe DLT, autoritatea competentă nu evaluează conformitatea cu cerințele Regulamentului (UE) nr. 909/2014 pentru care solicitantul a cerut și i s-a acordat o derogare în temeiul articolului 5 din prezentul regulament.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425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2 – litera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t xml:space="preserve">funcționarea DLT </w:t>
            </w:r>
            <w:r>
              <w:rPr>
                <w:b/>
                <w:i/>
                <w:strike w:val="0"/>
                <w:color w:val="auto"/>
                <w:highlight w:val="none"/>
                <w:u w:val="none" w:color="auto"/>
                <w:vertAlign w:val="baseline"/>
              </w:rPr>
              <w:t>proprie</w:t>
            </w:r>
            <w:r>
              <w:t>, astfel cum se menționează la articolul 6 alineatul (2);</w:t>
            </w:r>
          </w:p>
        </w:tc>
        <w:tc>
          <w:tcPr>
            <w:tcW w:w="4876" w:type="dxa"/>
            <w:vAlign w:val="top"/>
          </w:tcPr>
          <w:p>
            <w:pPr>
              <w:pStyle w:val="Normal6a"/>
            </w:pPr>
            <w:r>
              <w:t>(c)</w:t>
            </w:r>
            <w:r>
              <w:tab/>
            </w:r>
            <w:r>
              <w:t xml:space="preserve">funcționarea DLT, astfel cum se menționează la articolul 6 alineatul (2) </w:t>
            </w:r>
            <w:r>
              <w:rPr>
                <w:b/>
                <w:i/>
                <w:strike w:val="0"/>
                <w:color w:val="auto"/>
                <w:highlight w:val="none"/>
                <w:u w:val="none" w:color="auto"/>
                <w:vertAlign w:val="baseline"/>
              </w:rPr>
              <w:t>și alineatul (2a)</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Neutralitatea tehnologică în raport cu DLT proprietare și DLT publice.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426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Jessica Polfjärd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2 – litera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t xml:space="preserve">funcționarea DLT </w:t>
            </w:r>
            <w:r>
              <w:rPr>
                <w:b/>
                <w:i/>
                <w:strike w:val="0"/>
                <w:color w:val="auto"/>
                <w:highlight w:val="none"/>
                <w:u w:val="none" w:color="auto"/>
                <w:vertAlign w:val="baseline"/>
              </w:rPr>
              <w:t>proprie</w:t>
            </w:r>
            <w:r>
              <w:t>, astfel cum se menționează la articolul 6 alineatul (2);</w:t>
            </w:r>
          </w:p>
        </w:tc>
        <w:tc>
          <w:tcPr>
            <w:tcW w:w="4876" w:type="dxa"/>
            <w:vAlign w:val="top"/>
          </w:tcPr>
          <w:p>
            <w:pPr>
              <w:pStyle w:val="Normal6a"/>
            </w:pPr>
            <w:r>
              <w:t>(c)</w:t>
            </w:r>
            <w:r>
              <w:tab/>
            </w:r>
            <w:r>
              <w:t>funcționarea DLT, astfel cum se menționează la articolul 6 alineatul (2);</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427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2 – litera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t xml:space="preserve">funcționarea DLT </w:t>
            </w:r>
            <w:r>
              <w:rPr>
                <w:b/>
                <w:i/>
                <w:strike w:val="0"/>
                <w:color w:val="auto"/>
                <w:highlight w:val="none"/>
                <w:u w:val="none" w:color="auto"/>
                <w:vertAlign w:val="baseline"/>
              </w:rPr>
              <w:t>proprie</w:t>
            </w:r>
            <w:r>
              <w:t>, astfel cum se menționează la articolul 6 alineatul (2);</w:t>
            </w:r>
          </w:p>
        </w:tc>
        <w:tc>
          <w:tcPr>
            <w:tcW w:w="4876" w:type="dxa"/>
            <w:vAlign w:val="top"/>
          </w:tcPr>
          <w:p>
            <w:pPr>
              <w:pStyle w:val="Normal6a"/>
            </w:pPr>
            <w:r>
              <w:t>(c)</w:t>
            </w:r>
            <w:r>
              <w:tab/>
            </w:r>
            <w:r>
              <w:t>funcționarea DLT, astfel cum se menționează la articolul 6 alineatul (2);</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Eliminarea are scopul de a adopta o abordare mai neutră din punct de vedere tehnologic și de a permite infrastructurilor pieței bazate pe DLT să utilizeze, de asemenea, DLT proprietar și DLT sub formă de consorții, așa cum sunt utilizate în prezent în numeroase proiecte-pilot ale UE.</w:t>
      </w:r>
      <w:r>
        <w:t xml:space="preserve"> </w:t>
      </w:r>
      <w:r>
        <w:t>Buna guvernanță a oricărei infrastructuri de piață este importantă pentru a asigura siguranța și eficiența acesteia.</w:t>
      </w:r>
      <w:r>
        <w:t xml:space="preserve"> </w:t>
      </w:r>
      <w:r>
        <w:t>Acest lucru este cu atât mai important în cazul unei rețele bazate pe DLT, în care diferite entități juridice își asumă în comun responsabilitatea pentru cel puțin unele procese și date.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428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2 – litera da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(da)</w:t>
            </w:r>
            <w:r>
              <w:tab/>
            </w:r>
            <w:r>
              <w:rPr>
                <w:b/>
                <w:i/>
                <w:strike w:val="0"/>
                <w:color w:val="auto"/>
                <w:highlight w:val="none"/>
                <w:u w:val="none" w:color="auto"/>
                <w:vertAlign w:val="baseline"/>
              </w:rPr>
              <w:t>dovada că solicitantul dispune de suficiente garanții prudențiale pentru a asigura protecția consumatorilor și a investitorilor și o descriere a măsurilor existente pentru a asigura protecția consumatorilor și a investitorilor, precum și a mecanismelor de soluționare a plângerilor și de despăgubire a consumatorilor, astfel cum se menționează la articolul 6a (nou);</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429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2 – litera g</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(g)</w:t>
            </w:r>
            <w:r>
              <w:tab/>
            </w:r>
            <w:r>
              <w:t>derogările pe care le solicită în conformitate cu articolul 5, justificările pentru fiecare derogare solicitată, măsurile compensatorii propuse, precum și măsurile avute în vedere pentru respectarea condițiilor conexe derogărilor în temeiul articolului 5.</w:t>
            </w:r>
          </w:p>
        </w:tc>
        <w:tc>
          <w:tcPr>
            <w:tcW w:w="4876" w:type="dxa"/>
            <w:vAlign w:val="top"/>
          </w:tcPr>
          <w:p>
            <w:pPr>
              <w:pStyle w:val="Normal6a"/>
            </w:pPr>
            <w:r>
              <w:t>(g)</w:t>
            </w:r>
            <w:r>
              <w:tab/>
            </w:r>
            <w:r>
              <w:t xml:space="preserve">derogările pe care le solicită în conformitate cu articolul 5, justificările pentru fiecare derogare solicitată, măsurile compensatorii </w:t>
            </w:r>
            <w:r>
              <w:rPr>
                <w:b/>
                <w:i/>
                <w:strike w:val="0"/>
                <w:color w:val="auto"/>
                <w:highlight w:val="none"/>
                <w:u w:val="none" w:color="auto"/>
                <w:vertAlign w:val="baseline"/>
              </w:rPr>
              <w:t>sau corective</w:t>
            </w:r>
            <w:r>
              <w:t xml:space="preserve"> propuse, precum și măsurile avute în vedere pentru respectarea condițiilor conexe derogărilor în temeiul articolului 5.</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430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2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2a.</w:t>
            </w:r>
            <w:r>
              <w:tab/>
            </w:r>
            <w:r>
              <w:rPr>
                <w:b/>
                <w:i/>
                <w:strike w:val="0"/>
                <w:color w:val="auto"/>
                <w:highlight w:val="none"/>
                <w:u w:val="none" w:color="auto"/>
                <w:vertAlign w:val="baseline"/>
              </w:rPr>
              <w:t>Prin derogare de la alineatul (1), orice persoană juridică care nu este autorizată ca CSD în temeiul Regulamentului (UE) nr. 909/2014 poate solicita o autorizație specifică pentru gestionarea unui sistem de decontare a titlurilor de valoare bazat pe DLT în conformitate cu alineatul (2) din prezentul articol, cu condiția ca aceasta să respecte cerințele de autorizare și toate celelalte obligații prevăzute în Regulamentul (UE) nr. 909/2014, în mod proporțional cu natura, amploarea și riscurile activității, cu excepția cerințelor pentru care solicitantul a obținut o derogare în temeiul prezentului regulament.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431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Jonás Fernández</w:t>
      </w:r>
      <w:r>
        <w:t xml:space="preserve">, </w:t>
      </w:r>
      <w:r>
        <w:t>Eero Heinäluoma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3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Înainte de a decide cu privire la o cerere de acordare a unei autorizații specifice de gestionare a unui </w:t>
            </w:r>
            <w:r>
              <w:rPr>
                <w:b/>
                <w:i/>
                <w:strike w:val="0"/>
                <w:color w:val="auto"/>
                <w:highlight w:val="none"/>
                <w:u w:val="none" w:color="auto"/>
                <w:vertAlign w:val="baseline"/>
              </w:rPr>
              <w:t>MTF</w:t>
            </w:r>
            <w:r>
              <w:t xml:space="preserve"> DLT în temeiul prezentului regulament, autoritatea competentă notifică </w:t>
            </w:r>
            <w:r>
              <w:rPr>
                <w:b/>
                <w:i/>
                <w:strike w:val="0"/>
                <w:color w:val="auto"/>
                <w:highlight w:val="none"/>
                <w:u w:val="none" w:color="auto"/>
                <w:vertAlign w:val="baseline"/>
              </w:rPr>
              <w:t>ESMA și furnizează ESMA</w:t>
            </w:r>
            <w:r>
              <w:t xml:space="preserve"> toate informațiile relevante privind sistemul de decontare a titlurilor de valoare bazat pe DLT și o explicație a derogărilor solicitate, justificarea acestora și orice măsuri compensatorii propuse de solicitant sau solicitate de autoritatea competentă.</w:t>
            </w:r>
          </w:p>
        </w:tc>
        <w:tc>
          <w:tcPr>
            <w:tcW w:w="4876" w:type="dxa"/>
            <w:vAlign w:val="top"/>
          </w:tcPr>
          <w:p>
            <w:pPr>
              <w:pStyle w:val="Normal6a"/>
            </w:pPr>
            <w:r>
              <w:t>3.</w:t>
            </w:r>
            <w:r>
              <w:tab/>
            </w:r>
            <w:r>
              <w:t xml:space="preserve">Înainte de a decide cu privire la o cerere de acordare a unei autorizații specifice de gestionare a unui </w:t>
            </w:r>
            <w:r>
              <w:rPr>
                <w:b/>
                <w:i/>
                <w:strike w:val="0"/>
                <w:color w:val="auto"/>
                <w:highlight w:val="none"/>
                <w:u w:val="none" w:color="auto"/>
                <w:vertAlign w:val="baseline"/>
              </w:rPr>
              <w:t>sistem de decontare a titlurilor de valoare bazat pe</w:t>
            </w:r>
            <w:r>
              <w:t xml:space="preserve"> DLT în temeiul prezentului regulament, autoritatea competentă notifică </w:t>
            </w:r>
            <w:r>
              <w:rPr>
                <w:b/>
                <w:i/>
                <w:strike w:val="0"/>
                <w:color w:val="auto"/>
                <w:highlight w:val="none"/>
                <w:u w:val="none" w:color="auto"/>
                <w:vertAlign w:val="baseline"/>
              </w:rPr>
              <w:t>autoritățile relevante menționate la articolul 12 din Regulamentul (UE) nr. 909/2014, le furnizează</w:t>
            </w:r>
            <w:r>
              <w:t xml:space="preserve"> toate informațiile relevante privind sistemul de decontare a titlurilor de valoare bazat pe DLT și </w:t>
            </w:r>
            <w:r>
              <w:rPr>
                <w:b/>
                <w:i/>
                <w:strike w:val="0"/>
                <w:color w:val="auto"/>
                <w:highlight w:val="none"/>
                <w:u w:val="none" w:color="auto"/>
                <w:vertAlign w:val="baseline"/>
              </w:rPr>
              <w:t>consultă autoritățile respective cu privire la caracteristicile sistemului de decontare a titlurilor de valoare gestionat de solicitant și, în cazul unei cereri din partea unei instituții de credit, transmite toate informațiile relevante autorității de supraveghere prudențială, inclusiv BCE pentru instituțiile de credit semnificative, și, în orice caz, ESMA, incluzând </w:t>
            </w:r>
            <w:r>
              <w:t xml:space="preserve">o explicație a derogărilor solicitate, justificarea acestora și orice măsuri compensatorii propuse de solicitant sau solicitate de autoritatea competentă. </w:t>
            </w:r>
            <w:r>
              <w:rPr>
                <w:b/>
                <w:i/>
                <w:strike w:val="0"/>
                <w:color w:val="auto"/>
                <w:highlight w:val="none"/>
                <w:u w:val="none" w:color="auto"/>
                <w:vertAlign w:val="baseline"/>
              </w:rPr>
              <w:t>În termen de trei luni de la primirea notificării, autoritățile relevante menționate la articolul 12 din Regulamentul (UE) nr. 909/2014 pot răspunde autorității competente, iar ESMA transmite autorității competente un aviz fără caracter obligatoriu privind cererea și formulează recomandări privind derogările solicitate de solicitant, care sunt necesare pentru a asigura protecția investitorilor, integritatea pieței și stabilitatea financiară.</w:t>
            </w:r>
            <w:r>
              <w:t xml:space="preserve"> </w:t>
            </w:r>
            <w:r>
              <w:rPr>
                <w:b/>
                <w:i/>
                <w:strike w:val="0"/>
                <w:color w:val="auto"/>
                <w:highlight w:val="none"/>
                <w:u w:val="none" w:color="auto"/>
                <w:vertAlign w:val="baseline"/>
              </w:rPr>
              <w:t>ESMA promovează, de asemenea, coerența și proporționalitatea derogărilor acordate de autoritățile competente CSD-urilor care gestionează sisteme de decontare a titlurilor de valoare bazate pe DLT, în întreaga Uniune.</w:t>
            </w:r>
            <w:r>
              <w:t xml:space="preserve"> </w:t>
            </w:r>
            <w:r>
              <w:rPr>
                <w:b/>
                <w:i/>
                <w:strike w:val="0"/>
                <w:color w:val="auto"/>
                <w:highlight w:val="none"/>
                <w:u w:val="none" w:color="auto"/>
                <w:vertAlign w:val="baseline"/>
              </w:rPr>
              <w:t>În acest scop, ESMA consultă autoritățile competente din celelalte state membre în timp util și ține seama de opiniile lor în avizul său.</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Conform avizului BCE.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432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Johan Van Overtveldt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3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Înainte de a decide cu privire la o cerere de acordare a unei autorizații specifice de gestionare a unui </w:t>
            </w:r>
            <w:r>
              <w:rPr>
                <w:b/>
                <w:i/>
                <w:strike w:val="0"/>
                <w:color w:val="auto"/>
                <w:highlight w:val="none"/>
                <w:u w:val="none" w:color="auto"/>
                <w:vertAlign w:val="baseline"/>
              </w:rPr>
              <w:t>MTF</w:t>
            </w:r>
            <w:r>
              <w:t xml:space="preserve"> DLT în temeiul prezentului regulament, autoritatea competentă notifică </w:t>
            </w:r>
            <w:r>
              <w:rPr>
                <w:b/>
                <w:i/>
                <w:strike w:val="0"/>
                <w:color w:val="auto"/>
                <w:highlight w:val="none"/>
                <w:u w:val="none" w:color="auto"/>
                <w:vertAlign w:val="baseline"/>
              </w:rPr>
              <w:t>ESMA și furnizează ESMA</w:t>
            </w:r>
            <w:r>
              <w:t xml:space="preserve"> toate informațiile relevante privind </w:t>
            </w:r>
            <w:r>
              <w:rPr>
                <w:b/>
                <w:i/>
                <w:strike w:val="0"/>
                <w:color w:val="auto"/>
                <w:highlight w:val="none"/>
                <w:u w:val="none" w:color="auto"/>
                <w:vertAlign w:val="baseline"/>
              </w:rPr>
              <w:t>sistemul</w:t>
            </w:r>
            <w:r>
              <w:t xml:space="preserve"> de decontare a titlurilor de valoare </w:t>
            </w:r>
            <w:r>
              <w:rPr>
                <w:b/>
                <w:i/>
                <w:strike w:val="0"/>
                <w:color w:val="auto"/>
                <w:highlight w:val="none"/>
                <w:u w:val="none" w:color="auto"/>
                <w:vertAlign w:val="baseline"/>
              </w:rPr>
              <w:t>bazat pe DLT și</w:t>
            </w:r>
            <w:r>
              <w:t xml:space="preserve"> o explicație a derogărilor solicitate, justificarea acestora și orice măsuri compensatorii propuse de solicitant sau solicitate de autoritatea competentă.</w:t>
            </w:r>
          </w:p>
        </w:tc>
        <w:tc>
          <w:tcPr>
            <w:tcW w:w="4876" w:type="dxa"/>
            <w:vAlign w:val="top"/>
          </w:tcPr>
          <w:p>
            <w:pPr>
              <w:pStyle w:val="Normal6a"/>
            </w:pPr>
            <w:r>
              <w:t>3.</w:t>
            </w:r>
            <w:r>
              <w:tab/>
            </w:r>
            <w:r>
              <w:t xml:space="preserve">Înainte de a decide cu privire la o cerere de acordare a unei autorizații specifice de gestionare a unui </w:t>
            </w:r>
            <w:r>
              <w:rPr>
                <w:b/>
                <w:i/>
                <w:strike w:val="0"/>
                <w:color w:val="auto"/>
                <w:highlight w:val="none"/>
                <w:u w:val="none" w:color="auto"/>
                <w:vertAlign w:val="baseline"/>
              </w:rPr>
              <w:t>SSS</w:t>
            </w:r>
            <w:r>
              <w:t xml:space="preserve"> DLT în temeiul prezentului regulament, autoritatea competentă notifică </w:t>
            </w:r>
            <w:r>
              <w:rPr>
                <w:b/>
                <w:i/>
                <w:strike w:val="0"/>
                <w:color w:val="auto"/>
                <w:highlight w:val="none"/>
                <w:u w:val="none" w:color="auto"/>
                <w:vertAlign w:val="baseline"/>
              </w:rPr>
              <w:t>autoritățile relevante menționate la articolul 12 din Regulamentul (UE) nr. 909/2014, le furnizează</w:t>
            </w:r>
            <w:r>
              <w:t xml:space="preserve"> toate informațiile relevante privind </w:t>
            </w:r>
            <w:r>
              <w:rPr>
                <w:b/>
                <w:i/>
                <w:strike w:val="0"/>
                <w:color w:val="auto"/>
                <w:highlight w:val="none"/>
                <w:u w:val="none" w:color="auto"/>
                <w:vertAlign w:val="baseline"/>
              </w:rPr>
              <w:t>SSS DLT și consultă autoritățile respective cu privire la caracteristicile sistemului</w:t>
            </w:r>
            <w:r>
              <w:t xml:space="preserve"> de decontare a titlurilor de valoare </w:t>
            </w:r>
            <w:r>
              <w:rPr>
                <w:b/>
                <w:i/>
                <w:strike w:val="0"/>
                <w:color w:val="auto"/>
                <w:highlight w:val="none"/>
                <w:u w:val="none" w:color="auto"/>
                <w:vertAlign w:val="baseline"/>
              </w:rPr>
              <w:t>gestionat de solicitant și, în cazul unei cereri din partea unei instituții de credit, transmite toate informațiile relevante autorității de supraveghere prudențială, inclusiv BCE pentru instituțiile de credit semnificative, și, în orice caz, ESMA, incluzând</w:t>
            </w:r>
            <w:r>
              <w:t xml:space="preserve"> o explicație a derogărilor solicitate, justificarea acestora și orice măsuri compensatorii </w:t>
            </w:r>
            <w:r>
              <w:rPr>
                <w:b/>
                <w:i/>
                <w:strike w:val="0"/>
                <w:color w:val="auto"/>
                <w:highlight w:val="none"/>
                <w:u w:val="none" w:color="auto"/>
                <w:vertAlign w:val="baseline"/>
              </w:rPr>
              <w:t>sau corective</w:t>
            </w:r>
            <w:r>
              <w:t xml:space="preserve"> propuse de solicitant sau solicitate de autoritatea competentă.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Acest amendament urmărește să ia în considerare o sugestie din avizul BCE.</w:t>
      </w:r>
      <w:r>
        <w:t xml:space="preserve"> </w:t>
      </w:r>
      <w:r>
        <w:t>Având în vedere competențele de supraveghere prudențială ale autorităților naționale competente și ale BCE în ceea ce privește instituțiile de credit, atât autoritățile naționale competente cât și BCE ar trebui să fie informate cu privire la procesul de autorizare și de post-autorizare a instituțiilor de credit care sunt CSD-uri care gestionează un SSS DLT.</w:t>
      </w:r>
      <w:r>
        <w:t xml:space="preserve"> </w:t>
      </w:r>
      <w:r>
        <w:t>În plus, furnizarea de către un CSD care gestionează un SSS DLT de servicii de tip CSD de bază ar trebui să necesite o evaluare din partea autorităților relevante, inclusiv a băncilor centrale din cadrul SEBC, în conformitate cu articolele 16 și 17 din Regulamentul (UE) nr. 909/2014.</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433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3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Înainte de a decide cu privire la o cerere de acordare a unei autorizații specifice de gestionare a unui </w:t>
            </w:r>
            <w:r>
              <w:rPr>
                <w:b/>
                <w:i/>
                <w:strike w:val="0"/>
                <w:color w:val="auto"/>
                <w:highlight w:val="none"/>
                <w:u w:val="none" w:color="auto"/>
                <w:vertAlign w:val="baseline"/>
              </w:rPr>
              <w:t>MTF</w:t>
            </w:r>
            <w:r>
              <w:t xml:space="preserve"> DLT în temeiul prezentului regulament, </w:t>
            </w:r>
            <w:r>
              <w:rPr>
                <w:b/>
                <w:i/>
                <w:strike w:val="0"/>
                <w:color w:val="auto"/>
                <w:highlight w:val="none"/>
                <w:u w:val="none" w:color="auto"/>
                <w:vertAlign w:val="baseline"/>
              </w:rPr>
              <w:t>autoritatea competentă notifică ESMA și furnizează ESMA toate informațiile relevante privind sistemul de decontare a titlurilor de valoare bazat pe DLT și o explicație a derogărilor solicitate, justificarea acestora și orice măsuri compensatorii propuse de solicitant sau solicitate de autoritatea competentă</w:t>
            </w:r>
            <w:r>
              <w:t>.</w:t>
            </w:r>
          </w:p>
        </w:tc>
        <w:tc>
          <w:tcPr>
            <w:tcW w:w="4876" w:type="dxa"/>
            <w:vAlign w:val="top"/>
          </w:tcPr>
          <w:p>
            <w:pPr>
              <w:pStyle w:val="Normal6a"/>
            </w:pPr>
            <w:r>
              <w:t>3.</w:t>
            </w:r>
            <w:r>
              <w:tab/>
            </w:r>
            <w:r>
              <w:t xml:space="preserve">Înainte de a decide cu privire la o cerere de acordare a unei autorizații specifice de gestionare a unui </w:t>
            </w:r>
            <w:r>
              <w:rPr>
                <w:b/>
                <w:i/>
                <w:strike w:val="0"/>
                <w:color w:val="auto"/>
                <w:highlight w:val="none"/>
                <w:u w:val="none" w:color="auto"/>
                <w:vertAlign w:val="baseline"/>
              </w:rPr>
              <w:t>sistem de decontare a titlurilor de valoare care gestionează un</w:t>
            </w:r>
            <w:r>
              <w:t xml:space="preserve"> DLT în temeiul prezentului regulament, </w:t>
            </w:r>
            <w:r>
              <w:rPr>
                <w:b/>
                <w:i/>
                <w:strike w:val="0"/>
                <w:color w:val="auto"/>
                <w:highlight w:val="none"/>
                <w:u w:val="none" w:color="auto"/>
                <w:vertAlign w:val="baseline"/>
              </w:rPr>
              <w:t>ESMA notifică acest lucru autorității competente din statul membru de origine și autorităților relevante menționate la articolul 12 din Regulamentul (UE) nr. 909/2014 și consultă autoritățile respective cu privire la caracteristicile sistemului de decontare a titlurilor de valoare gestionat de solicitant</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434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Jessica Polfjärd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3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Înainte de a decide cu privire la o cerere de acordare a unei autorizații specifice de gestionare a unui </w:t>
            </w:r>
            <w:r>
              <w:rPr>
                <w:b/>
                <w:i/>
                <w:strike w:val="0"/>
                <w:color w:val="auto"/>
                <w:highlight w:val="none"/>
                <w:u w:val="none" w:color="auto"/>
                <w:vertAlign w:val="baseline"/>
              </w:rPr>
              <w:t>MTF</w:t>
            </w:r>
            <w:r>
              <w:t xml:space="preserve"> DLT în temeiul prezentului regulament, autoritatea competentă notifică ESMA și furnizează ESMA toate informațiile relevante privind sistemul de decontare a titlurilor de valoare bazat pe DLT și o explicație a derogărilor solicitate, justificarea acestora și orice măsuri compensatorii propuse de solicitant sau solicitate de autoritatea competentă.</w:t>
            </w:r>
          </w:p>
        </w:tc>
        <w:tc>
          <w:tcPr>
            <w:tcW w:w="4876" w:type="dxa"/>
            <w:vAlign w:val="top"/>
          </w:tcPr>
          <w:p>
            <w:pPr>
              <w:pStyle w:val="Normal6a"/>
            </w:pPr>
            <w:r>
              <w:t>3.</w:t>
            </w:r>
            <w:r>
              <w:tab/>
            </w:r>
            <w:r>
              <w:t xml:space="preserve">Înainte de a decide cu privire la o cerere de acordare a unei autorizații specifice de gestionare a unui </w:t>
            </w:r>
            <w:r>
              <w:rPr>
                <w:b/>
                <w:i/>
                <w:strike w:val="0"/>
                <w:color w:val="auto"/>
                <w:highlight w:val="none"/>
                <w:u w:val="none" w:color="auto"/>
                <w:vertAlign w:val="baseline"/>
              </w:rPr>
              <w:t>sistem de decontare a titlurilor de valoare bazat pe</w:t>
            </w:r>
            <w:r>
              <w:t xml:space="preserve"> DLT în temeiul prezentului regulament, autoritatea competentă notifică ESMA și furnizează ESMA toate informațiile relevante privind sistemul de decontare a titlurilor de valoare bazat pe DLT și o explicație a derogărilor solicitate, justificarea acestora și orice măsuri compensatorii propuse de solicitant sau solicitate de autoritatea competentă.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435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3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Înainte de a decide cu privire la o cerere de acordare a unei autorizații specifice de gestionare a unui </w:t>
            </w:r>
            <w:r>
              <w:rPr>
                <w:b/>
                <w:i/>
                <w:strike w:val="0"/>
                <w:color w:val="auto"/>
                <w:highlight w:val="none"/>
                <w:u w:val="none" w:color="auto"/>
                <w:vertAlign w:val="baseline"/>
              </w:rPr>
              <w:t>MTF</w:t>
            </w:r>
            <w:r>
              <w:t xml:space="preserve"> DLT în temeiul prezentului regulament, autoritatea competentă notifică ESMA și furnizează ESMA toate informațiile relevante privind </w:t>
            </w:r>
            <w:r>
              <w:rPr>
                <w:b/>
                <w:i/>
                <w:strike w:val="0"/>
                <w:color w:val="auto"/>
                <w:highlight w:val="none"/>
                <w:u w:val="none" w:color="auto"/>
                <w:vertAlign w:val="baseline"/>
              </w:rPr>
              <w:t>sistemul de decontare a titlurilor de valoare bazat pe</w:t>
            </w:r>
            <w:r>
              <w:t xml:space="preserve"> DLT și o explicație a derogărilor solicitate, justificarea acestora și orice măsuri compensatorii propuse de solicitant sau solicitate de autoritatea competentă.</w:t>
            </w:r>
          </w:p>
        </w:tc>
        <w:tc>
          <w:tcPr>
            <w:tcW w:w="4876" w:type="dxa"/>
            <w:vAlign w:val="top"/>
          </w:tcPr>
          <w:p>
            <w:pPr>
              <w:pStyle w:val="Normal6a"/>
            </w:pPr>
            <w:r>
              <w:t>3.</w:t>
            </w:r>
            <w:r>
              <w:tab/>
            </w:r>
            <w:r>
              <w:t xml:space="preserve">Înainte de a decide cu privire la o cerere de acordare a unei autorizații specifice de gestionare a unui </w:t>
            </w:r>
            <w:r>
              <w:rPr>
                <w:b/>
                <w:i/>
                <w:strike w:val="0"/>
                <w:color w:val="auto"/>
                <w:highlight w:val="none"/>
                <w:u w:val="none" w:color="auto"/>
                <w:vertAlign w:val="baseline"/>
              </w:rPr>
              <w:t>SSS</w:t>
            </w:r>
            <w:r>
              <w:t xml:space="preserve"> DLT în temeiul prezentului regulament, autoritatea competentă notifică ESMA și furnizează ESMA toate informațiile relevante privind </w:t>
            </w:r>
            <w:r>
              <w:rPr>
                <w:b/>
                <w:i/>
                <w:strike w:val="0"/>
                <w:color w:val="auto"/>
                <w:highlight w:val="none"/>
                <w:u w:val="none" w:color="auto"/>
                <w:vertAlign w:val="baseline"/>
              </w:rPr>
              <w:t>SSS</w:t>
            </w:r>
            <w:r>
              <w:t xml:space="preserve"> DLT și o explicație a derogărilor solicitate, justificarea acestora și orice măsuri compensatorii </w:t>
            </w:r>
            <w:r>
              <w:rPr>
                <w:b/>
                <w:i/>
                <w:strike w:val="0"/>
                <w:color w:val="auto"/>
                <w:highlight w:val="none"/>
                <w:u w:val="none" w:color="auto"/>
                <w:vertAlign w:val="baseline"/>
              </w:rPr>
              <w:t>sau corective</w:t>
            </w:r>
            <w:r>
              <w:t xml:space="preserve"> propuse de solicitant sau solicitate de autoritatea competentă.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 și corectură, întrucât articolul 8 se referă la SSS DLT.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436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3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În termen de trei luni de la primirea </w:t>
            </w:r>
            <w:r>
              <w:rPr>
                <w:b/>
                <w:i/>
                <w:strike w:val="0"/>
                <w:color w:val="auto"/>
                <w:highlight w:val="none"/>
                <w:u w:val="none" w:color="auto"/>
                <w:vertAlign w:val="baseline"/>
              </w:rPr>
              <w:t>notificării, ESMA furnizează autorității competente un aviz fără caracter obligatoriu</w:t>
            </w:r>
            <w:r>
              <w:t xml:space="preserve"> privind cererea și </w:t>
            </w:r>
            <w:r>
              <w:rPr>
                <w:b/>
                <w:i/>
                <w:strike w:val="0"/>
                <w:color w:val="auto"/>
                <w:highlight w:val="none"/>
                <w:u w:val="none" w:color="auto"/>
                <w:vertAlign w:val="baseline"/>
              </w:rPr>
              <w:t>formulează recomandări</w:t>
            </w:r>
            <w:r>
              <w:t xml:space="preserve"> privind derogările solicitate de solicitant, care sunt necesare pentru a asigura protecția investitorilor, integritatea pieței și stabilitatea financiară. ESMA </w:t>
            </w:r>
            <w:r>
              <w:rPr>
                <w:b/>
                <w:i/>
                <w:strike w:val="0"/>
                <w:color w:val="auto"/>
                <w:highlight w:val="none"/>
                <w:u w:val="none" w:color="auto"/>
                <w:vertAlign w:val="baseline"/>
              </w:rPr>
              <w:t>promovează, de asemenea,</w:t>
            </w:r>
            <w:r>
              <w:t xml:space="preserve"> coerența și proporționalitatea derogărilor acordate de autoritățile competente CSD-urilor care gestionează sisteme de decontare a titlurilor de valoare bazate pe DLT, în întreaga Uniune. </w:t>
            </w:r>
            <w:r>
              <w:rPr>
                <w:b/>
                <w:i/>
                <w:strike w:val="0"/>
                <w:color w:val="auto"/>
                <w:highlight w:val="none"/>
                <w:u w:val="none" w:color="auto"/>
                <w:vertAlign w:val="baseline"/>
              </w:rPr>
              <w:t>În acest scop, ESMA consultă autoritățile competente ale celorlalte state membre în timp util și ține seama în cea mai mare măsură de opiniile acestora în avizul său.</w:t>
            </w:r>
          </w:p>
        </w:tc>
        <w:tc>
          <w:tcPr>
            <w:tcW w:w="4876" w:type="dxa"/>
            <w:vAlign w:val="top"/>
          </w:tcPr>
          <w:p>
            <w:pPr>
              <w:pStyle w:val="Normal6a"/>
            </w:pPr>
            <w:r>
              <w:t xml:space="preserve">În termen de trei luni de la primirea </w:t>
            </w:r>
            <w:r>
              <w:rPr>
                <w:b/>
                <w:i/>
                <w:strike w:val="0"/>
                <w:color w:val="auto"/>
                <w:highlight w:val="none"/>
                <w:u w:val="none" w:color="auto"/>
                <w:vertAlign w:val="baseline"/>
              </w:rPr>
              <w:t>cererii, ESMA emite o decizie</w:t>
            </w:r>
            <w:r>
              <w:t xml:space="preserve"> privind cererea și </w:t>
            </w:r>
            <w:r>
              <w:rPr>
                <w:b/>
                <w:i/>
                <w:strike w:val="0"/>
                <w:color w:val="auto"/>
                <w:highlight w:val="none"/>
                <w:u w:val="none" w:color="auto"/>
                <w:vertAlign w:val="baseline"/>
              </w:rPr>
              <w:t>solicită orice măsuri compensatorii suplimentare</w:t>
            </w:r>
            <w:r>
              <w:t xml:space="preserve"> privind derogările solicitate de solicitant, care sunt necesare pentru a asigura protecția investitorilor, integritatea pieței și stabilitatea financiară. ESMA </w:t>
            </w:r>
            <w:r>
              <w:rPr>
                <w:b/>
                <w:i/>
                <w:strike w:val="0"/>
                <w:color w:val="auto"/>
                <w:highlight w:val="none"/>
                <w:u w:val="none" w:color="auto"/>
                <w:vertAlign w:val="baseline"/>
              </w:rPr>
              <w:t>adoptă o abordare bazată pe riscuri și promovează</w:t>
            </w:r>
            <w:r>
              <w:t xml:space="preserve"> coerența și proporționalitatea derogărilor acordate de autoritățile competente CSD-urilor care gestionează sisteme de decontare a titlurilor de valoare bazate pe DLT, în întreaga Uniune.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437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Johan Van Overtveldt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7 – alineatul 3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În termen de trei luni de la primirea notificării, ESMA furnizează autorității competente un aviz fără caracter obligatoriu privind cererea și formulează recomandări privind derogările solicitate de solicitant, care sunt necesare pentru a asigura protecția investitorilor, integritatea pieței și stabilitatea financiară. ESMA promovează, de asemenea, coerența și proporționalitatea derogărilor acordate de autoritățile competente CSD-urilor care gestionează sisteme de decontare a titlurilor de valoare bazate pe DLT, în întreaga Uniune. În acest scop, ESMA consultă autoritățile competente ale celorlalte state membre în timp util și ține seama în cea mai mare măsură de opiniile acestora în avizul său.</w:t>
            </w:r>
          </w:p>
        </w:tc>
        <w:tc>
          <w:tcPr>
            <w:tcW w:w="4876" w:type="dxa"/>
            <w:vAlign w:val="top"/>
          </w:tcPr>
          <w:p>
            <w:pPr>
              <w:pStyle w:val="Normal6a"/>
            </w:pPr>
            <w:r>
              <w:t xml:space="preserve">În termen de trei luni de la primirea notificării, </w:t>
            </w:r>
            <w:r>
              <w:rPr>
                <w:b/>
                <w:i/>
                <w:strike w:val="0"/>
                <w:color w:val="auto"/>
                <w:highlight w:val="none"/>
                <w:u w:val="none" w:color="auto"/>
                <w:vertAlign w:val="baseline"/>
              </w:rPr>
              <w:t>autoritățile relevante menționate la articolul 12 din Regulamentul (UE) nr. 909/2014 pot răspunde autorității competente, iar</w:t>
            </w:r>
            <w:r>
              <w:t xml:space="preserve"> ESMA furnizează autorității competente un aviz fără caracter obligatoriu privind cererea și formulează recomandări privind derogările solicitate de solicitant, care sunt necesare pentru a asigura protecția investitorilor, integritatea pieței și stabilitatea financiară. ESMA promovează, de asemenea, coerența și proporționalitatea derogărilor acordate de autoritățile competente CSD-urilor care gestionează sisteme de decontare a titlurilor de valoare bazate pe DLT, în întreaga Uniune. În acest scop, ESMA consultă autoritățile competente ale celorlalte state membre în timp util și ține seama în cea mai mare măsură de opiniile acestora în avizul său.</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Acest amendament urmărește să ia în considerare o sugestie din avizul BCE.</w:t>
      </w:r>
      <w:r>
        <w:t xml:space="preserve"> </w:t>
      </w:r>
      <w:r>
        <w:t>Având în vedere competențele de supraveghere prudențială ale autorităților naționale competente și ale BCE în ceea ce privește instituțiile de credit, atât autoritățile naționale competente cât și BCE ar trebui să fie informate cu privire la procesul de autorizare și de post-autorizare a instituțiilor de credit care sunt CSD-uri care gestionează un SSS DLT.</w:t>
      </w:r>
      <w:r>
        <w:t xml:space="preserve"> </w:t>
      </w:r>
      <w:r>
        <w:t>În plus, furnizarea de către un CSD care gestionează un SSS DLT de servicii de tip CSD de bază ar trebui să necesite o evaluare din partea autorităților relevante, inclusiv a băncilor centrale din cadrul SEBC, în conformitate cu articolele 16 și 17 din Regulamentul (UE) nr. 909/2014.</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438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Johan Van Overtveldt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4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Fără a aduce atingere articolului 17 din Regulamentul (UE) nr. 909/2014, o autoritate competentă refuză să acorde o autorizație specifică în temeiul prezentului regulament, în cazul în care există motive pentru a crede următoarele:</w:t>
            </w:r>
          </w:p>
        </w:tc>
        <w:tc>
          <w:tcPr>
            <w:tcW w:w="4876" w:type="dxa"/>
            <w:vAlign w:val="top"/>
          </w:tcPr>
          <w:p>
            <w:pPr>
              <w:pStyle w:val="Normal6a"/>
            </w:pPr>
            <w:r>
              <w:t>4.</w:t>
            </w:r>
            <w:r>
              <w:tab/>
            </w:r>
            <w:r>
              <w:t xml:space="preserve">Fără a aduce atingere articolului 17 din Regulamentul (UE) nr. 909/2014 </w:t>
            </w:r>
            <w:r>
              <w:rPr>
                <w:b/>
                <w:i/>
                <w:strike w:val="0"/>
                <w:color w:val="auto"/>
                <w:highlight w:val="none"/>
                <w:u w:val="none" w:color="auto"/>
                <w:vertAlign w:val="baseline"/>
              </w:rPr>
              <w:t>și după ce a informat autoritățile relevante menționate la articolul 12 din Regulamentul (UE) nr. 909/2014 și, în cazul unei instituții de credit, autoritatea sa de supraveghere prudențială, inclusiv BCE, pentru instituțiile de credit semnificative</w:t>
            </w:r>
            <w:r>
              <w:t>, o autoritate competentă refuză să acorde o autorizație specifică în temeiul prezentului regulament, în cazul în care există motive pentru a crede următoarele: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Acest amendament urmărește să ia în considerare o sugestie din avizul BCE.</w:t>
      </w:r>
      <w:r>
        <w:t xml:space="preserve"> </w:t>
      </w:r>
      <w:r>
        <w:t>Având în vedere competențele de supraveghere prudențială ale autorităților naționale competente și ale BCE în ceea ce privește instituțiile de credit, atât autoritățile naționale competente cât și BCE ar trebui să fie informate cu privire la procesul de autorizare și de post-autorizare a instituțiilor de credit care sunt CSD-uri care gestionează un SSS DLT.</w:t>
      </w:r>
      <w:r>
        <w:t xml:space="preserve"> </w:t>
      </w:r>
      <w:r>
        <w:t>În plus, furnizarea de către un CSD care gestionează un SSS DLT de servicii de tip CSD de bază ar trebui să necesite o evaluare din partea autorităților relevante, inclusiv a băncilor centrale din cadrul SEBC, în conformitate cu articolele 16 și 17 din Regulamentul (UE) nr. 909/2014.</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439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Jonás Fernández</w:t>
      </w:r>
      <w:r>
        <w:t xml:space="preserve">, </w:t>
      </w:r>
      <w:r>
        <w:t>Eero Heinäluoma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4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Fără a aduce atingere articolului 17 din Regulamentul (UE) nr. 909/2014, o autoritate competentă refuză să acorde o autorizație specifică în temeiul prezentului regulament, în cazul în care există motive pentru a crede următoarele:</w:t>
            </w:r>
          </w:p>
        </w:tc>
        <w:tc>
          <w:tcPr>
            <w:tcW w:w="4876" w:type="dxa"/>
            <w:vAlign w:val="top"/>
          </w:tcPr>
          <w:p>
            <w:pPr>
              <w:pStyle w:val="Normal6a"/>
            </w:pPr>
            <w:r>
              <w:t>4.</w:t>
            </w:r>
            <w:r>
              <w:tab/>
            </w:r>
            <w:r>
              <w:t xml:space="preserve">Fără a aduce atingere articolului 17 din Regulamentul (UE) nr. 909/2014 </w:t>
            </w:r>
            <w:r>
              <w:rPr>
                <w:b/>
                <w:i/>
                <w:strike w:val="0"/>
                <w:color w:val="auto"/>
                <w:highlight w:val="none"/>
                <w:u w:val="none" w:color="auto"/>
                <w:vertAlign w:val="baseline"/>
              </w:rPr>
              <w:t>și după ce a informat autoritățile relevante menționate la articolul 12 din Regulamentul (UE) nr. 909/2014 și, în cazul unei instituții de credit, autoritatea sa de supraveghere prudențială, inclusiv BCE, pentru instituțiile de credit semnificative</w:t>
            </w:r>
            <w:r>
              <w:t>, o autoritate competentă refuză să acorde o autorizație specifică în temeiul prezentului regulament, în cazul în care există motive pentru a crede următoarele: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Conform avizului BCE.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440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5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ESMA publică pe site-ul său </w:t>
            </w:r>
            <w:r>
              <w:rPr>
                <w:b/>
                <w:i/>
                <w:strike w:val="0"/>
                <w:color w:val="auto"/>
                <w:highlight w:val="none"/>
                <w:u w:val="none" w:color="auto"/>
                <w:vertAlign w:val="baseline"/>
              </w:rPr>
              <w:t>lista sistemelor de decontare a titlurilor de valoare bazate pe</w:t>
            </w:r>
            <w:r>
              <w:t xml:space="preserve"> DLT, datele de începere și de încetare a autorizațiilor lor specifice și lista derogărilor acordate fiecăruia dintre acestea.</w:t>
            </w:r>
          </w:p>
        </w:tc>
        <w:tc>
          <w:tcPr>
            <w:tcW w:w="4876" w:type="dxa"/>
            <w:vAlign w:val="top"/>
          </w:tcPr>
          <w:p>
            <w:pPr>
              <w:pStyle w:val="Normal6a"/>
            </w:pPr>
            <w:r>
              <w:t xml:space="preserve">ESMA publică pe site-ul său </w:t>
            </w:r>
            <w:r>
              <w:rPr>
                <w:b/>
                <w:i/>
                <w:strike w:val="0"/>
                <w:color w:val="auto"/>
                <w:highlight w:val="none"/>
                <w:u w:val="none" w:color="auto"/>
                <w:vertAlign w:val="baseline"/>
              </w:rPr>
              <w:t>(a) lista SSS</w:t>
            </w:r>
            <w:r>
              <w:t xml:space="preserve"> DLT, datele de începere și de încetare a autorizațiilor lor specifice și lista derogărilor acordate fiecăruia dintre acestea </w:t>
            </w:r>
            <w:r>
              <w:rPr>
                <w:b/>
                <w:i/>
                <w:strike w:val="0"/>
                <w:color w:val="auto"/>
                <w:highlight w:val="none"/>
                <w:u w:val="none" w:color="auto"/>
                <w:vertAlign w:val="baseline"/>
              </w:rPr>
              <w:t>și (b) numărul total de cereri de derogare care au fost depuse în temeiul prezentului regulament, indicând numărul de derogări acceptate sau refuzate, împreună cu justificările respective, în mod anonim</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Pentru a asigura transparența și uniformitatea, cererile de autorizații și derogări, precum și deciziile justificate respective ar trebui făcute publice.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441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Jonás Fernández</w:t>
      </w:r>
      <w:r>
        <w:t xml:space="preserve">, </w:t>
      </w:r>
      <w:r>
        <w:t>Eero Heinäluoma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6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6.</w:t>
            </w:r>
            <w:r>
              <w:tab/>
            </w:r>
            <w:r>
              <w:t xml:space="preserve">Fără a aduce atingere </w:t>
            </w:r>
            <w:r>
              <w:rPr>
                <w:b/>
                <w:i/>
                <w:strike w:val="0"/>
                <w:color w:val="auto"/>
                <w:highlight w:val="none"/>
                <w:u w:val="none" w:color="auto"/>
                <w:vertAlign w:val="baseline"/>
              </w:rPr>
              <w:t>aplicării</w:t>
            </w:r>
            <w:r>
              <w:t xml:space="preserve"> articolului 20 din Regulamentul (UE) nr. 909/2014, autoritatea competentă care a acordat autorizația specifică în temeiul prezentului regulament retrage această autorizație sau derogările acordate, după consultarea ESMA, în conformitate cu alineatul (3), în cazul în care a survenit una dintre următoarele situații:</w:t>
            </w:r>
          </w:p>
        </w:tc>
        <w:tc>
          <w:tcPr>
            <w:tcW w:w="4876" w:type="dxa"/>
            <w:vAlign w:val="top"/>
          </w:tcPr>
          <w:p>
            <w:pPr>
              <w:pStyle w:val="Normal6a"/>
            </w:pPr>
            <w:r>
              <w:t>6.</w:t>
            </w:r>
            <w:r>
              <w:tab/>
            </w:r>
            <w:r>
              <w:t xml:space="preserve">Fără a aduce atingere articolului 20 din Regulamentul (UE) nr. 909/2014, autoritatea competentă care a acordat autorizația specifică în temeiul prezentului regulament retrage această autorizație sau derogările acordate, după consultarea ESMA </w:t>
            </w:r>
            <w:r>
              <w:rPr>
                <w:b/>
                <w:i/>
                <w:strike w:val="0"/>
                <w:color w:val="auto"/>
                <w:highlight w:val="none"/>
                <w:u w:val="none" w:color="auto"/>
                <w:vertAlign w:val="baseline"/>
              </w:rPr>
              <w:t>și a autorităților relevante menționate la articolul 12 din Regulamentul (UE) nr. 909/2014 și după informarea, în cazul unei instituții de credit, autorității sale de supraveghere prudențială, inclusiv BCE pentru instituțiile de credit semnificative</w:t>
            </w:r>
            <w:r>
              <w:t>, în conformitate cu alineatul (3), în cazul în care a survenit una dintre următoarele situații:</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Conform avizului BCE.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442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6 – litera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(a)</w:t>
            </w:r>
            <w:r>
              <w:tab/>
            </w:r>
            <w:r>
              <w:t xml:space="preserve">a fost identificată o anomalie în funcționarea DLT sau la nivelul serviciilor și al activităților furnizate de </w:t>
            </w:r>
            <w:r>
              <w:rPr>
                <w:b/>
                <w:i/>
                <w:strike w:val="0"/>
                <w:color w:val="auto"/>
                <w:highlight w:val="none"/>
                <w:u w:val="none" w:color="auto"/>
                <w:vertAlign w:val="baseline"/>
              </w:rPr>
              <w:t>CSD-ul</w:t>
            </w:r>
            <w:r>
              <w:t xml:space="preserve"> care gestionează un sistem de decontare a titlurilor de valoare bazat pe DLT care reprezintă un risc pentru integritatea pieței, protecția investitorilor sau stabilitatea financiară, care depășește beneficiile serviciilor și ale activităților în fază experimentală sau</w:t>
            </w:r>
          </w:p>
        </w:tc>
        <w:tc>
          <w:tcPr>
            <w:tcW w:w="4876" w:type="dxa"/>
            <w:vAlign w:val="top"/>
          </w:tcPr>
          <w:p>
            <w:pPr>
              <w:pStyle w:val="Normal6a"/>
            </w:pPr>
            <w:r>
              <w:t>(a)</w:t>
            </w:r>
            <w:r>
              <w:tab/>
            </w:r>
            <w:r>
              <w:t xml:space="preserve">a fost identificată o anomalie în funcționarea DLT sau la nivelul serviciilor și al activităților furnizate de </w:t>
            </w:r>
            <w:r>
              <w:rPr>
                <w:b/>
                <w:i/>
                <w:strike w:val="0"/>
                <w:color w:val="auto"/>
                <w:highlight w:val="none"/>
                <w:u w:val="none" w:color="auto"/>
                <w:vertAlign w:val="baseline"/>
              </w:rPr>
              <w:t>entitatea</w:t>
            </w:r>
            <w:r>
              <w:t xml:space="preserve"> care gestionează un sistem de decontare a titlurilor de valoare bazat pe DLT care reprezintă un risc pentru integritatea pieței, protecția investitorilor sau stabilitatea financiară, care depășește beneficiile serviciilor și ale activităților în fază experimentală</w:t>
            </w:r>
            <w:r>
              <w:rPr>
                <w:b/>
                <w:i/>
                <w:strike w:val="0"/>
                <w:color w:val="auto"/>
                <w:highlight w:val="none"/>
                <w:u w:val="none" w:color="auto"/>
                <w:vertAlign w:val="baseline"/>
              </w:rPr>
              <w:t>;</w:t>
            </w:r>
            <w:r>
              <w:t xml:space="preserve"> sau</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443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6 – litera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(b)</w:t>
            </w:r>
            <w:r>
              <w:tab/>
            </w:r>
            <w:r>
              <w:rPr>
                <w:b/>
                <w:i/>
                <w:strike w:val="0"/>
                <w:color w:val="auto"/>
                <w:highlight w:val="none"/>
                <w:u w:val="none" w:color="auto"/>
                <w:vertAlign w:val="baseline"/>
              </w:rPr>
              <w:t>CSD-ul</w:t>
            </w:r>
            <w:r>
              <w:t xml:space="preserve"> care gestionează sistemul de decontare a titlurilor de valoare bazat pe DLT a încălcat condițiile conexe derogărilor acordate de autoritatea competentă sau</w:t>
            </w:r>
          </w:p>
        </w:tc>
        <w:tc>
          <w:tcPr>
            <w:tcW w:w="4876" w:type="dxa"/>
            <w:vAlign w:val="top"/>
          </w:tcPr>
          <w:p>
            <w:pPr>
              <w:pStyle w:val="Normal6a"/>
            </w:pPr>
            <w:r>
              <w:t>(b)</w:t>
            </w:r>
            <w:r>
              <w:tab/>
            </w:r>
            <w:r>
              <w:rPr>
                <w:b/>
                <w:i/>
                <w:strike w:val="0"/>
                <w:color w:val="auto"/>
                <w:highlight w:val="none"/>
                <w:u w:val="none" w:color="auto"/>
                <w:vertAlign w:val="baseline"/>
              </w:rPr>
              <w:t>entitatea</w:t>
            </w:r>
            <w:r>
              <w:t xml:space="preserve"> care gestionează sistemul de decontare a titlurilor de valoare bazat pe DLT a încălcat condițiile conexe derogărilor acordate de autoritatea competentă</w:t>
            </w:r>
            <w:r>
              <w:rPr>
                <w:b/>
                <w:i/>
                <w:strike w:val="0"/>
                <w:color w:val="auto"/>
                <w:highlight w:val="none"/>
                <w:u w:val="none" w:color="auto"/>
                <w:vertAlign w:val="baseline"/>
              </w:rPr>
              <w:t>;</w:t>
            </w:r>
            <w:r>
              <w:t xml:space="preserve"> sau</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444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6 – litera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rPr>
                <w:b/>
                <w:i/>
                <w:strike w:val="0"/>
                <w:color w:val="auto"/>
                <w:highlight w:val="none"/>
                <w:u w:val="none" w:color="auto"/>
                <w:vertAlign w:val="baseline"/>
              </w:rPr>
              <w:t>CSD-ul</w:t>
            </w:r>
            <w:r>
              <w:t xml:space="preserve"> care gestionează sistemul de decontare a titlurilor de valoare bazat pe DLT a înregistrat instrumente financiare care nu îndeplinesc condițiile prevăzute la articolul 3 alineatele (1) și (2) sau</w:t>
            </w:r>
          </w:p>
        </w:tc>
        <w:tc>
          <w:tcPr>
            <w:tcW w:w="4876" w:type="dxa"/>
            <w:vAlign w:val="top"/>
          </w:tcPr>
          <w:p>
            <w:pPr>
              <w:pStyle w:val="Normal6a"/>
            </w:pPr>
            <w:r>
              <w:t>(c)</w:t>
            </w:r>
            <w:r>
              <w:tab/>
            </w:r>
            <w:r>
              <w:rPr>
                <w:b/>
                <w:i/>
                <w:strike w:val="0"/>
                <w:color w:val="auto"/>
                <w:highlight w:val="none"/>
                <w:u w:val="none" w:color="auto"/>
                <w:vertAlign w:val="baseline"/>
              </w:rPr>
              <w:t>entitatea</w:t>
            </w:r>
            <w:r>
              <w:t xml:space="preserve"> care gestionează sistemul de decontare a titlurilor de valoare bazat pe DLT a înregistrat instrumente financiare care nu îndeplinesc condițiile prevăzute la articolul 3 alineatele (1) și (2)</w:t>
            </w:r>
            <w:r>
              <w:rPr>
                <w:b/>
                <w:i/>
                <w:strike w:val="0"/>
                <w:color w:val="auto"/>
                <w:highlight w:val="none"/>
                <w:u w:val="none" w:color="auto"/>
                <w:vertAlign w:val="baseline"/>
              </w:rPr>
              <w:t>;</w:t>
            </w:r>
            <w:r>
              <w:t xml:space="preserve"> sau</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445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6 – litera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(d)</w:t>
            </w:r>
            <w:r>
              <w:tab/>
            </w:r>
            <w:r>
              <w:rPr>
                <w:b/>
                <w:i/>
                <w:strike w:val="0"/>
                <w:color w:val="auto"/>
                <w:highlight w:val="none"/>
                <w:u w:val="none" w:color="auto"/>
                <w:vertAlign w:val="baseline"/>
              </w:rPr>
              <w:t>CSD-ul</w:t>
            </w:r>
            <w:r>
              <w:t xml:space="preserve"> care gestionează sistemul de decontare a titlurilor de valoare bazat pe DLT a depășit pragurile menționate la articolul 3 alineatul (3) și la articolul 3 alineatul (5) al treilea paragraf sau</w:t>
            </w:r>
          </w:p>
        </w:tc>
        <w:tc>
          <w:tcPr>
            <w:tcW w:w="4876" w:type="dxa"/>
            <w:vAlign w:val="top"/>
          </w:tcPr>
          <w:p>
            <w:pPr>
              <w:pStyle w:val="Normal6a"/>
            </w:pPr>
            <w:r>
              <w:t>(d)</w:t>
            </w:r>
            <w:r>
              <w:tab/>
            </w:r>
            <w:r>
              <w:rPr>
                <w:b/>
                <w:i/>
                <w:strike w:val="0"/>
                <w:color w:val="auto"/>
                <w:highlight w:val="none"/>
                <w:u w:val="none" w:color="auto"/>
                <w:vertAlign w:val="baseline"/>
              </w:rPr>
              <w:t>entitatea</w:t>
            </w:r>
            <w:r>
              <w:t xml:space="preserve"> care gestionează sistemul de decontare a titlurilor de valoare bazat pe DLT a depășit pragurile menționate la articolul 3 alineatul (3) și la articolul 3 alineatul (5) al treilea paragraf</w:t>
            </w:r>
            <w:r>
              <w:rPr>
                <w:b/>
                <w:i/>
                <w:strike w:val="0"/>
                <w:color w:val="auto"/>
                <w:highlight w:val="none"/>
                <w:u w:val="none" w:color="auto"/>
                <w:vertAlign w:val="baseline"/>
              </w:rPr>
              <w:t>;</w:t>
            </w:r>
            <w:r>
              <w:t xml:space="preserve"> sau</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446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6 – litera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(e)</w:t>
            </w:r>
            <w:r>
              <w:tab/>
            </w:r>
            <w:r>
              <w:t xml:space="preserve">autoritatea competentă ia cunoștință de faptul că </w:t>
            </w:r>
            <w:r>
              <w:rPr>
                <w:b/>
                <w:i/>
                <w:strike w:val="0"/>
                <w:color w:val="auto"/>
                <w:highlight w:val="none"/>
                <w:u w:val="none" w:color="auto"/>
                <w:vertAlign w:val="baseline"/>
              </w:rPr>
              <w:t>CSD-ul</w:t>
            </w:r>
            <w:r>
              <w:t xml:space="preserve"> care gestionează sistemul de decontare a titlurilor de valoare bazat pe DLT care a solicitat o autorizație specifică pentru gestionarea unui sistem de decontare a titlurilor de valoare bazat pe DLT a obținut autorizația sau derogările aferente pe baza unor informații înșelătoare, inclusiv orice omisiune semnificativă.</w:t>
            </w:r>
          </w:p>
        </w:tc>
        <w:tc>
          <w:tcPr>
            <w:tcW w:w="4876" w:type="dxa"/>
            <w:vAlign w:val="top"/>
          </w:tcPr>
          <w:p>
            <w:pPr>
              <w:pStyle w:val="Normal6a"/>
            </w:pPr>
            <w:r>
              <w:t>(e)</w:t>
            </w:r>
            <w:r>
              <w:tab/>
            </w:r>
            <w:r>
              <w:t xml:space="preserve">autoritatea competentă ia cunoștință de faptul că </w:t>
            </w:r>
            <w:r>
              <w:rPr>
                <w:b/>
                <w:i/>
                <w:strike w:val="0"/>
                <w:color w:val="auto"/>
                <w:highlight w:val="none"/>
                <w:u w:val="none" w:color="auto"/>
                <w:vertAlign w:val="baseline"/>
              </w:rPr>
              <w:t>entitatea</w:t>
            </w:r>
            <w:r>
              <w:t xml:space="preserve"> care gestionează sistemul de decontare a titlurilor de valoare bazat pe DLT care a solicitat o autorizație specifică pentru gestionarea unui sistem de decontare a titlurilor de valoare bazat pe DLT a obținut autorizația sau derogările aferente pe baza unor informații înșelătoare, inclusiv orice omisiune semnificativă.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447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7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7.</w:t>
            </w:r>
            <w:r>
              <w:tab/>
            </w:r>
            <w:r>
              <w:t xml:space="preserve">În cazul în care, în cursul activității sale, </w:t>
            </w:r>
            <w:r>
              <w:rPr>
                <w:b/>
                <w:i/>
                <w:strike w:val="0"/>
                <w:color w:val="auto"/>
                <w:highlight w:val="none"/>
                <w:u w:val="none" w:color="auto"/>
                <w:vertAlign w:val="baseline"/>
              </w:rPr>
              <w:t>un CSD</w:t>
            </w:r>
            <w:r>
              <w:t xml:space="preserve"> care gestionează un sistem de decontare a titlurilor de valoare bazat pe DLT propune să introducă o schimbare semnificativă în funcționarea DLT sau a serviciilor ori a activităților sale, care necesită o nouă autorizație, o nouă derogare sau modificarea uneia sau mai multor derogări existente sau a oricăror condiții aferente acestora, CSD-ul respectiv trebuie să solicite autorizația, derogarea sau modificarea în conformitate cu articolul 5. Această autorizație, derogare sau modificare trebuie tratată de autoritatea competentă în conformitate cu alineatele (2)-(5).</w:t>
            </w:r>
          </w:p>
        </w:tc>
        <w:tc>
          <w:tcPr>
            <w:tcW w:w="4876" w:type="dxa"/>
            <w:vAlign w:val="top"/>
          </w:tcPr>
          <w:p>
            <w:pPr>
              <w:pStyle w:val="Normal6a"/>
            </w:pPr>
            <w:r>
              <w:t>7.</w:t>
            </w:r>
            <w:r>
              <w:tab/>
            </w:r>
            <w:r>
              <w:t xml:space="preserve">În cazul în care, în cursul activității sale, </w:t>
            </w:r>
            <w:r>
              <w:rPr>
                <w:b/>
                <w:i/>
                <w:strike w:val="0"/>
                <w:color w:val="auto"/>
                <w:highlight w:val="none"/>
                <w:u w:val="none" w:color="auto"/>
                <w:vertAlign w:val="baseline"/>
              </w:rPr>
              <w:t>o entitate</w:t>
            </w:r>
            <w:r>
              <w:t xml:space="preserve"> care gestionează un sistem de decontare a titlurilor de valoare bazat pe DLT propune să introducă o schimbare semnificativă în funcționarea DLT sau a serviciilor ori a activităților sale, care necesită o nouă autorizație, o nouă derogare sau modificarea uneia sau mai multor derogări existente sau a oricăror condiții aferente acestora, CSD-ul respectiv trebuie să solicite autorizația, derogarea sau modificarea în conformitate cu articolul 5. Această autorizație, derogare sau modificare trebuie tratată de autoritatea competentă în conformitate cu alineatele (2)-(5).</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448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7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În cazul în care, în cursul activității sale, </w:t>
            </w:r>
            <w:r>
              <w:rPr>
                <w:b/>
                <w:i/>
                <w:strike w:val="0"/>
                <w:color w:val="auto"/>
                <w:highlight w:val="none"/>
                <w:u w:val="none" w:color="auto"/>
                <w:vertAlign w:val="baseline"/>
              </w:rPr>
              <w:t>un CSD</w:t>
            </w:r>
            <w:r>
              <w:t xml:space="preserve"> care gestionează un sistem de decontare a titlurilor de valoare bazat pe DLT solicită o nouă autorizație sau o nouă derogare, CSD-ul respectiv trebuie să solicite autorizația sau derogarea în conformitate cu articolul 5. Această autorizație, derogare sau modificare trebuie tratată de autoritatea competentă în conformitate cu alineatele (2)-(5).</w:t>
            </w:r>
          </w:p>
        </w:tc>
        <w:tc>
          <w:tcPr>
            <w:tcW w:w="4876" w:type="dxa"/>
            <w:vAlign w:val="top"/>
          </w:tcPr>
          <w:p>
            <w:pPr>
              <w:pStyle w:val="Normal6a"/>
            </w:pPr>
            <w:r>
              <w:t xml:space="preserve">În cazul în care, în cursul activității sale, </w:t>
            </w:r>
            <w:r>
              <w:rPr>
                <w:b/>
                <w:i/>
                <w:strike w:val="0"/>
                <w:color w:val="auto"/>
                <w:highlight w:val="none"/>
                <w:u w:val="none" w:color="auto"/>
                <w:vertAlign w:val="baseline"/>
              </w:rPr>
              <w:t>o entitate</w:t>
            </w:r>
            <w:r>
              <w:t xml:space="preserve"> care gestionează un sistem de decontare a titlurilor de valoare bazat pe DLT solicită o nouă autorizație sau o nouă derogare, CSD-ul respectiv trebuie să solicite autorizația sau derogarea în conformitate cu articolul 5. Această autorizație, derogare sau modificare trebuie tratată de autoritatea competentă în conformitate cu alineatele (2)-(5).</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449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8 – alineatul 7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7a.</w:t>
            </w:r>
            <w:r>
              <w:tab/>
            </w:r>
            <w:r>
              <w:rPr>
                <w:b/>
                <w:i/>
                <w:strike w:val="0"/>
                <w:color w:val="auto"/>
                <w:highlight w:val="none"/>
                <w:u w:val="none" w:color="auto"/>
                <w:vertAlign w:val="baseline"/>
              </w:rPr>
              <w:t>ESMA elaborează standarde tehnice de punere în aplicare pentru a specifica conținutul, formatele standardizate și modelele pentru prezentarea și transmiterea informațiilor necesare în scopul autorizării în temeiul prezentului articol și al articolului 7.</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ESMA prezintă Comisiei respectivele proiecte de standarde tehnice de punere în aplicare până la ... [șase luni de la data intrării în vigoare a prezentului regulament].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Comisia este împuternicită să adopte standardele tehnice de punere în aplicare menționate la primul paragraf în conformitate cu articolul 15 din Regulamentul (UE) nr. 1095/2010.</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450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Johan Van Overtveldt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 alineatul 1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w:t>
            </w:r>
            <w:r>
              <w:tab/>
            </w:r>
            <w:r>
              <w:t>Fără a aduce atingere aplicării dispozițiilor relevante ale Directivei 2014/65/UE și ale Regulamentului (UE) nr. 909/2014, operatorii de infrastructuri ale pieței bazate pe DLT cooperează cu autoritățile competente cărora li se încredințează competența de acordare de autorizații specifice în temeiul prezentului regulament și cu ESMA.</w:t>
            </w:r>
          </w:p>
        </w:tc>
        <w:tc>
          <w:tcPr>
            <w:tcW w:w="4876" w:type="dxa"/>
            <w:vAlign w:val="top"/>
          </w:tcPr>
          <w:p>
            <w:pPr>
              <w:pStyle w:val="Normal6a"/>
            </w:pPr>
            <w:r>
              <w:t>1.</w:t>
            </w:r>
            <w:r>
              <w:tab/>
            </w:r>
            <w:r>
              <w:t>Fără a aduce atingere aplicării dispozițiilor relevante ale Directivei 2014/65/UE și ale Regulamentului (UE) nr. 909/2014, operatorii de infrastructuri ale pieței bazate pe DLT cooperează cu autoritățile competente</w:t>
            </w:r>
            <w:r>
              <w:rPr>
                <w:b/>
                <w:i/>
                <w:strike w:val="0"/>
                <w:color w:val="auto"/>
                <w:highlight w:val="none"/>
                <w:u w:val="none" w:color="auto"/>
                <w:vertAlign w:val="baseline"/>
              </w:rPr>
              <w:t>, inclusiv, în cazul instituțiilor de credit, cu autoritățile lor de supraveghere prudențială, și inclusiv cu BCE, în cazul instituțiilor de credit semnificative,</w:t>
            </w:r>
            <w:r>
              <w:t xml:space="preserve"> cărora li se încredințează competența de acordare de autorizații specifice în temeiul prezentului regulament și cu ESMA.</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Acest amendament urmărește să ia în considerare o sugestie din avizul BCE.</w:t>
      </w:r>
      <w:r>
        <w:t xml:space="preserve"> </w:t>
      </w:r>
      <w:r>
        <w:t>Având în vedere competența de supraveghere prudențială a autorităților naționale competente și ale BCE în ceea ce privește instituțiile de credit semnificative, autoritățile naționale competente și BCE ar trebui să fie informate cu privire la orice modificare substanțială care intervine după procesul de autorizare și notificate în consecință.</w:t>
      </w:r>
      <w:r>
        <w:t xml:space="preserve"> </w:t>
      </w:r>
      <w:r>
        <w:t>În plus, furnizarea de către un operator a unei infrastructuri a pieței bazate pe DLT de servicii de tip CSD de bază ar trebui să necesite o evaluare din partea autorităților relevante, inclusiv a băncilor centrale din cadrul SEBC, în conformitate cu articolele 16 și 17 din Regulamentul (UE) nr. 909/2014.</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451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Jonás Fernández</w:t>
      </w:r>
      <w:r>
        <w:t xml:space="preserve">, </w:t>
      </w:r>
      <w:r>
        <w:t>Eero Heinäluoma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 alineatul 1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w:t>
            </w:r>
            <w:r>
              <w:tab/>
            </w:r>
            <w:r>
              <w:t>Fără a aduce atingere aplicării dispozițiilor relevante ale Directivei 2014/65/UE și ale Regulamentului (UE) nr. 909/2014, operatorii de infrastructuri ale pieței bazate pe DLT cooperează cu autoritățile competente cărora li se încredințează competența de acordare de autorizații specifice în temeiul prezentului regulament și cu ESMA.</w:t>
            </w:r>
          </w:p>
        </w:tc>
        <w:tc>
          <w:tcPr>
            <w:tcW w:w="4876" w:type="dxa"/>
            <w:vAlign w:val="top"/>
          </w:tcPr>
          <w:p>
            <w:pPr>
              <w:pStyle w:val="Normal6a"/>
            </w:pPr>
            <w:r>
              <w:t>1.</w:t>
            </w:r>
            <w:r>
              <w:tab/>
            </w:r>
            <w:r>
              <w:t>Fără a aduce atingere aplicării dispozițiilor relevante ale Directivei 2014/65/UE și ale Regulamentului (UE) nr. 909/2014, operatorii de infrastructuri ale pieței bazate pe DLT cooperează cu autoritățile competente</w:t>
            </w:r>
            <w:r>
              <w:rPr>
                <w:b/>
                <w:i/>
                <w:strike w:val="0"/>
                <w:color w:val="auto"/>
                <w:highlight w:val="none"/>
                <w:u w:val="none" w:color="auto"/>
                <w:vertAlign w:val="baseline"/>
              </w:rPr>
              <w:t>, inclusiv, în cazul instituțiilor de credit, cu autoritățile lor de supraveghere prudențială, și inclusiv cu BCE, în cazul instituțiilor de credit semnificative,</w:t>
            </w:r>
            <w:r>
              <w:t xml:space="preserve"> cărora li se încredințează competența de acordare de autorizații specifice în temeiul prezentului regulament și cu ESMA.</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Conform avizului BCE.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452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Christophe Hansen</w:t>
      </w:r>
      <w:r>
        <w:t xml:space="preserve">, </w:t>
      </w:r>
      <w:r>
        <w:t>Lídia Pereira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 alineatul 1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w:t>
            </w:r>
            <w:r>
              <w:tab/>
            </w:r>
            <w:r>
              <w:t xml:space="preserve">Fără a aduce atingere aplicării dispozițiilor relevante ale Directivei 2014/65/UE și ale Regulamentului (UE) nr. 909/2014, operatorii de infrastructuri ale pieței bazate pe DLT cooperează cu autoritățile competente cărora li se încredințează competența de acordare de autorizații specifice în temeiul prezentului regulament </w:t>
            </w:r>
            <w:r>
              <w:rPr>
                <w:b/>
                <w:i/>
                <w:strike w:val="0"/>
                <w:color w:val="auto"/>
                <w:highlight w:val="none"/>
                <w:u w:val="none" w:color="auto"/>
                <w:vertAlign w:val="baseline"/>
              </w:rPr>
              <w:t>și cu ESMA</w:t>
            </w:r>
            <w:r>
              <w:t>.</w:t>
            </w:r>
          </w:p>
        </w:tc>
        <w:tc>
          <w:tcPr>
            <w:tcW w:w="4876" w:type="dxa"/>
            <w:vAlign w:val="top"/>
          </w:tcPr>
          <w:p>
            <w:pPr>
              <w:pStyle w:val="Normal6a"/>
            </w:pPr>
            <w:r>
              <w:t>1.</w:t>
            </w:r>
            <w:r>
              <w:tab/>
            </w:r>
            <w:r>
              <w:t>Fără a aduce atingere aplicării dispozițiilor relevante ale Directivei 2014/65/UE și ale Regulamentului (UE) nr. 909/2014, operatorii de infrastructuri ale pieței bazate pe DLT cooperează cu autoritățile competente cărora li se încredințează competența de acordare de autorizații specifice în temeiul prezentului regulament.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453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Johan Van Overtveldt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 alineatul 1 – paragraful 1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În special, imediat ce au luat cunoștință de oricare dintre aspectele enumerate mai jos, operatorii de infrastructuri ale pieței bazate pe DLT trebuie să notifice autoritățile competente menționate și ESMA în acest sens. Printre aceste aspecte se numără:</w:t>
            </w:r>
          </w:p>
        </w:tc>
        <w:tc>
          <w:tcPr>
            <w:tcW w:w="4876" w:type="dxa"/>
            <w:vAlign w:val="top"/>
          </w:tcPr>
          <w:p>
            <w:pPr>
              <w:pStyle w:val="Normal6a"/>
            </w:pPr>
            <w:r>
              <w:t>În special, imediat ce au luat cunoștință de oricare dintre aspectele enumerate mai jos, operatorii de infrastructuri ale pieței bazate pe DLT trebuie să notifice autoritățile competente menționate</w:t>
            </w:r>
            <w:r>
              <w:rPr>
                <w:b/>
                <w:i/>
                <w:strike w:val="0"/>
                <w:color w:val="auto"/>
                <w:highlight w:val="none"/>
                <w:u w:val="none" w:color="auto"/>
                <w:vertAlign w:val="baseline"/>
              </w:rPr>
              <w:t>, inclusiv, în cazul instituțiilor de credit, autoritățile lor de supraveghere prudențială, și inclusiv BCE, în cazul instituțiilor de credit semnificative, precum</w:t>
            </w:r>
            <w:r>
              <w:t xml:space="preserve"> și ESMA în acest sens. Printre aceste aspecte se numără: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Acest amendament urmărește să ia în considerare o sugestie din avizul BCE.</w:t>
      </w:r>
      <w:r>
        <w:t xml:space="preserve"> </w:t>
      </w:r>
      <w:r>
        <w:t>Având în vedere competența de supraveghere prudențială a autorităților naționale competente și ale BCE în ceea ce privește instituțiile de credit semnificative, autoritățile naționale competente și BCE ar trebui să fie informate cu privire la orice modificare substanțială care intervine după procesul de autorizare și notificate în consecință.</w:t>
      </w:r>
      <w:r>
        <w:t xml:space="preserve"> </w:t>
      </w:r>
      <w:r>
        <w:t>În plus, furnizarea de către un operator a unei infrastructuri a pieței bazate pe DLT de servicii de tip CSD de bază ar trebui să necesite o evaluare din partea autorităților relevante, inclusiv a băncilor centrale din cadrul SEBC, în conformitate cu articolele 16 și 17 din Regulamentul (UE) nr. 909/2014.</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454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Jonás Fernández</w:t>
      </w:r>
      <w:r>
        <w:t xml:space="preserve">, </w:t>
      </w:r>
      <w:r>
        <w:t>Eero Heinäluoma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 alineatul 1 – paragraful 1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În special, imediat ce au luat cunoștință de oricare dintre aspectele enumerate mai jos, operatorii de infrastructuri ale pieței bazate pe DLT trebuie să notifice autoritățile competente menționate și ESMA în acest sens. Printre aceste aspecte se numără:</w:t>
            </w:r>
          </w:p>
        </w:tc>
        <w:tc>
          <w:tcPr>
            <w:tcW w:w="4876" w:type="dxa"/>
            <w:vAlign w:val="top"/>
          </w:tcPr>
          <w:p>
            <w:pPr>
              <w:pStyle w:val="Normal6a"/>
            </w:pPr>
            <w:r>
              <w:t>În special, imediat ce au luat cunoștință de oricare dintre aspectele enumerate mai jos, operatorii de infrastructuri ale pieței bazate pe DLT trebuie să notifice autoritățile competente menționate</w:t>
            </w:r>
            <w:r>
              <w:rPr>
                <w:b/>
                <w:i/>
                <w:strike w:val="0"/>
                <w:color w:val="auto"/>
                <w:highlight w:val="none"/>
                <w:u w:val="none" w:color="auto"/>
                <w:vertAlign w:val="baseline"/>
              </w:rPr>
              <w:t>, inclusiv, în cazul instituțiilor de credit, autoritățile lor de supraveghere prudențială, și inclusiv BCE, în cazul instituțiilor de credit semnificative, precum</w:t>
            </w:r>
            <w:r>
              <w:t xml:space="preserve"> și ESMA în acest sens. Printre aceste aspecte se numără: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Conform avizului BCE.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455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Christophe Hansen</w:t>
      </w:r>
      <w:r>
        <w:t xml:space="preserve">, </w:t>
      </w:r>
      <w:r>
        <w:t>Lídia Pereira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 alineatul 1 – paragraful 1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În special, imediat ce au luat cunoștință de oricare dintre aspectele enumerate mai jos, operatorii de infrastructuri ale pieței bazate pe DLT trebuie să notifice autoritățile competente menționate și ESMA în acest sens. Printre aceste aspecte se numără:</w:t>
            </w:r>
          </w:p>
        </w:tc>
        <w:tc>
          <w:tcPr>
            <w:tcW w:w="4876" w:type="dxa"/>
            <w:vAlign w:val="top"/>
          </w:tcPr>
          <w:p>
            <w:pPr>
              <w:pStyle w:val="Normal6a"/>
            </w:pPr>
            <w:r>
              <w:t xml:space="preserve">În special, imediat ce au luat cunoștință de oricare dintre aspectele enumerate mai jos, operatorii de infrastructuri ale pieței bazate pe DLT trebuie să notifice autoritățile </w:t>
            </w:r>
            <w:r>
              <w:rPr>
                <w:b/>
                <w:i/>
                <w:strike w:val="0"/>
                <w:color w:val="auto"/>
                <w:highlight w:val="none"/>
                <w:u w:val="none" w:color="auto"/>
                <w:vertAlign w:val="baseline"/>
              </w:rPr>
              <w:t>naționale</w:t>
            </w:r>
            <w:r>
              <w:t xml:space="preserve"> competente menționate și ESMA în acest sens. Printre aceste aspecte se numără: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456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Jonás Fernández</w:t>
      </w:r>
      <w:r>
        <w:t xml:space="preserve">, </w:t>
      </w:r>
      <w:r>
        <w:t>Eero Heinäluoma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 alineatul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Operatorii de infrastructuri ale pieței bazate pe DLT furnizează autorității competente care a acordat autorizația specifică și ESMA toate informațiile relevante pe care acestea le pot solicita.</w:t>
            </w:r>
          </w:p>
        </w:tc>
        <w:tc>
          <w:tcPr>
            <w:tcW w:w="4876" w:type="dxa"/>
            <w:vAlign w:val="top"/>
          </w:tcPr>
          <w:p>
            <w:pPr>
              <w:pStyle w:val="Normal6a"/>
            </w:pPr>
            <w:r>
              <w:t>2.</w:t>
            </w:r>
            <w:r>
              <w:tab/>
            </w:r>
            <w:r>
              <w:t xml:space="preserve">Operatorii de infrastructuri ale pieței bazate pe DLT furnizează autorității competente care a acordat autorizația specifică și ESMA toate informațiile relevante pe care acestea le pot solicita. </w:t>
            </w:r>
            <w:r>
              <w:rPr>
                <w:b/>
                <w:i/>
                <w:strike w:val="0"/>
                <w:color w:val="auto"/>
                <w:highlight w:val="none"/>
                <w:u w:val="none" w:color="auto"/>
                <w:vertAlign w:val="baseline"/>
              </w:rPr>
              <w:t>În cazul unui SSS DLT sau al unui MTF DLT care furnizează servicii de tip CSD de bază, autoritatea competentă transmite fără întârziere autorităților relevante menționate la articolul 12 din Regulamentul (UE) nr. 909/2014 informații privind funcționarea sistemului de decontare a titlurilor de valoare .</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Conform avizului BCE.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457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Johan Van Overtveldt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 alineatul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Operatorii de infrastructuri ale pieței bazate pe DLT furnizează autorității competente care a acordat autorizația specifică și ESMA toate informațiile relevante pe care acestea le pot solicita.</w:t>
            </w:r>
          </w:p>
        </w:tc>
        <w:tc>
          <w:tcPr>
            <w:tcW w:w="4876" w:type="dxa"/>
            <w:vAlign w:val="top"/>
          </w:tcPr>
          <w:p>
            <w:pPr>
              <w:pStyle w:val="Normal6a"/>
            </w:pPr>
            <w:r>
              <w:t>2.</w:t>
            </w:r>
            <w:r>
              <w:tab/>
            </w:r>
            <w:r>
              <w:t xml:space="preserve">Operatorii de infrastructuri ale pieței bazate pe DLT furnizează autorității competente care a acordat autorizația specifică și ESMA toate informațiile relevante pe care acestea le pot solicita. </w:t>
            </w:r>
            <w:r>
              <w:rPr>
                <w:b/>
                <w:i/>
                <w:strike w:val="0"/>
                <w:color w:val="auto"/>
                <w:highlight w:val="none"/>
                <w:u w:val="none" w:color="auto"/>
                <w:vertAlign w:val="baseline"/>
              </w:rPr>
              <w:t>În cazul unui SSS DLT sau al unui TSS DLT, autoritatea competentă transmite fără întârziere autorităților relevante menționate la articolul 12 din Regulamentul (UE) nr. 909/2014 informații privind funcționarea sistemului de decontare a titlurilor de valoare.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Acest amendament urmărește să ia în considerare o sugestie din avizul BCE.</w:t>
      </w:r>
      <w:r>
        <w:t xml:space="preserve"> </w:t>
      </w:r>
      <w:r>
        <w:t>Având în vedere competența de supraveghere prudențială a autorităților naționale competente și ale BCE în ceea ce privește instituțiile de credit semnificative, autoritățile naționale competente și BCE ar trebui să fie informate cu privire la orice modificare substanțială care intervine după procesul de autorizare și notificate în consecință.</w:t>
      </w:r>
      <w:r>
        <w:t xml:space="preserve"> </w:t>
      </w:r>
      <w:r>
        <w:t>În plus, furnizarea de către un operator a unei infrastructuri a pieței bazate pe DLT de servicii de tip CSD de bază ar trebui să necesite o evaluare din partea autorităților relevante, inclusiv a băncilor centrale din cadrul SEBC, în conformitate cu articolele 16 și 17 din Regulamentul (UE) nr. 909/2014.</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458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Jonás Fernández</w:t>
      </w:r>
      <w:r>
        <w:t xml:space="preserve">, </w:t>
      </w:r>
      <w:r>
        <w:t>Eero Heinäluoma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 alineatul 4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 xml:space="preserve">O dată la șase luni de la data acordării autorizației specifice, operatorul unei infrastructuri a pieței bazate pe DLT </w:t>
            </w:r>
            <w:r>
              <w:rPr>
                <w:b/>
                <w:i/>
                <w:strike w:val="0"/>
                <w:color w:val="auto"/>
                <w:highlight w:val="none"/>
                <w:u w:val="none" w:color="auto"/>
                <w:vertAlign w:val="baseline"/>
              </w:rPr>
              <w:t>trebuie să transmită</w:t>
            </w:r>
            <w:r>
              <w:t xml:space="preserve"> un raport autorității competente și ESMA. </w:t>
            </w:r>
            <w:r>
              <w:rPr>
                <w:b/>
                <w:i/>
                <w:strike w:val="0"/>
                <w:color w:val="auto"/>
                <w:highlight w:val="none"/>
                <w:u w:val="none" w:color="auto"/>
                <w:vertAlign w:val="baseline"/>
              </w:rPr>
              <w:t>Acest raport trebuie să cuprindă următoarele elemente, fără a se limita la acestea:</w:t>
            </w:r>
          </w:p>
        </w:tc>
        <w:tc>
          <w:tcPr>
            <w:tcW w:w="4876" w:type="dxa"/>
            <w:vAlign w:val="top"/>
          </w:tcPr>
          <w:p>
            <w:pPr>
              <w:pStyle w:val="Normal6a"/>
            </w:pPr>
            <w:r>
              <w:t>4.</w:t>
            </w:r>
            <w:r>
              <w:tab/>
            </w:r>
            <w:r>
              <w:t xml:space="preserve">O dată la șase luni de la data acordării autorizației specifice, operatorul unei infrastructuri a pieței bazate pe DLT </w:t>
            </w:r>
            <w:r>
              <w:rPr>
                <w:b/>
                <w:i/>
                <w:strike w:val="0"/>
                <w:color w:val="auto"/>
                <w:highlight w:val="none"/>
                <w:u w:val="none" w:color="auto"/>
                <w:vertAlign w:val="baseline"/>
              </w:rPr>
              <w:t>transmite</w:t>
            </w:r>
            <w:r>
              <w:t xml:space="preserve"> un raport autorității competente</w:t>
            </w:r>
            <w:r>
              <w:rPr>
                <w:b/>
                <w:i/>
                <w:strike w:val="0"/>
                <w:color w:val="auto"/>
                <w:highlight w:val="none"/>
                <w:u w:val="none" w:color="auto"/>
                <w:vertAlign w:val="baseline"/>
              </w:rPr>
              <w:t>, inclusiv, în cazul unei instituții de credit, autorității sale de supraveghere prudențială, și inclusiv BCE, în cazul instituțiilor de credit semnificative,</w:t>
            </w:r>
            <w:r>
              <w:t xml:space="preserve"> și ESMA. </w:t>
            </w:r>
            <w:r>
              <w:rPr>
                <w:b/>
                <w:i/>
                <w:strike w:val="0"/>
                <w:color w:val="auto"/>
                <w:highlight w:val="none"/>
                <w:u w:val="none" w:color="auto"/>
                <w:vertAlign w:val="baseline"/>
              </w:rPr>
              <w:t>În cazul unui sistem de decontare a titlurilor de valoare bazat pe DLT sau al unui MTF DLT care furnizează servicii de tip CSD de bază, autoritatea competentă transmite fără întârziere informațiile respective autorităților relevante menționate la articolul 12 din Regulamentul (UE) nr. 909/2014.</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Conform avizului BCE.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459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Johan Van Overtveldt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 alineatul 4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 xml:space="preserve">O dată la șase luni de la data acordării autorizației specifice, operatorul unei infrastructuri a pieței bazate pe DLT </w:t>
            </w:r>
            <w:r>
              <w:rPr>
                <w:b/>
                <w:i/>
                <w:strike w:val="0"/>
                <w:color w:val="auto"/>
                <w:highlight w:val="none"/>
                <w:u w:val="none" w:color="auto"/>
                <w:vertAlign w:val="baseline"/>
              </w:rPr>
              <w:t>trebuie să transmită un raport</w:t>
            </w:r>
            <w:r>
              <w:t xml:space="preserve"> autorității </w:t>
            </w:r>
            <w:r>
              <w:rPr>
                <w:b/>
                <w:i/>
                <w:strike w:val="0"/>
                <w:color w:val="auto"/>
                <w:highlight w:val="none"/>
                <w:u w:val="none" w:color="auto"/>
                <w:vertAlign w:val="baseline"/>
              </w:rPr>
              <w:t>competente</w:t>
            </w:r>
            <w:r>
              <w:t xml:space="preserve"> și ESMA. </w:t>
            </w:r>
            <w:r>
              <w:rPr>
                <w:b/>
                <w:i/>
                <w:strike w:val="0"/>
                <w:color w:val="auto"/>
                <w:highlight w:val="none"/>
                <w:u w:val="none" w:color="auto"/>
                <w:vertAlign w:val="baseline"/>
              </w:rPr>
              <w:t>Acest raport trebuie să cuprindă</w:t>
            </w:r>
            <w:r>
              <w:t xml:space="preserve"> următoarele elemente, fără a se limita la acestea:</w:t>
            </w:r>
          </w:p>
        </w:tc>
        <w:tc>
          <w:tcPr>
            <w:tcW w:w="4876" w:type="dxa"/>
            <w:vAlign w:val="top"/>
          </w:tcPr>
          <w:p>
            <w:pPr>
              <w:pStyle w:val="Normal6a"/>
            </w:pPr>
            <w:r>
              <w:t>4.</w:t>
            </w:r>
            <w:r>
              <w:tab/>
            </w:r>
            <w:r>
              <w:t xml:space="preserve">O dată la șase luni de la data acordării autorizației specifice, operatorul unei infrastructuri a pieței bazate pe DLT </w:t>
            </w:r>
            <w:r>
              <w:rPr>
                <w:b/>
                <w:i/>
                <w:strike w:val="0"/>
                <w:color w:val="auto"/>
                <w:highlight w:val="none"/>
                <w:u w:val="none" w:color="auto"/>
                <w:vertAlign w:val="baseline"/>
              </w:rPr>
              <w:t>transmite un raport autorităților competente, inclusiv, în cazul unei instituții de credit,</w:t>
            </w:r>
            <w:r>
              <w:t xml:space="preserve"> autorității </w:t>
            </w:r>
            <w:r>
              <w:rPr>
                <w:b/>
                <w:i/>
                <w:strike w:val="0"/>
                <w:color w:val="auto"/>
                <w:highlight w:val="none"/>
                <w:u w:val="none" w:color="auto"/>
                <w:vertAlign w:val="baseline"/>
              </w:rPr>
              <w:t>sale de supraveghere prudențială, și inclusiv BCE, în cazul instituțiilor de credit semnificative,</w:t>
            </w:r>
            <w:r>
              <w:t xml:space="preserve"> și ESMA. </w:t>
            </w:r>
            <w:r>
              <w:rPr>
                <w:b/>
                <w:i/>
                <w:strike w:val="0"/>
                <w:color w:val="auto"/>
                <w:highlight w:val="none"/>
                <w:u w:val="none" w:color="auto"/>
                <w:vertAlign w:val="baseline"/>
              </w:rPr>
              <w:t>În cazul unui SSS DLT sau a unui TSS DLT, autoritatea competentă transmite fără întârziere informațiile respective autorităților relevante menționate la articolul 12 din Regulamentul (UE) nr. 909/2014.</w:t>
            </w:r>
            <w:r>
              <w:t xml:space="preserve"> </w:t>
            </w:r>
            <w:r>
              <w:rPr>
                <w:b/>
                <w:i/>
                <w:strike w:val="0"/>
                <w:color w:val="auto"/>
                <w:highlight w:val="none"/>
                <w:u w:val="none" w:color="auto"/>
                <w:vertAlign w:val="baseline"/>
              </w:rPr>
              <w:t>Acest raport cuprinde</w:t>
            </w:r>
            <w:r>
              <w:t xml:space="preserve"> următoarele elemente, fără a se limita la acestea:</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Acest amendament urmărește să ia în considerare o sugestie din avizul BCE.</w:t>
      </w:r>
      <w:r>
        <w:t xml:space="preserve"> </w:t>
      </w:r>
      <w:r>
        <w:t>Având în vedere competența de supraveghere prudențială a autorităților naționale competente și ale BCE în ceea ce privește instituțiile de credit semnificative, autoritățile naționale competente și BCE ar trebui să fie informate cu privire la orice modificare substanțială care intervine după procesul de autorizare și notificate în consecință.</w:t>
      </w:r>
      <w:r>
        <w:t xml:space="preserve"> </w:t>
      </w:r>
      <w:r>
        <w:t>În plus, furnizarea de către un operator a unei infrastructuri a pieței bazate pe DLT de servicii de tip CSD de bază ar trebui să necesite o evaluare din partea autorităților relevante, inclusiv a băncilor centrale din cadrul SEBC, în conformitate cu articolele 16 și 17 din Regulamentul (UE) nr. 909/2014.</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460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 alineatul 4 – litera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(b)</w:t>
            </w:r>
            <w:r>
              <w:tab/>
            </w:r>
            <w:r>
              <w:t xml:space="preserve">numărul și valoarea valorilor mobiliare bazate pe DLT care sunt admise la tranzacționare în cadrul unui MTF DLT, numărul și valoarea valorilor mobiliare bazate pe DLT înregistrate de </w:t>
            </w:r>
            <w:r>
              <w:rPr>
                <w:b/>
                <w:i/>
                <w:strike w:val="0"/>
                <w:color w:val="auto"/>
                <w:highlight w:val="none"/>
                <w:u w:val="none" w:color="auto"/>
                <w:vertAlign w:val="baseline"/>
              </w:rPr>
              <w:t>un CSD</w:t>
            </w:r>
            <w:r>
              <w:t xml:space="preserve"> care gestionează sisteme de decontare a titlurilor de valoare bazate pe DLT și, după caz, numărul și valoarea valorilor mobiliare înregistrate de o </w:t>
            </w:r>
            <w:r>
              <w:rPr>
                <w:b/>
                <w:i/>
                <w:strike w:val="0"/>
                <w:color w:val="auto"/>
                <w:highlight w:val="none"/>
                <w:u w:val="none" w:color="auto"/>
                <w:vertAlign w:val="baseline"/>
              </w:rPr>
              <w:t>firmă de investiții sau de un operator de piață</w:t>
            </w:r>
            <w:r>
              <w:t xml:space="preserve"> care funcționează în cadrul unui MTF DLT;</w:t>
            </w:r>
          </w:p>
        </w:tc>
        <w:tc>
          <w:tcPr>
            <w:tcW w:w="4876" w:type="dxa"/>
            <w:vAlign w:val="top"/>
          </w:tcPr>
          <w:p>
            <w:pPr>
              <w:pStyle w:val="Normal6a"/>
            </w:pPr>
            <w:r>
              <w:t>(b)</w:t>
            </w:r>
            <w:r>
              <w:tab/>
            </w:r>
            <w:r>
              <w:t xml:space="preserve">numărul și valoarea valorilor mobiliare bazate pe DLT care sunt admise la tranzacționare în cadrul unui MTF DLT, numărul și valoarea valorilor mobiliare bazate pe DLT înregistrate de </w:t>
            </w:r>
            <w:r>
              <w:rPr>
                <w:b/>
                <w:i/>
                <w:strike w:val="0"/>
                <w:color w:val="auto"/>
                <w:highlight w:val="none"/>
                <w:u w:val="none" w:color="auto"/>
                <w:vertAlign w:val="baseline"/>
              </w:rPr>
              <w:t>o entitate</w:t>
            </w:r>
            <w:r>
              <w:t xml:space="preserve"> care gestionează sisteme de decontare a titlurilor de valoare bazate pe DLT și, după caz, numărul și valoarea valorilor mobiliare înregistrate de o </w:t>
            </w:r>
            <w:r>
              <w:rPr>
                <w:b/>
                <w:i/>
                <w:strike w:val="0"/>
                <w:color w:val="auto"/>
                <w:highlight w:val="none"/>
                <w:u w:val="none" w:color="auto"/>
                <w:vertAlign w:val="baseline"/>
              </w:rPr>
              <w:t>entitate</w:t>
            </w:r>
            <w:r>
              <w:t xml:space="preserve"> care funcționează în cadrul unui MTF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461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 alineatul 4 – litera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(b)</w:t>
            </w:r>
            <w:r>
              <w:tab/>
            </w:r>
            <w:r>
              <w:t xml:space="preserve">numărul și valoarea valorilor mobiliare bazate pe DLT care sunt admise la tranzacționare în cadrul unui MTF DLT, numărul și valoarea valorilor mobiliare bazate pe DLT înregistrate de un CSD care gestionează </w:t>
            </w:r>
            <w:r>
              <w:rPr>
                <w:b/>
                <w:i/>
                <w:strike w:val="0"/>
                <w:color w:val="auto"/>
                <w:highlight w:val="none"/>
                <w:u w:val="none" w:color="auto"/>
                <w:vertAlign w:val="baseline"/>
              </w:rPr>
              <w:t>sisteme de decontare a titlurilor de valoare bazate pe</w:t>
            </w:r>
            <w:r>
              <w:t xml:space="preserve"> DLT și, după caz, numărul și valoarea valorilor mobiliare înregistrate de o firmă de investiții sau de un operator de piață care funcționează în cadrul unui MTF DLT;</w:t>
            </w:r>
          </w:p>
        </w:tc>
        <w:tc>
          <w:tcPr>
            <w:tcW w:w="4876" w:type="dxa"/>
            <w:vAlign w:val="top"/>
          </w:tcPr>
          <w:p>
            <w:pPr>
              <w:pStyle w:val="Normal6a"/>
            </w:pPr>
            <w:r>
              <w:t>(b)</w:t>
            </w:r>
            <w:r>
              <w:tab/>
            </w:r>
            <w:r>
              <w:t xml:space="preserve">numărul și valoarea valorilor mobiliare bazate pe DLT care sunt admise la tranzacționare în cadrul unui MTF DLT, numărul și valoarea valorilor mobiliare bazate pe DLT înregistrate de un CSD care gestionează </w:t>
            </w:r>
            <w:r>
              <w:rPr>
                <w:b/>
                <w:i/>
                <w:strike w:val="0"/>
                <w:color w:val="auto"/>
                <w:highlight w:val="none"/>
                <w:u w:val="none" w:color="auto"/>
                <w:vertAlign w:val="baseline"/>
              </w:rPr>
              <w:t>un SSS</w:t>
            </w:r>
            <w:r>
              <w:t xml:space="preserve"> DLT și, după caz, numărul și valoarea valorilor mobiliare înregistrate de o firmă de investiții sau de un operator de piață care funcționează în cadrul unui MTF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462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 alineatul 4 – litera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t xml:space="preserve">numărul și valoarea tranzacțiilor tranzacționate în cadrul unui MTF DLT și decontate fie de </w:t>
            </w:r>
            <w:r>
              <w:rPr>
                <w:b/>
                <w:i/>
                <w:strike w:val="0"/>
                <w:color w:val="auto"/>
                <w:highlight w:val="none"/>
                <w:u w:val="none" w:color="auto"/>
                <w:vertAlign w:val="baseline"/>
              </w:rPr>
              <w:t>un CSD</w:t>
            </w:r>
            <w:r>
              <w:t xml:space="preserve"> care gestionează un sistem de decontare a titlurilor de valoare bazat pe DLT, fie, după caz, de o </w:t>
            </w:r>
            <w:r>
              <w:rPr>
                <w:b/>
                <w:i/>
                <w:strike w:val="0"/>
                <w:color w:val="auto"/>
                <w:highlight w:val="none"/>
                <w:u w:val="none" w:color="auto"/>
                <w:vertAlign w:val="baseline"/>
              </w:rPr>
              <w:t>firmă de investiții sau de un operator de piață</w:t>
            </w:r>
            <w:r>
              <w:t xml:space="preserve"> care gestionează un MTF DLT;</w:t>
            </w:r>
          </w:p>
        </w:tc>
        <w:tc>
          <w:tcPr>
            <w:tcW w:w="4876" w:type="dxa"/>
            <w:vAlign w:val="top"/>
          </w:tcPr>
          <w:p>
            <w:pPr>
              <w:pStyle w:val="Normal6a"/>
            </w:pPr>
            <w:r>
              <w:t>(c)</w:t>
            </w:r>
            <w:r>
              <w:tab/>
            </w:r>
            <w:r>
              <w:t xml:space="preserve">numărul și valoarea tranzacțiilor tranzacționate în cadrul unui MTF DLT și decontate fie de </w:t>
            </w:r>
            <w:r>
              <w:rPr>
                <w:b/>
                <w:i/>
                <w:strike w:val="0"/>
                <w:color w:val="auto"/>
                <w:highlight w:val="none"/>
                <w:u w:val="none" w:color="auto"/>
                <w:vertAlign w:val="baseline"/>
              </w:rPr>
              <w:t>o entitate</w:t>
            </w:r>
            <w:r>
              <w:t xml:space="preserve"> care gestionează un sistem de decontare a titlurilor de valoare bazat pe DLT, fie, după caz, de o </w:t>
            </w:r>
            <w:r>
              <w:rPr>
                <w:b/>
                <w:i/>
                <w:strike w:val="0"/>
                <w:color w:val="auto"/>
                <w:highlight w:val="none"/>
                <w:u w:val="none" w:color="auto"/>
                <w:vertAlign w:val="baseline"/>
              </w:rPr>
              <w:t>entitate</w:t>
            </w:r>
            <w:r>
              <w:t xml:space="preserve"> care gestionează un MTF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463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 alineatul 4 – litera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t xml:space="preserve">numărul și valoarea tranzacțiilor tranzacționate în cadrul unui MTF DLT și decontate fie de un CSD care gestionează un </w:t>
            </w:r>
            <w:r>
              <w:rPr>
                <w:b/>
                <w:i/>
                <w:strike w:val="0"/>
                <w:color w:val="auto"/>
                <w:highlight w:val="none"/>
                <w:u w:val="none" w:color="auto"/>
                <w:vertAlign w:val="baseline"/>
              </w:rPr>
              <w:t>sistem de decontare a titlurilor de valoare bazat pe</w:t>
            </w:r>
            <w:r>
              <w:t xml:space="preserve"> DLT, fie, după caz, de o firmă de investiții sau de un operator de piață care gestionează un MTF DLT;</w:t>
            </w:r>
          </w:p>
        </w:tc>
        <w:tc>
          <w:tcPr>
            <w:tcW w:w="4876" w:type="dxa"/>
            <w:vAlign w:val="top"/>
          </w:tcPr>
          <w:p>
            <w:pPr>
              <w:pStyle w:val="Normal6a"/>
            </w:pPr>
            <w:r>
              <w:t>(c)</w:t>
            </w:r>
            <w:r>
              <w:tab/>
            </w:r>
            <w:r>
              <w:t xml:space="preserve">numărul și valoarea tranzacțiilor tranzacționate în cadrul unui MTF DLT și decontate fie de un CSD care gestionează un </w:t>
            </w:r>
            <w:r>
              <w:rPr>
                <w:b/>
                <w:i/>
                <w:strike w:val="0"/>
                <w:color w:val="auto"/>
                <w:highlight w:val="none"/>
                <w:u w:val="none" w:color="auto"/>
                <w:vertAlign w:val="baseline"/>
              </w:rPr>
              <w:t>SSS</w:t>
            </w:r>
            <w:r>
              <w:t xml:space="preserve"> DLT, fie, după caz, de o firmă de investiții sau de un operator de piață care gestionează un MTF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464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 alineatul 4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4a.</w:t>
            </w:r>
            <w:r>
              <w:tab/>
            </w:r>
            <w:r>
              <w:rPr>
                <w:b/>
                <w:i/>
                <w:strike w:val="0"/>
                <w:color w:val="auto"/>
                <w:highlight w:val="none"/>
                <w:u w:val="none" w:color="auto"/>
                <w:vertAlign w:val="baseline"/>
              </w:rPr>
              <w:t>ESMA pune la dispoziția publicului pe site-ul său de internet rapoartele menționate la primul paragraf.</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465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 alineatul 5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 xml:space="preserve">ESMA </w:t>
            </w:r>
            <w:r>
              <w:rPr>
                <w:b/>
                <w:i/>
                <w:strike w:val="0"/>
                <w:color w:val="auto"/>
                <w:highlight w:val="none"/>
                <w:u w:val="none" w:color="auto"/>
                <w:vertAlign w:val="baseline"/>
              </w:rPr>
              <w:t>trebuie să îndeplinească</w:t>
            </w:r>
            <w:r>
              <w:t xml:space="preserve"> un rol de coordonare între autoritățile competente, în vederea asigurării unei înțelegeri comune a tehnologiei registrelor distribuite și a infrastructurii pieței bazate pe DLT, precum și a unei culturi comune a supravegherii și a unor practici de supraveghere convergente, asigurând abordări coerente și convergența rezultatelor supravegherii.</w:t>
            </w:r>
          </w:p>
        </w:tc>
        <w:tc>
          <w:tcPr>
            <w:tcW w:w="4876" w:type="dxa"/>
            <w:vAlign w:val="top"/>
          </w:tcPr>
          <w:p>
            <w:pPr>
              <w:pStyle w:val="Normal6a"/>
            </w:pPr>
            <w:r>
              <w:t>5.</w:t>
            </w:r>
            <w:r>
              <w:tab/>
            </w:r>
            <w:r>
              <w:t xml:space="preserve">ESMA </w:t>
            </w:r>
            <w:r>
              <w:rPr>
                <w:b/>
                <w:i/>
                <w:strike w:val="0"/>
                <w:color w:val="auto"/>
                <w:highlight w:val="none"/>
                <w:u w:val="none" w:color="auto"/>
                <w:vertAlign w:val="baseline"/>
              </w:rPr>
              <w:t>îndeplinește</w:t>
            </w:r>
            <w:r>
              <w:t xml:space="preserve"> un rol de coordonare între autoritățile competente, în vederea asigurării unei înțelegeri comune a tehnologiei registrelor distribuite și a infrastructurii pieței bazate pe DLT, precum și a unei culturi comune a supravegherii și a unor practici de supraveghere convergente, asigurând abordări coerente și convergența rezultatelor supravegherii. </w:t>
            </w:r>
            <w:r>
              <w:rPr>
                <w:b/>
                <w:i/>
                <w:strike w:val="0"/>
                <w:color w:val="auto"/>
                <w:highlight w:val="none"/>
                <w:u w:val="none" w:color="auto"/>
                <w:vertAlign w:val="baseline"/>
              </w:rPr>
              <w:t>ESMA creează un comitet consultativ ad hoc, sub forma unui grup al părților interesate, reunind reprezentanți ai părților interesate, atât din sectorul public, cât și din cel privat, pentru o perioadă limitată de timp, echivalentă cu durata de funcționare a regimului-pilot.</w:t>
            </w:r>
            <w:r>
              <w:t xml:space="preserve"> </w:t>
            </w:r>
            <w:r>
              <w:rPr>
                <w:b/>
                <w:i/>
                <w:strike w:val="0"/>
                <w:color w:val="auto"/>
                <w:highlight w:val="none"/>
                <w:u w:val="none" w:color="auto"/>
                <w:vertAlign w:val="baseline"/>
              </w:rPr>
              <w:t>Comitetul consultativ ad hoc desfășoară activitățile pregătitoare și de consultare necesare pentru a sprijini ESMA atunci când emite recomandările prevăzute în temeiul prezentului regulament, transmițându-i o declarație scrisă în care precizează motivele refuzului unei derogări sau motivele pentru care comitetul consideră că o autorizație este insuficient motivată sau inadecvată în raport cu cerințele prezentului regulament.</w:t>
            </w:r>
            <w:r>
              <w:t xml:space="preserve"> </w:t>
            </w:r>
            <w:r>
              <w:rPr>
                <w:b/>
                <w:i/>
                <w:strike w:val="0"/>
                <w:color w:val="auto"/>
                <w:highlight w:val="none"/>
                <w:u w:val="none" w:color="auto"/>
                <w:vertAlign w:val="baseline"/>
              </w:rPr>
              <w:t>Comitetul consultativ ad hoc examinează plângerile depuse direct la ESMA în cazurile în care un solicitant consideră că cererea sa de derogare sau de autorizare pentru a participa în cadrul regimului-pilot a fost refuzată în mod necorespunzător de autoritatea sa națională competentă relevantă.</w:t>
            </w:r>
            <w:r>
              <w:t xml:space="preserve"> </w:t>
            </w:r>
            <w:r>
              <w:rPr>
                <w:b/>
                <w:i/>
                <w:strike w:val="0"/>
                <w:color w:val="auto"/>
                <w:highlight w:val="none"/>
                <w:u w:val="none" w:color="auto"/>
                <w:vertAlign w:val="baseline"/>
              </w:rPr>
              <w:t>Pentru a se evita depunerea de plângeri abuzive la ESMA de către solicitanți, se analizează numai plângerile complete și bine documentate transmise comitetului consultativ.</w:t>
            </w:r>
            <w:r>
              <w:t xml:space="preserve"> </w:t>
            </w:r>
            <w:r>
              <w:rPr>
                <w:b/>
                <w:i/>
                <w:strike w:val="0"/>
                <w:color w:val="auto"/>
                <w:highlight w:val="none"/>
                <w:u w:val="none" w:color="auto"/>
                <w:vertAlign w:val="baseline"/>
              </w:rPr>
              <w:t>Comitetul consultativ ad hoc poate solicita un termen de transmitere mai scurt după răspunsul autorității naționale competente relevante și poate solicita, de asemenea, ca un set de documente să fie transmis comitetului consultativ, care să cuprindă, în special, un rezumat al activităților solicitantului și al derogării (derogărilor) solicitate.</w:t>
            </w:r>
            <w:r>
              <w:t xml:space="preserve"> </w:t>
            </w:r>
            <w:r>
              <w:rPr>
                <w:b/>
                <w:i/>
                <w:strike w:val="0"/>
                <w:color w:val="auto"/>
                <w:highlight w:val="none"/>
                <w:u w:val="none" w:color="auto"/>
                <w:vertAlign w:val="baseline"/>
              </w:rPr>
              <w:t>Documentele relevante prezentate, precum și decizia autorității naționale competente de a refuza derogarea (derogările) și/sau autorizația solicitate sunt traduse în limba engleză.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În conformitate cu acțiunea 16 din noul plan de acțiune privind UPC al Comisiei.</w:t>
      </w:r>
      <w:r>
        <w:t xml:space="preserve"> </w:t>
      </w:r>
      <w:r>
        <w:t>În vederea asigurării convergenței în materie de supraveghere, coerenței și proporționalității derogărilor acordate în temeiul prezentului regulament de diferitele autorități competente naționale din Uniune, care poate nu au același nivel de expertiză tehnică, și a promovării în acest mod a condițiilor de concurență egale și a descurajării arbitrajului de reglementare, se propune consolidarea rolului ESMA.</w:t>
      </w:r>
      <w:r>
        <w:t xml:space="preserve"> </w:t>
      </w:r>
      <w:r>
        <w:t>Și anume, ESMA ar trebui să emită o recomandare în locul unui aviz fără caracter obligatoriu.</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466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9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BoldItalicCenter6a"/>
            </w:pPr>
            <w:r>
              <w:rPr>
                <w:b/>
                <w:i/>
                <w:strike w:val="0"/>
                <w:color w:val="auto"/>
                <w:highlight w:val="none"/>
                <w:u w:val="none" w:color="auto"/>
                <w:vertAlign w:val="baseline"/>
              </w:rPr>
              <w:t>Articolul 9a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BoldItalicCenter6a"/>
            </w:pPr>
            <w:r>
              <w:rPr>
                <w:b/>
                <w:i/>
                <w:strike w:val="0"/>
                <w:color w:val="auto"/>
                <w:highlight w:val="none"/>
                <w:u w:val="none" w:color="auto"/>
                <w:vertAlign w:val="baseline"/>
              </w:rPr>
              <w:t>Comunicarea încălcărilor și protecția persoanelor care le comunică</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Directiva (UE) 2019/1937 se aplică raportării încălcărilor prezentului regulament și protecției persoanelor care raportează astfel de încălcări.</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ESMA pune la dispoziție unul sau mai multe canale de comunicare sigure pentru comunicarea încălcărilor prezentului regulament și respectă cerințele prevăzute în Directiva (UE) 2019/1937.</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467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w:t>
            </w:r>
            <w:r>
              <w:tab/>
            </w:r>
            <w:r>
              <w:t xml:space="preserve">Cel târziu la </w:t>
            </w:r>
            <w:r>
              <w:rPr>
                <w:b/>
                <w:i/>
                <w:strike w:val="0"/>
                <w:color w:val="auto"/>
                <w:highlight w:val="none"/>
                <w:u w:val="none" w:color="auto"/>
                <w:vertAlign w:val="baseline"/>
              </w:rPr>
              <w:t>cinci ani</w:t>
            </w:r>
            <w:r>
              <w:t xml:space="preserve"> de la </w:t>
            </w:r>
            <w:r>
              <w:rPr>
                <w:b/>
                <w:i/>
                <w:strike w:val="0"/>
                <w:color w:val="auto"/>
                <w:highlight w:val="none"/>
                <w:u w:val="none" w:color="auto"/>
                <w:vertAlign w:val="baseline"/>
              </w:rPr>
              <w:t>intrarea</w:t>
            </w:r>
            <w:r>
              <w:t xml:space="preserve"> în vigoare a prezentului regulament, </w:t>
            </w:r>
            <w:r>
              <w:rPr>
                <w:b/>
                <w:i/>
                <w:strike w:val="0"/>
                <w:color w:val="auto"/>
                <w:highlight w:val="none"/>
                <w:u w:val="none" w:color="auto"/>
                <w:vertAlign w:val="baseline"/>
              </w:rPr>
              <w:t>ESMA trebuie să prezinte Comisiei</w:t>
            </w:r>
            <w:r>
              <w:t xml:space="preserve"> un raport privind:</w:t>
            </w:r>
          </w:p>
        </w:tc>
        <w:tc>
          <w:tcPr>
            <w:tcW w:w="4876" w:type="dxa"/>
            <w:vAlign w:val="top"/>
          </w:tcPr>
          <w:p>
            <w:pPr>
              <w:pStyle w:val="Normal6a"/>
            </w:pPr>
            <w:r>
              <w:t>1.</w:t>
            </w:r>
            <w:r>
              <w:tab/>
            </w:r>
            <w:r>
              <w:rPr>
                <w:b/>
                <w:i/>
                <w:strike w:val="0"/>
                <w:color w:val="auto"/>
                <w:highlight w:val="none"/>
                <w:u w:val="none" w:color="auto"/>
                <w:vertAlign w:val="baseline"/>
              </w:rPr>
              <w:t>ESMA prezintă Comisiei un raport de evaluare a ieșirii anticipate </w:t>
            </w:r>
            <w:r>
              <w:t>cel târziu la</w:t>
            </w:r>
            <w:r>
              <w:rPr>
                <w:b/>
                <w:i/>
                <w:strike w:val="0"/>
                <w:color w:val="auto"/>
                <w:highlight w:val="none"/>
                <w:u w:val="none" w:color="auto"/>
                <w:vertAlign w:val="baseline"/>
              </w:rPr>
              <w:t>... [Evaluarea perioadei de trei ani pentru evaluarea ieșirii anticipate ar trebui calculată</w:t>
            </w:r>
            <w:r>
              <w:t xml:space="preserve"> de la </w:t>
            </w:r>
            <w:r>
              <w:rPr>
                <w:b/>
                <w:i/>
                <w:strike w:val="0"/>
                <w:color w:val="auto"/>
                <w:highlight w:val="none"/>
                <w:u w:val="none" w:color="auto"/>
                <w:vertAlign w:val="baseline"/>
              </w:rPr>
              <w:t>data intrării</w:t>
            </w:r>
            <w:r>
              <w:t xml:space="preserve"> în vigoare a prezentului regulament, </w:t>
            </w:r>
            <w:r>
              <w:rPr>
                <w:b/>
                <w:i/>
                <w:strike w:val="0"/>
                <w:color w:val="auto"/>
                <w:highlight w:val="none"/>
                <w:u w:val="none" w:color="auto"/>
                <w:vertAlign w:val="baseline"/>
              </w:rPr>
              <w:t>incluzând astfel perioada de 12 luni necesară pentru proiectele de standarde tehnice de reglementare, astfel cum se prevede în prezentul regulament] și, în cazul în care regimul prevăzut în prezentul regulament nu este eliminat până la data respectivă,</w:t>
            </w:r>
            <w:r>
              <w:t xml:space="preserve"> un raport </w:t>
            </w:r>
            <w:r>
              <w:rPr>
                <w:b/>
                <w:i/>
                <w:strike w:val="0"/>
                <w:color w:val="auto"/>
                <w:highlight w:val="none"/>
                <w:u w:val="none" w:color="auto"/>
                <w:vertAlign w:val="baseline"/>
              </w:rPr>
              <w:t>final cel târziu la [cinci ani de la intrarea în vigoare a prezentului regulament]</w:t>
            </w:r>
            <w:r>
              <w:t xml:space="preserve"> privind:</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Amendamentul prezintă utilitatea realizării de către ESMA a unui raport de evaluare ieșirii anticipate care să informeze și să consilieze Comisia, pentru ca aceasta să prezinte Parlamentului European și Consiliului o evaluare cu privire la o eventuală ajustare sau întrerupere a regimului-pilot privind DLT după trei ani.</w:t>
      </w:r>
      <w:r>
        <w:t xml:space="preserve"> </w:t>
      </w:r>
      <w:r>
        <w:t>În cazul în care se decide întreruperea regimului pilot cu scopul de a trece la un nou cadru de reglementare permanent, autorizațiile permanente acordate în temeiul prezentului regulament ar trebui adaptate la noul cadru de reglementare în urma tuturor ajustărilor necesare.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468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w:t>
            </w:r>
            <w:r>
              <w:tab/>
            </w:r>
            <w:r>
              <w:t xml:space="preserve">Cel târziu la </w:t>
            </w:r>
            <w:r>
              <w:rPr>
                <w:b/>
                <w:i/>
                <w:strike w:val="0"/>
                <w:color w:val="auto"/>
                <w:highlight w:val="none"/>
                <w:u w:val="none" w:color="auto"/>
                <w:vertAlign w:val="baseline"/>
              </w:rPr>
              <w:t>cinci</w:t>
            </w:r>
            <w:r>
              <w:t xml:space="preserve"> ani de la intrarea în vigoare a prezentului regulament, ESMA trebuie să prezinte Comisiei un raport privind:</w:t>
            </w:r>
          </w:p>
        </w:tc>
        <w:tc>
          <w:tcPr>
            <w:tcW w:w="4876" w:type="dxa"/>
            <w:vAlign w:val="top"/>
          </w:tcPr>
          <w:p>
            <w:pPr>
              <w:pStyle w:val="Normal6a"/>
            </w:pPr>
            <w:r>
              <w:t>1.</w:t>
            </w:r>
            <w:r>
              <w:tab/>
            </w:r>
            <w:r>
              <w:t xml:space="preserve">Cel târziu la </w:t>
            </w:r>
            <w:r>
              <w:rPr>
                <w:b/>
                <w:i/>
                <w:strike w:val="0"/>
                <w:color w:val="auto"/>
                <w:highlight w:val="none"/>
                <w:u w:val="none" w:color="auto"/>
                <w:vertAlign w:val="baseline"/>
              </w:rPr>
              <w:t>trei</w:t>
            </w:r>
            <w:r>
              <w:t xml:space="preserve"> ani de la intrarea în vigoare a prezentului regulament, ESMA trebuie să prezinte Comisiei un raport </w:t>
            </w:r>
            <w:r>
              <w:rPr>
                <w:b/>
                <w:i/>
                <w:strike w:val="0"/>
                <w:color w:val="auto"/>
                <w:highlight w:val="none"/>
                <w:u w:val="none" w:color="auto"/>
                <w:vertAlign w:val="baseline"/>
              </w:rPr>
              <w:t>cuprinzător</w:t>
            </w:r>
            <w:r>
              <w:t xml:space="preserve"> privind:</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469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Chris MacManus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The Left</w:t>
      </w:r>
      <w:r>
        <w:rPr>
          <w:rStyle w:val="HideTWBInt"/>
        </w:rPr>
        <w:t>}</w:t>
      </w:r>
      <w:r>
        <w:t>în numele Grupului The Left</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w:t>
            </w:r>
            <w:r>
              <w:tab/>
            </w:r>
            <w:r>
              <w:t xml:space="preserve">Cel târziu la </w:t>
            </w:r>
            <w:r>
              <w:rPr>
                <w:b/>
                <w:i/>
                <w:strike w:val="0"/>
                <w:color w:val="auto"/>
                <w:highlight w:val="none"/>
                <w:u w:val="none" w:color="auto"/>
                <w:vertAlign w:val="baseline"/>
              </w:rPr>
              <w:t>cinci</w:t>
            </w:r>
            <w:r>
              <w:t xml:space="preserve"> ani de la intrarea în vigoare a prezentului regulament, ESMA trebuie să prezinte Comisiei un raport privind:</w:t>
            </w:r>
          </w:p>
        </w:tc>
        <w:tc>
          <w:tcPr>
            <w:tcW w:w="4876" w:type="dxa"/>
            <w:vAlign w:val="top"/>
          </w:tcPr>
          <w:p>
            <w:pPr>
              <w:pStyle w:val="Normal6a"/>
            </w:pPr>
            <w:r>
              <w:t>1.</w:t>
            </w:r>
            <w:r>
              <w:tab/>
            </w:r>
            <w:r>
              <w:t xml:space="preserve">Cel târziu la </w:t>
            </w:r>
            <w:r>
              <w:rPr>
                <w:b/>
                <w:i/>
                <w:strike w:val="0"/>
                <w:color w:val="auto"/>
                <w:highlight w:val="none"/>
                <w:u w:val="none" w:color="auto"/>
                <w:vertAlign w:val="baseline"/>
              </w:rPr>
              <w:t>doi</w:t>
            </w:r>
            <w:r>
              <w:t xml:space="preserve"> ani de la intrarea în vigoare a prezentului regulament, ESMA trebuie să prezinte Comisiei un raport privind:</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470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Christophe Hansen</w:t>
      </w:r>
      <w:r>
        <w:t xml:space="preserve">, </w:t>
      </w:r>
      <w:r>
        <w:t>Lídia Pereira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w:t>
            </w:r>
            <w:r>
              <w:tab/>
            </w:r>
            <w:r>
              <w:rPr>
                <w:b/>
                <w:i/>
                <w:strike w:val="0"/>
                <w:color w:val="auto"/>
                <w:highlight w:val="none"/>
                <w:u w:val="none" w:color="auto"/>
                <w:vertAlign w:val="baseline"/>
              </w:rPr>
              <w:t>Cel târziu</w:t>
            </w:r>
            <w:r>
              <w:t xml:space="preserve"> la cinci ani de la intrarea în vigoare a prezentului regulament, ESMA trebuie să prezinte Comisiei un raport privind:</w:t>
            </w:r>
          </w:p>
        </w:tc>
        <w:tc>
          <w:tcPr>
            <w:tcW w:w="4876" w:type="dxa"/>
            <w:vAlign w:val="top"/>
          </w:tcPr>
          <w:p>
            <w:pPr>
              <w:pStyle w:val="Normal6a"/>
            </w:pPr>
            <w:r>
              <w:t>1.</w:t>
            </w:r>
            <w:r>
              <w:tab/>
            </w:r>
            <w:r>
              <w:t>La cinci ani de la intrarea în vigoare a prezentului regulament, ESMA trebuie să prezinte Comisiei un raport privind:</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471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litera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(b)</w:t>
            </w:r>
            <w:r>
              <w:tab/>
            </w:r>
            <w:r>
              <w:t xml:space="preserve">numărul de MTF-uri DLT și de </w:t>
            </w:r>
            <w:r>
              <w:rPr>
                <w:b/>
                <w:i/>
                <w:strike w:val="0"/>
                <w:color w:val="auto"/>
                <w:highlight w:val="none"/>
                <w:u w:val="none" w:color="auto"/>
                <w:vertAlign w:val="baseline"/>
              </w:rPr>
              <w:t>CSD-uri</w:t>
            </w:r>
            <w:r>
              <w:t xml:space="preserve"> care gestionează un sistem de decontare a titlurilor de valoare bazat pe DLT, cărora li s-a acordat o autorizație specifică în temeiul prezentului regulament;</w:t>
            </w:r>
          </w:p>
        </w:tc>
        <w:tc>
          <w:tcPr>
            <w:tcW w:w="4876" w:type="dxa"/>
            <w:vAlign w:val="top"/>
          </w:tcPr>
          <w:p>
            <w:pPr>
              <w:pStyle w:val="Normal6a"/>
            </w:pPr>
            <w:r>
              <w:t>(b)</w:t>
            </w:r>
            <w:r>
              <w:tab/>
            </w:r>
            <w:r>
              <w:t xml:space="preserve">numărul de MTF-uri DLT și de </w:t>
            </w:r>
            <w:r>
              <w:rPr>
                <w:b/>
                <w:i/>
                <w:strike w:val="0"/>
                <w:color w:val="auto"/>
                <w:highlight w:val="none"/>
                <w:u w:val="none" w:color="auto"/>
                <w:vertAlign w:val="baseline"/>
              </w:rPr>
              <w:t>entități</w:t>
            </w:r>
            <w:r>
              <w:t xml:space="preserve"> care gestionează un sistem de decontare a titlurilor de valoare bazat pe DLT, cărora li s-a acordat o autorizație specifică în temeiul prezentului regulament;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472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litera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(b)</w:t>
            </w:r>
            <w:r>
              <w:tab/>
            </w:r>
            <w:r>
              <w:t xml:space="preserve">numărul de MTF-uri DLT și de CSD-uri care gestionează un </w:t>
            </w:r>
            <w:r>
              <w:rPr>
                <w:b/>
                <w:i/>
                <w:strike w:val="0"/>
                <w:color w:val="auto"/>
                <w:highlight w:val="none"/>
                <w:u w:val="none" w:color="auto"/>
                <w:vertAlign w:val="baseline"/>
              </w:rPr>
              <w:t>sistem de decontare a titlurilor de valoare bazat pe DLT,</w:t>
            </w:r>
            <w:r>
              <w:t xml:space="preserve"> cărora li s-a acordat o autorizație specifică în temeiul prezentului regulament;</w:t>
            </w:r>
          </w:p>
        </w:tc>
        <w:tc>
          <w:tcPr>
            <w:tcW w:w="4876" w:type="dxa"/>
            <w:vAlign w:val="top"/>
          </w:tcPr>
          <w:p>
            <w:pPr>
              <w:pStyle w:val="Normal6a"/>
            </w:pPr>
            <w:r>
              <w:t>(b)</w:t>
            </w:r>
            <w:r>
              <w:tab/>
            </w:r>
            <w:r>
              <w:t xml:space="preserve">numărul de MTF-uri DLT și de CSD-uri care gestionează un </w:t>
            </w:r>
            <w:r>
              <w:rPr>
                <w:b/>
                <w:i/>
                <w:strike w:val="0"/>
                <w:color w:val="auto"/>
                <w:highlight w:val="none"/>
                <w:u w:val="none" w:color="auto"/>
                <w:vertAlign w:val="baseline"/>
              </w:rPr>
              <w:t>SSS DLT</w:t>
            </w:r>
            <w:r>
              <w:t xml:space="preserve"> cărora li s-a acordat o autorizație specifică în temeiul prezentului regulament;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473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litera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(d)</w:t>
            </w:r>
            <w:r>
              <w:tab/>
            </w:r>
            <w:r>
              <w:t xml:space="preserve">numărul și valoarea valorilor mobiliare bazate pe DLT admise la tranzacționare în cadrul MTF DLT, numărul și valoarea valorilor mobiliare bazate pe DLT înregistrate de </w:t>
            </w:r>
            <w:r>
              <w:rPr>
                <w:b/>
                <w:i/>
                <w:strike w:val="0"/>
                <w:color w:val="auto"/>
                <w:highlight w:val="none"/>
                <w:u w:val="none" w:color="auto"/>
                <w:vertAlign w:val="baseline"/>
              </w:rPr>
              <w:t>CSD-urile</w:t>
            </w:r>
            <w:r>
              <w:t xml:space="preserve"> care gestionează sisteme de decontare a titlurilor de valoare bazate pe DLT, și, după caz, numărul și valoarea valorilor mobiliare înregistrate de MTF DLT;</w:t>
            </w:r>
          </w:p>
        </w:tc>
        <w:tc>
          <w:tcPr>
            <w:tcW w:w="4876" w:type="dxa"/>
            <w:vAlign w:val="top"/>
          </w:tcPr>
          <w:p>
            <w:pPr>
              <w:pStyle w:val="Normal6a"/>
            </w:pPr>
            <w:r>
              <w:t>(d)</w:t>
            </w:r>
            <w:r>
              <w:tab/>
            </w:r>
            <w:r>
              <w:t xml:space="preserve">numărul și valoarea valorilor mobiliare bazate pe DLT admise la tranzacționare în cadrul MTF DLT, numărul și valoarea valorilor mobiliare bazate pe DLT înregistrate de </w:t>
            </w:r>
            <w:r>
              <w:rPr>
                <w:b/>
                <w:i/>
                <w:strike w:val="0"/>
                <w:color w:val="auto"/>
                <w:highlight w:val="none"/>
                <w:u w:val="none" w:color="auto"/>
                <w:vertAlign w:val="baseline"/>
              </w:rPr>
              <w:t>entitățile</w:t>
            </w:r>
            <w:r>
              <w:t xml:space="preserve"> care gestionează sisteme de decontare a titlurilor de valoare bazate pe DLT, și, după caz, numărul și valoarea valorilor mobiliare înregistrate de MTF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Deschiderea regimului-pilot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474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litera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(d)</w:t>
            </w:r>
            <w:r>
              <w:tab/>
            </w:r>
            <w:r>
              <w:t xml:space="preserve">numărul și valoarea valorilor mobiliare bazate pe DLT admise la tranzacționare în cadrul MTF DLT, numărul și valoarea valorilor mobiliare bazate pe DLT înregistrate de CSD-urile care gestionează </w:t>
            </w:r>
            <w:r>
              <w:rPr>
                <w:b/>
                <w:i/>
                <w:strike w:val="0"/>
                <w:color w:val="auto"/>
                <w:highlight w:val="none"/>
                <w:u w:val="none" w:color="auto"/>
                <w:vertAlign w:val="baseline"/>
              </w:rPr>
              <w:t>sisteme de decontare a titlurilor de valoare bazate pe</w:t>
            </w:r>
            <w:r>
              <w:t xml:space="preserve"> DLT, și, după caz, numărul și valoarea valorilor mobiliare înregistrate de MTF DLT;</w:t>
            </w:r>
          </w:p>
        </w:tc>
        <w:tc>
          <w:tcPr>
            <w:tcW w:w="4876" w:type="dxa"/>
            <w:vAlign w:val="top"/>
          </w:tcPr>
          <w:p>
            <w:pPr>
              <w:pStyle w:val="Normal6a"/>
            </w:pPr>
            <w:r>
              <w:t>(d)</w:t>
            </w:r>
            <w:r>
              <w:tab/>
            </w:r>
            <w:r>
              <w:t xml:space="preserve">numărul și valoarea valorilor mobiliare bazate pe DLT admise la tranzacționare în cadrul MTF DLT, numărul și valoarea valorilor mobiliare bazate pe DLT înregistrate de CSD-urile care gestionează </w:t>
            </w:r>
            <w:r>
              <w:rPr>
                <w:b/>
                <w:i/>
                <w:strike w:val="0"/>
                <w:color w:val="auto"/>
                <w:highlight w:val="none"/>
                <w:u w:val="none" w:color="auto"/>
                <w:vertAlign w:val="baseline"/>
              </w:rPr>
              <w:t>SSS</w:t>
            </w:r>
            <w:r>
              <w:t xml:space="preserve"> DLT, și, după caz, numărul și valoarea valorilor mobiliare înregistrate de MTF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475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Stéphanie Yon-Courtin</w:t>
      </w:r>
      <w:r>
        <w:t xml:space="preserve">, </w:t>
      </w:r>
      <w:r>
        <w:t>Ondřej Kovařík</w:t>
      </w:r>
      <w:r>
        <w:t xml:space="preserve">, </w:t>
      </w:r>
      <w:r>
        <w:t>Gilles Boyer</w:t>
      </w:r>
      <w:r>
        <w:t xml:space="preserve">, </w:t>
      </w:r>
      <w:r>
        <w:t>Olivier Chastel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litera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(e)</w:t>
            </w:r>
            <w:r>
              <w:tab/>
            </w:r>
            <w:r>
              <w:t xml:space="preserve">numărul și valoarea tranzacțiilor tranzacționate în cadrul MTF DLT și decontate de </w:t>
            </w:r>
            <w:r>
              <w:rPr>
                <w:b/>
                <w:i/>
                <w:strike w:val="0"/>
                <w:color w:val="auto"/>
                <w:highlight w:val="none"/>
                <w:u w:val="none" w:color="auto"/>
                <w:vertAlign w:val="baseline"/>
              </w:rPr>
              <w:t>CSD-uri</w:t>
            </w:r>
            <w:r>
              <w:t xml:space="preserve"> care gestionează sisteme de decontare a titlurilor de valoare bazate pe DLT, și, după caz, de MTF DLT;</w:t>
            </w:r>
          </w:p>
        </w:tc>
        <w:tc>
          <w:tcPr>
            <w:tcW w:w="4876" w:type="dxa"/>
            <w:vAlign w:val="top"/>
          </w:tcPr>
          <w:p>
            <w:pPr>
              <w:pStyle w:val="Normal6a"/>
            </w:pPr>
            <w:r>
              <w:t>(e)</w:t>
            </w:r>
            <w:r>
              <w:tab/>
            </w:r>
            <w:r>
              <w:t xml:space="preserve">numărul și valoarea tranzacțiilor tranzacționate în cadrul MTF DLT și decontate de </w:t>
            </w:r>
            <w:r>
              <w:rPr>
                <w:b/>
                <w:i/>
                <w:strike w:val="0"/>
                <w:color w:val="auto"/>
                <w:highlight w:val="none"/>
                <w:u w:val="none" w:color="auto"/>
                <w:vertAlign w:val="baseline"/>
              </w:rPr>
              <w:t>entități</w:t>
            </w:r>
            <w:r>
              <w:t xml:space="preserve"> care gestionează sisteme de decontare a titlurilor de valoare bazate pe DLT, și, după caz, de MTF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476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litera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(e)</w:t>
            </w:r>
            <w:r>
              <w:tab/>
            </w:r>
            <w:r>
              <w:t xml:space="preserve">numărul și valoarea tranzacțiilor tranzacționate în cadrul MTF DLT și decontate de CSD-uri care gestionează </w:t>
            </w:r>
            <w:r>
              <w:rPr>
                <w:b/>
                <w:i/>
                <w:strike w:val="0"/>
                <w:color w:val="auto"/>
                <w:highlight w:val="none"/>
                <w:u w:val="none" w:color="auto"/>
                <w:vertAlign w:val="baseline"/>
              </w:rPr>
              <w:t>sisteme de decontare a titlurilor de valoare bazate pe</w:t>
            </w:r>
            <w:r>
              <w:t xml:space="preserve"> DLT, și, după caz, de MTF DLT;</w:t>
            </w:r>
          </w:p>
        </w:tc>
        <w:tc>
          <w:tcPr>
            <w:tcW w:w="4876" w:type="dxa"/>
            <w:vAlign w:val="top"/>
          </w:tcPr>
          <w:p>
            <w:pPr>
              <w:pStyle w:val="Normal6a"/>
            </w:pPr>
            <w:r>
              <w:t>(e)</w:t>
            </w:r>
            <w:r>
              <w:tab/>
            </w:r>
            <w:r>
              <w:t xml:space="preserve">numărul și valoarea tranzacțiilor tranzacționate în cadrul MTF DLT și decontate de CSD-uri care gestionează </w:t>
            </w:r>
            <w:r>
              <w:rPr>
                <w:b/>
                <w:i/>
                <w:strike w:val="0"/>
                <w:color w:val="auto"/>
                <w:highlight w:val="none"/>
                <w:u w:val="none" w:color="auto"/>
                <w:vertAlign w:val="baseline"/>
              </w:rPr>
              <w:t>SSS</w:t>
            </w:r>
            <w:r>
              <w:t xml:space="preserve"> DLT, și, după caz, de MTF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477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litera h</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(h)</w:t>
            </w:r>
            <w:r>
              <w:tab/>
            </w:r>
            <w:r>
              <w:t>orice riscuri prezentate de utilizarea unei DLT;</w:t>
            </w:r>
          </w:p>
        </w:tc>
        <w:tc>
          <w:tcPr>
            <w:tcW w:w="4876" w:type="dxa"/>
            <w:vAlign w:val="top"/>
          </w:tcPr>
          <w:p>
            <w:pPr>
              <w:pStyle w:val="Normal6a"/>
            </w:pPr>
            <w:r>
              <w:t>(h)</w:t>
            </w:r>
            <w:r>
              <w:tab/>
            </w:r>
            <w:r>
              <w:t xml:space="preserve">orice riscuri prezentate de utilizarea unei DLT </w:t>
            </w:r>
            <w:r>
              <w:rPr>
                <w:b/>
                <w:i/>
                <w:strike w:val="0"/>
                <w:color w:val="auto"/>
                <w:highlight w:val="none"/>
                <w:u w:val="none" w:color="auto"/>
                <w:vertAlign w:val="baseline"/>
              </w:rPr>
              <w:t>pentru protecția investitorilor, integritatea pieței și stabilitatea financiară, inclusiv noi tipuri de riscuri juridice, sistemice și operaționale, care nu sunt abordate suficient de normele existente și orice efecte nedorite asupra lichidității și volatilității și stabilității financiare</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478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Markus Ferber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litera h</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(h)</w:t>
            </w:r>
            <w:r>
              <w:tab/>
            </w:r>
            <w:r>
              <w:t xml:space="preserve">orice riscuri prezentate de utilizarea </w:t>
            </w:r>
            <w:r>
              <w:rPr>
                <w:b/>
                <w:i/>
                <w:strike w:val="0"/>
                <w:color w:val="auto"/>
                <w:highlight w:val="none"/>
                <w:u w:val="none" w:color="auto"/>
                <w:vertAlign w:val="baseline"/>
              </w:rPr>
              <w:t>unei</w:t>
            </w:r>
            <w:r>
              <w:t xml:space="preserve"> DLT;</w:t>
            </w:r>
          </w:p>
        </w:tc>
        <w:tc>
          <w:tcPr>
            <w:tcW w:w="4876" w:type="dxa"/>
            <w:vAlign w:val="top"/>
          </w:tcPr>
          <w:p>
            <w:pPr>
              <w:pStyle w:val="Normal6a"/>
            </w:pPr>
            <w:r>
              <w:t>(h)</w:t>
            </w:r>
            <w:r>
              <w:tab/>
            </w:r>
            <w:r>
              <w:t>orice riscuri</w:t>
            </w:r>
            <w:r>
              <w:rPr>
                <w:b/>
                <w:i/>
                <w:strike w:val="0"/>
                <w:color w:val="auto"/>
                <w:highlight w:val="none"/>
                <w:u w:val="none" w:color="auto"/>
                <w:vertAlign w:val="baseline"/>
              </w:rPr>
              <w:t>, vulnerabilități și ineficiențe</w:t>
            </w:r>
            <w:r>
              <w:t xml:space="preserve"> prezentate de utilizarea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479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Markus Ferber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litera ha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(ha)</w:t>
            </w:r>
            <w:r>
              <w:tab/>
            </w:r>
            <w:r>
              <w:rPr>
                <w:b/>
                <w:i/>
                <w:strike w:val="0"/>
                <w:color w:val="auto"/>
                <w:highlight w:val="none"/>
                <w:u w:val="none" w:color="auto"/>
                <w:vertAlign w:val="baseline"/>
              </w:rPr>
              <w:t>riscurile de arbitraj de reglementare sau aspectele legate de condițiile de concurență echitabile în comparație cu infrastructurile pieței care nu se bazează pe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480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litera 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(j)</w:t>
            </w:r>
            <w:r>
              <w:tab/>
            </w:r>
            <w:r>
              <w:rPr>
                <w:b/>
                <w:i/>
                <w:strike w:val="0"/>
                <w:color w:val="auto"/>
                <w:highlight w:val="none"/>
                <w:u w:val="none" w:color="auto"/>
                <w:vertAlign w:val="baseline"/>
              </w:rPr>
              <w:t>beneficiile</w:t>
            </w:r>
            <w:r>
              <w:t xml:space="preserve"> care rezultă din utilizarea DLT</w:t>
            </w:r>
            <w:r>
              <w:rPr>
                <w:b/>
                <w:i/>
                <w:strike w:val="0"/>
                <w:color w:val="auto"/>
                <w:highlight w:val="none"/>
                <w:u w:val="none" w:color="auto"/>
                <w:vertAlign w:val="baseline"/>
              </w:rPr>
              <w:t>,</w:t>
            </w:r>
            <w:r>
              <w:t xml:space="preserve"> în ceea ce privește </w:t>
            </w:r>
            <w:r>
              <w:rPr>
                <w:b/>
                <w:i/>
                <w:strike w:val="0"/>
                <w:color w:val="auto"/>
                <w:highlight w:val="none"/>
                <w:u w:val="none" w:color="auto"/>
                <w:vertAlign w:val="baseline"/>
              </w:rPr>
              <w:t>îmbunătățirea</w:t>
            </w:r>
            <w:r>
              <w:t xml:space="preserve"> eficienței și </w:t>
            </w:r>
            <w:r>
              <w:rPr>
                <w:b/>
                <w:i/>
                <w:strike w:val="0"/>
                <w:color w:val="auto"/>
                <w:highlight w:val="none"/>
                <w:u w:val="none" w:color="auto"/>
                <w:vertAlign w:val="baseline"/>
              </w:rPr>
              <w:t>reducerea</w:t>
            </w:r>
            <w:r>
              <w:t xml:space="preserve"> riscurilor de-a lungul întregului lanț de tranzacționare și de posttranzacționare, inclusiv, dar fără a se limita la acestea, în ceea ce privește înregistrarea și custodia valorilor mobiliare bazate pe DLT, trasabilitatea tranzacțiilor, acțiunile corporative, funcțiile de raportare și de supraveghere la nivelul infrastructurii pieței bazate pe DLT;</w:t>
            </w:r>
          </w:p>
        </w:tc>
        <w:tc>
          <w:tcPr>
            <w:tcW w:w="4876" w:type="dxa"/>
            <w:vAlign w:val="top"/>
          </w:tcPr>
          <w:p>
            <w:pPr>
              <w:pStyle w:val="Normal6a"/>
            </w:pPr>
            <w:r>
              <w:t>(j)</w:t>
            </w:r>
            <w:r>
              <w:tab/>
            </w:r>
            <w:r>
              <w:rPr>
                <w:b/>
                <w:i/>
                <w:strike w:val="0"/>
                <w:color w:val="auto"/>
                <w:highlight w:val="none"/>
                <w:u w:val="none" w:color="auto"/>
                <w:vertAlign w:val="baseline"/>
              </w:rPr>
              <w:t>orice beneficii</w:t>
            </w:r>
            <w:r>
              <w:t xml:space="preserve"> care rezultă din utilizarea DLT în ceea ce privește </w:t>
            </w:r>
            <w:r>
              <w:rPr>
                <w:b/>
                <w:i/>
                <w:strike w:val="0"/>
                <w:color w:val="auto"/>
                <w:highlight w:val="none"/>
                <w:u w:val="none" w:color="auto"/>
                <w:vertAlign w:val="baseline"/>
              </w:rPr>
              <w:t>lichiditățile suplimentare și finanțarea pentru întreprinderile nou-înființate și IMM-uri, orice îmbunătățire a siguranței și a</w:t>
            </w:r>
            <w:r>
              <w:t xml:space="preserve"> eficienței și </w:t>
            </w:r>
            <w:r>
              <w:rPr>
                <w:b/>
                <w:i/>
                <w:strike w:val="0"/>
                <w:color w:val="auto"/>
                <w:highlight w:val="none"/>
                <w:u w:val="none" w:color="auto"/>
                <w:vertAlign w:val="baseline"/>
              </w:rPr>
              <w:t>orice reducere a</w:t>
            </w:r>
            <w:r>
              <w:t xml:space="preserve"> riscurilor de-a lungul întregului lanț de tranzacționare și de posttranzacționare, inclusiv, dar fără a se limita la acestea, în ceea ce privește înregistrarea și custodia valorilor mobiliare bazate pe DLT, trasabilitatea tranzacțiilor </w:t>
            </w:r>
            <w:r>
              <w:rPr>
                <w:b/>
                <w:i/>
                <w:strike w:val="0"/>
                <w:color w:val="auto"/>
                <w:highlight w:val="none"/>
                <w:u w:val="none" w:color="auto"/>
                <w:vertAlign w:val="baseline"/>
              </w:rPr>
              <w:t>și o mai bună respectare a principiului privind „cunoașterea clientelei” și a procedurilor de combatere a spălării banilor</w:t>
            </w:r>
            <w:r>
              <w:t xml:space="preserve">, acțiunile corporative </w:t>
            </w:r>
            <w:r>
              <w:rPr>
                <w:b/>
                <w:i/>
                <w:strike w:val="0"/>
                <w:color w:val="auto"/>
                <w:highlight w:val="none"/>
                <w:u w:val="none" w:color="auto"/>
                <w:vertAlign w:val="baseline"/>
              </w:rPr>
              <w:t>și exercitarea directă a drepturilor investitorilor prin intermediul unor contracte inteligente</w:t>
            </w:r>
            <w:r>
              <w:t>, funcțiile de raportare și de supraveghere la nivelul infrastructurii pieței bazate pe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481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Eero Heinäluoma</w:t>
      </w:r>
      <w:r>
        <w:t xml:space="preserve">, </w:t>
      </w:r>
      <w:r>
        <w:t>Paul Tang</w:t>
      </w:r>
      <w:r>
        <w:t xml:space="preserve">, </w:t>
      </w:r>
      <w:r>
        <w:t>Jonás Fernández</w:t>
      </w:r>
      <w:r>
        <w:t xml:space="preserve">, </w:t>
      </w:r>
      <w:r>
        <w:t>Pedro Marques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litera 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(j)</w:t>
            </w:r>
            <w:r>
              <w:tab/>
            </w:r>
            <w:r>
              <w:t xml:space="preserve">beneficiile care rezultă din utilizarea DLT, în ceea ce privește îmbunătățirea eficienței </w:t>
            </w:r>
            <w:r>
              <w:rPr>
                <w:b/>
                <w:i/>
                <w:strike w:val="0"/>
                <w:color w:val="auto"/>
                <w:highlight w:val="none"/>
                <w:u w:val="none" w:color="auto"/>
                <w:vertAlign w:val="baseline"/>
              </w:rPr>
              <w:t>și reducerea</w:t>
            </w:r>
            <w:r>
              <w:t xml:space="preserve"> riscurilor de-a lungul întregului lanț de tranzacționare și de posttranzacționare, inclusiv, dar fără a se limita la acestea, în ceea ce privește înregistrarea și custodia valorilor mobiliare bazate pe DLT, trasabilitatea tranzacțiilor, acțiunile corporative, funcțiile de raportare și de supraveghere la nivelul infrastructurii pieței bazate pe DLT;</w:t>
            </w:r>
          </w:p>
        </w:tc>
        <w:tc>
          <w:tcPr>
            <w:tcW w:w="4876" w:type="dxa"/>
            <w:vAlign w:val="top"/>
          </w:tcPr>
          <w:p>
            <w:pPr>
              <w:pStyle w:val="Normal6a"/>
            </w:pPr>
            <w:r>
              <w:t>(j)</w:t>
            </w:r>
            <w:r>
              <w:tab/>
            </w:r>
            <w:r>
              <w:t xml:space="preserve">beneficiile </w:t>
            </w:r>
            <w:r>
              <w:rPr>
                <w:b/>
                <w:i/>
                <w:strike w:val="0"/>
                <w:color w:val="auto"/>
                <w:highlight w:val="none"/>
                <w:u w:val="none" w:color="auto"/>
                <w:vertAlign w:val="baseline"/>
              </w:rPr>
              <w:t>și costurile</w:t>
            </w:r>
            <w:r>
              <w:t xml:space="preserve"> care rezultă din utilizarea DLT, în ceea ce privește îmbunătățirea eficienței</w:t>
            </w:r>
            <w:r>
              <w:rPr>
                <w:b/>
                <w:i/>
                <w:strike w:val="0"/>
                <w:color w:val="auto"/>
                <w:highlight w:val="none"/>
                <w:u w:val="none" w:color="auto"/>
                <w:vertAlign w:val="baseline"/>
              </w:rPr>
              <w:t>, consumul de energie și atenuarea</w:t>
            </w:r>
            <w:r>
              <w:t xml:space="preserve"> riscurilor de-a lungul întregului lanț de tranzacționare și de posttranzacționare, inclusiv, dar fără a se limita la acestea, în ceea ce privește înregistrarea și custodia valorilor mobiliare bazate pe DLT, trasabilitatea tranzacțiilor, acțiunile corporative, funcțiile de raportare și de supraveghere la nivelul infrastructurii pieței bazate pe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482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litera 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(j)</w:t>
            </w:r>
            <w:r>
              <w:tab/>
            </w:r>
            <w:r>
              <w:t xml:space="preserve">beneficiile care rezultă din utilizarea DLT, în ceea ce privește îmbunătățirea eficienței și </w:t>
            </w:r>
            <w:r>
              <w:rPr>
                <w:b/>
                <w:i/>
                <w:strike w:val="0"/>
                <w:color w:val="auto"/>
                <w:highlight w:val="none"/>
                <w:u w:val="none" w:color="auto"/>
                <w:vertAlign w:val="baseline"/>
              </w:rPr>
              <w:t>reducerea</w:t>
            </w:r>
            <w:r>
              <w:t xml:space="preserve"> riscurilor de-a lungul întregului lanț de tranzacționare și de posttranzacționare, inclusiv, dar fără a se limita la acestea, în ceea ce privește înregistrarea și custodia valorilor mobiliare bazate pe DLT, trasabilitatea tranzacțiilor, acțiunile corporative, funcțiile de raportare și de supraveghere la nivelul infrastructurii pieței bazate pe DLT;</w:t>
            </w:r>
          </w:p>
        </w:tc>
        <w:tc>
          <w:tcPr>
            <w:tcW w:w="4876" w:type="dxa"/>
            <w:vAlign w:val="top"/>
          </w:tcPr>
          <w:p>
            <w:pPr>
              <w:pStyle w:val="Normal6a"/>
            </w:pPr>
            <w:r>
              <w:t>(j)</w:t>
            </w:r>
            <w:r>
              <w:tab/>
            </w:r>
            <w:r>
              <w:t xml:space="preserve">beneficiile </w:t>
            </w:r>
            <w:r>
              <w:rPr>
                <w:b/>
                <w:i/>
                <w:strike w:val="0"/>
                <w:color w:val="auto"/>
                <w:highlight w:val="none"/>
                <w:u w:val="none" w:color="auto"/>
                <w:vertAlign w:val="baseline"/>
              </w:rPr>
              <w:t>și costurile</w:t>
            </w:r>
            <w:r>
              <w:t xml:space="preserve"> care rezultă din utilizarea DLT, în ceea ce privește îmbunătățirea eficienței și </w:t>
            </w:r>
            <w:r>
              <w:rPr>
                <w:b/>
                <w:i/>
                <w:strike w:val="0"/>
                <w:color w:val="auto"/>
                <w:highlight w:val="none"/>
                <w:u w:val="none" w:color="auto"/>
                <w:vertAlign w:val="baseline"/>
              </w:rPr>
              <w:t>atenuarea</w:t>
            </w:r>
            <w:r>
              <w:t xml:space="preserve"> riscurilor de-a lungul întregului lanț de tranzacționare și de posttranzacționare, inclusiv, dar fără a se limita la acestea, în ceea ce privește înregistrarea și custodia valorilor mobiliare bazate pe DLT, trasabilitatea tranzacțiilor, acțiunile corporative, funcțiile de raportare și de supraveghere la nivelul infrastructurii pieței bazate pe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Comentariu cu caracter editorial.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483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litera la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(la)</w:t>
            </w:r>
            <w:r>
              <w:tab/>
            </w:r>
            <w:r>
              <w:rPr>
                <w:b/>
                <w:i/>
                <w:strike w:val="0"/>
                <w:color w:val="auto"/>
                <w:highlight w:val="none"/>
                <w:u w:val="none" w:color="auto"/>
                <w:vertAlign w:val="baseline"/>
              </w:rPr>
              <w:t>implicațiile potențiale care rezultă dintr-o creștere a pragurilor menționate la articolul 3, ținând seama în special de considerațiile de ordin sistemic și de diferitele tipuri de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484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Markus Ferber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1 – litera la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(la)</w:t>
            </w:r>
            <w:r>
              <w:tab/>
            </w:r>
            <w:r>
              <w:rPr>
                <w:b/>
                <w:i/>
                <w:strike w:val="0"/>
                <w:color w:val="auto"/>
                <w:highlight w:val="none"/>
                <w:u w:val="none" w:color="auto"/>
                <w:vertAlign w:val="baseline"/>
              </w:rPr>
              <w:t>o evaluare globală a costurilor și beneficiilor proiectului-pilot și o recomandare care să stabilească dacă și în ce condiții să se continue regimul-pilot;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Analizând diferitele puncte, ESMA ar trebui să furnizeze o evaluare generală și o recomandare privind modul în care să se procedeze.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485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Chris MacManus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The Left</w:t>
      </w:r>
      <w:r>
        <w:rPr>
          <w:rStyle w:val="HideTWBInt"/>
        </w:rPr>
        <w:t>}</w:t>
      </w:r>
      <w:r>
        <w:t>în numele Grupului The Left</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2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 xml:space="preserve">Pe baza raportului menționat la alineatul (1), Comisia </w:t>
            </w:r>
            <w:r>
              <w:rPr>
                <w:b/>
                <w:i/>
                <w:strike w:val="0"/>
                <w:color w:val="auto"/>
                <w:highlight w:val="none"/>
                <w:u w:val="none" w:color="auto"/>
                <w:vertAlign w:val="baseline"/>
              </w:rPr>
              <w:t>trebuie să prezinte</w:t>
            </w:r>
            <w:r>
              <w:t xml:space="preserve"> Parlamentului European și Consiliului un raport </w:t>
            </w:r>
            <w:r>
              <w:rPr>
                <w:b/>
                <w:i/>
                <w:strike w:val="0"/>
                <w:color w:val="auto"/>
                <w:highlight w:val="none"/>
                <w:u w:val="none" w:color="auto"/>
                <w:vertAlign w:val="baseline"/>
              </w:rPr>
              <w:t>care include o analiză cost-beneficiu care trebuie să arate dacă, în temeiul prezentului regulament, regimul pentru infrastructurile pieței bazate pe DLT:</w:t>
            </w:r>
          </w:p>
        </w:tc>
        <w:tc>
          <w:tcPr>
            <w:tcW w:w="4876" w:type="dxa"/>
            <w:vAlign w:val="top"/>
          </w:tcPr>
          <w:p>
            <w:pPr>
              <w:pStyle w:val="Normal6a"/>
            </w:pPr>
            <w:r>
              <w:t>2.</w:t>
            </w:r>
            <w:r>
              <w:tab/>
            </w:r>
            <w:r>
              <w:t xml:space="preserve">Pe baza raportului menționat la alineatul (1), Comisia </w:t>
            </w:r>
            <w:r>
              <w:rPr>
                <w:b/>
                <w:i/>
                <w:strike w:val="0"/>
                <w:color w:val="auto"/>
                <w:highlight w:val="none"/>
                <w:u w:val="none" w:color="auto"/>
                <w:vertAlign w:val="baseline"/>
              </w:rPr>
              <w:t>prezintă</w:t>
            </w:r>
            <w:r>
              <w:t xml:space="preserve"> Parlamentului European și Consiliului un raport </w:t>
            </w:r>
            <w:r>
              <w:rPr>
                <w:b/>
                <w:i/>
                <w:strike w:val="0"/>
                <w:color w:val="auto"/>
                <w:highlight w:val="none"/>
                <w:u w:val="none" w:color="auto"/>
                <w:vertAlign w:val="baseline"/>
              </w:rPr>
              <w:t>în care indică modul în care intenționează să includă lecțiile învățate în legislația existentă.</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ESMA ar trebui să întocmească raportul cu scopul de a stabili care sunt noile riscuri prezentate de aceste infrastructuri ale pieței financiare și ce modificări sunt necesare pentru a le integra (în scopul convergenței) în mediul existent, ținând seama de toți factorii aferenți.</w:t>
      </w:r>
      <w:r>
        <w:t xml:space="preserve"> </w:t>
      </w:r>
      <w:r>
        <w:t>O astfel de abordare ar fi în conformitate cu principiul neutralității tehnologice adoptat în pachetul privind finanțele digitale, care este utilizat, de asemenea, în propunerea de regulament privind piețele criptoactivelor.</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486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2 – partea introductivă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 xml:space="preserve">Pe baza </w:t>
            </w:r>
            <w:r>
              <w:rPr>
                <w:b/>
                <w:i/>
                <w:strike w:val="0"/>
                <w:color w:val="auto"/>
                <w:highlight w:val="none"/>
                <w:u w:val="none" w:color="auto"/>
                <w:vertAlign w:val="baseline"/>
              </w:rPr>
              <w:t>raportului menționat</w:t>
            </w:r>
            <w:r>
              <w:t xml:space="preserve"> la alineatul (1), Comisia </w:t>
            </w:r>
            <w:r>
              <w:rPr>
                <w:b/>
                <w:i/>
                <w:strike w:val="0"/>
                <w:color w:val="auto"/>
                <w:highlight w:val="none"/>
                <w:u w:val="none" w:color="auto"/>
                <w:vertAlign w:val="baseline"/>
              </w:rPr>
              <w:t>trebuie să prezinte</w:t>
            </w:r>
            <w:r>
              <w:t xml:space="preserve"> Parlamentului European și Consiliului un raport care include o analiză cost-beneficiu care trebuie să arate dacă, în temeiul prezentului regulament, regimul pentru infrastructurile pieței bazate pe DLT:</w:t>
            </w:r>
          </w:p>
        </w:tc>
        <w:tc>
          <w:tcPr>
            <w:tcW w:w="4876" w:type="dxa"/>
            <w:vAlign w:val="top"/>
          </w:tcPr>
          <w:p>
            <w:pPr>
              <w:pStyle w:val="Normal6a"/>
            </w:pPr>
            <w:r>
              <w:t>2.</w:t>
            </w:r>
            <w:r>
              <w:tab/>
            </w:r>
            <w:r>
              <w:t xml:space="preserve">Pe baza </w:t>
            </w:r>
            <w:r>
              <w:rPr>
                <w:b/>
                <w:i/>
                <w:strike w:val="0"/>
                <w:color w:val="auto"/>
                <w:highlight w:val="none"/>
                <w:u w:val="none" w:color="auto"/>
                <w:vertAlign w:val="baseline"/>
              </w:rPr>
              <w:t>rapoartelor menționate</w:t>
            </w:r>
            <w:r>
              <w:t xml:space="preserve"> la alineatul (1), Comisia </w:t>
            </w:r>
            <w:r>
              <w:rPr>
                <w:b/>
                <w:i/>
                <w:strike w:val="0"/>
                <w:color w:val="auto"/>
                <w:highlight w:val="none"/>
                <w:u w:val="none" w:color="auto"/>
                <w:vertAlign w:val="baseline"/>
              </w:rPr>
              <w:t>prezintă</w:t>
            </w:r>
            <w:r>
              <w:t xml:space="preserve"> Parlamentului European și Consiliului</w:t>
            </w:r>
            <w:r>
              <w:rPr>
                <w:b/>
                <w:i/>
                <w:strike w:val="0"/>
                <w:color w:val="auto"/>
                <w:highlight w:val="none"/>
                <w:u w:val="none" w:color="auto"/>
                <w:vertAlign w:val="baseline"/>
              </w:rPr>
              <w:t>, în termen de trei luni de la primirea fiecărui raport,</w:t>
            </w:r>
            <w:r>
              <w:t xml:space="preserve"> un raport care include o analiză cost-beneficiu care trebuie să arate dacă, în temeiul prezentului regulament, regimul pentru infrastructurile pieței bazate pe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Se propune stabilirea unui termen până la care Comisia să își prezinte raportul Parlamentului European și Consiliului.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487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Chris MacManus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The Left</w:t>
      </w:r>
      <w:r>
        <w:rPr>
          <w:rStyle w:val="HideTWBInt"/>
        </w:rPr>
        <w:t>}</w:t>
      </w:r>
      <w:r>
        <w:t>în numele Grupului The Left</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2 – litera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(a)</w:t>
            </w:r>
            <w:r>
              <w:tab/>
            </w:r>
            <w:r>
              <w:rPr>
                <w:b/>
                <w:i/>
                <w:strike w:val="0"/>
                <w:color w:val="auto"/>
                <w:highlight w:val="none"/>
                <w:u w:val="none" w:color="auto"/>
                <w:vertAlign w:val="baseline"/>
              </w:rPr>
              <w:t>ar trebui prelungit pentru o nouă perioadă;</w:t>
            </w:r>
          </w:p>
        </w:tc>
        <w:tc>
          <w:tcPr>
            <w:tcW w:w="4876" w:type="dxa"/>
            <w:vAlign w:val="top"/>
          </w:tcPr>
          <w:p>
            <w:pPr>
              <w:pStyle w:val="Normal6a"/>
            </w:pPr>
            <w:r>
              <w:rPr>
                <w:b/>
                <w:i/>
                <w:strike w:val="0"/>
                <w:color w:val="auto"/>
                <w:highlight w:val="none"/>
                <w:u w:val="none" w:color="auto"/>
                <w:vertAlign w:val="baseline"/>
              </w:rPr>
              <w:t>eliminat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488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Eva Kaili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2 – litera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(a)</w:t>
            </w:r>
            <w:r>
              <w:tab/>
            </w:r>
            <w:r>
              <w:t>ar trebui prelungit pentru o nouă perioadă;</w:t>
            </w:r>
          </w:p>
        </w:tc>
        <w:tc>
          <w:tcPr>
            <w:tcW w:w="4876" w:type="dxa"/>
            <w:vAlign w:val="top"/>
          </w:tcPr>
          <w:p>
            <w:pPr>
              <w:pStyle w:val="Normal6a"/>
            </w:pPr>
            <w:r>
              <w:t>(a)</w:t>
            </w:r>
            <w:r>
              <w:tab/>
            </w:r>
            <w:r>
              <w:t xml:space="preserve">ar trebui prelungit pentru o nouă perioadă </w:t>
            </w:r>
            <w:r>
              <w:rPr>
                <w:b/>
                <w:i/>
                <w:strike w:val="0"/>
                <w:color w:val="auto"/>
                <w:highlight w:val="none"/>
                <w:u w:val="none" w:color="auto"/>
                <w:vertAlign w:val="baseline"/>
              </w:rPr>
              <w:t>de doi ani, în cazul raportului de evaluare a ieșirii anticipate menționat la articolul 10 alineatul (1)</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Aliniere la evaluarea ieșirii anticipate propusă de ESMA de la articolul 10 alineatul (1).</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489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Chris MacManus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The Left</w:t>
      </w:r>
      <w:r>
        <w:rPr>
          <w:rStyle w:val="HideTWBInt"/>
        </w:rPr>
        <w:t>}</w:t>
      </w:r>
      <w:r>
        <w:t>în numele Grupului The Left</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2 – litera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(b)</w:t>
            </w:r>
            <w:r>
              <w:tab/>
            </w:r>
            <w:r>
              <w:rPr>
                <w:b/>
                <w:i/>
                <w:strike w:val="0"/>
                <w:color w:val="auto"/>
                <w:highlight w:val="none"/>
                <w:u w:val="none" w:color="auto"/>
                <w:vertAlign w:val="baseline"/>
              </w:rPr>
              <w:t>ar trebui extins la alte tipuri de instrumente financiare care pot fi emise, înregistrate, transferate sau stocate prin intermediul DLT;</w:t>
            </w:r>
          </w:p>
        </w:tc>
        <w:tc>
          <w:tcPr>
            <w:tcW w:w="4876" w:type="dxa"/>
            <w:vAlign w:val="top"/>
          </w:tcPr>
          <w:p>
            <w:pPr>
              <w:pStyle w:val="Normal6a"/>
            </w:pPr>
            <w:r>
              <w:rPr>
                <w:b/>
                <w:i/>
                <w:strike w:val="0"/>
                <w:color w:val="auto"/>
                <w:highlight w:val="none"/>
                <w:u w:val="none" w:color="auto"/>
                <w:vertAlign w:val="baseline"/>
              </w:rPr>
              <w:t>eliminat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490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Chris MacManus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The Left</w:t>
      </w:r>
      <w:r>
        <w:rPr>
          <w:rStyle w:val="HideTWBInt"/>
        </w:rPr>
        <w:t>}</w:t>
      </w:r>
      <w:r>
        <w:t>în numele Grupului The Left</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2 – litera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(c)</w:t>
            </w:r>
            <w:r>
              <w:tab/>
            </w:r>
            <w:r>
              <w:rPr>
                <w:b/>
                <w:i/>
                <w:strike w:val="0"/>
                <w:color w:val="auto"/>
                <w:highlight w:val="none"/>
                <w:u w:val="none" w:color="auto"/>
                <w:vertAlign w:val="baseline"/>
              </w:rPr>
              <w:t>ar trebui modificat;</w:t>
            </w:r>
          </w:p>
        </w:tc>
        <w:tc>
          <w:tcPr>
            <w:tcW w:w="4876" w:type="dxa"/>
            <w:vAlign w:val="top"/>
          </w:tcPr>
          <w:p>
            <w:pPr>
              <w:pStyle w:val="Normal6a"/>
            </w:pPr>
            <w:r>
              <w:rPr>
                <w:b/>
                <w:i/>
                <w:strike w:val="0"/>
                <w:color w:val="auto"/>
                <w:highlight w:val="none"/>
                <w:u w:val="none" w:color="auto"/>
                <w:vertAlign w:val="baseline"/>
              </w:rPr>
              <w:t>eliminat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491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Chris MacManus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The Left</w:t>
      </w:r>
      <w:r>
        <w:rPr>
          <w:rStyle w:val="HideTWBInt"/>
        </w:rPr>
        <w:t>}</w:t>
      </w:r>
      <w:r>
        <w:t>în numele Grupului The Left</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2 – litera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(d)</w:t>
            </w:r>
            <w:r>
              <w:tab/>
            </w:r>
            <w:r>
              <w:rPr>
                <w:b/>
                <w:i/>
                <w:strike w:val="0"/>
                <w:color w:val="auto"/>
                <w:highlight w:val="none"/>
                <w:u w:val="none" w:color="auto"/>
                <w:vertAlign w:val="baseline"/>
              </w:rPr>
              <w:t>ar trebui să devină permanent, aducând eventualele modificări necesare sau</w:t>
            </w:r>
          </w:p>
        </w:tc>
        <w:tc>
          <w:tcPr>
            <w:tcW w:w="4876" w:type="dxa"/>
            <w:vAlign w:val="top"/>
          </w:tcPr>
          <w:p>
            <w:pPr>
              <w:pStyle w:val="Normal6a"/>
            </w:pPr>
            <w:r>
              <w:rPr>
                <w:b/>
                <w:i/>
                <w:strike w:val="0"/>
                <w:color w:val="auto"/>
                <w:highlight w:val="none"/>
                <w:u w:val="none" w:color="auto"/>
                <w:vertAlign w:val="baseline"/>
              </w:rPr>
              <w:t>eliminat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492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Sven Giegold</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Greens/EFA</w:t>
      </w:r>
      <w:r>
        <w:rPr>
          <w:rStyle w:val="HideTWBInt"/>
        </w:rPr>
        <w:t>}</w:t>
      </w:r>
      <w:r>
        <w:t>în numele Grupului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2 – litera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(d)</w:t>
            </w:r>
            <w:r>
              <w:tab/>
            </w:r>
            <w:r>
              <w:rPr>
                <w:b/>
                <w:i/>
                <w:strike w:val="0"/>
                <w:color w:val="auto"/>
                <w:highlight w:val="none"/>
                <w:u w:val="none" w:color="auto"/>
                <w:vertAlign w:val="baseline"/>
              </w:rPr>
              <w:t>ar trebui să devină permanent, aducând eventualele modificări necesare sau</w:t>
            </w:r>
          </w:p>
        </w:tc>
        <w:tc>
          <w:tcPr>
            <w:tcW w:w="4876" w:type="dxa"/>
            <w:vAlign w:val="top"/>
          </w:tcPr>
          <w:p>
            <w:pPr>
              <w:pStyle w:val="Normal6a"/>
            </w:pPr>
            <w:r>
              <w:rPr>
                <w:b/>
                <w:i/>
                <w:strike w:val="0"/>
                <w:color w:val="auto"/>
                <w:highlight w:val="none"/>
                <w:u w:val="none" w:color="auto"/>
                <w:vertAlign w:val="baseline"/>
              </w:rPr>
              <w:t>eliminat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493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Jessica Polfjärd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2 – litera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(d)</w:t>
            </w:r>
            <w:r>
              <w:tab/>
            </w:r>
            <w:r>
              <w:t xml:space="preserve">ar trebui să devină permanent, aducând </w:t>
            </w:r>
            <w:r>
              <w:rPr>
                <w:b/>
                <w:i/>
                <w:strike w:val="0"/>
                <w:color w:val="auto"/>
                <w:highlight w:val="none"/>
                <w:u w:val="none" w:color="auto"/>
                <w:vertAlign w:val="baseline"/>
              </w:rPr>
              <w:t>eventualele modificări necesare</w:t>
            </w:r>
            <w:r>
              <w:t xml:space="preserve"> sau</w:t>
            </w:r>
          </w:p>
        </w:tc>
        <w:tc>
          <w:tcPr>
            <w:tcW w:w="4876" w:type="dxa"/>
            <w:vAlign w:val="top"/>
          </w:tcPr>
          <w:p>
            <w:pPr>
              <w:pStyle w:val="Normal6a"/>
            </w:pPr>
            <w:r>
              <w:t>(d)</w:t>
            </w:r>
            <w:r>
              <w:tab/>
            </w:r>
            <w:r>
              <w:t xml:space="preserve">ar trebui să devină permanent, aducând </w:t>
            </w:r>
            <w:r>
              <w:rPr>
                <w:b/>
                <w:i/>
                <w:strike w:val="0"/>
                <w:color w:val="auto"/>
                <w:highlight w:val="none"/>
                <w:u w:val="none" w:color="auto"/>
                <w:vertAlign w:val="baseline"/>
              </w:rPr>
              <w:t>modificările corespunzătoare cadrului Uniunii privind legislația în domeniul serviciilor financiare;</w:t>
            </w:r>
            <w:r>
              <w:t xml:space="preserve"> sau</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494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Markus Ferber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2 – litera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(d)</w:t>
            </w:r>
            <w:r>
              <w:tab/>
            </w:r>
            <w:r>
              <w:t xml:space="preserve">ar trebui să devină permanent, </w:t>
            </w:r>
            <w:r>
              <w:rPr>
                <w:b/>
                <w:i/>
                <w:strike w:val="0"/>
                <w:color w:val="auto"/>
                <w:highlight w:val="none"/>
                <w:u w:val="none" w:color="auto"/>
                <w:vertAlign w:val="baseline"/>
              </w:rPr>
              <w:t>aducând eventualele modificări necesare sau</w:t>
            </w:r>
          </w:p>
        </w:tc>
        <w:tc>
          <w:tcPr>
            <w:tcW w:w="4876" w:type="dxa"/>
            <w:vAlign w:val="top"/>
          </w:tcPr>
          <w:p>
            <w:pPr>
              <w:pStyle w:val="Normal6a"/>
            </w:pPr>
            <w:r>
              <w:t>(d)</w:t>
            </w:r>
            <w:r>
              <w:tab/>
            </w:r>
            <w:r>
              <w:t xml:space="preserve">ar trebui să devină permanent, </w:t>
            </w:r>
            <w:r>
              <w:rPr>
                <w:b/>
                <w:i/>
                <w:strike w:val="0"/>
                <w:color w:val="auto"/>
                <w:highlight w:val="none"/>
                <w:u w:val="none" w:color="auto"/>
                <w:vertAlign w:val="baseline"/>
              </w:rPr>
              <w:t>adaptând în consecință legislația relevantă a Uniunii privind serviciile financiare;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AmJustTitle"/>
      </w:pPr>
      <w:r>
        <w:rPr>
          <w:rStyle w:val="HideTWBExt"/>
        </w:rPr>
        <w:t>&lt;</w:t>
      </w:r>
      <w:r>
        <w:rPr>
          <w:rStyle w:val="HideTWBExt"/>
        </w:rPr>
        <w:t>TitreJust</w:t>
      </w:r>
      <w:r>
        <w:rPr>
          <w:rStyle w:val="HideTWBExt"/>
        </w:rPr>
        <w:t>&gt;</w:t>
      </w:r>
      <w:r>
        <w:t>Justificare</w:t>
      </w:r>
      <w:r>
        <w:rPr>
          <w:rStyle w:val="HideTWBExt"/>
        </w:rPr>
        <w:t>&lt;/</w:t>
      </w:r>
      <w:r>
        <w:rPr>
          <w:rStyle w:val="HideTWBExt"/>
        </w:rPr>
        <w:t>TitreJust</w:t>
      </w:r>
      <w:r>
        <w:rPr>
          <w:rStyle w:val="HideTWBExt"/>
        </w:rPr>
        <w:t>&gt;</w:t>
      </w:r>
    </w:p>
    <w:p>
      <w:pPr>
        <w:pStyle w:val="AmJustText"/>
      </w:pPr>
      <w:r>
        <w:t>Ar trebui evitată existența a două regimuri paralele.</w:t>
      </w:r>
      <w:r>
        <w:t xml:space="preserve"> </w:t>
      </w:r>
      <w:r>
        <w:t>În cazul în care proiectul-pilot se dovedește a fi o reușită, dispozițiile acestuia ar trebui, prin urmare, transpuse în legislația Uniunii.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495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Chris MacManus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The Left</w:t>
      </w:r>
      <w:r>
        <w:rPr>
          <w:rStyle w:val="HideTWBInt"/>
        </w:rPr>
        <w:t>}</w:t>
      </w:r>
      <w:r>
        <w:t>în numele Grupului The Left</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2 – litera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(e)</w:t>
            </w:r>
            <w:r>
              <w:tab/>
            </w:r>
            <w:r>
              <w:rPr>
                <w:b/>
                <w:i/>
                <w:strike w:val="0"/>
                <w:color w:val="auto"/>
                <w:highlight w:val="none"/>
                <w:u w:val="none" w:color="auto"/>
                <w:vertAlign w:val="baseline"/>
              </w:rPr>
              <w:t>ar trebui eliminat.</w:t>
            </w:r>
          </w:p>
        </w:tc>
        <w:tc>
          <w:tcPr>
            <w:tcW w:w="4876" w:type="dxa"/>
            <w:vAlign w:val="top"/>
          </w:tcPr>
          <w:p>
            <w:pPr>
              <w:pStyle w:val="Normal6a"/>
            </w:pPr>
            <w:r>
              <w:rPr>
                <w:b/>
                <w:i/>
                <w:strike w:val="0"/>
                <w:color w:val="auto"/>
                <w:highlight w:val="none"/>
                <w:u w:val="none" w:color="auto"/>
                <w:vertAlign w:val="baseline"/>
              </w:rPr>
              <w:t>eliminat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496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Chris MacManus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The Left</w:t>
      </w:r>
      <w:r>
        <w:rPr>
          <w:rStyle w:val="HideTWBInt"/>
        </w:rPr>
        <w:t>}</w:t>
      </w:r>
      <w:r>
        <w:t>în numele Grupului The Left</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 alineatul 2 – paragraful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În raportul său, Comisia poate propune orice modificare adecvată a cadrului Uniunii privind legislația în domeniul serviciilor financiare sau armonizarea legislațiilor naționale care ar facilita utilizarea tehnologiei registrelor distribuite în sectorul financiar, precum și orice măsuri necesare care să asigure tranziția infrastructurilor pieței bazate pe DLT în momentul expirării regimului-pilot.</w:t>
            </w:r>
          </w:p>
        </w:tc>
        <w:tc>
          <w:tcPr>
            <w:tcW w:w="4876" w:type="dxa"/>
            <w:vAlign w:val="top"/>
          </w:tcPr>
          <w:p>
            <w:pPr>
              <w:pStyle w:val="Normal6a"/>
            </w:pPr>
            <w:r>
              <w:rPr>
                <w:b/>
                <w:i/>
                <w:strike w:val="0"/>
                <w:color w:val="auto"/>
                <w:highlight w:val="none"/>
                <w:u w:val="none" w:color="auto"/>
                <w:vertAlign w:val="baseline"/>
              </w:rPr>
              <w:t>eliminat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497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Jessica Polfjärd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BoldItalicCenter6a"/>
            </w:pPr>
            <w:r>
              <w:rPr>
                <w:b/>
                <w:i/>
                <w:strike w:val="0"/>
                <w:color w:val="auto"/>
                <w:highlight w:val="none"/>
                <w:u w:val="none" w:color="auto"/>
                <w:vertAlign w:val="baseline"/>
              </w:rPr>
              <w:t>Articolul 10 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BoldItalicCenter6a"/>
            </w:pPr>
            <w:r>
              <w:rPr>
                <w:b/>
                <w:i/>
                <w:strike w:val="0"/>
                <w:color w:val="auto"/>
                <w:highlight w:val="none"/>
                <w:u w:val="none" w:color="auto"/>
                <w:vertAlign w:val="baseline"/>
              </w:rPr>
              <w:t>Rapoarte intermediare</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ESMA publică anual rapoarte intermediare cu scopul de a furniza participanților la piață informații privind funcționarea piețelor, de a remedia comportamentul incorect al operatorilor, de a oferi precizări cu privire la aplicarea prezentului regulament și de a actualiza indicațiile anterioare pe baza evoluției DLT.</w:t>
            </w:r>
            <w:r>
              <w:t xml:space="preserve"> </w:t>
            </w:r>
            <w:r>
              <w:rPr>
                <w:b/>
                <w:i/>
                <w:strike w:val="0"/>
                <w:color w:val="auto"/>
                <w:highlight w:val="none"/>
                <w:u w:val="none" w:color="auto"/>
                <w:vertAlign w:val="baseline"/>
              </w:rPr>
              <w:t>Rapoartele respective oferă, de asemenea, o prezentare generală a regimului-pilot, punând accentul pe tendințele și riscurile emergente, și sunt prezentate Parlamentului European, Consiliului și Comisiei.</w:t>
            </w:r>
            <w:r>
              <w:t xml:space="preserve"> </w:t>
            </w:r>
            <w:r>
              <w:rPr>
                <w:b/>
                <w:i/>
                <w:strike w:val="0"/>
                <w:color w:val="auto"/>
                <w:highlight w:val="none"/>
                <w:u w:val="none" w:color="auto"/>
                <w:vertAlign w:val="baseline"/>
              </w:rPr>
              <w:t>Primul raport se publică la ... [12 luni de la data intrării în vigoare a prezentului regulament].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498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Antonio Maria Rinaldi</w:t>
      </w:r>
      <w:r>
        <w:t xml:space="preserve">, </w:t>
      </w:r>
      <w:r>
        <w:t>Francesca Donato</w:t>
      </w:r>
      <w:r>
        <w:t xml:space="preserve">, </w:t>
      </w:r>
      <w:r>
        <w:t>Valentino Grant</w:t>
      </w:r>
      <w:r>
        <w:t xml:space="preserve">, </w:t>
      </w:r>
      <w:r>
        <w:t>Marco Zanni</w:t>
      </w:r>
      <w:r>
        <w:t xml:space="preserve">, </w:t>
      </w:r>
      <w:r>
        <w:t>Gunnar Beck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BoldItalicCenter6a"/>
            </w:pPr>
            <w:r>
              <w:rPr>
                <w:b/>
                <w:i/>
                <w:strike w:val="0"/>
                <w:color w:val="auto"/>
                <w:highlight w:val="none"/>
                <w:u w:val="none" w:color="auto"/>
                <w:vertAlign w:val="baseline"/>
              </w:rPr>
              <w:t>Articolul 10a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Dacă consideră necesar, ESMA poate prevedea publicarea de rapoarte intermediare cu scopul de a furniza participanților la piață informații privind funcționarea piețelor, de a remedia eventualele abateri ale operatorilor, de a oferi precizări cu privire la aplicarea prezentului regulament și a actelor sale de punere în aplicare și de a actualiza indicațiile anterioare în conformitate cu evoluția tehnologiei DLT.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IT</w:t>
      </w:r>
      <w:r>
        <w:rPr>
          <w:rStyle w:val="HideTWBInt"/>
        </w:rPr>
        <w:t>}</w:t>
      </w:r>
      <w:r>
        <w:t>it</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499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Markus Ferber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Propunere de regulament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Articolul 10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Textul propus de Comisie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BoldItalicCenter6a"/>
            </w:pPr>
            <w:r>
              <w:rPr>
                <w:b/>
                <w:i/>
                <w:strike w:val="0"/>
                <w:color w:val="auto"/>
                <w:highlight w:val="none"/>
                <w:u w:val="none" w:color="auto"/>
                <w:vertAlign w:val="baseline"/>
              </w:rPr>
              <w:t>Articolul 10 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BoldItalicCenter6a"/>
            </w:pPr>
            <w:r>
              <w:rPr>
                <w:b/>
                <w:i/>
                <w:strike w:val="0"/>
                <w:color w:val="auto"/>
                <w:highlight w:val="none"/>
                <w:u w:val="none" w:color="auto"/>
                <w:vertAlign w:val="baseline"/>
              </w:rPr>
              <w:t>Revizuirea periodică</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Cel târziu la un an de la intrarea în vigoare a prezentului regulament și, ulterior, în fiecare an, ESMA prezintă Parlamentului European, Consiliului și Comisiei un raport care evidențiază cele mai importante tendințe, riscuri și vulnerabilități în ceea ce privește proiectul-pilot.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r>
        <w:rPr>
          <w:rStyle w:val="HideTWBExt"/>
        </w:rPr>
        <w:t>&lt;/</w:t>
      </w:r>
      <w:r>
        <w:rPr>
          <w:rStyle w:val="HideTWBExt"/>
        </w:rPr>
        <w:t>RepeatBlock-Amend</w:t>
      </w:r>
      <w:r>
        <w:rPr>
          <w:rStyle w:val="HideTWBExt"/>
        </w:rPr>
        <w:t>&gt;</w:t>
      </w:r>
    </w:p>
    <w:p/>
    <w:sectPr>
      <w:footerReference w:type="even" r:id="rId5"/>
      <w:footerReference w:type="default" r:id="rId6"/>
      <w:footerReference w:type="first" r:id="rId7"/>
      <w:pgSz w:w="11906" w:h="16838"/>
      <w:pgMar w:top="1134" w:right="1417" w:bottom="1417" w:left="1417" w:header="1134" w:footer="567" w:gutter="0"/>
      <w:cols w:num="1"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693.549</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96</w:t>
    </w:r>
    <w:r>
      <w:fldChar w:fldCharType="end"/>
    </w:r>
    <w:r>
      <w:t>/</w:t>
    </w:r>
    <w:r>
      <w:fldChar w:fldCharType="begin"/>
    </w:r>
    <w:r>
      <w:instrText>NUMPAGES</w:instrText>
    </w:r>
    <w:r>
      <w:fldChar w:fldCharType="separate"/>
    </w:r>
    <w:r>
      <w:t>97</w:t>
    </w:r>
    <w:r>
      <w:fldChar w:fldCharType="end"/>
    </w:r>
    <w:r>
      <w:tab/>
    </w:r>
    <w:r>
      <w:rPr>
        <w:rStyle w:val="HideTWBExt"/>
      </w:rPr>
      <w:t>&lt;</w:t>
    </w:r>
    <w:r>
      <w:rPr>
        <w:rStyle w:val="HideTWBExt"/>
      </w:rPr>
      <w:t>PathFdR</w:t>
    </w:r>
    <w:r>
      <w:rPr>
        <w:rStyle w:val="HideTWBExt"/>
      </w:rPr>
      <w:t>&gt;</w:t>
    </w:r>
    <w:r>
      <w:t>AM\1232226RO.docx</w:t>
    </w:r>
    <w:r>
      <w:rPr>
        <w:rStyle w:val="HideTWBExt"/>
      </w:rPr>
      <w:t>&lt;/</w:t>
    </w:r>
    <w:r>
      <w:rPr>
        <w:rStyle w:val="HideTWBExt"/>
      </w:rPr>
      <w:t>PathFdR</w:t>
    </w:r>
    <w:r>
      <w:rPr>
        <w:rStyle w:val="HideTWBExt"/>
      </w:rPr>
      <w:t>&gt;</w:t>
    </w:r>
  </w:p>
  <w:p>
    <w:pPr>
      <w:pStyle w:val="EPFooter2"/>
    </w:pPr>
    <w:r>
      <w:t>RO</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AM\1232226RO.docx</w:t>
    </w:r>
    <w:r>
      <w:rPr>
        <w:rStyle w:val="HideTWBExt"/>
      </w:rPr>
      <w:t>&lt;/</w:t>
    </w:r>
    <w:r>
      <w:rPr>
        <w:rStyle w:val="HideTWBExt"/>
      </w:rPr>
      <w:t>PathFdR</w:t>
    </w:r>
    <w:r>
      <w:rPr>
        <w:rStyle w:val="HideTWBExt"/>
      </w:rPr>
      <w:t>&gt;</w:t>
    </w:r>
    <w:r>
      <w:tab/>
    </w:r>
    <w:r>
      <w:fldChar w:fldCharType="begin"/>
    </w:r>
    <w:r>
      <w:instrText>PAGE</w:instrText>
    </w:r>
    <w:r>
      <w:fldChar w:fldCharType="separate"/>
    </w:r>
    <w:r>
      <w:t>97</w:t>
    </w:r>
    <w:r>
      <w:fldChar w:fldCharType="end"/>
    </w:r>
    <w:r>
      <w:t>/</w:t>
    </w:r>
    <w:r>
      <w:fldChar w:fldCharType="begin"/>
    </w:r>
    <w:r>
      <w:instrText>NUMPAGES</w:instrText>
    </w:r>
    <w:r>
      <w:fldChar w:fldCharType="separate"/>
    </w:r>
    <w:r>
      <w:t>97</w:t>
    </w:r>
    <w:r>
      <w:fldChar w:fldCharType="end"/>
    </w:r>
    <w:r>
      <w:tab/>
    </w:r>
    <w:r>
      <w:t>PE</w:t>
    </w:r>
    <w:r>
      <w:rPr>
        <w:rStyle w:val="HideTWBExt"/>
      </w:rPr>
      <w:t>&lt;</w:t>
    </w:r>
    <w:r>
      <w:rPr>
        <w:rStyle w:val="HideTWBExt"/>
      </w:rPr>
      <w:t>NoPE</w:t>
    </w:r>
    <w:r>
      <w:rPr>
        <w:rStyle w:val="HideTWBExt"/>
      </w:rPr>
      <w:t>&gt;</w:t>
    </w:r>
    <w:r>
      <w:t>693.549</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RO</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AM\1232226RO.docx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693.549</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RO</w:t>
    </w:r>
    <w:r>
      <w:tab/>
    </w:r>
    <w:r>
      <w:rPr>
        <w:rStyle w:val="EPFooter2Middle"/>
      </w:rPr>
      <w:t>Unită în diversitate</w:t>
    </w:r>
    <w:r>
      <w:tab/>
    </w:r>
    <w:r>
      <w:t>RO</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gruik" w:val="value of gruik"/>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iddle">
    <w:name w:val="EPFooter2Middle"/>
    <w:uiPriority w:val="1"/>
    <w:qFormat/>
    <w:rsid w:val="00305047"/>
    <w:rPr>
      <w:rFonts w:ascii="Arial" w:hAnsi="Arial"/>
      <w:b w:val="0"/>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Normal.dot</Template>
  <TotalTime>0</TotalTime>
  <Pages>97</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1232226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20210616-173428-318647-895140</vt:lpwstr>
  </property>
  <property fmtid="{D5CDD505-2E9C-101B-9397-08002B2CF9AE}" pid="7" name="FooterPath">
    <vt:lpwstr>AM\1232226RO.docx</vt:lpwstr>
  </property>
  <property fmtid="{D5CDD505-2E9C-101B-9397-08002B2CF9AE}" pid="8" name="PE Number">
    <vt:lpwstr>693.549</vt:lpwstr>
  </property>
  <property fmtid="{D5CDD505-2E9C-101B-9397-08002B2CF9AE}" pid="9" name="UID">
    <vt:lpwstr>eu.europa.europarl-DIN1-2021-0000041987_02.00-ro-01.00_text-xml</vt:lpwstr>
  </property>
</Properties>
</file>