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F4C95" w:rsidRPr="009E35B2" w:rsidTr="00A13919">
        <w:trPr>
          <w:trHeight w:hRule="exact" w:val="1418"/>
        </w:trPr>
        <w:tc>
          <w:tcPr>
            <w:tcW w:w="6804" w:type="dxa"/>
            <w:shd w:val="clear" w:color="auto" w:fill="auto"/>
            <w:vAlign w:val="center"/>
          </w:tcPr>
          <w:p w:rsidR="00BE5062" w:rsidRPr="009E35B2" w:rsidRDefault="001B4D91" w:rsidP="00A13919">
            <w:pPr>
              <w:pStyle w:val="EPName"/>
            </w:pPr>
            <w:bookmarkStart w:id="0" w:name="_GoBack"/>
            <w:bookmarkEnd w:id="0"/>
            <w:r w:rsidRPr="009E35B2">
              <w:t>Euroopan parlamentti</w:t>
            </w:r>
          </w:p>
          <w:p w:rsidR="00BE5062" w:rsidRPr="009E35B2" w:rsidRDefault="001B4D91" w:rsidP="00AE67AC">
            <w:pPr>
              <w:pStyle w:val="EPTerm"/>
            </w:pPr>
            <w:r w:rsidRPr="009E35B2">
              <w:t>2019-2024</w:t>
            </w:r>
          </w:p>
        </w:tc>
        <w:tc>
          <w:tcPr>
            <w:tcW w:w="2268" w:type="dxa"/>
            <w:shd w:val="clear" w:color="auto" w:fill="auto"/>
          </w:tcPr>
          <w:p w:rsidR="00BE5062" w:rsidRPr="009E35B2" w:rsidRDefault="001B4D91" w:rsidP="00A13919">
            <w:pPr>
              <w:pStyle w:val="EPLogo"/>
            </w:pPr>
            <w:r w:rsidRPr="009E35B2">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9E35B2" w:rsidRDefault="000E7234" w:rsidP="000E7234">
      <w:pPr>
        <w:pStyle w:val="LineTop"/>
      </w:pPr>
    </w:p>
    <w:p w:rsidR="000E7234" w:rsidRPr="009E35B2" w:rsidRDefault="001B4D91" w:rsidP="000E7234">
      <w:pPr>
        <w:pStyle w:val="EPBody"/>
      </w:pPr>
      <w:r w:rsidRPr="009E35B2">
        <w:rPr>
          <w:rStyle w:val="HideTWBExt"/>
        </w:rPr>
        <w:t>&lt;</w:t>
      </w:r>
      <w:r w:rsidRPr="009E35B2">
        <w:rPr>
          <w:rStyle w:val="HideTWBExt"/>
          <w:i w:val="0"/>
        </w:rPr>
        <w:t>Commission</w:t>
      </w:r>
      <w:r w:rsidRPr="009E35B2">
        <w:rPr>
          <w:rStyle w:val="HideTWBExt"/>
        </w:rPr>
        <w:t>&gt;</w:t>
      </w:r>
      <w:r w:rsidRPr="009E35B2">
        <w:rPr>
          <w:rStyle w:val="HideTWBInt"/>
        </w:rPr>
        <w:t>{ECON}</w:t>
      </w:r>
      <w:r w:rsidRPr="009E35B2">
        <w:t>Talous- ja raha-asioiden valiokunta</w:t>
      </w:r>
      <w:r w:rsidRPr="009E35B2">
        <w:rPr>
          <w:rStyle w:val="HideTWBExt"/>
        </w:rPr>
        <w:t>&lt;/</w:t>
      </w:r>
      <w:r w:rsidRPr="009E35B2">
        <w:rPr>
          <w:rStyle w:val="HideTWBExt"/>
          <w:i w:val="0"/>
        </w:rPr>
        <w:t>Commission</w:t>
      </w:r>
      <w:r w:rsidRPr="009E35B2">
        <w:rPr>
          <w:rStyle w:val="HideTWBExt"/>
        </w:rPr>
        <w:t>&gt;</w:t>
      </w:r>
    </w:p>
    <w:p w:rsidR="000E7234" w:rsidRPr="009E35B2" w:rsidRDefault="000E7234" w:rsidP="000E7234">
      <w:pPr>
        <w:pStyle w:val="LineBottom"/>
      </w:pPr>
    </w:p>
    <w:p w:rsidR="00B85286" w:rsidRPr="009E35B2" w:rsidRDefault="001B4D91">
      <w:pPr>
        <w:pStyle w:val="CoverReference"/>
      </w:pPr>
      <w:r w:rsidRPr="009E35B2">
        <w:rPr>
          <w:rStyle w:val="HideTWBExt"/>
          <w:b w:val="0"/>
        </w:rPr>
        <w:t>&lt;RefProc&gt;</w:t>
      </w:r>
      <w:r w:rsidRPr="009E35B2">
        <w:t>2023/0115</w:t>
      </w:r>
      <w:r w:rsidRPr="009E35B2">
        <w:rPr>
          <w:rStyle w:val="HideTWBExt"/>
          <w:b w:val="0"/>
        </w:rPr>
        <w:t>&lt;/RefProc&gt;&lt;RefTypeProc&gt;</w:t>
      </w:r>
      <w:r w:rsidRPr="009E35B2">
        <w:t>(COD)</w:t>
      </w:r>
      <w:r w:rsidRPr="009E35B2">
        <w:rPr>
          <w:rStyle w:val="HideTWBExt"/>
          <w:b w:val="0"/>
        </w:rPr>
        <w:t>&lt;/RefTypeProc&gt;</w:t>
      </w:r>
    </w:p>
    <w:p w:rsidR="00B85286" w:rsidRPr="009E35B2" w:rsidRDefault="001B4D91">
      <w:pPr>
        <w:pStyle w:val="CoverDate"/>
      </w:pPr>
      <w:r w:rsidRPr="009E35B2">
        <w:rPr>
          <w:rStyle w:val="HideTWBExt"/>
        </w:rPr>
        <w:t>&lt;Date&gt;</w:t>
      </w:r>
      <w:r w:rsidRPr="009E35B2">
        <w:rPr>
          <w:rStyle w:val="HideTWBInt"/>
        </w:rPr>
        <w:t>{06/11/2023}</w:t>
      </w:r>
      <w:r w:rsidRPr="009E35B2">
        <w:t>6.11.2023</w:t>
      </w:r>
      <w:r w:rsidRPr="009E35B2">
        <w:rPr>
          <w:rStyle w:val="HideTWBExt"/>
        </w:rPr>
        <w:t>&lt;/Date&gt;</w:t>
      </w:r>
    </w:p>
    <w:p w:rsidR="009B0305" w:rsidRPr="009E35B2" w:rsidRDefault="001B4D91" w:rsidP="009B0305">
      <w:pPr>
        <w:pStyle w:val="CoverDocType"/>
      </w:pPr>
      <w:r w:rsidRPr="009E35B2">
        <w:rPr>
          <w:rStyle w:val="HideTWBExt"/>
          <w:b w:val="0"/>
        </w:rPr>
        <w:t>&lt;TypeAM&gt;</w:t>
      </w:r>
      <w:r w:rsidRPr="009E35B2">
        <w:t>TARKISTUKSET</w:t>
      </w:r>
      <w:r w:rsidRPr="009E35B2">
        <w:rPr>
          <w:rStyle w:val="HideTWBExt"/>
          <w:b w:val="0"/>
        </w:rPr>
        <w:t>&lt;/TypeAM&gt;</w:t>
      </w:r>
    </w:p>
    <w:p w:rsidR="00B85286" w:rsidRPr="009E35B2" w:rsidRDefault="001B4D91" w:rsidP="001C2054">
      <w:pPr>
        <w:pStyle w:val="CoverDocType24a"/>
      </w:pPr>
      <w:r w:rsidRPr="009E35B2">
        <w:rPr>
          <w:rStyle w:val="HideTWBExt"/>
          <w:b w:val="0"/>
        </w:rPr>
        <w:t>&lt;RangeAM&gt;</w:t>
      </w:r>
      <w:r w:rsidRPr="009E35B2">
        <w:t>83 - 332</w:t>
      </w:r>
      <w:r w:rsidRPr="009E35B2">
        <w:rPr>
          <w:rStyle w:val="HideTWBExt"/>
          <w:b w:val="0"/>
        </w:rPr>
        <w:t>&lt;/RangeAM&gt;</w:t>
      </w:r>
    </w:p>
    <w:p w:rsidR="001C2054" w:rsidRPr="009E35B2" w:rsidRDefault="001B4D91" w:rsidP="00A93F8C">
      <w:pPr>
        <w:pStyle w:val="CoverBold"/>
      </w:pPr>
      <w:r w:rsidRPr="009E35B2">
        <w:rPr>
          <w:rStyle w:val="HideTWBExt"/>
          <w:b w:val="0"/>
        </w:rPr>
        <w:t>&lt;TitreType&gt;</w:t>
      </w:r>
      <w:r w:rsidRPr="009E35B2">
        <w:t>Mietintöluonnos</w:t>
      </w:r>
      <w:r w:rsidRPr="009E35B2">
        <w:rPr>
          <w:rStyle w:val="HideTWBExt"/>
          <w:b w:val="0"/>
        </w:rPr>
        <w:t>&lt;/TitreType&gt;</w:t>
      </w:r>
    </w:p>
    <w:p w:rsidR="00B85286" w:rsidRPr="009E35B2" w:rsidRDefault="001B4D91" w:rsidP="00A93F8C">
      <w:pPr>
        <w:pStyle w:val="CoverBold"/>
      </w:pPr>
      <w:r w:rsidRPr="009E35B2">
        <w:rPr>
          <w:rStyle w:val="HideTWBExt"/>
          <w:b w:val="0"/>
        </w:rPr>
        <w:t>&lt;Rapporteur&gt;</w:t>
      </w:r>
      <w:r w:rsidRPr="009E35B2">
        <w:t>Ernest Urtasun</w:t>
      </w:r>
      <w:r w:rsidRPr="009E35B2">
        <w:rPr>
          <w:rStyle w:val="HideTWBExt"/>
          <w:b w:val="0"/>
        </w:rPr>
        <w:t>&lt;/Rapporteur&gt;</w:t>
      </w:r>
    </w:p>
    <w:p w:rsidR="00B85286" w:rsidRPr="009E35B2" w:rsidRDefault="001B4D91">
      <w:pPr>
        <w:pStyle w:val="CoverNormal24a"/>
      </w:pPr>
      <w:r w:rsidRPr="009E35B2">
        <w:rPr>
          <w:rStyle w:val="HideTWBExt"/>
        </w:rPr>
        <w:t>&lt;DocRefPE&gt;</w:t>
      </w:r>
      <w:r w:rsidRPr="009E35B2">
        <w:t>(PE753.698v01-00)</w:t>
      </w:r>
      <w:r w:rsidRPr="009E35B2">
        <w:rPr>
          <w:rStyle w:val="HideTWBExt"/>
        </w:rPr>
        <w:t>&lt;/DocRefPE&gt;</w:t>
      </w:r>
    </w:p>
    <w:p w:rsidR="00B85286" w:rsidRPr="009E35B2" w:rsidRDefault="001B4D91">
      <w:pPr>
        <w:pStyle w:val="CoverNormal24a"/>
      </w:pPr>
      <w:r w:rsidRPr="009E35B2">
        <w:rPr>
          <w:rStyle w:val="HideTWBExt"/>
        </w:rPr>
        <w:t>&lt;Titre&gt;</w:t>
      </w:r>
      <w:r w:rsidRPr="009E35B2">
        <w:t>direktiivin 2014/49/EU muuttaminen talletussuojan soveltamisalan, talletusten vakuusjärjestelmien varojen käytön, rajatylittävän yhteistyön ja avoimuuden osalta</w:t>
      </w:r>
      <w:r w:rsidRPr="009E35B2">
        <w:rPr>
          <w:rStyle w:val="HideTWBExt"/>
        </w:rPr>
        <w:t>&lt;/Titre&gt;</w:t>
      </w:r>
    </w:p>
    <w:p w:rsidR="006337D4" w:rsidRPr="009E35B2" w:rsidRDefault="001B4D91" w:rsidP="006337D4">
      <w:pPr>
        <w:pStyle w:val="CoverNormal"/>
      </w:pPr>
      <w:r w:rsidRPr="009E35B2">
        <w:rPr>
          <w:rStyle w:val="HideTWBExt"/>
        </w:rPr>
        <w:t>&lt;DocAmend&gt;</w:t>
      </w:r>
      <w:r w:rsidRPr="009E35B2">
        <w:t>Ehdotus direktiiviksi</w:t>
      </w:r>
      <w:r w:rsidRPr="009E35B2">
        <w:rPr>
          <w:rStyle w:val="HideTWBExt"/>
        </w:rPr>
        <w:t>&lt;/DocAmend&gt;</w:t>
      </w:r>
    </w:p>
    <w:p w:rsidR="00B85286" w:rsidRPr="009E35B2" w:rsidRDefault="001B4D91">
      <w:pPr>
        <w:pStyle w:val="CoverNormal24a"/>
      </w:pPr>
      <w:r w:rsidRPr="009E35B2">
        <w:rPr>
          <w:rStyle w:val="HideTWBExt"/>
        </w:rPr>
        <w:t>&lt;DocRef&gt;</w:t>
      </w:r>
      <w:r w:rsidRPr="009E35B2">
        <w:t>(COM(2023)0228 – C9</w:t>
      </w:r>
      <w:r w:rsidRPr="009E35B2">
        <w:noBreakHyphen/>
        <w:t>0133/2023 – 2023/115(COD))</w:t>
      </w:r>
      <w:r w:rsidRPr="009E35B2">
        <w:rPr>
          <w:rStyle w:val="HideTWBExt"/>
        </w:rPr>
        <w:t>&lt;/DocRef&gt;</w:t>
      </w:r>
    </w:p>
    <w:p w:rsidR="00B85286" w:rsidRPr="009E35B2" w:rsidRDefault="001B4D91" w:rsidP="00E660E2">
      <w:pPr>
        <w:widowControl/>
        <w:tabs>
          <w:tab w:val="center" w:pos="4677"/>
        </w:tabs>
      </w:pPr>
      <w:r w:rsidRPr="009E35B2">
        <w:br w:type="page"/>
      </w:r>
      <w:r w:rsidRPr="009E35B2">
        <w:lastRenderedPageBreak/>
        <w:t>AM_Com_LegReport</w:t>
      </w:r>
    </w:p>
    <w:p w:rsidR="0089475F" w:rsidRPr="009E35B2" w:rsidRDefault="001B4D91" w:rsidP="0089475F">
      <w:r w:rsidRPr="009E35B2">
        <w:br w:type="page"/>
      </w:r>
    </w:p>
    <w:p w:rsidR="00E61B38" w:rsidRPr="009E35B2" w:rsidRDefault="00E61B38" w:rsidP="00E61B38">
      <w:pPr>
        <w:pStyle w:val="AMNumberTabs0"/>
        <w:keepNext/>
      </w:pPr>
      <w:r w:rsidRPr="009E35B2">
        <w:rPr>
          <w:rStyle w:val="HideTWBExt"/>
          <w:b w:val="0"/>
        </w:rPr>
        <w:t>&lt;RepeatBlock-Amend&gt;&lt;Amend&gt;</w:t>
      </w:r>
      <w:r w:rsidRPr="009E35B2">
        <w:t>Tarkistus</w:t>
      </w:r>
      <w:r w:rsidRPr="009E35B2">
        <w:tab/>
      </w:r>
      <w:r w:rsidRPr="009E35B2">
        <w:tab/>
      </w:r>
      <w:r w:rsidRPr="009E35B2">
        <w:rPr>
          <w:rStyle w:val="HideTWBExt"/>
          <w:b w:val="0"/>
        </w:rPr>
        <w:t>&lt;NumAm&gt;</w:t>
      </w:r>
      <w:r w:rsidRPr="009E35B2">
        <w:t>83</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Fabio Massimo Castaldo</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1 a kappale (uusi)</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1 a)</w:t>
            </w:r>
            <w:r w:rsidRPr="009E35B2">
              <w:rPr>
                <w:b/>
                <w:i/>
              </w:rPr>
              <w:tab/>
              <w:t>Unionin kriisinhallinta- ja talletussuojakehyksen meneillään olevan uudelleentarkastelun tarkoituksena on tasoittaa tietä pitkään odotetulle pankkiunionin valmiiksi saattamiselle, johon kuuluu myös eurooppalaisen talletussuojajärjestelmän perustaminen. Ensimmäinen askel tavoitteen saavuttamiseksi on yhteisen kriisinratkaisuneuvoston käytettävissä olevien varojensa puitteissa perustaman ja hallinnoiman, erityisestä rahastosta rahoitettavan EU:n luottolimiitin tai vakuuden käyttöönotto sellaisia kansallisia talletusten vakuusjärjestelmiä varten, joiden kaikki varat on käytetty tai lähes kaikki varat on käytetty. Jos sekä pyynnön esittäneen talletusten vakuusjärjestelmän kaikki varat että EU:n luottolimiitti ja vakuus on käytetty, muiden unionissa olevien talletusten vakuusjärjestelmien olisi tarjottava talletusten vakuusjärjestelmälle, jonka kaikki varat on käytetty, rahoitusvarat, joita se tarvitsee tehtäviensä hoitamiseen.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84</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Luděk Niedermayer</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1 a kappale (uusi)</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1 a)</w:t>
            </w:r>
            <w:r w:rsidRPr="009E35B2">
              <w:rPr>
                <w:b/>
                <w:i/>
              </w:rPr>
              <w:tab/>
              <w:t>Kriisinratkaisun rahoitusjärjestelyjen ja talletusten vakuusjärjestelmien tavoitetasot määritettiin vuonna 2014 kestämään vakavia pankkijärjestelmään kohdistuvaa haitallista häiriötä, kun otetaan huomioon järjestelmän tuolloinen tappionkattamiskyky. Vuoden 2014 jälkeen toteutettujen uudistusten seurauksena eurooppalaisten pankkien tappionkattamiskyky on parantunut merkittävästi, sillä pääoma- ja maksuvalmiussuhteet ovat nousseet, MREL-puskureita on kasvatettu ja järjestämättömien lainojen taso puolittunut. Tämän seurauksena useiden rahastojen sama tavoitetaso auttaa nyt kestämään entistä vakavampia taloudellisia häiriöitä.</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85</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Costas Mavrides,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1 a kappale (uusi)</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1 a)</w:t>
            </w:r>
            <w:r w:rsidRPr="009E35B2">
              <w:rPr>
                <w:b/>
                <w:i/>
              </w:rPr>
              <w:tab/>
              <w:t>Pankkiunioni perustuu tällä hetkellä vain kahteen sen kolmesta pilarista eli yhteiseen valvontamekanismiin ja yhteiseen kriisinratkaisumekanismiin. Näin ollen pankkiunioni ei ole vielä valmis, koska sen kolmas pilari eli eurooppalainen talletussuojajärjestelmä puuttuu. Pankkiunionin valmiiksi saattaminen on olennainen osa talous- ja rahaliittoa ja rahoitusvakautta, erityisesti koska se lieventää riskejä, jotka liittyvät valtionvelkojen ja pankkien väliseen haitalliseen kierteeseen.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86</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Lídia Pereira</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1 a kappale (uusi)</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1 a)</w:t>
            </w:r>
            <w:r w:rsidRPr="009E35B2">
              <w:rPr>
                <w:b/>
                <w:i/>
              </w:rPr>
              <w:tab/>
              <w:t>Pankkiunioni on talous- ja rahaliiton (EMU) peruspilareita, ja sen kehittäminen on ollut olennaisen tärkeää pankkialan vakauden ja häiriönsietokyvyn takaamiseksi, myös yhteisen valvontamekanismin ja yhteisen kriisinratkaisumekanismin kautta. Valitettavasti pankkiunioni on edelleen keskeneräinen, sillä eurooppalaisen talletussuojajärjestelmän hyväksyminen on viivästynyt.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{PT}</w:t>
      </w:r>
      <w:r w:rsidRPr="009E35B2">
        <w:rPr>
          <w:noProof w:val="0"/>
        </w:rPr>
        <w:t>pt</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87</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Marco Zanni, Valentino Grant, Antonio Maria Rinaldi</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1 a kappale (uusi)</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1 a)</w:t>
            </w:r>
            <w:r w:rsidRPr="009E35B2">
              <w:rPr>
                <w:b/>
                <w:i/>
              </w:rPr>
              <w:tab/>
              <w:t xml:space="preserve">Unionin kriisinhallintakehyksellä olisi aina varmistettava, että tappioita ei sosialisoida ja että veronmaksajien varoja ei käytetä vaikeuksissa olevien luottolaitosten auttamiseen tai pelastamiseen, paitsi jos kyseessä on </w:t>
            </w:r>
            <w:r w:rsidR="009E35B2" w:rsidRPr="009E35B2">
              <w:rPr>
                <w:b/>
                <w:i/>
              </w:rPr>
              <w:t>poikkeuksellisia</w:t>
            </w:r>
            <w:r w:rsidRPr="009E35B2">
              <w:rPr>
                <w:b/>
                <w:i/>
              </w:rPr>
              <w:t xml:space="preserve"> systeemisiä tai hyvin laajaan taloudellisen myllerrykseen liittyviä olosuhteita.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88</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Fabio Massimo Castaldo</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1 b kappale (uusi)</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1 b)</w:t>
            </w:r>
            <w:r w:rsidRPr="009E35B2">
              <w:rPr>
                <w:b/>
                <w:i/>
              </w:rPr>
              <w:tab/>
              <w:t xml:space="preserve">Unionin kriisinhallintakehyksellä olisi aina varmistettava, että tappioita ei sosialisoida ja että veronmaksajien varoja ei käytetä vaikeuksissa olevien luottolaitosten auttamiseen tai pelastamiseen, paitsi jos kyseessä on </w:t>
            </w:r>
            <w:r w:rsidR="009E35B2" w:rsidRPr="009E35B2">
              <w:rPr>
                <w:b/>
                <w:i/>
              </w:rPr>
              <w:t>poikkeuksellisia</w:t>
            </w:r>
            <w:r w:rsidRPr="009E35B2">
              <w:rPr>
                <w:b/>
                <w:i/>
              </w:rPr>
              <w:t xml:space="preserve"> systeemisiä tai hyvin laajaan taloudellisen myllerrykseen liittyviä olosuhteita.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89</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Markus Ferber, Herbert Dorfmann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3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(3)</w:t>
            </w:r>
            <w:r w:rsidRPr="009E35B2">
              <w:tab/>
              <w:t xml:space="preserve">Jotta voidaan tukea talletusten vakuusjärjestelmien käytäntöjen yhdenmukaistamista ja avustaa talletusten vakuusjärjestelmiä niiden sietokyvyn testaamisessa, Euroopan pankkiviranomaisen, jäljempänä ’EPV’, olisi </w:t>
            </w:r>
            <w:r w:rsidRPr="009E35B2">
              <w:rPr>
                <w:b/>
                <w:i/>
              </w:rPr>
              <w:t>annettava ohjeita</w:t>
            </w:r>
            <w:r w:rsidRPr="009E35B2">
              <w:t xml:space="preserve"> talletusten vakuusjärjestelmien järjestelmiä koskevien stressitestien toteuttamisesta.</w:t>
            </w:r>
          </w:p>
        </w:tc>
        <w:tc>
          <w:tcPr>
            <w:tcW w:w="4876" w:type="dxa"/>
            <w:hideMark/>
          </w:tcPr>
          <w:p w:rsidR="00E61B38" w:rsidRPr="009E35B2" w:rsidRDefault="00E61B38" w:rsidP="0024275D">
            <w:pPr>
              <w:pStyle w:val="Normal6"/>
              <w:rPr>
                <w:szCs w:val="24"/>
              </w:rPr>
            </w:pPr>
            <w:r w:rsidRPr="009E35B2">
              <w:t>(3)</w:t>
            </w:r>
            <w:r w:rsidRPr="009E35B2">
              <w:tab/>
              <w:t xml:space="preserve">Jotta voidaan tukea talletusten vakuusjärjestelmien käytäntöjen yhdenmukaistamista ja avustaa talletusten vakuusjärjestelmiä niiden sietokyvyn testaamisessa, Euroopan pankkiviranomaisen, jäljempänä ’EPV’, olisi </w:t>
            </w:r>
            <w:r w:rsidRPr="009E35B2">
              <w:rPr>
                <w:b/>
                <w:i/>
              </w:rPr>
              <w:t>säännöllisesti tarkasteltava ja tarvittaessa päivitettävä ohjeitaan</w:t>
            </w:r>
            <w:r w:rsidRPr="009E35B2">
              <w:t xml:space="preserve"> talletusten vakuusjärjestelmien järjestelmiä koskevien stressitestien toteuttamisesta.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90</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3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(3)</w:t>
            </w:r>
            <w:r w:rsidRPr="009E35B2">
              <w:tab/>
              <w:t xml:space="preserve">Jotta voidaan tukea talletusten vakuusjärjestelmien käytäntöjen yhdenmukaistamista ja avustaa talletusten vakuusjärjestelmiä niiden sietokyvyn testaamisessa, Euroopan pankkiviranomaisen, jäljempänä ’EPV’, olisi </w:t>
            </w:r>
            <w:r w:rsidRPr="009E35B2">
              <w:rPr>
                <w:b/>
                <w:i/>
              </w:rPr>
              <w:t>annettava ohjeita</w:t>
            </w:r>
            <w:r w:rsidRPr="009E35B2">
              <w:t xml:space="preserve"> talletusten vakuusjärjestelmien järjestelmiä koskevien stressitestien toteuttamisesta.</w:t>
            </w:r>
          </w:p>
        </w:tc>
        <w:tc>
          <w:tcPr>
            <w:tcW w:w="4876" w:type="dxa"/>
            <w:hideMark/>
          </w:tcPr>
          <w:p w:rsidR="00E61B38" w:rsidRPr="009E35B2" w:rsidRDefault="00E61B38" w:rsidP="0024275D">
            <w:pPr>
              <w:pStyle w:val="Normal6"/>
              <w:rPr>
                <w:szCs w:val="24"/>
              </w:rPr>
            </w:pPr>
            <w:r w:rsidRPr="009E35B2">
              <w:t>(3)</w:t>
            </w:r>
            <w:r w:rsidRPr="009E35B2">
              <w:tab/>
              <w:t xml:space="preserve">Jotta voidaan tukea talletusten vakuusjärjestelmien käytäntöjen yhdenmukaistamista ja avustaa talletusten vakuusjärjestelmiä niiden sietokyvyn testaamisessa, Euroopan pankkiviranomaisen, jäljempänä ’EPV’, olisi </w:t>
            </w:r>
            <w:r w:rsidRPr="009E35B2">
              <w:rPr>
                <w:b/>
                <w:i/>
              </w:rPr>
              <w:t>säännöllisesti tarkasteltava ja tarvittaessa päivitettävä ohjeitaan</w:t>
            </w:r>
            <w:r w:rsidRPr="009E35B2">
              <w:t xml:space="preserve"> talletusten vakuusjärjestelmien järjestelmiä koskevien stressitestien toteuttamisesta.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Nykyiset suuntaviivat tarjoavat jo sopivan perustan. Ks. myös yleinen huomatuksemme.</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91</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4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(4)</w:t>
            </w:r>
            <w:r w:rsidRPr="009E35B2">
              <w:tab/>
              <w:t xml:space="preserve">Direktiivin 2014/49/EU 5 artiklan 1 kohdan d alakohdan mukaisesti tiettyjen rahoituslaitosten, mukaan lukien sijoituspalveluyritykset, talletukset on suljettu talletusten vakuusjärjestelmien talletussuojan ulkopuolelle. Varojen, jotka kyseiset rahoituslaitokset saavat asiakkailtaan ja tallettavat asiakkaidensa puolesta luottolaitokseen </w:t>
            </w:r>
            <w:r w:rsidRPr="009E35B2">
              <w:rPr>
                <w:b/>
                <w:i/>
              </w:rPr>
              <w:t>harjoittaessaan tarjoamiaan palveluja</w:t>
            </w:r>
            <w:r w:rsidRPr="009E35B2">
              <w:t>, olisi kuitenkin kuuluttava talletussuojaan tietyin ehdoin.</w:t>
            </w:r>
          </w:p>
        </w:tc>
        <w:tc>
          <w:tcPr>
            <w:tcW w:w="4876" w:type="dxa"/>
            <w:hideMark/>
          </w:tcPr>
          <w:p w:rsidR="00E61B38" w:rsidRPr="009E35B2" w:rsidRDefault="00E61B38" w:rsidP="0024275D">
            <w:pPr>
              <w:pStyle w:val="Normal6"/>
              <w:rPr>
                <w:szCs w:val="24"/>
              </w:rPr>
            </w:pPr>
            <w:r w:rsidRPr="009E35B2">
              <w:t>(4)</w:t>
            </w:r>
            <w:r w:rsidRPr="009E35B2">
              <w:tab/>
              <w:t xml:space="preserve">Direktiivin 2014/49/EU 5 artiklan 1 kohdan d alakohdan mukaisesti tiettyjen rahoituslaitosten, mukaan lukien sijoituspalveluyritykset, talletukset on suljettu talletusten vakuusjärjestelmien talletussuojan ulkopuolelle. Varojen, jotka kyseiset rahoituslaitokset saavat asiakkailtaan ja tallettavat asiakkaidensa puolesta luottolaitokseen </w:t>
            </w:r>
            <w:r w:rsidRPr="009E35B2">
              <w:rPr>
                <w:b/>
                <w:i/>
              </w:rPr>
              <w:t>direktiivin (EU) 2015/2366, direktiivin 2009/110/EY ja komission delegoidun direktiivin (EU) 2017/593 puitteissa toteuttamien liiketoimiensa yhteydessä</w:t>
            </w:r>
            <w:r w:rsidRPr="009E35B2">
              <w:t>, olisi kuitenkin kuuluttava talletussuojaan tietyin ehdoin.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Viittaukset ”rahoituslaitoksiin” ja ”talletukset liiketoimiensa yhteydessä” ovat liian laajoja, ja ne olisi rajattava niihin käyttötapauksiin, joita EPV ja komissio ovat tutkineet etukäteen. Muutoin tämä voi johtaa epäjohdonmukaisuuksiin ja merkittäviin hallinnollisiin seurauksiin, joita ei ole suunniteltu eikä arvioitu etukäteen.</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92</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5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(5)</w:t>
            </w:r>
            <w:r w:rsidRPr="009E35B2">
              <w:tab/>
              <w:t xml:space="preserve">Talletusten vakuusjärjestelmältä saatavien korvausten piiriin tällä hetkellä kuuluvien tallettajien valikoiman taustalla on halu suojella vähittäissijoittajia. Ammattimaisten sijoittajien ei katsota tarvitsevan tällaista suojaa. Tästä syystä julkiset viranomaiset </w:t>
            </w:r>
            <w:r w:rsidRPr="009E35B2">
              <w:rPr>
                <w:b/>
                <w:i/>
              </w:rPr>
              <w:t>on suljettu</w:t>
            </w:r>
            <w:r w:rsidRPr="009E35B2">
              <w:t xml:space="preserve"> talletussuojan ulkopuolelle. </w:t>
            </w:r>
            <w:r w:rsidRPr="009E35B2">
              <w:rPr>
                <w:b/>
                <w:i/>
              </w:rPr>
              <w:t>Useimpia julkisia viranomaisia (joihin joissakin jäsenvaltioissa kuuluvat koulut ja sairaalat) ei kuitenkaan voida pitää ammattimaisina sijoittajina. Siksi on tarpeen varmistaa, että kaikkien vähittäissijoittajien, julkiset viranomaiset mukaan luettuna, talletuksille voidaan saada talletusten vakuusjärjestelmän tarjoama suoja.</w:t>
            </w:r>
          </w:p>
        </w:tc>
        <w:tc>
          <w:tcPr>
            <w:tcW w:w="4876" w:type="dxa"/>
            <w:hideMark/>
          </w:tcPr>
          <w:p w:rsidR="00E61B38" w:rsidRPr="009E35B2" w:rsidRDefault="00E61B38" w:rsidP="0024275D">
            <w:pPr>
              <w:pStyle w:val="Normal6"/>
              <w:rPr>
                <w:szCs w:val="24"/>
              </w:rPr>
            </w:pPr>
            <w:r w:rsidRPr="009E35B2">
              <w:t>(5)</w:t>
            </w:r>
            <w:r w:rsidRPr="009E35B2">
              <w:tab/>
              <w:t xml:space="preserve">Talletusten vakuusjärjestelmältä saatavien korvausten piiriin tällä hetkellä kuuluvien tallettajien valikoiman taustalla on halu suojella vähittäissijoittajia. Ammattimaisten sijoittajien ei katsota tarvitsevan tällaista suojaa. Tästä syystä julkiset viranomaiset </w:t>
            </w:r>
            <w:r w:rsidRPr="009E35B2">
              <w:rPr>
                <w:b/>
                <w:i/>
              </w:rPr>
              <w:t>jätetään</w:t>
            </w:r>
            <w:r w:rsidRPr="009E35B2">
              <w:t xml:space="preserve"> talletussuojan ulkopuolelle.</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Viranomaisten mukaan ottaminen ei edistä talletussuojatavoitetta. Nämä yhteisöt eivät tarvitse suojaa eikä niiden sisällyttämisellä ole merkittävää vaikutusta rahoitusvakauden ylläpitämiseen. Tallettajaryhmiä ei pitäisi sisällyttää suojan piiriin vain yksinkertaisuuden vuoksi.</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93</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Markus Ferber, Herbert Dorfmann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5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(5)</w:t>
            </w:r>
            <w:r w:rsidRPr="009E35B2">
              <w:tab/>
              <w:t xml:space="preserve">Talletusten vakuusjärjestelmältä saatavien korvausten piiriin tällä hetkellä kuuluvien tallettajien valikoiman taustalla on halu suojella vähittäissijoittajia. Ammattimaisten sijoittajien ei katsota tarvitsevan tällaista suojaa. Tästä syystä julkiset viranomaiset </w:t>
            </w:r>
            <w:r w:rsidRPr="009E35B2">
              <w:rPr>
                <w:b/>
                <w:i/>
              </w:rPr>
              <w:t>on suljettu</w:t>
            </w:r>
            <w:r w:rsidRPr="009E35B2">
              <w:t xml:space="preserve"> talletussuojan ulkopuolelle. </w:t>
            </w:r>
            <w:r w:rsidRPr="009E35B2">
              <w:rPr>
                <w:b/>
                <w:i/>
              </w:rPr>
              <w:t>Useimpia julkisia viranomaisia (joihin joissakin jäsenvaltioissa kuuluvat koulut ja sairaalat) ei kuitenkaan voida pitää ammattimaisina sijoittajina. Siksi on tarpeen varmistaa, että kaikkien vähittäissijoittajien, julkiset viranomaiset mukaan luettuna, talletuksille voidaan saada talletusten vakuusjärjestelmän tarjoama suoja.</w:t>
            </w:r>
          </w:p>
        </w:tc>
        <w:tc>
          <w:tcPr>
            <w:tcW w:w="4876" w:type="dxa"/>
            <w:hideMark/>
          </w:tcPr>
          <w:p w:rsidR="00E61B38" w:rsidRPr="009E35B2" w:rsidRDefault="00E61B38" w:rsidP="0024275D">
            <w:pPr>
              <w:pStyle w:val="Normal6"/>
              <w:rPr>
                <w:szCs w:val="24"/>
              </w:rPr>
            </w:pPr>
            <w:r w:rsidRPr="009E35B2">
              <w:t>(5)</w:t>
            </w:r>
            <w:r w:rsidRPr="009E35B2">
              <w:tab/>
              <w:t xml:space="preserve">Talletusten vakuusjärjestelmältä saatavien korvausten piiriin tällä hetkellä kuuluvien tallettajien valikoiman taustalla on halu suojella vähittäissijoittajia. Ammattimaisten sijoittajien ei katsota tarvitsevan tällaista suojaa. Tästä syystä julkiset viranomaiset </w:t>
            </w:r>
            <w:r w:rsidRPr="009E35B2">
              <w:rPr>
                <w:b/>
                <w:i/>
              </w:rPr>
              <w:t>jätetään</w:t>
            </w:r>
            <w:r w:rsidRPr="009E35B2">
              <w:t xml:space="preserve"> talletussuojan ulkopuolelle.</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94</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Roberts Zīle</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5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(5)</w:t>
            </w:r>
            <w:r w:rsidRPr="009E35B2">
              <w:tab/>
              <w:t>Talletusten vakuusjärjestelmältä saatavien korvausten piiriin tällä hetkellä kuuluvien tallettajien valikoiman taustalla on halu suojella vähittäissijoittajia. Ammattimaisten sijoittajien ei katsota tarvitsevan tällaista suojaa. Tästä syystä julkiset viranomaiset on suljettu talletussuojan ulkopuolelle. Useimpia julkisia viranomaisia (joihin joissakin jäsenvaltioissa kuuluvat koulut ja sairaalat) ei kuitenkaan voida pitää ammattimaisina sijoittajina. Siksi on tarpeen varmistaa, että kaikkien vähittäissijoittajien, julkiset viranomaiset mukaan luettuna, talletuksille voidaan saada talletusten vakuusjärjestelmän tarjoama suoja.</w:t>
            </w:r>
          </w:p>
        </w:tc>
        <w:tc>
          <w:tcPr>
            <w:tcW w:w="4876" w:type="dxa"/>
            <w:hideMark/>
          </w:tcPr>
          <w:p w:rsidR="00E61B38" w:rsidRPr="009E35B2" w:rsidRDefault="00E61B38" w:rsidP="0024275D">
            <w:pPr>
              <w:pStyle w:val="Normal6"/>
              <w:rPr>
                <w:szCs w:val="24"/>
              </w:rPr>
            </w:pPr>
            <w:r w:rsidRPr="009E35B2">
              <w:t>(5)</w:t>
            </w:r>
            <w:r w:rsidRPr="009E35B2">
              <w:tab/>
              <w:t xml:space="preserve">Talletusten vakuusjärjestelmältä saatavien korvausten piiriin tällä hetkellä kuuluvien tallettajien valikoiman taustalla on halu suojella vähittäissijoittajia. Ammattimaisten sijoittajien ei katsota tarvitsevan tällaista suojaa. Tästä syystä julkiset viranomaiset on suljettu talletussuojan ulkopuolelle. Useimpia julkisia viranomaisia (joihin joissakin jäsenvaltioissa kuuluvat koulut ja sairaalat) ei kuitenkaan voida pitää ammattimaisina sijoittajina. Siksi on </w:t>
            </w:r>
            <w:r w:rsidRPr="009E35B2">
              <w:rPr>
                <w:b/>
                <w:i/>
              </w:rPr>
              <w:t>sisämarkkinoiden tasapuolisten toimintaedellytysten helpottamiseksi</w:t>
            </w:r>
            <w:r w:rsidRPr="009E35B2">
              <w:t xml:space="preserve"> tarpeen varmistaa, että kaikkien vähittäissijoittajien, julkiset viranomaiset mukaan luettuna, talletuksille voidaan saada talletusten vakuusjärjestelmän tarjoama suoja.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95</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5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(5)</w:t>
            </w:r>
            <w:r w:rsidRPr="009E35B2">
              <w:tab/>
              <w:t>Talletusten vakuusjärjestelmältä saatavien korvausten piiriin tällä hetkellä kuuluvien tallettajien valikoiman taustalla on halu suojella vähittäissijoittajia. Ammattimaisten sijoittajien ei katsota tarvitsevan tällaista suojaa. Tästä syystä julkiset viranomaiset on suljettu talletussuojan ulkopuolelle. Useimpia julkisia viranomaisia (joihin joissakin jäsenvaltioissa kuuluvat koulut ja sairaalat) ei kuitenkaan voida pitää ammattimaisina sijoittajina. Siksi on tarpeen varmistaa, että kaikkien vähittäissijoittajien, julkiset viranomaiset mukaan luettuna, talletuksille voidaan saada talletusten vakuusjärjestelmän tarjoama suoja.</w:t>
            </w:r>
          </w:p>
        </w:tc>
        <w:tc>
          <w:tcPr>
            <w:tcW w:w="4876" w:type="dxa"/>
            <w:hideMark/>
          </w:tcPr>
          <w:p w:rsidR="00E61B38" w:rsidRPr="009E35B2" w:rsidRDefault="00E61B38" w:rsidP="0024275D">
            <w:pPr>
              <w:pStyle w:val="Normal6"/>
              <w:rPr>
                <w:szCs w:val="24"/>
              </w:rPr>
            </w:pPr>
            <w:r w:rsidRPr="009E35B2">
              <w:t>(5)</w:t>
            </w:r>
            <w:r w:rsidRPr="009E35B2">
              <w:tab/>
              <w:t xml:space="preserve">Talletusten vakuusjärjestelmältä saatavien korvausten piiriin tällä hetkellä kuuluvien tallettajien valikoiman taustalla on halu suojella vähittäissijoittajia. Ammattimaisten sijoittajien ei katsota tarvitsevan tällaista suojaa. Tästä syystä julkiset viranomaiset on suljettu talletussuojan ulkopuolelle. Useimpia julkisia viranomaisia (joihin joissakin jäsenvaltioissa kuuluvat koulut ja sairaalat) ei kuitenkaan voida pitää ammattimaisina sijoittajina. Siksi on tarpeen varmistaa, että kaikkien vähittäissijoittajien, </w:t>
            </w:r>
            <w:r w:rsidRPr="009E35B2">
              <w:rPr>
                <w:b/>
                <w:i/>
              </w:rPr>
              <w:t>pienet</w:t>
            </w:r>
            <w:r w:rsidRPr="009E35B2">
              <w:t xml:space="preserve"> julkiset viranomaiset mukaan luettuna, talletuksille voidaan saada talletusten vakuusjärjestelmän tarjoama suoja.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Tarkistuksella selvennetään, että keskus-/aluehallinnon ei pitäisi kuulua korvausten piiriin, koska yleisenä tavoitteena on sisällyttää siihen joitakin julkisen sektorin yksiköitä, jotka eivät ole valveutuneita tallettajia, kuten esimerkiksi kouluja, sairaaloita ja joitakin paikallisia palveluja. Tämä vähentäisi riskiä siitä, että talletusten vakuusjärjestelmä joutuisi kantamaan valtion ottamaa riskiä.</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96</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7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(7)</w:t>
            </w:r>
            <w:r w:rsidRPr="009E35B2">
              <w:tab/>
              <w:t>Kiinteistökaupan aikana varat voidaan siirtää eri tilien kautta ennen liiketapahtuman varsinaista toteuttamista. Jotta kiinteistökauppoja tekeviä tallettajia voidaan suojata yhtenäisellä tavalla, tilapäisesti korkeiden saldojen suojaa olisi sovellettava sekä myyntituloihin että yksityisen asuinkiinteistön ostoa varten talletettuihin varoihin lyhyellä aikavälillä.</w:t>
            </w:r>
          </w:p>
        </w:tc>
        <w:tc>
          <w:tcPr>
            <w:tcW w:w="4876" w:type="dxa"/>
            <w:hideMark/>
          </w:tcPr>
          <w:p w:rsidR="00E61B38" w:rsidRPr="009E35B2" w:rsidRDefault="00E61B38" w:rsidP="0024275D">
            <w:pPr>
              <w:pStyle w:val="Normal6"/>
              <w:rPr>
                <w:szCs w:val="24"/>
              </w:rPr>
            </w:pPr>
            <w:r w:rsidRPr="009E35B2">
              <w:t>(7)</w:t>
            </w:r>
            <w:r w:rsidRPr="009E35B2">
              <w:tab/>
              <w:t xml:space="preserve">Kiinteistökaupan aikana varat voidaan siirtää eri tilien kautta ennen liiketapahtuman varsinaista toteuttamista. Jotta kiinteistökauppoja tekeviä tallettajia voidaan suojata yhtenäisellä tavalla, tilapäisesti korkeiden saldojen suojaa olisi sovellettava sekä myyntituloihin että yksityisen asuinkiinteistön ostoa varten talletettuihin varoihin </w:t>
            </w:r>
            <w:r w:rsidRPr="009E35B2">
              <w:rPr>
                <w:b/>
                <w:i/>
              </w:rPr>
              <w:t>ennalta määritellyllä</w:t>
            </w:r>
            <w:r w:rsidRPr="009E35B2">
              <w:t xml:space="preserve"> lyhyellä aikavälillä.</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Käytännön kokemus talletusten vakuusjärjestelmistä on osoittanut, että tässä on täsmennettävä esimerkiksi siirtoja (esim. käyttötileiltä talletustileille), luokkia (esim. vain kiinteistöt, joissa omistaja itse asuu) ja ilmausta ”lyhyellä aikavälillä”.</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97</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Markus Ferber, Herbert Dorfmann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16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(16)</w:t>
            </w:r>
            <w:r w:rsidRPr="009E35B2">
              <w:tab/>
              <w:t xml:space="preserve">Direktiivin 2014/49/EU 9 artiklassa säädetään, että jos talletusten vakuusjärjestelmä maksaa korvaukset kriisinratkaisumenettelyn yhteydessä, talletusten vakuusjärjestelmän olisi vaadittava asiaankuuluvalta luottolaitokselta suorittamiaan maksuja vastaava määrä ja että kyseistä vaatimusta olisi pidettävä etuoikeusasemaltaan samana kuin suojattuja talletuksia. Kyseisessä säännöksessä ei eroteta toisistaan talletusten vakuusjärjestelmän rahoitusosuutta silloin, kun käytetään toiminnan jatkamistarkoituksessa tehtävää velkakirjojen arvon alaskirjausta (open bank bail-in) ja talletusten vakuusjärjestelmän rahoitusosuutta siirtostrategian (liiketoiminnan myynti tai omaisuudenhoitoyhtiön käyttö) rahoittamiseen, jonka jälkeen jäljelle jäävä yhteisö likvidoidaan. Selkeyden ja oikeusvarmuuden varmistamiseksi sen suhteen, onko talletusten vakuusjärjestelmällä saamista eri skenaarioissa ja minkä suuruinen se niissä on, on tarpeen täsmentää, että silloin, kun talletusten vakuusjärjestelmää käytetään tukemaan liiketoiminnan myynnin tai omaisuudenhoitoyhtiön käytön soveltamista, jolloin tietyt luottolaitoksen varat, oikeudet ja velat siirretään vastaanottajalle, kyseisen talletusten vakuusjärjestelmän hyväksi olisi synnyttävä saaminen jäljelle jäävää yhteisöä vastaan sen myöhemmissä, kansallisen lainsäädännön mukaisissa likvidaatiomenettelyissä. Jotta voidaan varmistaa, että jäljelle jäävään yhteisöön jätetyn luottolaitoksen osakkeenomistajat ja velkoja kattavat tehokkaasti kyseisen luottolaitoksen tappiot, ja parantaa mahdollisuutta maksaa maksukyvyttömyystilanteessa korvauksia talletusten vakuusjärjestelmään, talletusten vakuusjärjestelmän vaatimusta olisi pidettävä samantasoisena kuin </w:t>
            </w:r>
            <w:r w:rsidRPr="009E35B2">
              <w:rPr>
                <w:b/>
                <w:i/>
              </w:rPr>
              <w:t>tallettajien vaatimusta</w:t>
            </w:r>
            <w:r w:rsidRPr="009E35B2">
              <w:t>. Jos sovelletaan toiminnan jatkamistarkoituksessa tehtävää velkakirjojen arvon alaskirjausta (eli luottolaitos jatkaa toimintaansa), talletusten vakuusjärjestelmä osallistuu määrään, jolla suojatut talletukset olisi alaskirjattu tai muunnettu kyseisen luottolaitoksen tappioiden kattamiseksi, jos suojatut talletukset olisi sisällytetty velkakirjojen arvon alaskirjauksen soveltamisalaan. Näin ollen talletusten vakuusjärjestelmän rahoitusosuus ei saisi synnyttää saamista kriisinratkaisun kohteena olevaa laitosta vastaan, koska se poistaisi talletusten vakuusjärjestelmän rahoitusosuuden tarkoituksen.</w:t>
            </w:r>
          </w:p>
        </w:tc>
        <w:tc>
          <w:tcPr>
            <w:tcW w:w="4876" w:type="dxa"/>
            <w:hideMark/>
          </w:tcPr>
          <w:p w:rsidR="00E61B38" w:rsidRPr="009E35B2" w:rsidRDefault="00E61B38" w:rsidP="0024275D">
            <w:pPr>
              <w:pStyle w:val="Normal6"/>
              <w:rPr>
                <w:szCs w:val="24"/>
              </w:rPr>
            </w:pPr>
            <w:r w:rsidRPr="009E35B2">
              <w:t>(16)</w:t>
            </w:r>
            <w:r w:rsidRPr="009E35B2">
              <w:tab/>
              <w:t xml:space="preserve">Direktiivin 2014/49/EU 9 artiklassa säädetään, että jos talletusten vakuusjärjestelmä maksaa korvaukset kriisinratkaisumenettelyn yhteydessä, talletusten vakuusjärjestelmän olisi vaadittava asiaankuuluvalta luottolaitokselta suorittamiaan maksuja vastaava määrä ja että kyseistä vaatimusta olisi pidettävä etuoikeusasemaltaan samana kuin suojattuja talletuksia. Kyseisessä säännöksessä ei eroteta toisistaan talletusten vakuusjärjestelmän rahoitusosuutta silloin, kun käytetään toiminnan jatkamistarkoituksessa tehtävää velkakirjojen arvon alaskirjausta (open bank bail-in) ja talletusten vakuusjärjestelmän rahoitusosuutta siirtostrategian (liiketoiminnan myynti tai omaisuudenhoitoyhtiön käyttö) rahoittamiseen, jonka jälkeen jäljelle jäävä yhteisö likvidoidaan. Selkeyden ja oikeusvarmuuden varmistamiseksi sen suhteen, onko talletusten vakuusjärjestelmällä saamista eri skenaarioissa ja minkä suuruinen se niissä on, on tarpeen täsmentää, että silloin, kun talletusten vakuusjärjestelmää käytetään tukemaan liiketoiminnan myynnin tai omaisuudenhoitoyhtiön käytön soveltamista, jolloin tietyt luottolaitoksen varat, oikeudet ja velat siirretään vastaanottajalle, kyseisen talletusten vakuusjärjestelmän hyväksi olisi synnyttävä saaminen jäljelle jäävää yhteisöä vastaan sen myöhemmissä, kansallisen lainsäädännön mukaisissa likvidaatiomenettelyissä. Jotta voidaan varmistaa, että jäljelle jäävään yhteisöön jätetyn luottolaitoksen osakkeenomistajat ja velkoja kattavat tehokkaasti kyseisen luottolaitoksen tappiot, ja parantaa mahdollisuutta maksaa maksukyvyttömyystilanteessa korvauksia talletusten vakuusjärjestelmään, talletusten vakuusjärjestelmän vaatimusta olisi pidettävä samantasoisena kuin </w:t>
            </w:r>
            <w:r w:rsidRPr="009E35B2">
              <w:rPr>
                <w:b/>
                <w:i/>
              </w:rPr>
              <w:t>suojattuja talletuksia</w:t>
            </w:r>
            <w:r w:rsidRPr="009E35B2">
              <w:t>. Jos sovelletaan toiminnan jatkamistarkoituksessa tehtävää velkakirjojen arvon alaskirjausta (eli luottolaitos jatkaa toimintaansa), talletusten vakuusjärjestelmä osallistuu määrään, jolla suojatut talletukset olisi alaskirjattu tai muunnettu kyseisen luottolaitoksen tappioiden kattamiseksi, jos suojatut talletukset olisi sisällytetty velkakirjojen arvon alaskirjauksen soveltamisalaan. Näin ollen talletusten vakuusjärjestelmän rahoitusosuus ei saisi synnyttää saamista kriisinratkaisun kohteena olevaa laitosta vastaan, koska se poistaisi talletusten vakuusjärjestelmän rahoitusosuuden tarkoituksen.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98</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16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(16)</w:t>
            </w:r>
            <w:r w:rsidRPr="009E35B2">
              <w:tab/>
              <w:t xml:space="preserve">Direktiivin 2014/49/EU 9 artiklassa säädetään, että jos talletusten vakuusjärjestelmä maksaa korvaukset kriisinratkaisumenettelyn yhteydessä, talletusten vakuusjärjestelmän olisi vaadittava asiaankuuluvalta luottolaitokselta suorittamiaan maksuja vastaava määrä ja että kyseistä vaatimusta olisi pidettävä etuoikeusasemaltaan samana kuin suojattuja talletuksia. Kyseisessä säännöksessä ei eroteta toisistaan talletusten vakuusjärjestelmän rahoitusosuutta silloin, kun käytetään toiminnan jatkamistarkoituksessa tehtävää velkakirjojen arvon alaskirjausta (open bank bail-in) ja talletusten vakuusjärjestelmän rahoitusosuutta siirtostrategian (liiketoiminnan myynti tai omaisuudenhoitoyhtiön käyttö) rahoittamiseen, jonka jälkeen jäljelle jäävä yhteisö likvidoidaan. Selkeyden ja oikeusvarmuuden varmistamiseksi sen suhteen, onko talletusten vakuusjärjestelmällä saamista eri skenaarioissa ja minkä suuruinen se niissä on, on tarpeen täsmentää, että silloin, kun talletusten vakuusjärjestelmää käytetään tukemaan liiketoiminnan myynnin tai omaisuudenhoitoyhtiön käytön soveltamista, jolloin tietyt luottolaitoksen varat, oikeudet ja velat siirretään vastaanottajalle, kyseisen talletusten vakuusjärjestelmän hyväksi olisi synnyttävä saaminen jäljelle jäävää yhteisöä vastaan sen myöhemmissä, kansallisen lainsäädännön mukaisissa likvidaatiomenettelyissä. Jotta voidaan varmistaa, että jäljelle jäävään yhteisöön jätetyn luottolaitoksen osakkeenomistajat ja velkoja kattavat tehokkaasti kyseisen luottolaitoksen tappiot, ja parantaa mahdollisuutta maksaa maksukyvyttömyystilanteessa korvauksia talletusten vakuusjärjestelmään, talletusten vakuusjärjestelmän vaatimusta olisi pidettävä samantasoisena kuin </w:t>
            </w:r>
            <w:r w:rsidRPr="009E35B2">
              <w:rPr>
                <w:b/>
                <w:i/>
              </w:rPr>
              <w:t>tallettajien vaatimusta</w:t>
            </w:r>
            <w:r w:rsidRPr="009E35B2">
              <w:t>. Jos sovelletaan toiminnan jatkamistarkoituksessa tehtävää velkakirjojen arvon alaskirjausta (eli luottolaitos jatkaa toimintaansa), talletusten vakuusjärjestelmä osallistuu määrään, jolla suojatut talletukset olisi alaskirjattu tai muunnettu kyseisen luottolaitoksen tappioiden kattamiseksi, jos suojatut talletukset olisi sisällytetty velkakirjojen arvon alaskirjauksen soveltamisalaan. Näin ollen talletusten vakuusjärjestelmän rahoitusosuus ei saisi synnyttää saamista kriisinratkaisun kohteena olevaa laitosta vastaan, koska se poistaisi talletusten vakuusjärjestelmän rahoitusosuuden tarkoituksen.</w:t>
            </w:r>
          </w:p>
        </w:tc>
        <w:tc>
          <w:tcPr>
            <w:tcW w:w="4876" w:type="dxa"/>
            <w:hideMark/>
          </w:tcPr>
          <w:p w:rsidR="00E61B38" w:rsidRPr="009E35B2" w:rsidRDefault="00E61B38" w:rsidP="0024275D">
            <w:pPr>
              <w:pStyle w:val="Normal6"/>
              <w:rPr>
                <w:szCs w:val="24"/>
              </w:rPr>
            </w:pPr>
            <w:r w:rsidRPr="009E35B2">
              <w:t>(16)</w:t>
            </w:r>
            <w:r w:rsidRPr="009E35B2">
              <w:tab/>
              <w:t xml:space="preserve">Direktiivin 2014/49/EU 9 artiklassa säädetään, että jos talletusten vakuusjärjestelmä maksaa korvaukset kriisinratkaisumenettelyn yhteydessä, talletusten vakuusjärjestelmän olisi vaadittava asiaankuuluvalta luottolaitokselta suorittamiaan maksuja vastaava määrä ja että kyseistä vaatimusta olisi pidettävä etuoikeusasemaltaan samana kuin suojattuja talletuksia. Kyseisessä säännöksessä ei eroteta toisistaan talletusten vakuusjärjestelmän rahoitusosuutta silloin, kun käytetään toiminnan jatkamistarkoituksessa tehtävää velkakirjojen arvon alaskirjausta (open bank bail-in) ja talletusten vakuusjärjestelmän rahoitusosuutta siirtostrategian (liiketoiminnan myynti tai omaisuudenhoitoyhtiön käyttö) rahoittamiseen, jonka jälkeen jäljelle jäävä yhteisö likvidoidaan. Selkeyden ja oikeusvarmuuden varmistamiseksi sen suhteen, onko talletusten vakuusjärjestelmällä saamista eri skenaarioissa ja minkä suuruinen se niissä on, on tarpeen täsmentää, että silloin, kun talletusten vakuusjärjestelmää käytetään tukemaan liiketoiminnan myynnin tai omaisuudenhoitoyhtiön käytön soveltamista, jolloin tietyt luottolaitoksen varat, oikeudet ja velat siirretään vastaanottajalle, kyseisen talletusten vakuusjärjestelmän hyväksi olisi synnyttävä saaminen jäljelle jäävää yhteisöä vastaan sen myöhemmissä, kansallisen lainsäädännön mukaisissa likvidaatiomenettelyissä. Jotta voidaan varmistaa, että jäljelle jäävään yhteisöön jätetyn luottolaitoksen osakkeenomistajat ja velkoja kattavat tehokkaasti kyseisen luottolaitoksen tappiot, ja parantaa mahdollisuutta maksaa maksukyvyttömyystilanteessa korvauksia talletusten vakuusjärjestelmään, talletusten vakuusjärjestelmän vaatimusta olisi pidettävä samantasoisena kuin </w:t>
            </w:r>
            <w:r w:rsidRPr="009E35B2">
              <w:rPr>
                <w:b/>
                <w:i/>
              </w:rPr>
              <w:t>suojattuja talletuksia</w:t>
            </w:r>
            <w:r w:rsidRPr="009E35B2">
              <w:t>. Jos sovelletaan toiminnan jatkamistarkoituksessa tehtävää velkakirjojen arvon alaskirjausta (eli luottolaitos jatkaa toimintaansa), talletusten vakuusjärjestelmä osallistuu määrään, jolla suojatut talletukset olisi alaskirjattu tai muunnettu kyseisen luottolaitoksen tappioiden kattamiseksi, jos suojatut talletukset olisi sisällytetty velkakirjojen arvon alaskirjauksen soveltamisalaan. Näin ollen talletusten vakuusjärjestelmän rahoitusosuus ei saisi synnyttää saamista kriisinratkaisun kohteena olevaa laitosta vastaan, koska se poistaisi talletusten vakuusjärjestelmän rahoitusosuuden tarkoituksen.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Tämä mukautus johtuu yksitasoisen yleistallettajan etuoikeusaseman hylkäämisestä. Olisi suosittava saamisia talletusten vakuusjärjestelmän jäljelle jäävältä laitokselta.</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99</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18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(18)</w:t>
            </w:r>
            <w:r w:rsidRPr="009E35B2">
              <w:tab/>
              <w:t>Direktiivin 2014/49/EU 10 artiklan 2 alakohdan nojalla jäsenvaltioiden on varmistettava, että talletusten vakuusjärjestelmän käytettävissä olevat rahoitusvarat ovat tavoitetasoltaan 0,8 prosenttia sen jäsenten suojattujen talletusten määrästä viimeistään 3 päivänä heinäkuuta 2024. Jotta voidaan objektiivisesti arvioida, täyttävätkö talletusten vakuusjärjestelmät tämän vaatimuksen, olisi vahvistettava selkeä viitejakso suojattujen talletusten määrän ja talletusten vakuusjärjestelmien käytettävissä olevien rahoitusvarojen määrittämiseksi.</w:t>
            </w:r>
          </w:p>
        </w:tc>
        <w:tc>
          <w:tcPr>
            <w:tcW w:w="4876" w:type="dxa"/>
            <w:hideMark/>
          </w:tcPr>
          <w:p w:rsidR="00E61B38" w:rsidRPr="009E35B2" w:rsidRDefault="00E61B38" w:rsidP="0024275D">
            <w:pPr>
              <w:pStyle w:val="Normal6"/>
              <w:rPr>
                <w:szCs w:val="24"/>
              </w:rPr>
            </w:pPr>
            <w:r w:rsidRPr="009E35B2">
              <w:t>(18)</w:t>
            </w:r>
            <w:r w:rsidRPr="009E35B2">
              <w:tab/>
              <w:t xml:space="preserve">Direktiivin 2014/49/EU 10 artiklan 2 alakohdan nojalla jäsenvaltioiden on varmistettava, että talletusten vakuusjärjestelmän käytettävissä olevat rahoitusvarat ovat tavoitetasoltaan 0,8 prosenttia sen jäsenten suojattujen talletusten määrästä viimeistään 3 päivänä heinäkuuta 2024. Jotta voidaan objektiivisesti arvioida, täyttävätkö talletusten vakuusjärjestelmät tämän vaatimuksen, olisi vahvistettava selkeä viitejakso suojattujen talletusten määrän ja talletusten vakuusjärjestelmien käytettävissä olevien rahoitusvarojen määrittämiseksi. </w:t>
            </w:r>
            <w:r w:rsidRPr="009E35B2">
              <w:rPr>
                <w:b/>
                <w:i/>
              </w:rPr>
              <w:t>Kun otetaan huomioon talletusten vakuusjärjestelmän käytön soveltamisalan laajentaminen, 0,8 prosentin tavoitetason riittävyyttä olisi seurattava ja arvioitava tiiviisti.</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100</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18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(18)</w:t>
            </w:r>
            <w:r w:rsidRPr="009E35B2">
              <w:tab/>
              <w:t>Direktiivin 2014/49/EU 10 artiklan 2 alakohdan nojalla jäsenvaltioiden on varmistettava, että talletusten vakuusjärjestelmän käytettävissä olevat rahoitusvarat ovat tavoitetasoltaan 0,8 prosenttia sen jäsenten suojattujen talletusten määrästä viimeistään 3 päivänä heinäkuuta 2024. Jotta voidaan objektiivisesti arvioida, täyttävätkö talletusten vakuusjärjestelmät tämän vaatimuksen, olisi vahvistettava selkeä viitejakso suojattujen talletusten määrän ja talletusten vakuusjärjestelmien käytettävissä olevien rahoitusvarojen määrittämiseksi.</w:t>
            </w:r>
          </w:p>
        </w:tc>
        <w:tc>
          <w:tcPr>
            <w:tcW w:w="4876" w:type="dxa"/>
            <w:hideMark/>
          </w:tcPr>
          <w:p w:rsidR="00E61B38" w:rsidRPr="009E35B2" w:rsidRDefault="00E61B38" w:rsidP="0024275D">
            <w:pPr>
              <w:pStyle w:val="Normal6"/>
              <w:rPr>
                <w:szCs w:val="24"/>
              </w:rPr>
            </w:pPr>
            <w:r w:rsidRPr="009E35B2">
              <w:t>(18)</w:t>
            </w:r>
            <w:r w:rsidRPr="009E35B2">
              <w:tab/>
              <w:t xml:space="preserve">Direktiivin 2014/49/EU 10 artiklan 2 kohdan nojalla jäsenvaltioiden on varmistettava, että talletusten vakuusjärjestelmän käytettävissä olevat rahoitusvarat ovat tavoitetasoltaan 0,8 prosenttia sen jäsenten suojattujen talletusten määrästä </w:t>
            </w:r>
            <w:r w:rsidRPr="009E35B2">
              <w:rPr>
                <w:b/>
                <w:i/>
              </w:rPr>
              <w:t>tai tarvittaessa alemman tavoitetason</w:t>
            </w:r>
            <w:r w:rsidRPr="009E35B2">
              <w:t xml:space="preserve"> viimeistään 3 päivänä heinäkuuta 2024. Jotta voidaan objektiivisesti arvioida, täyttävätkö talletusten vakuusjärjestelmät tämän vaatimuksen, olisi vahvistettava selkeä viitejakso suojattujen talletusten määrän ja talletusten vakuusjärjestelmien käytettävissä olevien rahoitusvarojen määrittämiseksi.</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Talletussuojadirektiivin 10 artiklan 6 kohdassa säädetään tällä hetkellä mahdollisuudesta asettaa alle 0,8 prosentin tavoitetaso tiukoin ehdoin ja komission suostumuksella. Tämä säännös olisi säilytettävä.</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101</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Marco Zanni, Valentino Grant, Antonio Maria Rinaldi</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18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(18)</w:t>
            </w:r>
            <w:r w:rsidRPr="009E35B2">
              <w:tab/>
              <w:t>Direktiivin 2014/49/EU 10 artiklan 2 alakohdan nojalla jäsenvaltioiden on varmistettava, että talletusten vakuusjärjestelmän käytettävissä olevat rahoitusvarat ovat tavoitetasoltaan 0,8 prosenttia sen jäsenten suojattujen talletusten määrästä viimeistään 3 päivänä heinäkuuta 2024. Jotta voidaan objektiivisesti arvioida, täyttävätkö talletusten vakuusjärjestelmät tämän vaatimuksen, olisi vahvistettava selkeä viitejakso suojattujen talletusten määrän ja talletusten vakuusjärjestelmien käytettävissä olevien rahoitusvarojen määrittämiseksi.</w:t>
            </w:r>
          </w:p>
        </w:tc>
        <w:tc>
          <w:tcPr>
            <w:tcW w:w="4876" w:type="dxa"/>
            <w:hideMark/>
          </w:tcPr>
          <w:p w:rsidR="00E61B38" w:rsidRPr="009E35B2" w:rsidRDefault="00E61B38" w:rsidP="0024275D">
            <w:pPr>
              <w:pStyle w:val="Normal6"/>
              <w:rPr>
                <w:szCs w:val="24"/>
              </w:rPr>
            </w:pPr>
            <w:r w:rsidRPr="009E35B2">
              <w:t>(18)</w:t>
            </w:r>
            <w:r w:rsidRPr="009E35B2">
              <w:tab/>
              <w:t xml:space="preserve">Direktiivin 2014/49/EU 10 artiklan 2 kohdan nojalla </w:t>
            </w:r>
            <w:r w:rsidRPr="009E35B2">
              <w:rPr>
                <w:b/>
                <w:i/>
              </w:rPr>
              <w:t xml:space="preserve">vahvistetaan, että </w:t>
            </w:r>
            <w:r w:rsidRPr="009E35B2">
              <w:t>jäsenvaltioiden on varmistettava, että talletusten vakuusjärjestelmän käytettävissä olevat rahoitusvarat ovat tavoitetasoltaan 0,8 prosenttia sen jäsenten suojattujen talletusten määrästä viimeistään 3 päivänä heinäkuuta 2024. Jotta voidaan objektiivisesti arvioida, täyttävätkö talletusten vakuusjärjestelmät tämän vaatimuksen, olisi vahvistettava selkeä viitejakso suojattujen talletusten määrän ja talletusten vakuusjärjestelmien käytettävissä olevien rahoitusvarojen määrittämiseksi.</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102</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Fabio Massimo Castaldo</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18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(18)</w:t>
            </w:r>
            <w:r w:rsidRPr="009E35B2">
              <w:tab/>
              <w:t>Direktiivin 2014/49/EU 10 artiklan 2 alakohdan nojalla jäsenvaltioiden on varmistettava, että talletusten vakuusjärjestelmän käytettävissä olevat rahoitusvarat ovat tavoitetasoltaan 0,8 prosenttia sen jäsenten suojattujen talletusten määrästä viimeistään 3 päivänä heinäkuuta 2024. Jotta voidaan objektiivisesti arvioida, täyttävätkö talletusten vakuusjärjestelmät tämän vaatimuksen, olisi vahvistettava selkeä viitejakso suojattujen talletusten määrän ja talletusten vakuusjärjestelmien käytettävissä olevien rahoitusvarojen määrittämiseksi.</w:t>
            </w:r>
          </w:p>
        </w:tc>
        <w:tc>
          <w:tcPr>
            <w:tcW w:w="4876" w:type="dxa"/>
            <w:hideMark/>
          </w:tcPr>
          <w:p w:rsidR="00E61B38" w:rsidRPr="009E35B2" w:rsidRDefault="00E61B38" w:rsidP="0024275D">
            <w:pPr>
              <w:pStyle w:val="Normal6"/>
              <w:rPr>
                <w:szCs w:val="24"/>
              </w:rPr>
            </w:pPr>
            <w:r w:rsidRPr="009E35B2">
              <w:t>(18)</w:t>
            </w:r>
            <w:r w:rsidRPr="009E35B2">
              <w:tab/>
              <w:t xml:space="preserve">Direktiivin 2014/49/EU 10 artiklan 2 kohdan nojalla </w:t>
            </w:r>
            <w:r w:rsidRPr="009E35B2">
              <w:rPr>
                <w:b/>
                <w:i/>
              </w:rPr>
              <w:t xml:space="preserve">vahvistetaan, että </w:t>
            </w:r>
            <w:r w:rsidRPr="009E35B2">
              <w:t>jäsenvaltioiden on varmistettava, että talletusten vakuusjärjestelmän käytettävissä olevat rahoitusvarat ovat tavoitetasoltaan 0,8 prosenttia sen jäsenten suojattujen talletusten määrästä viimeistään 3 päivänä heinäkuuta 2024. Jotta voidaan objektiivisesti arvioida, täyttävätkö talletusten vakuusjärjestelmät tämän vaatimuksen, olisi vahvistettava selkeä viitejakso suojattujen talletusten määrän ja talletusten vakuusjärjestelmien käytettävissä olevien rahoitusvarojen määrittämiseksi.</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103</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Luděk Niedermayer</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18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(18)</w:t>
            </w:r>
            <w:r w:rsidRPr="009E35B2">
              <w:tab/>
              <w:t>Direktiivin 2014/49/EU 10 artiklan 2 alakohdan nojalla jäsenvaltioiden on varmistettava, että talletusten vakuusjärjestelmän käytettävissä olevat rahoitusvarat ovat tavoitetasoltaan 0,8 prosenttia sen jäsenten suojattujen talletusten määrästä viimeistään 3 päivänä heinäkuuta 2024. Jotta voidaan objektiivisesti arvioida, täyttävätkö talletusten vakuusjärjestelmät tämän vaatimuksen, olisi vahvistettava selkeä viitejakso suojattujen talletusten määrän ja talletusten vakuusjärjestelmien käytettävissä olevien rahoitusvarojen määrittämiseksi.</w:t>
            </w:r>
          </w:p>
        </w:tc>
        <w:tc>
          <w:tcPr>
            <w:tcW w:w="4876" w:type="dxa"/>
            <w:hideMark/>
          </w:tcPr>
          <w:p w:rsidR="00E61B38" w:rsidRPr="009E35B2" w:rsidRDefault="00E61B38" w:rsidP="0024275D">
            <w:pPr>
              <w:pStyle w:val="Normal6"/>
              <w:rPr>
                <w:szCs w:val="24"/>
              </w:rPr>
            </w:pPr>
            <w:r w:rsidRPr="009E35B2">
              <w:rPr>
                <w:i/>
                <w:iCs/>
              </w:rPr>
              <w:t>(Tarkistus ei vaikuta suomenkieliseen versioon)</w:t>
            </w:r>
            <w:r w:rsidRPr="009E35B2">
              <w:tab/>
              <w:t xml:space="preserve"> </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104</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18 a kappale (uusi)</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18 a)</w:t>
            </w:r>
            <w:r w:rsidRPr="009E35B2">
              <w:rPr>
                <w:b/>
                <w:i/>
              </w:rPr>
              <w:tab/>
              <w:t>Talletusten vakuusjärjestelmään ja kriisinratkaisun rahoitusjärjestelyihin maksettavat rahoitusosuudet olisi määritettävä siten, että arvioidaan tarkasti, miten todennäköisesti osallistuva pankki aiheuttaa tappioita talletusten vakuusjärjestelmälle tai kriisinratkaisun rahoitusjärjestelyille. Tätä varten yksittäisten pankkien näihin rahastoihin suorittamia rahoitusosuuksia koskevissa säännöissä otetaan ensisijaisesti huomioon asianomaisten omia varoja ja hyväksyttäviä velkoja koskeva vähimmäisvaatimus ja laatu.</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Tämä uudistus saattaa muuttaa pienten ja keskisuurten pankkien todennäköisyyttä päästä talletusten vakuusjärjestelmän/kriisinratkaisurahaston piiriin. Tämä todennäköisyys olisi otettava huomioon rahoitusosuutta koskevissa säännöissä, jotta voidaan luoda asianmukaiset kannustimet saastuttaja maksaa -mallille. Riskioikaisussa olisi ensisijaisesti otettava huomioon asianomaisten pankkien MREL-vähimmäisvaatimuksen kapasiteetti ja laatu.</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105</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18 b kappale (uusi)</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18 b)</w:t>
            </w:r>
            <w:r w:rsidRPr="009E35B2">
              <w:rPr>
                <w:b/>
                <w:i/>
              </w:rPr>
              <w:tab/>
              <w:t>Kriisinratkaisun rahoitusjärjestelyjen ja talletusten vakuusjärjestelmien tavoitetaso määritettiin vuonna 2014 kestämään tiettyä pankkijärjestelmään kohdistuvaa haitallista häiriötä, kun otetaan huomioon sen tuolloinen tappionkattamiskyky. Sen jälkeen pankkijärjestelmä on lisännyt huomattavasti tappionkattamiskykyään kasvattamalla pääoma- ja MREL-puskureitaan ja parantamalla ensisijaisesti omaisuuserien yleistä laatua järjestämättömien lainojen vähenemisen myötä. Tämän seurauksena sama tavoitetaso kestää nykyään paljon suuremman shokin, mikä puolestaan tarkoittaa, että tavoitetasoja ei tarvitse nostaa tämän tarkastelun seurauksena.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Uudistuksella pyritään tehostamaan varojen käyttöä. Kohdennetuilla tarkistuksilla ei pitäisi lisätä rahastoihin kohdistuvaa taakkaa siinä määrin, että se olisi suurempi kuin vuodesta 2014 lähtien tapahtuneen merkittävän riskienvähentämisen hyöty, mikä tarkoittaa, että nykyään samalla tavoitetasolla on mahdollsta kestää paljon suurempi häiriö.</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106</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Enikő Győri</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22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(22)</w:t>
            </w:r>
            <w:r w:rsidRPr="009E35B2">
              <w:tab/>
              <w:t>On tarpeen parantaa talletussuojaa, mutta samalla välttää tarve myydä talletusten vakuusjärjestelmän varoja pikaisesti ja rajoittaa ylimääräisten kannatusmaksujen keräämisen mahdollisia kielteisiä myötäsyklisiä vaikutuksia pankkialaan. Talletusten vakuusjärjestelmien olisi näin ollen annettava käyttää vaihtoehtoisia rahoitusjärjestelyjä, joiden avulla ne voivat hankkia milloin tahansa lyhytaikaista rahoitusta muista lähteistä kuin kannatusmaksuista, myös ennen kuin ne käyttävät käytettävissä olevia rahoitusvarojaan ja ylimääräisillä kannatusmaksuilla kerättyjä varoja. Koska luottolaitosten olisi pääosin kannettava talletusten vakuusjärjestelmien rahoittamisesta aiheutuvat kustannukset ja vastuu, julkisin varoihin perustuvia vaihtoehtoisia rahoitusjärjestelyjä olisi käytettävä vasta viimeisenä keinona.</w:t>
            </w:r>
          </w:p>
        </w:tc>
        <w:tc>
          <w:tcPr>
            <w:tcW w:w="4876" w:type="dxa"/>
            <w:hideMark/>
          </w:tcPr>
          <w:p w:rsidR="00E61B38" w:rsidRPr="009E35B2" w:rsidRDefault="00E61B38" w:rsidP="0024275D">
            <w:pPr>
              <w:pStyle w:val="Normal6"/>
              <w:rPr>
                <w:szCs w:val="24"/>
              </w:rPr>
            </w:pPr>
            <w:r w:rsidRPr="009E35B2">
              <w:t>(22)</w:t>
            </w:r>
            <w:r w:rsidRPr="009E35B2">
              <w:tab/>
              <w:t xml:space="preserve">On tarpeen parantaa talletussuojaa, mutta samalla välttää tarve myydä talletusten vakuusjärjestelmän varoja pikaisesti ja rajoittaa ylimääräisten kannatusmaksujen keräämisen mahdollisia kielteisiä myötäsyklisiä vaikutuksia pankkialaan. Talletusten vakuusjärjestelmien olisi näin ollen annettava käyttää vaihtoehtoisia rahoitusjärjestelyjä, joiden avulla ne voivat hankkia milloin tahansa lyhytaikaista rahoitusta muista lähteistä kuin kannatusmaksuista, myös ennen kuin ne käyttävät käytettävissä olevia rahoitusvarojaan ja ylimääräisillä kannatusmaksuilla kerättyjä varoja. Koska luottolaitosten olisi pääosin kannettava talletusten vakuusjärjestelmien rahoittamisesta aiheutuvat kustannukset ja vastuu, julkisin varoihin perustuvia vaihtoehtoisia rahoitusjärjestelyjä olisi käytettävä vasta viimeisenä keinona. </w:t>
            </w:r>
            <w:r w:rsidRPr="009E35B2">
              <w:rPr>
                <w:b/>
                <w:i/>
              </w:rPr>
              <w:t>Tämä ei rajoita keskuspankin mahdollisuutta myöntää talletusten vakuusjärjestelmälle väliaikaisia maksuvalmiuslainoja.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107</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22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(22)</w:t>
            </w:r>
            <w:r w:rsidRPr="009E35B2">
              <w:tab/>
              <w:t>On tarpeen parantaa talletussuojaa, mutta samalla välttää tarve myydä talletusten vakuusjärjestelmän varoja pikaisesti ja rajoittaa ylimääräisten kannatusmaksujen keräämisen mahdollisia kielteisiä myötäsyklisiä vaikutuksia pankkialaan. Talletusten vakuusjärjestelmien olisi näin ollen annettava käyttää vaihtoehtoisia rahoitusjärjestelyjä, joiden avulla ne voivat hankkia milloin tahansa lyhytaikaista rahoitusta muista lähteistä kuin kannatusmaksuista, myös ennen kuin ne käyttävät käytettävissä olevia rahoitusvarojaan ja ylimääräisillä kannatusmaksuilla kerättyjä varoja. Koska luottolaitosten olisi pääosin kannettava talletusten vakuusjärjestelmien rahoittamisesta aiheutuvat kustannukset ja vastuu, julkisin varoihin perustuvia vaihtoehtoisia rahoitusjärjestelyjä olisi käytettävä vasta viimeisenä keinona.</w:t>
            </w:r>
          </w:p>
        </w:tc>
        <w:tc>
          <w:tcPr>
            <w:tcW w:w="4876" w:type="dxa"/>
            <w:hideMark/>
          </w:tcPr>
          <w:p w:rsidR="00E61B38" w:rsidRPr="009E35B2" w:rsidRDefault="00E61B38" w:rsidP="0024275D">
            <w:pPr>
              <w:pStyle w:val="Normal6"/>
              <w:rPr>
                <w:szCs w:val="24"/>
              </w:rPr>
            </w:pPr>
            <w:r w:rsidRPr="009E35B2">
              <w:t>(22)</w:t>
            </w:r>
            <w:r w:rsidRPr="009E35B2">
              <w:tab/>
              <w:t>On tarpeen parantaa talletussuojaa, mutta samalla välttää tarve myydä talletusten vakuusjärjestelmän varoja pikaisesti ja rajoittaa ylimääräisten kannatusmaksujen keräämisen mahdollisia kielteisiä myötäsyklisiä vaikutuksia pankkialaan. Talletusten vakuusjärjestelmien olisi näin ollen annettava käyttää vaihtoehtoisia rahoitusjärjestelyjä, joiden avulla ne voivat hankkia milloin tahansa lyhytaikaista rahoitusta muista lähteistä kuin kannatusmaksuista, myös ennen kuin ne käyttävät käytettävissä olevia rahoitusvarojaan ja ylimääräisillä kannatusmaksuilla kerättyjä varoja. Koska luottolaitosten olisi pääosin kannettava talletusten vakuusjärjestelmien rahoittamisesta aiheutuvat kustannukset ja vastuu, julkisin varoihin perustuvia vaihtoehtoisia rahoitusjärjestelyjä olisi käytettävä vasta viimeisenä keinona</w:t>
            </w:r>
            <w:r w:rsidRPr="009E35B2">
              <w:rPr>
                <w:b/>
                <w:i/>
              </w:rPr>
              <w:t>, kun kaikki muut vaihtoehdot on käytetty</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108</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Luděk Niedermayer</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22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(22)</w:t>
            </w:r>
            <w:r w:rsidRPr="009E35B2">
              <w:tab/>
              <w:t xml:space="preserve">On tarpeen parantaa talletussuojaa, mutta samalla välttää tarve myydä talletusten vakuusjärjestelmän varoja pikaisesti ja rajoittaa ylimääräisten kannatusmaksujen keräämisen mahdollisia kielteisiä myötäsyklisiä vaikutuksia pankkialaan. Talletusten vakuusjärjestelmien olisi näin ollen annettava käyttää vaihtoehtoisia rahoitusjärjestelyjä, joiden avulla ne voivat hankkia milloin tahansa lyhytaikaista rahoitusta muista lähteistä kuin kannatusmaksuista, myös ennen kuin ne käyttävät käytettävissä olevia rahoitusvarojaan ja ylimääräisillä kannatusmaksuilla kerättyjä varoja. Koska luottolaitosten olisi pääosin kannettava talletusten vakuusjärjestelmien rahoittamisesta aiheutuvat kustannukset ja vastuu, julkisin varoihin perustuvia vaihtoehtoisia rahoitusjärjestelyjä olisi käytettävä </w:t>
            </w:r>
            <w:r w:rsidRPr="009E35B2">
              <w:rPr>
                <w:b/>
                <w:i/>
              </w:rPr>
              <w:t>vasta viimeisenä keinona</w:t>
            </w:r>
            <w:r w:rsidRPr="009E35B2">
              <w:t>.</w:t>
            </w:r>
          </w:p>
        </w:tc>
        <w:tc>
          <w:tcPr>
            <w:tcW w:w="4876" w:type="dxa"/>
            <w:hideMark/>
          </w:tcPr>
          <w:p w:rsidR="00E61B38" w:rsidRPr="009E35B2" w:rsidRDefault="00E61B38" w:rsidP="0024275D">
            <w:pPr>
              <w:pStyle w:val="Normal6"/>
              <w:rPr>
                <w:szCs w:val="24"/>
              </w:rPr>
            </w:pPr>
            <w:r w:rsidRPr="009E35B2">
              <w:t>(22)</w:t>
            </w:r>
            <w:r w:rsidRPr="009E35B2">
              <w:tab/>
              <w:t xml:space="preserve">On tarpeen parantaa talletussuojaa, mutta samalla välttää tarve myydä talletusten vakuusjärjestelmän varoja pikaisesti ja rajoittaa ylimääräisten kannatusmaksujen keräämisen mahdollisia kielteisiä myötäsyklisiä vaikutuksia pankkialaan. Talletusten vakuusjärjestelmien olisi näin ollen annettava käyttää vaihtoehtoisia rahoitusjärjestelyjä, joiden avulla ne voivat hankkia milloin tahansa lyhytaikaista rahoitusta muista lähteistä kuin kannatusmaksuista, myös ennen kuin ne käyttävät käytettävissä olevia rahoitusvarojaan ja ylimääräisillä kannatusmaksuilla kerättyjä varoja. Koska luottolaitosten olisi pääosin kannettava talletusten vakuusjärjestelmien rahoittamisesta aiheutuvat kustannukset ja vastuu, julkisin varoihin perustuvia vaihtoehtoisia rahoitusjärjestelyjä olisi käytettävä </w:t>
            </w:r>
            <w:r w:rsidRPr="009E35B2">
              <w:rPr>
                <w:b/>
                <w:i/>
              </w:rPr>
              <w:t>vain poikkeuksellisissa tapauksissa, jotka ovat luonteeltaan systemaattisia</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109</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Marco Zanni, Valentino Grant, Antonio Maria Rinaldi</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22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(22)</w:t>
            </w:r>
            <w:r w:rsidRPr="009E35B2">
              <w:tab/>
              <w:t xml:space="preserve">On tarpeen parantaa talletussuojaa, mutta samalla välttää tarve myydä talletusten vakuusjärjestelmän varoja pikaisesti ja rajoittaa ylimääräisten kannatusmaksujen keräämisen mahdollisia kielteisiä myötäsyklisiä vaikutuksia pankkialaan. Talletusten vakuusjärjestelmien olisi näin ollen annettava käyttää vaihtoehtoisia rahoitusjärjestelyjä, joiden avulla ne voivat hankkia milloin tahansa lyhytaikaista rahoitusta muista lähteistä kuin kannatusmaksuista, myös ennen kuin ne käyttävät käytettävissä olevia rahoitusvarojaan ja ylimääräisillä kannatusmaksuilla kerättyjä varoja. Koska luottolaitosten olisi pääosin kannettava talletusten vakuusjärjestelmien rahoittamisesta aiheutuvat kustannukset ja vastuu, julkisin varoihin perustuvia vaihtoehtoisia rahoitusjärjestelyjä olisi käytettävä </w:t>
            </w:r>
            <w:r w:rsidRPr="009E35B2">
              <w:rPr>
                <w:b/>
                <w:bCs/>
                <w:i/>
                <w:iCs/>
              </w:rPr>
              <w:t>vasta</w:t>
            </w:r>
            <w:r w:rsidRPr="009E35B2">
              <w:t xml:space="preserve"> viimeisenä keinona.</w:t>
            </w:r>
          </w:p>
        </w:tc>
        <w:tc>
          <w:tcPr>
            <w:tcW w:w="4876" w:type="dxa"/>
            <w:hideMark/>
          </w:tcPr>
          <w:p w:rsidR="00E61B38" w:rsidRPr="009E35B2" w:rsidRDefault="00E61B38" w:rsidP="0024275D">
            <w:pPr>
              <w:pStyle w:val="Normal6"/>
              <w:rPr>
                <w:szCs w:val="24"/>
              </w:rPr>
            </w:pPr>
            <w:r w:rsidRPr="009E35B2">
              <w:t>(22)</w:t>
            </w:r>
            <w:r w:rsidRPr="009E35B2">
              <w:tab/>
              <w:t xml:space="preserve">On tarpeen parantaa talletussuojaa, mutta samalla välttää tarve myydä talletusten vakuusjärjestelmän varoja pikaisesti ja rajoittaa ylimääräisten kannatusmaksujen keräämisen mahdollisia kielteisiä myötäsyklisiä vaikutuksia pankkialaan. Talletusten vakuusjärjestelmien olisi näin ollen annettava käyttää vaihtoehtoisia rahoitusjärjestelyjä, joiden avulla ne voivat hankkia milloin tahansa lyhytaikaista rahoitusta muista lähteistä kuin kannatusmaksuista, myös ennen kuin ne käyttävät käytettävissä olevia rahoitusvarojaan ja ylimääräisillä kannatusmaksuilla kerättyjä varoja. Koska luottolaitosten olisi pääosin kannettava talletusten vakuusjärjestelmien rahoittamisesta aiheutuvat kustannukset ja vastuu, julkisin varoihin perustuvia vaihtoehtoisia rahoitusjärjestelyjä olisi käytettävä </w:t>
            </w:r>
            <w:r w:rsidRPr="009E35B2">
              <w:rPr>
                <w:b/>
                <w:i/>
              </w:rPr>
              <w:t xml:space="preserve">vain silloin, kun ne toimivat </w:t>
            </w:r>
            <w:r w:rsidRPr="009E35B2">
              <w:t>viimeisenä keinona.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110</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Fabio Massimo Castaldo</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22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(22)</w:t>
            </w:r>
            <w:r w:rsidRPr="009E35B2">
              <w:tab/>
              <w:t xml:space="preserve">On tarpeen parantaa talletussuojaa, mutta samalla välttää tarve myydä talletusten vakuusjärjestelmän varoja pikaisesti ja rajoittaa ylimääräisten kannatusmaksujen keräämisen mahdollisia kielteisiä myötäsyklisiä vaikutuksia pankkialaan. Talletusten vakuusjärjestelmien olisi näin ollen annettava käyttää vaihtoehtoisia rahoitusjärjestelyjä, joiden avulla ne voivat hankkia milloin tahansa lyhytaikaista rahoitusta muista lähteistä kuin kannatusmaksuista, myös ennen kuin ne käyttävät käytettävissä olevia rahoitusvarojaan ja ylimääräisillä kannatusmaksuilla kerättyjä varoja. Koska luottolaitosten olisi pääosin kannettava talletusten vakuusjärjestelmien rahoittamisesta aiheutuvat kustannukset ja vastuu, julkisin varoihin perustuvia vaihtoehtoisia rahoitusjärjestelyjä olisi käytettävä </w:t>
            </w:r>
            <w:r w:rsidRPr="009E35B2">
              <w:rPr>
                <w:b/>
                <w:i/>
              </w:rPr>
              <w:t>vasta</w:t>
            </w:r>
            <w:r w:rsidRPr="009E35B2">
              <w:t xml:space="preserve"> viimeisenä keinona.</w:t>
            </w:r>
          </w:p>
        </w:tc>
        <w:tc>
          <w:tcPr>
            <w:tcW w:w="4876" w:type="dxa"/>
            <w:hideMark/>
          </w:tcPr>
          <w:p w:rsidR="00E61B38" w:rsidRPr="009E35B2" w:rsidRDefault="00E61B38" w:rsidP="0024275D">
            <w:pPr>
              <w:pStyle w:val="Normal6"/>
              <w:rPr>
                <w:szCs w:val="24"/>
              </w:rPr>
            </w:pPr>
            <w:r w:rsidRPr="009E35B2">
              <w:t>(22)</w:t>
            </w:r>
            <w:r w:rsidRPr="009E35B2">
              <w:tab/>
              <w:t xml:space="preserve">On tarpeen parantaa talletussuojaa, mutta samalla välttää tarve myydä talletusten vakuusjärjestelmän varoja pikaisesti ja rajoittaa ylimääräisten kannatusmaksujen keräämisen mahdollisia kielteisiä myötäsyklisiä vaikutuksia pankkialaan. Talletusten vakuusjärjestelmien olisi näin ollen annettava käyttää vaihtoehtoisia rahoitusjärjestelyjä, joiden avulla ne voivat hankkia milloin tahansa lyhytaikaista rahoitusta muista lähteistä kuin kannatusmaksuista, myös ennen kuin ne käyttävät käytettävissä olevia rahoitusvarojaan ja ylimääräisillä kannatusmaksuilla kerättyjä varoja. Koska luottolaitosten olisi pääosin kannettava talletusten vakuusjärjestelmien rahoittamisesta aiheutuvat kustannukset ja vastuu, julkisin varoihin perustuvia vaihtoehtoisia rahoitusjärjestelyjä olisi käytettävä </w:t>
            </w:r>
            <w:r w:rsidRPr="009E35B2">
              <w:rPr>
                <w:b/>
                <w:i/>
              </w:rPr>
              <w:t xml:space="preserve">vain silloin, kun ne toimivat </w:t>
            </w:r>
            <w:r w:rsidRPr="009E35B2">
              <w:t>viimeisenä keinona.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111</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Costas Mavrides, Irene Tinagli,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22 a kappale (uusi)</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22 a)</w:t>
            </w:r>
            <w:r w:rsidRPr="009E35B2">
              <w:rPr>
                <w:b/>
                <w:i/>
              </w:rPr>
              <w:tab/>
              <w:t>Tarvitaan vahvoja ja suotuisia vaihtoehtoisia rahoitusjärjestelyjä, jotta voidaan välttää se, että talletusten vakuusjärjestelmän rahoitus on riittämätöntä ja että sillä ei pystytä tukemaan uutta toimenpidettä. Sen vuoksi yhteisen kriisinratkaisuneuvoston olisi voitava antaa talletusten vakuusjärjestelmälle yhteiseen kriisinratkaisurahastoon perustuva takuu, jotta voidaan helpottaa sen pääsyä markkinoille suotuisin rahoitusehdoin ja jotta voidaan estää jäsenvaltioiden väliaikainen rahoitus ja varmistaa, että se pysyy viimeisenä keinona. Yhteisen kriisinratkaisurahaston takuu olisi annettava, kun talletusten vakuusjärjestelmän edellytetään osallistuvan kriisinratkaisuun mutta käytettävissä olevat varat eivät riitä tyydyttämään tällaisten toimien tarpeita.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112</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Costas Mavrides, Irene Tinagli,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22 b kappale (uusi)</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22 b)</w:t>
            </w:r>
            <w:r w:rsidRPr="009E35B2">
              <w:rPr>
                <w:b/>
                <w:i/>
              </w:rPr>
              <w:tab/>
              <w:t>Yhteisen kriisinratkaisurahaston takuiden antaminen vaihtoehtoisiin rahoitusjärjestelyihin osallistuville talletusten vakuuusjärjestelmille ei saa estää eikä viivästyttää edistymistä täysimittaisen eurooppalaisen talletussuojajärjestelmän perustamisessa, joka on edelleen paras ratkaisu.</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113</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Markus Ferber, Herbert Dorfmann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23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rPr>
                <w:b/>
                <w:i/>
              </w:rPr>
              <w:t>(23)</w:t>
            </w:r>
            <w:r w:rsidRPr="009E35B2">
              <w:rPr>
                <w:b/>
                <w:i/>
              </w:rPr>
              <w:tab/>
              <w:t>Talletusten vakuusjärjestelmien varojen riittävän hajautetun sijoittamisen ja yhdenmukaisten käytäntöjen varmistamiseksi EPV:n olisi annettava ohjeita talletusten vakuusjärjestelmien neuvomiseksi tässä asiassa.</w:t>
            </w:r>
          </w:p>
        </w:tc>
        <w:tc>
          <w:tcPr>
            <w:tcW w:w="4876" w:type="dxa"/>
            <w:hideMark/>
          </w:tcPr>
          <w:p w:rsidR="00E61B38" w:rsidRPr="009E35B2" w:rsidRDefault="00E61B38" w:rsidP="0024275D">
            <w:pPr>
              <w:pStyle w:val="Normal6"/>
              <w:rPr>
                <w:szCs w:val="24"/>
              </w:rPr>
            </w:pPr>
            <w:r w:rsidRPr="009E35B2">
              <w:rPr>
                <w:b/>
                <w:i/>
              </w:rPr>
              <w:t>Poistetaan.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114</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23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rPr>
                <w:b/>
                <w:i/>
              </w:rPr>
              <w:t>(23)</w:t>
            </w:r>
            <w:r w:rsidRPr="009E35B2">
              <w:rPr>
                <w:b/>
                <w:i/>
              </w:rPr>
              <w:tab/>
              <w:t>Talletusten vakuusjärjestelmien varojen riittävän hajautetun sijoittamisen ja yhdenmukaisten käytäntöjen varmistamiseksi EPV:n olisi annettava ohjeita talletusten vakuusjärjestelmien neuvomiseksi tässä asiassa.</w:t>
            </w:r>
          </w:p>
        </w:tc>
        <w:tc>
          <w:tcPr>
            <w:tcW w:w="4876" w:type="dxa"/>
            <w:hideMark/>
          </w:tcPr>
          <w:p w:rsidR="00E61B38" w:rsidRPr="009E35B2" w:rsidRDefault="00E61B38" w:rsidP="0024275D">
            <w:pPr>
              <w:pStyle w:val="Normal6"/>
              <w:rPr>
                <w:szCs w:val="24"/>
              </w:rPr>
            </w:pPr>
            <w:r w:rsidRPr="009E35B2">
              <w:rPr>
                <w:b/>
                <w:i/>
              </w:rPr>
              <w:t>Poistetaan.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Tältä osin ei tarvita lisää EPV:n suuntaviivoja.</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115</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Luděk Niedermayer</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24 a kappale (uusi)</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24 a)</w:t>
            </w:r>
            <w:r w:rsidRPr="009E35B2">
              <w:rPr>
                <w:b/>
                <w:i/>
              </w:rPr>
              <w:tab/>
              <w:t>On olennaisen tärkeää keskittyä tilanteesta riippumatta tiukasti kustannustehokkuuteen ja avoimuuteen, jos talletusten vakuusjärjestelmä on tilanteen osallisena. Tämä lähestymistapa on olennaisen tärkeä, jotta vältetään tasapuolisten toimintaedellytysten vääristyminen ja varmistetaan, ettei siitä aiheudu kohtuuttomia etuja tietyille markkinatoimijoille. Avoimuus ja kustannustehokkuus ovat perusperiaatteita, jotka tukevat talletusten vakuusjärjestelmän luotettavuutta ja tasapuolista toimintaa.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116</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25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(25)</w:t>
            </w:r>
            <w:r w:rsidRPr="009E35B2">
              <w:tab/>
              <w:t xml:space="preserve">Toimenpiteillä luottolaitoksen maksukyvyttömyyden estämiseksi riittävän varhaisilla toimilla voi olla toimiva tehtävä kriisinhallintavälineiden jatkumossa tallettajien luottamuksen ja rahoitusvakauden säilyttämiseksi. Nämä toimenpiteet voidaan toteuttaa useissa muodoissa: pääomatukitoimenpiteinä omien varojen instrumenteilla (mukaan lukien ydinpääomainstrumentit) tai muina pääomainstrumentteina, takauksina tai lainoina. Talletusten vakuusjärjestelmillä on ollut erilaisia mahdollisuuksia käyttää näitä toimenpiteitä. Jotta varmistetaan kriisinhallintavälineiden jatkumo ja mahdollisuus käyttää ennaltaehkäiseviä toimenpiteitä tavalla, joka on johdonmukainen kriisinratkaisukehyksen ja valtiontukisääntöjen kanssa, on tarpeen määrittää niiden soveltamisen ajoitus ja ehdot. Ennaltaehkäisevät toimenpiteet eivät ole asianmukaisia tappioiden kattamiseksi silloin, kun luottolaitos on jo lähellä kaatumista tai todennäköisesti kaatuu, vaan niitä olisi käytettävä varhaisessa vaiheessa estämään pankin taloudellisen tilanteen heikentyminen. </w:t>
            </w:r>
            <w:r w:rsidRPr="009E35B2">
              <w:rPr>
                <w:b/>
                <w:i/>
              </w:rPr>
              <w:t>Nimettyjen viranomaisten olisi näin ollen tarkistettava, täyttyvätkö tällaisen talletusten vakuusjärjestelmän toimen edellytykset</w:t>
            </w:r>
            <w:r w:rsidRPr="009E35B2">
              <w:t>. Lisäksi nämä talletusten vakuusjärjestelmien käytettävissä olevien rahoitusvarojen käyttöä koskevat ehdot eivät saisi vaikuttaa toimivaltaisen viranomaisen arviointiin siitä, täyttääkö laitosten suojajärjestelmä Euroopan parlamentin ja neuvoston asetuksen (EU) N:o 575/2013</w:t>
            </w:r>
            <w:r w:rsidRPr="009E35B2">
              <w:rPr>
                <w:vertAlign w:val="superscript"/>
              </w:rPr>
              <w:t>41</w:t>
            </w:r>
            <w:r w:rsidRPr="009E35B2">
              <w:t xml:space="preserve"> 113 artiklan 7 kohdassa vahvistetut kriteerit.</w:t>
            </w:r>
          </w:p>
        </w:tc>
        <w:tc>
          <w:tcPr>
            <w:tcW w:w="4876" w:type="dxa"/>
            <w:hideMark/>
          </w:tcPr>
          <w:p w:rsidR="00E61B38" w:rsidRPr="009E35B2" w:rsidRDefault="00E61B38" w:rsidP="0024275D">
            <w:pPr>
              <w:pStyle w:val="Normal6"/>
              <w:rPr>
                <w:szCs w:val="24"/>
              </w:rPr>
            </w:pPr>
            <w:r w:rsidRPr="009E35B2">
              <w:t>(25)</w:t>
            </w:r>
            <w:r w:rsidRPr="009E35B2">
              <w:tab/>
              <w:t xml:space="preserve">Toimenpiteillä luottolaitoksen maksukyvyttömyyden estämiseksi riittävän varhaisilla toimilla voi olla toimiva tehtävä kriisinhallintavälineiden jatkumossa tallettajien luottamuksen ja rahoitusvakauden säilyttämiseksi. Nämä toimenpiteet voidaan toteuttaa useissa muodoissa: pääomatukitoimenpiteinä omien varojen instrumenteilla (mukaan lukien ydinpääomainstrumentit) tai muina pääomainstrumentteina, takauksina tai lainoina. Talletusten vakuusjärjestelmillä on ollut erilaisia mahdollisuuksia käyttää näitä toimenpiteitä. Jotta varmistetaan kriisinhallintavälineiden jatkumo ja mahdollisuus käyttää ennaltaehkäiseviä toimenpiteitä tavalla, joka on johdonmukainen kriisinratkaisukehyksen ja valtiontukisääntöjen kanssa, on tarpeen määrittää niiden soveltamisen ajoitus ja ehdot. Ennaltaehkäisevät toimenpiteet eivät ole asianmukaisia tappioiden kattamiseksi silloin, kun luottolaitos on jo lähellä kaatumista tai todennäköisesti kaatuu, vaan niitä olisi käytettävä varhaisessa vaiheessa estämään pankin taloudellisen tilanteen heikentyminen. </w:t>
            </w:r>
            <w:r w:rsidRPr="009E35B2">
              <w:rPr>
                <w:b/>
                <w:i/>
              </w:rPr>
              <w:t>Toimivaltaisten viranomaisten olisi tästä syystä vahvistettava, että kaatumisen tai todennäköisen kaatumisen olosuhteet eivät täyty ja että tarvitaan ehkäiseviä toimenpiteitä luottolaitoksen taloudellisen vakauden ja pitkän aikavälin elinkelpoisuuden varmistamiseksi</w:t>
            </w:r>
            <w:r w:rsidRPr="009E35B2">
              <w:t>.</w:t>
            </w:r>
            <w:r w:rsidRPr="009E35B2">
              <w:rPr>
                <w:b/>
                <w:i/>
              </w:rPr>
              <w:t xml:space="preserve"> Talletusten vakuusjärjestelmien tai tarvittaessa nimettyjen viranomaisten olisi tämän jälkeen tarkistettava, että edellytykset talletusten vakuusjärjestelmien käytettävissä olevien varojen käyttämiseksi ennalta ehkäisevien toimenpiteiden yhteydessä täyttyvät. </w:t>
            </w:r>
            <w:r w:rsidRPr="009E35B2">
              <w:t>Lisäksi nämä talletusten vakuusjärjestelmien käytettävissä olevien rahoitusvarojen käyttöä koskevat ehdot eivät saisi vaikuttaa toimivaltaisen viranomaisen arviointiin siitä, täyttääkö laitosten suojajärjestelmä Euroopan parlamentin ja neuvoston asetuksen (EU) N:o 575/2013</w:t>
            </w:r>
            <w:r w:rsidRPr="009E35B2">
              <w:rPr>
                <w:vertAlign w:val="superscript"/>
              </w:rPr>
              <w:t>41</w:t>
            </w:r>
            <w:r w:rsidRPr="009E35B2">
              <w:t xml:space="preserve"> 113 artiklan 7 kohdassa vahvistetut kriteerit.</w:t>
            </w:r>
          </w:p>
        </w:tc>
      </w:tr>
      <w:tr w:rsidR="00E61B38" w:rsidRPr="009E35B2" w:rsidTr="0024275D">
        <w:trPr>
          <w:jc w:val="center"/>
        </w:trPr>
        <w:tc>
          <w:tcPr>
            <w:tcW w:w="4876" w:type="dxa"/>
            <w:hideMark/>
          </w:tcPr>
          <w:p w:rsidR="00E61B38" w:rsidRPr="009E35B2" w:rsidRDefault="00E61B38" w:rsidP="0024275D">
            <w:pPr>
              <w:pStyle w:val="Normal6"/>
            </w:pPr>
            <w:r w:rsidRPr="009E35B2">
              <w:t>__________________</w:t>
            </w:r>
          </w:p>
        </w:tc>
        <w:tc>
          <w:tcPr>
            <w:tcW w:w="4876" w:type="dxa"/>
            <w:hideMark/>
          </w:tcPr>
          <w:p w:rsidR="00E61B38" w:rsidRPr="009E35B2" w:rsidRDefault="00E61B38" w:rsidP="0024275D">
            <w:pPr>
              <w:pStyle w:val="Normal6"/>
              <w:rPr>
                <w:szCs w:val="24"/>
              </w:rPr>
            </w:pPr>
            <w:r w:rsidRPr="009E35B2">
              <w:t>__________________</w:t>
            </w:r>
          </w:p>
        </w:tc>
      </w:tr>
      <w:tr w:rsidR="00E61B38" w:rsidRPr="009E35B2" w:rsidTr="0024275D">
        <w:trPr>
          <w:jc w:val="center"/>
        </w:trPr>
        <w:tc>
          <w:tcPr>
            <w:tcW w:w="4876" w:type="dxa"/>
            <w:hideMark/>
          </w:tcPr>
          <w:p w:rsidR="00E61B38" w:rsidRPr="009E35B2" w:rsidRDefault="00E61B38" w:rsidP="0024275D">
            <w:pPr>
              <w:pStyle w:val="Normal6"/>
            </w:pPr>
            <w:r w:rsidRPr="009E35B2">
              <w:rPr>
                <w:vertAlign w:val="superscript"/>
              </w:rPr>
              <w:t>41</w:t>
            </w:r>
            <w:r w:rsidRPr="009E35B2">
              <w:t xml:space="preserve"> Euroopan parlamentin ja neuvoston asetus (EU) N:o 575/2013, annettu 26 päivänä kesäkuuta 2013, luottolaitosten ja sijoituspalveluyritysten vakavaraisuusvaatimuksista ja asetuksen (EU) N:o 648/2012 muuttamisesta (EUVL L 176, 27.6.2013, s. 1).</w:t>
            </w:r>
          </w:p>
        </w:tc>
        <w:tc>
          <w:tcPr>
            <w:tcW w:w="4876" w:type="dxa"/>
            <w:hideMark/>
          </w:tcPr>
          <w:p w:rsidR="00E61B38" w:rsidRPr="009E35B2" w:rsidRDefault="00E61B38" w:rsidP="0024275D">
            <w:pPr>
              <w:pStyle w:val="Normal6"/>
              <w:rPr>
                <w:szCs w:val="24"/>
              </w:rPr>
            </w:pPr>
            <w:r w:rsidRPr="009E35B2">
              <w:rPr>
                <w:vertAlign w:val="superscript"/>
              </w:rPr>
              <w:t>41</w:t>
            </w:r>
            <w:r w:rsidRPr="009E35B2">
              <w:t xml:space="preserve"> Euroopan parlamentin ja neuvoston asetus (EU) N:o 575/2013, annettu 26 päivänä kesäkuuta 2013, luottolaitosten ja sijoituspalveluyritysten vakavaraisuusvaatimuksista ja asetuksen (EU) N:o 648/2012 muuttamisesta (EUVL L 176, 27.6.2013, s. 1).</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117</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26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(26)</w:t>
            </w:r>
            <w:r w:rsidRPr="009E35B2">
              <w:tab/>
              <w:t>Sen varmistamiseksi, että ennaltaehkäisevillä toimenpiteillä saavutetaan niiden tavoite, olisi edellytettävä, että luottolaitokset laativat ilmoituksen toimenpiteistä, jotka ne sitoutuvat toteuttamaan.</w:t>
            </w:r>
            <w:r w:rsidRPr="009E35B2">
              <w:rPr>
                <w:b/>
                <w:i/>
              </w:rPr>
              <w:t xml:space="preserve"> Ilmoituksen laatiminen ei saisi olla luottolaitokselle liian raskasta ja aikaa vievää, jotta varmistetaan, että talletusten vakuusjärjestelmällä on mahdollisuus toimia riittävän varhain. Siksi ennaltaehkäiseviin toimenpiteisiin liitettävä ilmoitus olisi laadittava riittävän lyhyen selittävän asiakirjan muodossa.</w:t>
            </w:r>
            <w:r w:rsidRPr="009E35B2">
              <w:t xml:space="preserve"> Ilmoituksen olisi sisällettävä kaikki tekijät, joiden tavoitteena on estää varojen ulosvirtaaminen ja vahvistaa luottolaitoksen pääoma- ja maksuvalmiuspositiota, jotta luottolaitos voi noudattaa kaikkia asiaan liittyviä vakavaraisuusvaatimuksia ja muita sääntelyvaatimuksia tulevaisuuteen suuntautuvalla tavalla. Ilmoituksen olisi näin ollen sisällettävä pääoman hankkimista koskevat toimenpiteet, mukaan lukien säännöt, jotka koskevat oikeuksien myöntämistä, huonommassa etuoikeusasemassa olevien velkainstrumenttien vapaaehtoista muuntamista, velkojen hallintatoimia, tuloa tuottavaa varojen myyntiä, salkkujen arvopaperistamista sekä voittovarojen jättämistä yritykseen, osingonjakokiellot ja yritysten osuuksien hankkimista koskevat kiellot mukaan luettuina. Samasta syystä luottolaitosten olisi ilmoituksessa suunniteltujen toimenpiteiden toteuttamisen aikana myös vahvistettava omia maksuvalmiuspositioitaan sekä pidättäydyttävä aggressiivisista kaupallisista menettelyistä ja omien osakkeiden takaisin ostamisesta tai hybridipääomainstrumenttien ostamisesta. Ilmoituksen olisi sisällettävä myös mahdollisia saatuja tukitoimenpiteitä koskeva irtautumisstrategia. Toimivaltaisia viranomaisia olisi kuultava </w:t>
            </w:r>
            <w:r w:rsidRPr="009E35B2">
              <w:rPr>
                <w:b/>
                <w:i/>
              </w:rPr>
              <w:t>asiasta, koska niillä on parhaat mahdollisuudet arvioida ilmoituksessa suunniteltujen toimenpiteiden relevanssia ja uskottavuutta</w:t>
            </w:r>
            <w:r w:rsidRPr="009E35B2">
              <w:t>. Jotta sen talletusten vakuusjärjestelmän nimetyt viranomaiset, jota on pyydetty rahoittamaan luottolaitoksen ennaltaehkäisevää toimenpidettä, voivat arvioida, ovatko kaikki ennaltaehkäisevien toimenpiteiden edellytykset täyttyneet, toimivaltaisten viranomaisten olisi tehtävä yhteistyötä nimettyjen viranomaisten kanssa. Sen varmistamiseksi, että ennaltaehkäisevien toimenpiteiden soveltamisessa noudatetaan johdonmukaista lähestymistapaa kaikkialla unionissa, EPV:n olisi annettava ohjeita, jotka auttavat luottolaitoksia laatimaan tällaisen ilmoituksen.</w:t>
            </w:r>
          </w:p>
        </w:tc>
        <w:tc>
          <w:tcPr>
            <w:tcW w:w="4876" w:type="dxa"/>
            <w:hideMark/>
          </w:tcPr>
          <w:p w:rsidR="00E61B38" w:rsidRPr="009E35B2" w:rsidRDefault="00E61B38" w:rsidP="0024275D">
            <w:pPr>
              <w:pStyle w:val="Normal6"/>
              <w:rPr>
                <w:szCs w:val="24"/>
              </w:rPr>
            </w:pPr>
            <w:r w:rsidRPr="009E35B2">
              <w:t>(26)</w:t>
            </w:r>
            <w:r w:rsidRPr="009E35B2">
              <w:tab/>
              <w:t>Sen varmistamiseksi, että ennaltaehkäisevillä toimenpiteillä saavutetaan niiden tavoite, olisi edellytettävä, että luottolaitokset laativat ilmoituksen toimenpiteistä, jotka ne sitoutuvat toteuttamaan</w:t>
            </w:r>
            <w:r w:rsidRPr="009E35B2">
              <w:rPr>
                <w:b/>
                <w:i/>
              </w:rPr>
              <w:t>, ja toimittavat myös rakenneuudistussuunnitelman</w:t>
            </w:r>
            <w:r w:rsidRPr="009E35B2">
              <w:t xml:space="preserve">. Ilmoituksen olisi sisällettävä kaikki tekijät, joiden tavoitteena on estää varojen ulosvirtaaminen ja vahvistaa luottolaitoksen pääoma- ja maksuvalmiuspositiota, jotta luottolaitos voi noudattaa kaikkia asiaan liittyviä vakavaraisuusvaatimuksia ja muita sääntelyvaatimuksia tulevaisuuteen suuntautuvalla tavalla. Ilmoituksen olisi näin ollen sisällettävä pääoman hankkimista koskevat toimenpiteet, mukaan lukien säännöt, jotka koskevat oikeuksien myöntämistä, huonommassa etuoikeusasemassa olevien velkainstrumenttien vapaaehtoista muuntamista, velkojen hallintatoimia, tuloa tuottavaa varojen myyntiä, salkkujen arvopaperistamista sekä voittovarojen jättämistä yritykseen, osingonjakokiellot ja yritysten osuuksien hankkimista koskevat kiellot mukaan luettuina. Samasta syystä luottolaitosten olisi ilmoituksessa suunniteltujen toimenpiteiden toteuttamisen aikana myös vahvistettava omia maksuvalmiuspositioitaan sekä pidättäydyttävä aggressiivisista kaupallisista menettelyistä ja omien osakkeiden takaisin ostamisesta tai hybridipääomainstrumenttien ostamisesta. Ilmoituksen olisi sisällettävä myös mahdollisia saatuja tukitoimenpiteitä koskeva irtautumisstrategia. Toimivaltaisia viranomaisia on kuultava </w:t>
            </w:r>
            <w:r w:rsidRPr="009E35B2">
              <w:rPr>
                <w:b/>
                <w:i/>
              </w:rPr>
              <w:t>ilmoituksessa suunniteltujen toimenpiteiden relevanssin ja uskottavuuden osalta</w:t>
            </w:r>
            <w:r w:rsidRPr="009E35B2">
              <w:t>.</w:t>
            </w:r>
            <w:r w:rsidRPr="009E35B2">
              <w:rPr>
                <w:b/>
                <w:i/>
              </w:rPr>
              <w:t xml:space="preserve"> Ennaltaehkäiseviä toimenpiteitä ei pitäisi toteuttaa ilman toimivaltaisen viranomaisen ennakkohyväksyntää tämän kuulemisen päätteeksi.</w:t>
            </w:r>
            <w:r w:rsidRPr="009E35B2">
              <w:t xml:space="preserve"> Jotta sen talletusten vakuusjärjestelmän nimetyt viranomaiset, jota on pyydetty rahoittamaan luottolaitoksen ennaltaehkäisevää toimenpidettä, voivat arvioida, ovatko kaikki ennaltaehkäisevien toimenpiteiden edellytykset täyttyneet, toimivaltaisten viranomaisten olisi tehtävä yhteistyötä nimettyjen viranomaisten kanssa. Sen varmistamiseksi, että ennaltaehkäisevien toimenpiteiden soveltamisessa noudatetaan johdonmukaista lähestymistapaa kaikkialla unionissa, EPV:n olisi annettava ohjeita, jotka auttavat luottolaitoksia laatimaan tällaisen ilmoituksen.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Toimivaltaisten viranomaisten olisi hyväksyttävä rakenneuudistustoimenpiteet.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118</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Eero Heinäluoma</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26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(26)</w:t>
            </w:r>
            <w:r w:rsidRPr="009E35B2">
              <w:tab/>
              <w:t xml:space="preserve">Sen varmistamiseksi, että ennaltaehkäisevillä toimenpiteillä saavutetaan niiden tavoite, olisi edellytettävä, että luottolaitokset laativat </w:t>
            </w:r>
            <w:r w:rsidRPr="009E35B2">
              <w:rPr>
                <w:b/>
                <w:i/>
              </w:rPr>
              <w:t>ilmoituksen</w:t>
            </w:r>
            <w:r w:rsidRPr="009E35B2">
              <w:t xml:space="preserve"> toimenpiteistä, jotka ne sitoutuvat toteuttamaan. Ilmoituksen laatiminen ei saisi olla luottolaitokselle liian raskasta ja aikaa vievää, jotta varmistetaan, että talletusten vakuusjärjestelmällä on mahdollisuus toimia riittävän varhain. </w:t>
            </w:r>
            <w:r w:rsidRPr="009E35B2">
              <w:rPr>
                <w:b/>
                <w:i/>
              </w:rPr>
              <w:t>Siksi ennaltaehkäiseviin toimenpiteisiin liitettävä ilmoitus olisi laadittava riittävän lyhyen selittävän asiakirjan muodossa. Ilmoituksen</w:t>
            </w:r>
            <w:r w:rsidRPr="009E35B2">
              <w:t xml:space="preserve"> olisi sisällettävä kaikki tekijät, joiden tavoitteena on estää varojen ulosvirtaaminen ja vahvistaa luottolaitoksen pääoma- ja maksuvalmiuspositiota, jotta luottolaitos voi noudattaa kaikkia asiaan liittyviä vakavaraisuusvaatimuksia ja muita sääntelyvaatimuksia tulevaisuuteen suuntautuvalla tavalla. </w:t>
            </w:r>
            <w:r w:rsidRPr="009E35B2">
              <w:rPr>
                <w:b/>
                <w:i/>
              </w:rPr>
              <w:t>Ilmoituksen</w:t>
            </w:r>
            <w:r w:rsidRPr="009E35B2">
              <w:t xml:space="preserve"> olisi näin ollen sisällettävä pääoman hankkimista koskevat toimenpiteet, mukaan lukien säännöt, jotka koskevat oikeuksien myöntämistä, huonommassa etuoikeusasemassa olevien velkainstrumenttien vapaaehtoista muuntamista, velkojen hallintatoimia, tuloa tuottavaa varojen myyntiä, salkkujen arvopaperistamista sekä voittovarojen jättämistä yritykseen, osingonjakokiellot ja yritysten osuuksien hankkimista koskevat kiellot mukaan luettuina. Samasta syystä luottolaitosten olisi </w:t>
            </w:r>
            <w:r w:rsidRPr="009E35B2">
              <w:rPr>
                <w:b/>
                <w:i/>
              </w:rPr>
              <w:t xml:space="preserve">ilmoituksessa </w:t>
            </w:r>
            <w:r w:rsidRPr="009E35B2">
              <w:t xml:space="preserve">suunniteltujen toimenpiteiden toteuttamisen aikana myös vahvistettava omia maksuvalmiuspositioitaan sekä pidättäydyttävä aggressiivisista kaupallisista menettelyistä ja omien osakkeiden takaisin ostamisesta tai hybridipääomainstrumenttien ostamisesta. </w:t>
            </w:r>
            <w:r w:rsidRPr="009E35B2">
              <w:rPr>
                <w:b/>
                <w:i/>
              </w:rPr>
              <w:t>Ilmoituksen</w:t>
            </w:r>
            <w:r w:rsidRPr="009E35B2">
              <w:t xml:space="preserve"> olisi sisällettävä myös mahdollisia saatuja tukitoimenpiteitä koskeva irtautumisstrategia. Toimivaltaisia viranomaisia olisi kuultava asiasta, koska niillä on parhaat mahdollisuudet arvioida </w:t>
            </w:r>
            <w:r w:rsidRPr="009E35B2">
              <w:rPr>
                <w:b/>
                <w:i/>
              </w:rPr>
              <w:t>ilmoituksessa</w:t>
            </w:r>
            <w:r w:rsidRPr="009E35B2">
              <w:t xml:space="preserve"> suunniteltujen toimenpiteiden relevanssia ja uskottavuutta. Jotta sen talletusten vakuusjärjestelmän nimetyt viranomaiset, jota on pyydetty rahoittamaan luottolaitoksen ennaltaehkäisevää toimenpidettä, voivat arvioida, ovatko kaikki ennaltaehkäisevien toimenpiteiden edellytykset täyttyneet, toimivaltaisten viranomaisten olisi tehtävä yhteistyötä nimettyjen viranomaisten kanssa. Sen varmistamiseksi, että ennaltaehkäisevien toimenpiteiden soveltamisessa noudatetaan johdonmukaista lähestymistapaa kaikkialla unionissa, EPV:n olisi annettava ohjeita, jotka auttavat luottolaitoksia laatimaan tällaisen </w:t>
            </w:r>
            <w:r w:rsidRPr="009E35B2">
              <w:rPr>
                <w:b/>
                <w:i/>
              </w:rPr>
              <w:t>ilmoituksen</w:t>
            </w:r>
            <w:r w:rsidRPr="009E35B2">
              <w:t>.</w:t>
            </w:r>
          </w:p>
        </w:tc>
        <w:tc>
          <w:tcPr>
            <w:tcW w:w="4876" w:type="dxa"/>
            <w:hideMark/>
          </w:tcPr>
          <w:p w:rsidR="00E61B38" w:rsidRPr="009E35B2" w:rsidRDefault="00E61B38" w:rsidP="0024275D">
            <w:pPr>
              <w:pStyle w:val="Normal6"/>
              <w:rPr>
                <w:szCs w:val="24"/>
              </w:rPr>
            </w:pPr>
            <w:r w:rsidRPr="009E35B2">
              <w:t>(26)</w:t>
            </w:r>
            <w:r w:rsidRPr="009E35B2">
              <w:tab/>
              <w:t xml:space="preserve">Sen varmistamiseksi, että ennaltaehkäisevillä toimenpiteillä saavutetaan niiden tavoite, olisi edellytettävä, että luottolaitokset laativat </w:t>
            </w:r>
            <w:r w:rsidRPr="009E35B2">
              <w:rPr>
                <w:b/>
                <w:i/>
              </w:rPr>
              <w:t>rakenneuudistussuunnitelman</w:t>
            </w:r>
            <w:r w:rsidRPr="009E35B2">
              <w:t xml:space="preserve"> toimenpiteistä, jotka ne sitoutuvat toteuttamaan. Ilmoituksen laatiminen ei saisi olla luottolaitokselle liian raskasta ja aikaa vievää, jotta varmistetaan, että talletusten vakuusjärjestelmällä </w:t>
            </w:r>
            <w:r w:rsidRPr="009E35B2">
              <w:rPr>
                <w:b/>
                <w:i/>
              </w:rPr>
              <w:t>tai toimivaltaisella viranomaisella</w:t>
            </w:r>
            <w:r w:rsidRPr="009E35B2">
              <w:t xml:space="preserve"> on mahdollisuus toimia riittävän varhain. </w:t>
            </w:r>
            <w:r w:rsidRPr="009E35B2">
              <w:rPr>
                <w:b/>
                <w:i/>
              </w:rPr>
              <w:t xml:space="preserve">Rakenneuudistussuunnitelman </w:t>
            </w:r>
            <w:r w:rsidRPr="009E35B2">
              <w:t xml:space="preserve">olisi sisällettävä kaikki tekijät, joiden tavoitteena on estää varojen ulosvirtaaminen ja vahvistaa luottolaitoksen pääoma- ja maksuvalmiuspositiota, jotta luottolaitos voi noudattaa kaikkia asiaan liittyviä vakavaraisuusvaatimuksia ja muita sääntelyvaatimuksia tulevaisuuteen suuntautuvalla tavalla. </w:t>
            </w:r>
            <w:r w:rsidRPr="009E35B2">
              <w:rPr>
                <w:b/>
                <w:i/>
              </w:rPr>
              <w:t>Rakenneuudistussuunnitelman</w:t>
            </w:r>
            <w:r w:rsidRPr="009E35B2">
              <w:t xml:space="preserve"> olisi näin ollen sisällettävä pääoman hankkimista koskevat toimenpiteet, mukaan lukien säännöt, jotka koskevat oikeuksien myöntämistä, huonommassa etuoikeusasemassa olevien velkainstrumenttien vapaaehtoista muuntamista, velkojen hallintatoimia, tuloa tuottavaa varojen myyntiä, salkkujen arvopaperistamista sekä voittovarojen jättämistä yritykseen, osingonjakokiellot ja yritysten osuuksien hankkimista koskevat kiellot mukaan luettuina. Samasta syystä luottolaitosten olisi </w:t>
            </w:r>
            <w:r w:rsidRPr="009E35B2">
              <w:rPr>
                <w:b/>
                <w:i/>
              </w:rPr>
              <w:t>rakenneuudistussuunnitelmassa</w:t>
            </w:r>
            <w:r w:rsidRPr="009E35B2">
              <w:t xml:space="preserve"> suunniteltujen toimenpiteiden toteuttamisen aikana myös vahvistettava omia maksuvalmiuspositioitaan sekä pidättäydyttävä aggressiivisista kaupallisista menettelyistä ja omien osakkeiden takaisin ostamisesta tai hybridipääomainstrumenttien ostamisesta. </w:t>
            </w:r>
            <w:r w:rsidRPr="009E35B2">
              <w:rPr>
                <w:b/>
                <w:i/>
              </w:rPr>
              <w:t>Rakenneuudistussuunnitelman</w:t>
            </w:r>
            <w:r w:rsidRPr="009E35B2">
              <w:t xml:space="preserve"> olisi sisällettävä myös mahdollisia saatuja tukitoimenpiteitä koskeva irtautumisstrategia. Toimivaltaisia viranomaisia olisi kuultava asiasta, koska niillä on parhaat mahdollisuudet arvioida </w:t>
            </w:r>
            <w:r w:rsidRPr="009E35B2">
              <w:rPr>
                <w:b/>
                <w:i/>
              </w:rPr>
              <w:t>rakenneuudistussuunnitelmassa</w:t>
            </w:r>
            <w:r w:rsidRPr="009E35B2">
              <w:t xml:space="preserve"> suunniteltujen toimenpiteiden relevanssia ja uskottavuutta. Jotta sen talletusten vakuusjärjestelmän nimetyt viranomaiset, jota on pyydetty rahoittamaan luottolaitoksen ennaltaehkäisevää toimenpidettä, voivat arvioida, ovatko kaikki ennaltaehkäisevien toimenpiteiden edellytykset täyttyneet, toimivaltaisten viranomaisten olisi tehtävä yhteistyötä nimettyjen viranomaisten kanssa. Sen varmistamiseksi, että ennaltaehkäisevien toimenpiteiden soveltamisessa noudatetaan johdonmukaista lähestymistapaa kaikkialla unionissa, EPV:n olisi annettava ohjeita, jotka auttavat luottolaitoksia laatimaan tällaisen </w:t>
            </w:r>
            <w:r w:rsidRPr="009E35B2">
              <w:rPr>
                <w:b/>
                <w:i/>
              </w:rPr>
              <w:t>rakenneuudistussuunnitelma</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119</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Irene Tinagli</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26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(26)</w:t>
            </w:r>
            <w:r w:rsidRPr="009E35B2">
              <w:tab/>
              <w:t xml:space="preserve">Sen varmistamiseksi, että ennaltaehkäisevillä toimenpiteillä saavutetaan niiden tavoite, olisi edellytettävä, että luottolaitokset laativat ilmoituksen toimenpiteistä, jotka ne sitoutuvat toteuttamaan. Ilmoituksen laatiminen ei saisi olla luottolaitokselle liian raskasta ja aikaa vievää, jotta varmistetaan, että talletusten vakuusjärjestelmällä on mahdollisuus toimia riittävän varhain. Siksi ennaltaehkäiseviin toimenpiteisiin liitettävä ilmoitus olisi laadittava riittävän lyhyen selittävän asiakirjan muodossa. Ilmoituksen olisi sisällettävä kaikki tekijät, joiden tavoitteena on estää varojen ulosvirtaaminen ja vahvistaa luottolaitoksen pääoma- ja maksuvalmiuspositiota, jotta luottolaitos voi noudattaa kaikkia asiaan liittyviä vakavaraisuusvaatimuksia ja muita sääntelyvaatimuksia tulevaisuuteen suuntautuvalla tavalla. Ilmoituksen olisi näin ollen sisällettävä pääoman hankkimista koskevat toimenpiteet, mukaan lukien säännöt, jotka koskevat oikeuksien myöntämistä, huonommassa etuoikeusasemassa olevien velkainstrumenttien vapaaehtoista muuntamista, velkojen hallintatoimia, tuloa tuottavaa varojen myyntiä, salkkujen arvopaperistamista sekä voittovarojen jättämistä yritykseen, osingonjakokiellot ja yritysten osuuksien hankkimista koskevat kiellot mukaan luettuina. Samasta syystä luottolaitosten olisi ilmoituksessa suunniteltujen toimenpiteiden toteuttamisen aikana myös vahvistettava omia maksuvalmiuspositioitaan sekä pidättäydyttävä aggressiivisista kaupallisista menettelyistä ja omien osakkeiden takaisin ostamisesta tai hybridipääomainstrumenttien ostamisesta. Ilmoituksen olisi sisällettävä myös mahdollisia saatuja tukitoimenpiteitä koskeva irtautumisstrategia. </w:t>
            </w:r>
            <w:r w:rsidRPr="009E35B2">
              <w:rPr>
                <w:b/>
                <w:i/>
              </w:rPr>
              <w:t>Toimivaltaisia viranomaisia olisi kuultava asiasta, koska niillä</w:t>
            </w:r>
            <w:r w:rsidRPr="009E35B2">
              <w:t xml:space="preserve"> on parhaat mahdollisuudet arvioida ilmoituksessa suunniteltujen toimenpiteiden relevanssia ja uskottavuutta. Jotta sen talletusten vakuusjärjestelmän nimetyt viranomaiset, jota on pyydetty rahoittamaan luottolaitoksen ennaltaehkäisevää toimenpidettä, voivat arvioida, ovatko kaikki ennaltaehkäisevien toimenpiteiden edellytykset täyttyneet, toimivaltaisten viranomaisten olisi tehtävä yhteistyötä nimettyjen viranomaisten kanssa. Sen varmistamiseksi, että ennaltaehkäisevien toimenpiteiden soveltamisessa noudatetaan johdonmukaista lähestymistapaa kaikkialla unionissa, EPV:n olisi annettava ohjeita, jotka auttavat luottolaitoksia laatimaan tällaisen ilmoituksen.</w:t>
            </w:r>
          </w:p>
        </w:tc>
        <w:tc>
          <w:tcPr>
            <w:tcW w:w="4876" w:type="dxa"/>
            <w:hideMark/>
          </w:tcPr>
          <w:p w:rsidR="00E61B38" w:rsidRPr="009E35B2" w:rsidRDefault="00E61B38" w:rsidP="0024275D">
            <w:pPr>
              <w:pStyle w:val="Normal6"/>
              <w:rPr>
                <w:szCs w:val="24"/>
              </w:rPr>
            </w:pPr>
            <w:r w:rsidRPr="009E35B2">
              <w:t>(26)</w:t>
            </w:r>
            <w:r w:rsidRPr="009E35B2">
              <w:tab/>
              <w:t xml:space="preserve">Sen varmistamiseksi, että ennaltaehkäisevillä toimenpiteillä saavutetaan niiden tavoite, olisi edellytettävä, että luottolaitokset laativat ilmoituksen toimenpiteistä, jotka ne sitoutuvat toteuttamaan. Ilmoituksen laatiminen ei saisi olla luottolaitokselle liian raskasta ja aikaa vievää, jotta varmistetaan, että talletusten vakuusjärjestelmällä on mahdollisuus toimia riittävän varhain. Siksi ennaltaehkäiseviin toimenpiteisiin liitettävä ilmoitus olisi laadittava riittävän lyhyen selittävän asiakirjan muodossa. Ilmoituksen olisi sisällettävä kaikki tekijät, joiden tavoitteena on estää varojen ulosvirtaaminen ja vahvistaa luottolaitoksen pääoma- ja maksuvalmiuspositiota, jotta luottolaitos voi noudattaa kaikkia asiaan liittyviä vakavaraisuusvaatimuksia ja muita sääntelyvaatimuksia tulevaisuuteen suuntautuvalla tavalla. Ilmoituksen olisi näin ollen sisällettävä pääoman hankkimista koskevat toimenpiteet, mukaan lukien säännöt, jotka koskevat oikeuksien myöntämistä, huonommassa etuoikeusasemassa olevien velkainstrumenttien vapaaehtoista muuntamista, velkojen hallintatoimia, tuloa tuottavaa varojen myyntiä, salkkujen arvopaperistamista sekä voittovarojen jättämistä yritykseen, osingonjakokiellot ja yritysten osuuksien hankkimista koskevat kiellot mukaan luettuina. Samasta syystä luottolaitosten olisi ilmoituksessa suunniteltujen toimenpiteiden toteuttamisen aikana myös vahvistettava omia maksuvalmiuspositioitaan sekä pidättäydyttävä aggressiivisista kaupallisista menettelyistä ja omien osakkeiden takaisin ostamisesta tai hybridipääomainstrumenttien ostamisesta. Ilmoituksen olisi sisällettävä myös mahdollisia saatuja tukitoimenpiteitä koskeva irtautumisstrategia. </w:t>
            </w:r>
            <w:r w:rsidRPr="009E35B2">
              <w:rPr>
                <w:b/>
                <w:i/>
              </w:rPr>
              <w:t>Toimivaltaisilla viranomaisilla</w:t>
            </w:r>
            <w:r w:rsidRPr="009E35B2">
              <w:t xml:space="preserve"> on parhaat mahdollisuudet arvioida ilmoituksessa suunniteltujen toimenpiteiden relevanssia ja uskottavuutta. Jotta sen talletusten vakuusjärjestelmän nimetyt viranomaiset, jota on pyydetty rahoittamaan luottolaitoksen ennaltaehkäisevää toimenpidettä, voivat arvioida, ovatko kaikki ennaltaehkäisevien toimenpiteiden edellytykset täyttyneet, toimivaltaisten viranomaisten olisi tehtävä yhteistyötä nimettyjen viranomaisten kanssa. Sen varmistamiseksi, että ennaltaehkäisevien toimenpiteiden soveltamisessa noudatetaan johdonmukaista lähestymistapaa kaikkialla unionissa, EPV:n olisi annettava ohjeita, jotka auttavat luottolaitoksia laatimaan tällaisen ilmoituksen.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120</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Irene Tinagli,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27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(27)</w:t>
            </w:r>
            <w:r w:rsidRPr="009E35B2">
              <w:tab/>
              <w:t>Sen varmistamiseksi, että talletusten vakuusjärjestelmiltä ennaltaehkäisevien toimenpiteiden muodossa tukea saavat luottolaitokset täyttävät sitoumuksensa, toimivaltaisten viranomaisten olisi pyydettävä korjaussuunnitelma sellaisilta luottolaitoksilta, jotka eivät täyttäneet sitoumuksiaan. Jos toimivaltainen viranomainen on sitä mieltä, että korjaussuunnitelmassa esitetyillä toimenpiteillä ei kyetä saavuttamaan luottolaitoksen pitkän aikavälin elinkelpoisuutta, talletusten vakuusjärjestelmän ei pitäisi antaa luottolaitokselle enempää ennaltaehkäisevää tukea. Sen varmistamiseksi, että ennaltaehkäisevien toimenpiteiden soveltamisessa noudatetaan johdonmukaista lähestymistapaa kaikkialla unionissa, EPV:n olisi annettava ohjeita, jotka auttavat luottolaitoksia laatimaan tällaisen korjaussuunnitelman.</w:t>
            </w:r>
          </w:p>
        </w:tc>
        <w:tc>
          <w:tcPr>
            <w:tcW w:w="4876" w:type="dxa"/>
            <w:hideMark/>
          </w:tcPr>
          <w:p w:rsidR="00E61B38" w:rsidRPr="009E35B2" w:rsidRDefault="00E61B38" w:rsidP="0024275D">
            <w:pPr>
              <w:pStyle w:val="Normal6"/>
              <w:rPr>
                <w:szCs w:val="24"/>
              </w:rPr>
            </w:pPr>
            <w:r w:rsidRPr="009E35B2">
              <w:t>(27)</w:t>
            </w:r>
            <w:r w:rsidRPr="009E35B2">
              <w:tab/>
              <w:t>Sen varmistamiseksi, että talletusten vakuusjärjestelmiltä ennaltaehkäisevien toimenpiteiden muodossa tukea saavat luottolaitokset täyttävät sitoumuksensa, toimivaltaisten viranomaisten olisi pyydettävä korjaussuunnitelma sellaisilta luottolaitoksilta, jotka eivät täyttäneet sitoumuksiaan</w:t>
            </w:r>
            <w:r w:rsidRPr="009E35B2">
              <w:rPr>
                <w:b/>
                <w:i/>
              </w:rPr>
              <w:t>, tai pyydettävä niitä maksamaan takaisin ennaltaehkäisevien toimenpiteiden nojalla myönnetyt summat</w:t>
            </w:r>
            <w:r w:rsidRPr="009E35B2">
              <w:t>. Jos toimivaltainen viranomainen on sitä mieltä, että korjaussuunnitelmassa esitetyillä toimenpiteillä ei kyetä saavuttamaan luottolaitoksen pitkän aikavälin elinkelpoisuutta, talletusten vakuusjärjestelmän ei pitäisi antaa luottolaitokselle enempää ennaltaehkäisevää tukea.</w:t>
            </w:r>
            <w:r w:rsidRPr="009E35B2">
              <w:rPr>
                <w:b/>
                <w:i/>
              </w:rPr>
              <w:t xml:space="preserve"> Asianomaisten viranomaisten olisi myös direktiivin 2014/59/EU 32 artiklan mukaisesti arvioitava, onko laitos lähellä kaatumista tai kaatuuko se todennäköisesti. Samoja seurauksia olisi sovellettava tapauksissa, joissa luottolaitos ei noudata korjaamissuunnitelmaa tai ei maksa takaisin ennaltaehkäiseviä toimenpiteitä.</w:t>
            </w:r>
            <w:r w:rsidRPr="009E35B2">
              <w:t xml:space="preserve"> Sen varmistamiseksi, että ennaltaehkäisevien toimenpiteiden soveltamisessa noudatetaan johdonmukaista lähestymistapaa kaikkialla unionissa, EPV:n olisi annettava ohjeita, jotka auttavat luottolaitoksia laatimaan tällaisen korjaussuunnitelman.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121</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Luděk Niedermayer</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28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(28)</w:t>
            </w:r>
            <w:r w:rsidRPr="009E35B2">
              <w:tab/>
              <w:t>Kilpailuun ja sisämarkkinoihin kohdistuvien haitallisten vaikutusten välttämiseksi on tarpeen säätää, että maksukyvyttömyystilanteessa käytettävien vaihtoehtoisten toimenpiteiden tapauksessa asiaankuuluvien elinten, jotka edustavat luottolaitosta kansallisten maksukyvyttömyysmenettelyjen yhteydessä (selvittäjä, pesänhoitaja, hallinnonhoitaja tai muu), olisi tehtävä järjestelyjä markkinoidakseen luottolaitoksen liiketoimintaa tai sen liiketoiminnan osia avoimella, läpinäkyvällä ja syrjimättömällä tavalla pyrkien mahdollisuuksien mukaan maksimoimaan myyntihinnan. Luottolaitoksen tai minkä tahansa kyseisen luottolaitoksen puolesta toimivan välittäjän olisi noudatettava sääntöjä, jotka ovat asianmukaisia niiden varojen, oikeuksien ja velkojen markkinoinnissa, jotka on määrä siirtää mahdollisille ostajille. Valtion varojen käyttöön olisi joka tapauksessa sovellettava asiaan liittyviä perussopimuksen mukaisia valtiontukisääntöjä.</w:t>
            </w:r>
          </w:p>
        </w:tc>
        <w:tc>
          <w:tcPr>
            <w:tcW w:w="4876" w:type="dxa"/>
            <w:hideMark/>
          </w:tcPr>
          <w:p w:rsidR="00E61B38" w:rsidRPr="009E35B2" w:rsidRDefault="00E61B38" w:rsidP="0024275D">
            <w:pPr>
              <w:pStyle w:val="Normal6"/>
              <w:rPr>
                <w:szCs w:val="24"/>
              </w:rPr>
            </w:pPr>
            <w:r w:rsidRPr="009E35B2">
              <w:t>(28)</w:t>
            </w:r>
            <w:r w:rsidRPr="009E35B2">
              <w:tab/>
              <w:t xml:space="preserve">Kilpailuun ja sisämarkkinoihin kohdistuvien haitallisten vaikutusten välttämiseksi on tarpeen säätää, että maksukyvyttömyystilanteessa käytettävien vaihtoehtoisten toimenpiteiden tapauksessa asiaankuuluvien elinten, jotka edustavat luottolaitosta kansallisten maksukyvyttömyysmenettelyjen yhteydessä (selvittäjä, pesänhoitaja, hallinnonhoitaja tai muu), olisi tehtävä järjestelyjä markkinoidakseen luottolaitoksen liiketoimintaa tai sen liiketoiminnan osia avoimella, läpinäkyvällä ja syrjimättömällä tavalla pyrkien mahdollisuuksien mukaan maksimoimaan myyntihinnan. Luottolaitoksen tai minkä tahansa kyseisen luottolaitoksen puolesta toimivan välittäjän olisi noudatettava sääntöjä, jotka ovat asianmukaisia niiden varojen, oikeuksien ja velkojen markkinoinnissa, jotka on määrä siirtää mahdollisille ostajille. Valtion varojen käyttöön olisi joka tapauksessa sovellettava asiaan liittyviä perussopimuksen mukaisia valtiontukisääntöjä. </w:t>
            </w:r>
            <w:r w:rsidRPr="009E35B2">
              <w:rPr>
                <w:b/>
                <w:i/>
              </w:rPr>
              <w:t>Valtion varoja olisi käytettävä vain poikkeuksellisissa olosuhteissa, jotka ovat merkityksellisiä järjestelmän kannalta tai jotka liittyvät erittäin laajaan talouden häiriöön, koska se aiheuttaa merkittävän rasitteen julkiselle taloudelle ja heikentää tasapuolisia toimintaedellytyksiä sisämarkkinoilla.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122</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28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(28)</w:t>
            </w:r>
            <w:r w:rsidRPr="009E35B2">
              <w:tab/>
              <w:t xml:space="preserve">Kilpailuun ja sisämarkkinoihin kohdistuvien haitallisten vaikutusten välttämiseksi on tarpeen säätää, että maksukyvyttömyystilanteessa käytettävien vaihtoehtoisten toimenpiteiden tapauksessa asiaankuuluvien elinten, jotka edustavat luottolaitosta kansallisten maksukyvyttömyysmenettelyjen yhteydessä (selvittäjä, pesänhoitaja, hallinnonhoitaja tai muu), olisi tehtävä järjestelyjä markkinoidakseen luottolaitoksen liiketoimintaa tai sen liiketoiminnan osia avoimella, läpinäkyvällä ja syrjimättömällä tavalla pyrkien mahdollisuuksien mukaan maksimoimaan myyntihinnan. Luottolaitoksen tai minkä tahansa kyseisen luottolaitoksen puolesta toimivan välittäjän olisi noudatettava sääntöjä, jotka ovat asianmukaisia niiden varojen, oikeuksien ja velkojen markkinoinnissa, jotka on määrä siirtää mahdollisille ostajille. </w:t>
            </w:r>
            <w:r w:rsidRPr="009E35B2">
              <w:rPr>
                <w:b/>
                <w:i/>
              </w:rPr>
              <w:t xml:space="preserve">Valtion </w:t>
            </w:r>
            <w:r w:rsidRPr="009E35B2">
              <w:t>varojen käyttöön olisi joka tapauksessa sovellettava</w:t>
            </w:r>
            <w:r w:rsidRPr="009E35B2">
              <w:rPr>
                <w:b/>
                <w:i/>
              </w:rPr>
              <w:t xml:space="preserve"> asiaan liittyviä perussopimuksen mukaisia valtiontukisääntöjä</w:t>
            </w:r>
            <w:r w:rsidRPr="009E35B2">
              <w:t>.</w:t>
            </w:r>
          </w:p>
        </w:tc>
        <w:tc>
          <w:tcPr>
            <w:tcW w:w="4876" w:type="dxa"/>
            <w:hideMark/>
          </w:tcPr>
          <w:p w:rsidR="00E61B38" w:rsidRPr="009E35B2" w:rsidRDefault="00E61B38" w:rsidP="0024275D">
            <w:pPr>
              <w:pStyle w:val="Normal6"/>
              <w:rPr>
                <w:szCs w:val="24"/>
              </w:rPr>
            </w:pPr>
            <w:r w:rsidRPr="009E35B2">
              <w:t>(28)</w:t>
            </w:r>
            <w:r w:rsidRPr="009E35B2">
              <w:tab/>
              <w:t xml:space="preserve">Kilpailuun ja sisämarkkinoihin kohdistuvien haitallisten vaikutusten välttämiseksi on tarpeen säätää, että maksukyvyttömyystilanteessa käytettävien vaihtoehtoisten toimenpiteiden tapauksessa asiaankuuluvien elinten, jotka edustavat luottolaitosta kansallisten maksukyvyttömyysmenettelyjen yhteydessä (selvittäjä, pesänhoitaja, hallinnonhoitaja tai muu), olisi tehtävä järjestelyjä markkinoidakseen luottolaitoksen liiketoimintaa tai sen liiketoiminnan osia avoimella, läpinäkyvällä ja syrjimättömällä tavalla pyrkien mahdollisuuksien mukaan maksimoimaan myyntihinnan. Luottolaitoksen tai minkä tahansa kyseisen luottolaitoksen puolesta toimivan välittäjän olisi noudatettava sääntöjä, jotka ovat asianmukaisia niiden varojen, oikeuksien ja velkojen markkinoinnissa, jotka on määrä siirtää mahdollisille ostajille. </w:t>
            </w:r>
            <w:r w:rsidRPr="009E35B2">
              <w:rPr>
                <w:b/>
                <w:i/>
              </w:rPr>
              <w:t xml:space="preserve">Talletusten vakuusjärjestelmän </w:t>
            </w:r>
            <w:r w:rsidRPr="009E35B2">
              <w:t xml:space="preserve">varojen käyttöön olisi joka tapauksessa sovellettava </w:t>
            </w:r>
            <w:r w:rsidRPr="009E35B2">
              <w:rPr>
                <w:b/>
                <w:i/>
              </w:rPr>
              <w:t>samoja ehtoja kuin valtion varoihin perussopimuksen asiaa koskevien valtiontukisääntöjen mukaisesti</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Toimivaltaisten viranomaisten olisi hyväksyttävä rakenneuudistustoimenpiteet.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123</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29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(29)</w:t>
            </w:r>
            <w:r w:rsidRPr="009E35B2">
              <w:tab/>
              <w:t xml:space="preserve">Koska talletusten vakuusjärjestelmien päätavoite on suojattujen talletusten suojaaminen, talletusten vakuusjärjestelmien olisi annettava rahoittaa muita toimia kuin korvausten maksamista vain silloin, kun tällaiset toimet ovat </w:t>
            </w:r>
            <w:r w:rsidRPr="009E35B2">
              <w:rPr>
                <w:b/>
                <w:i/>
              </w:rPr>
              <w:t>halvempia</w:t>
            </w:r>
            <w:r w:rsidRPr="009E35B2">
              <w:t xml:space="preserve"> kuin korvausten maksaminen. Kyseisen säännön (pienimmän kustannuksen testin) soveltamisesta saadut kokemukset ovat paljastaneet useita puutteita, koska nykyisessä kehyksessä ei täsmennetä, miten näiden toimien kustannukset tai korvausten suorittamisen kustannukset määritetään. Sen varmistamiseksi, että pienimmän kustannuksen testiä sovelletaan johdonmukaisesti kaikkialla unionissa, on tarpeen täsmentää kyseisten kustannusten laskemista. Samalla on vältettävä liian tiukkoja ehtoja, jotka käytännössä estäisivät talletusten vakuusjärjestelmän varojen käytön muihin toimiin kuin korvausten suorittamiseen. Suorittaessaan alhaisimpien kustannusten arviointia talletusten vakuusjärjestelmien olisi ensin tarkistettava, että valitun toimenpiteen rahoittamisen kustannukset ovat alhaisemmat kuin suojattujen talletusten takaisinmaksun kustannukset. Alhaisimpien kustannusten arviointia koskevissa menetelmissä olisi otettava huomioon rahan aika-arvo.</w:t>
            </w:r>
          </w:p>
        </w:tc>
        <w:tc>
          <w:tcPr>
            <w:tcW w:w="4876" w:type="dxa"/>
            <w:hideMark/>
          </w:tcPr>
          <w:p w:rsidR="00E61B38" w:rsidRPr="009E35B2" w:rsidRDefault="00E61B38" w:rsidP="0024275D">
            <w:pPr>
              <w:pStyle w:val="Normal6"/>
              <w:rPr>
                <w:szCs w:val="24"/>
              </w:rPr>
            </w:pPr>
            <w:r w:rsidRPr="009E35B2">
              <w:t>(29)</w:t>
            </w:r>
            <w:r w:rsidRPr="009E35B2">
              <w:tab/>
              <w:t xml:space="preserve">Koska talletusten vakuusjärjestelmien päätavoite on suojattujen talletusten suojaaminen, talletusten vakuusjärjestelmien olisi annettava rahoittaa muita toimia kuin korvausten maksamista vain silloin, kun tällaiset toimet ovat </w:t>
            </w:r>
            <w:r w:rsidRPr="009E35B2">
              <w:rPr>
                <w:b/>
                <w:i/>
              </w:rPr>
              <w:t xml:space="preserve">tehokkaampia </w:t>
            </w:r>
            <w:r w:rsidRPr="009E35B2">
              <w:t xml:space="preserve">kuin korvausten maksaminen </w:t>
            </w:r>
            <w:r w:rsidRPr="009E35B2">
              <w:rPr>
                <w:b/>
                <w:i/>
              </w:rPr>
              <w:t>ja kun niillä pystytään varmistamaan tehokkaammin tallettajien pääsy talletuksiinsa</w:t>
            </w:r>
            <w:r w:rsidRPr="009E35B2">
              <w:t>. Kyseisen säännön (pienimmän kustannuksen testin) soveltamisesta saadut kokemukset ovat paljastaneet useita puutteita, koska nykyisessä kehyksessä ei täsmennetä, miten näiden toimien kustannukset tai korvausten suorittamisen kustannukset määritetään. Sen varmistamiseksi, että pienimmän kustannuksen testiä sovelletaan johdonmukaisesti kaikkialla unionissa, on tarpeen täsmentää kyseisten kustannusten laskemista. Samalla on vältettävä liian tiukkoja ehtoja, jotka käytännössä estäisivät talletusten vakuusjärjestelmän varojen käytön muihin toimiin kuin korvausten suorittamiseen. Suorittaessaan alhaisimpien kustannusten arviointia talletusten vakuusjärjestelmien olisi ensin tarkistettava, että valitun toimenpiteen rahoittamisen kustannukset ovat alhaisemmat kuin suojattujen talletusten takaisinmaksun kustannukset. Alhaisimpien kustannusten arviointia koskevissa menetelmissä olisi otettava huomioon rahan aika-arvo.</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124</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Esther de Lange</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31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(31)</w:t>
            </w:r>
            <w:r w:rsidRPr="009E35B2">
              <w:tab/>
              <w:t xml:space="preserve">Nimettyjen viranomaisten olisi arvioitava toimenpiteestä talletusten vakuusjärjestelmälle aiheutuvat kustannukset myös lainan takaisinmaksun, pääomanlisäyksen tai vakuuden käytön jälkeen siten, että niistä on vähennetty odotetut tuotot, toimintamenot ja mahdolliset tappiot, sellaista vaihtoehtoista skenaariota vastaan, joka perustuu oletettuun lopulliseen tappioon maksukyvyttömyysmenettelyjen lopussa. Tässä skenaariossa olisi otettava huomioon talletusten vakuusjärjestelmältä osana pankin likvidaatiomenettelyjä perityt saatavat. Jotta saadaan oikeudenmukainen ja kattavampi kuva tallettajille korvaamisen todellisista kustannuksista, suojattujen talletusten korvaamisesta syntyvän tappion arviointiin olisi sisällytettävä kustannukset, jotka liittyvät tallettajille korvaamiseen </w:t>
            </w:r>
            <w:r w:rsidRPr="009E35B2">
              <w:rPr>
                <w:b/>
                <w:i/>
              </w:rPr>
              <w:t>välillisesti</w:t>
            </w:r>
            <w:r w:rsidRPr="009E35B2">
              <w:t>. Näiden kustannusten olisi sisällettävä talletusten vakuusjärjestelmän varojen täydentämisen kustannukset ja kustannukset, jotka talletusten vakuusjärjestelmälle saattaa aiheutua vaihtoehtoisen rahoituksen käytöstä. Pienimmän kustannuksen testin johdonmukaisen soveltamisen varmistamiseksi EPV:n olisi laadittava teknisten sääntelystandardien luonnoksia menetelmistä, joilla lasketaan talletusten vakuusjärjestelmien eri toimien kustannukset. Alhaisimpien kustannusten testiä koskevien menetelmien sekä talletusten vakuusjärjestelmän lakisääteisen tai sopimusperusteisen toimeksiannon välisen johdonmukaisuuden varmistamiseksi ennaltaehkäisevien toimenpiteiden osalta EPV:n olisi näitä teknisten sääntelystandardien luonnoksia laatiessaan otettava huomioon ennaltaehkäisevien toimenpiteiden relevanssi korvausten maksamista koskevan vaihtoehtoisen skenaarion laskennassa käytettävissä menetelmissä.</w:t>
            </w:r>
          </w:p>
        </w:tc>
        <w:tc>
          <w:tcPr>
            <w:tcW w:w="4876" w:type="dxa"/>
            <w:hideMark/>
          </w:tcPr>
          <w:p w:rsidR="00E61B38" w:rsidRPr="009E35B2" w:rsidRDefault="00E61B38" w:rsidP="0024275D">
            <w:pPr>
              <w:pStyle w:val="Normal6"/>
              <w:rPr>
                <w:szCs w:val="24"/>
              </w:rPr>
            </w:pPr>
            <w:r w:rsidRPr="009E35B2">
              <w:t>(31)</w:t>
            </w:r>
            <w:r w:rsidRPr="009E35B2">
              <w:tab/>
              <w:t xml:space="preserve">Nimettyjen viranomaisten olisi arvioitava toimenpiteestä talletusten vakuusjärjestelmälle aiheutuvat kustannukset myös lainan takaisinmaksun, pääomanlisäyksen tai vakuuden käytön jälkeen siten, että niistä on vähennetty odotetut tuotot, toimintamenot ja mahdolliset tappiot, sellaista vaihtoehtoista skenaariota vastaan, joka perustuu oletettuun lopulliseen tappioon maksukyvyttömyysmenettelyjen lopussa. Tässä skenaariossa olisi otettava huomioon talletusten vakuusjärjestelmältä osana pankin likvidaatiomenettelyjä perityt saatavat. Jotta saadaan oikeudenmukainen ja kattavampi kuva tallettajille korvaamisen todellisista kustannuksista, suojattujen talletusten korvaamisesta syntyvän tappion arviointiin olisi sisällytettävä kustannukset, jotka liittyvät tallettajille korvaamiseen </w:t>
            </w:r>
            <w:r w:rsidRPr="009E35B2">
              <w:rPr>
                <w:b/>
                <w:i/>
              </w:rPr>
              <w:t>suoraan</w:t>
            </w:r>
            <w:r w:rsidRPr="009E35B2">
              <w:t>. Näiden kustannusten olisi sisällettävä talletusten vakuusjärjestelmän varojen täydentämisen kustannukset ja kustannukset, jotka talletusten vakuusjärjestelmälle saattaa aiheutua vaihtoehtoisen rahoituksen käytöstä. Pienimmän kustannuksen testin johdonmukaisen soveltamisen varmistamiseksi EPV:n olisi laadittava teknisten sääntelystandardien luonnoksia menetelmistä, joilla lasketaan talletusten vakuusjärjestelmien eri toimien kustannukset. Alhaisimpien kustannusten testiä koskevien menetelmien sekä talletusten vakuusjärjestelmän lakisääteisen tai sopimusperusteisen toimeksiannon välisen johdonmukaisuuden varmistamiseksi ennaltaehkäisevien toimenpiteiden osalta EPV:n olisi näitä teknisten sääntelystandardien luonnoksia laatiessaan otettava huomioon ennaltaehkäisevien toimenpiteiden relevanssi korvausten maksamista koskevan vaihtoehtoisen skenaarion laskennassa käytettävissä menetelmissä.</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125</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33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(33)</w:t>
            </w:r>
            <w:r w:rsidRPr="009E35B2">
              <w:tab/>
              <w:t>Talletusten vakuusjärjestelmien välinen yhteistyö kaikkialla unionissa on ratkaisevan tärkeää, jotta korvaukset voidaan maksaa nopeasti ja kustannustehokkaasti tallettajille silloin, kun luottolaitokset tarjoavat pankkipalvelua muissa jäsenvaltioissa sijaitsevien sivukonttorien kautta. Kun otetaan huomioon teknologian kehitys, joka edistää rajatylittävien siirtojen ja etätunnistuksen käyttöä, kotijäsenvaltion talletusten vakuusjärjestelmästä olisi voitava maksaa korvaukset suoraan toisessa jäsenvaltiossa sijaitsevien sivukonttoreiden tallettajille edellyttäen, että hallinnollinen rasite ja kustannukset ovat alhaisemmat kuin jos korvaukset maksettaisiin vastaanottavan jäsenvaltion talletusten vakuusjärjestelmästä. Tämän joustavuuden olisi täydennettävä nykyistä yhteistyömekanismia, jossa edellytetään, että vastaanottavan jäsenvaltion talletusten vakuusjärjestelmästä maksetaan korvaukset sivukonttoreiden tallettajille kotijäsenvaltion talletusten vakuusjärjestelmän puolesta. Tallettajien luottamuksen säilyttämiseksi sekä vastaanottavassa että kotijäsenvaltiossa EPV:n olisi annettava ohjeita talletusten vakuusjärjestelmien avustamiseksi tällaisessa yhteistyössä muun muassa ehdottamalla luetteloa edellytyksistä, joiden mukaisesti kotijäsenvaltion talletusten vakuusjärjestelmä voisi päättää maksaa korvaukset vastaanottavassa jäsenvaltiossa sijaitsevien sivukonttoreiden tallettajille.</w:t>
            </w:r>
          </w:p>
        </w:tc>
        <w:tc>
          <w:tcPr>
            <w:tcW w:w="4876" w:type="dxa"/>
            <w:hideMark/>
          </w:tcPr>
          <w:p w:rsidR="00E61B38" w:rsidRPr="009E35B2" w:rsidRDefault="00E61B38" w:rsidP="0024275D">
            <w:pPr>
              <w:pStyle w:val="Normal6"/>
              <w:rPr>
                <w:szCs w:val="24"/>
              </w:rPr>
            </w:pPr>
            <w:r w:rsidRPr="009E35B2">
              <w:t>(33)</w:t>
            </w:r>
            <w:r w:rsidRPr="009E35B2">
              <w:tab/>
              <w:t xml:space="preserve">Talletusten vakuusjärjestelmien välinen yhteistyö kaikkialla unionissa on ratkaisevan tärkeää, jotta korvaukset voidaan maksaa nopeasti ja kustannustehokkaasti tallettajille silloin, kun luottolaitokset tarjoavat pankkipalvelua muissa jäsenvaltioissa sijaitsevien sivukonttorien kautta. Kun otetaan huomioon teknologian kehitys, joka edistää rajatylittävien siirtojen ja etätunnistuksen käyttöä, kotijäsenvaltion talletusten vakuusjärjestelmästä olisi voitava maksaa korvaukset suoraan toisessa jäsenvaltiossa sijaitsevien sivukonttoreiden tallettajille edellyttäen, että hallinnollinen rasite ja kustannukset ovat alhaisemmat kuin jos korvaukset maksettaisiin vastaanottavan jäsenvaltion talletusten vakuusjärjestelmästä. Tämän joustavuuden olisi täydennettävä nykyistä yhteistyömekanismia, jossa edellytetään, että vastaanottavan jäsenvaltion talletusten vakuusjärjestelmästä maksetaan korvaukset sivukonttoreiden tallettajille kotijäsenvaltion talletusten vakuusjärjestelmän puolesta. Tallettajien luottamuksen säilyttämiseksi sekä vastaanottavassa että kotijäsenvaltiossa EPV:n olisi annettava </w:t>
            </w:r>
            <w:r w:rsidRPr="009E35B2">
              <w:rPr>
                <w:b/>
                <w:i/>
              </w:rPr>
              <w:t>Euroopan talletussuojalaitosten foorumin jakamaan käytettävissä olevaan asiantuntemukseen perustuvia</w:t>
            </w:r>
            <w:r w:rsidRPr="009E35B2">
              <w:t xml:space="preserve"> ohjeita talletusten vakuusjärjestelmien avustamiseksi tällaisessa yhteistyössä muun muassa ehdottamalla luetteloa edellytyksistä, joiden mukaisesti kotijäsenvaltion talletusten vakuusjärjestelmä voisi päättää maksaa korvaukset vastaanottavassa jäsenvaltiossa sijaitsevien sivukonttoreiden tallettajille.</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EPV:n mahdollisissa ohjeissa olisi otettava huomioon Euroopan talletussuojalaitosten foorumin saatavilla olevat tiedot ja kokemukset, jotta ne heijastavat toimijoiden näkemystä.</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126</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34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(34)</w:t>
            </w:r>
            <w:r w:rsidRPr="009E35B2">
              <w:tab/>
              <w:t xml:space="preserve">Luottolaitokset voivat muuttaa talletusten vakuusjärjestelmään kuulumista siitä syystä, että ne siirtävät kotipaikkansa toiseen jäsenvaltioon tai muuttavat tytäryhtiönsä sivukonttoriksi tai sivukonttorinsa tytäryhtiöksi. Direktiivin 2014/49/EU 14 artiklan 3 kohdassa edellytetään, että kannatusmaksut, jotka luottolaitos on maksanut siirtoa edeltävien 12 kuukauden aikana, siirretään kyseiseen toiseen talletusten vakuusjärjestelmään. Sen varmistamiseksi, että kannatusmaksujen siirto vastaanottavaan talletusten vakuusjärjestelmään ei ole riippuvainen erilaisista kansallisista laskutusta tai kannatusmaksujen tosiasiallista suorituspäivää koskevista säännöistä, alkuperäisen talletusten vakuusjärjestelmän olisi laskettava siirrettävä määrä </w:t>
            </w:r>
            <w:r w:rsidRPr="009E35B2">
              <w:rPr>
                <w:b/>
                <w:i/>
              </w:rPr>
              <w:t>maksettavien kannatusmaksujen eikä maksettujen kannatusmaksujen perusteella</w:t>
            </w:r>
            <w:r w:rsidRPr="009E35B2">
              <w:t>.</w:t>
            </w:r>
          </w:p>
        </w:tc>
        <w:tc>
          <w:tcPr>
            <w:tcW w:w="4876" w:type="dxa"/>
            <w:hideMark/>
          </w:tcPr>
          <w:p w:rsidR="00E61B38" w:rsidRPr="009E35B2" w:rsidRDefault="00E61B38" w:rsidP="0024275D">
            <w:pPr>
              <w:pStyle w:val="Normal6"/>
              <w:rPr>
                <w:szCs w:val="24"/>
              </w:rPr>
            </w:pPr>
            <w:r w:rsidRPr="009E35B2">
              <w:t>(34)</w:t>
            </w:r>
            <w:r w:rsidRPr="009E35B2">
              <w:tab/>
              <w:t xml:space="preserve">Luottolaitokset voivat muuttaa talletusten vakuusjärjestelmään kuulumista siitä syystä, että ne siirtävät kotipaikkansa toiseen jäsenvaltioon tai muuttavat tytäryhtiönsä sivukonttoriksi tai sivukonttorinsa tytäryhtiöksi. Direktiivin 2014/49/EU 14 artiklan 3 kohdassa edellytetään, että kannatusmaksut, jotka luottolaitos on maksanut siirtoa edeltävien 12 kuukauden aikana, siirretään kyseiseen toiseen talletusten vakuusjärjestelmään. Sen varmistamiseksi, että kannatusmaksujen siirto vastaanottavaan talletusten vakuusjärjestelmään ei ole riippuvainen erilaisista kansallisista laskutusta tai kannatusmaksujen tosiasiallista suorituspäivää koskevista säännöistä, alkuperäisen talletusten vakuusjärjestelmän olisi laskettava siirrettävä määrä </w:t>
            </w:r>
            <w:r w:rsidRPr="009E35B2">
              <w:rPr>
                <w:b/>
                <w:i/>
              </w:rPr>
              <w:t>EPV:n kehittämän menetelmän perusteella</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127</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34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(34)</w:t>
            </w:r>
            <w:r w:rsidRPr="009E35B2">
              <w:tab/>
              <w:t xml:space="preserve">Luottolaitokset voivat muuttaa talletusten vakuusjärjestelmään kuulumista siitä syystä, että ne siirtävät kotipaikkansa toiseen jäsenvaltioon tai muuttavat tytäryhtiönsä sivukonttoriksi tai sivukonttorinsa tytäryhtiöksi. </w:t>
            </w:r>
            <w:r w:rsidRPr="009E35B2">
              <w:rPr>
                <w:b/>
                <w:i/>
              </w:rPr>
              <w:t>Direktiivin 2014/49/EU 14 artiklan 3 kohdassa edellytetään, että</w:t>
            </w:r>
            <w:r w:rsidRPr="009E35B2">
              <w:t xml:space="preserve"> kannatusmaksut, jotka luottolaitos on maksanut </w:t>
            </w:r>
            <w:r w:rsidRPr="009E35B2">
              <w:rPr>
                <w:b/>
                <w:i/>
              </w:rPr>
              <w:t>siirtoa edeltävien 12 kuukauden aikana, siirretään</w:t>
            </w:r>
            <w:r w:rsidRPr="009E35B2">
              <w:t xml:space="preserve"> kyseiseen toiseen talletusten vakuusjärjestelmään. Sen varmistamiseksi, että kannatusmaksujen siirto vastaanottavaan talletusten vakuusjärjestelmään ei ole riippuvainen erilaisista kansallisista laskutusta tai kannatusmaksujen tosiasiallista suorituspäivää koskevista säännöistä, alkuperäisen talletusten vakuusjärjestelmän olisi laskettava siirrettävä määrä maksettavien kannatusmaksujen eikä maksettujen kannatusmaksujen perusteella.</w:t>
            </w:r>
          </w:p>
        </w:tc>
        <w:tc>
          <w:tcPr>
            <w:tcW w:w="4876" w:type="dxa"/>
            <w:hideMark/>
          </w:tcPr>
          <w:p w:rsidR="00E61B38" w:rsidRPr="009E35B2" w:rsidRDefault="00E61B38" w:rsidP="0024275D">
            <w:pPr>
              <w:pStyle w:val="Normal6"/>
              <w:rPr>
                <w:szCs w:val="24"/>
              </w:rPr>
            </w:pPr>
            <w:r w:rsidRPr="009E35B2">
              <w:t>(34)</w:t>
            </w:r>
            <w:r w:rsidRPr="009E35B2">
              <w:tab/>
              <w:t xml:space="preserve">Luottolaitokset voivat muuttaa talletusten vakuusjärjestelmään kuulumista siitä syystä, että ne siirtävät kotipaikkansa toiseen jäsenvaltioon tai muuttavat tytäryhtiönsä sivukonttoriksi tai sivukonttorinsa tytäryhtiöksi. Kannatusmaksut, jotka luottolaitos on maksanut </w:t>
            </w:r>
            <w:r w:rsidRPr="009E35B2">
              <w:rPr>
                <w:b/>
                <w:i/>
              </w:rPr>
              <w:t>ennen siirtoa, olisi siirrettävä nettomääräisesti ja lasketun osuuden mukaisesti</w:t>
            </w:r>
            <w:r w:rsidRPr="009E35B2">
              <w:t xml:space="preserve"> kyseiseen toiseen talletusten vakuusjärjestelmään. Sen varmistamiseksi, että kannatusmaksujen siirto vastaanottavaan talletusten vakuusjärjestelmään ei ole riippuvainen erilaisista kansallisista laskutusta tai kannatusmaksujen tosiasiallista suorituspäivää koskevista säännöistä, alkuperäisen talletusten vakuusjärjestelmän olisi laskettava siirrettävä määrä maksettavien kannatusmaksujen eikä maksettujen kannatusmaksujen perusteella.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Talletusten vakuusjärjestelmän jäsenyyden muutos siirtää kaiken riskin alkuperäisestä talletusten vakuusjärjestelmästä uudelle talletusten vakuusjärjestelmälle. Eikä ole mitään perusteita maksaa kaksinkertaista maksua samasta riskistä. Ellei tätä säännöstä muuteta, se aiheuttaa huomattavia kustannuksia rajat ylittävälle uudelleenjärjestelylle erityisesti ”haarautumalla”, kuten YVM:n puheenjohtaja totesi syyskuussa 2021. Siirrettävän määrän olisi oltava lähellä asianomaisen luottolaitoksen maksamaa kokonaismäärää (lukuun ottamatta poikkeuksellisia maksuosuuksia ja osaa aiemmissa interventioissa käytetyistä maksuosuuksista).</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128</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36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(36)</w:t>
            </w:r>
            <w:r w:rsidRPr="009E35B2">
              <w:tab/>
              <w:t>Standardoitu ja säännöllinen tietojen julkistaminen lisää tallettajien tietoisuutta talletussuojasta. Jotta voidaan saattaa tietojen julkistamista koskevat vaatimukset vastaamaan teknologian kehitystä, näissä vaatimuksissa olisi otettava huomioon uudet digitaaliset viestintäkanavat, joiden kautta luottolaitokset ovat vuorovaikutuksessa tallettajien kanssa. Tallettajien olisi saatava selkeää ja yhtenäistä tietoa, jossa selitetään heidän talletussuojansa. Samalla on kuitenkin rajoitettava asiasta luottolaitoksille tai talletusten vakuusjärjestelmille aiheutuvaa hallinnollista rasitetta. EPV:lle olisi annettava tehtäväksi laatia teknisten täytäntöönpanostandardien luonnoksia, joissa täsmennetään toisaalta tallettajalle annettavan tiedotteen sisältö ja muoto, jotta voidaan tiedottaa tallettajille vuosittain</w:t>
            </w:r>
            <w:r w:rsidRPr="009E35B2">
              <w:rPr>
                <w:b/>
                <w:i/>
              </w:rPr>
              <w:t>, ja toisaalta sellaisten tietojen malli, jotka joko talletusten vakuusjärjestelmien tai luottolaitosten on annettava tallettajille tietyissä tilanteissa, kuten luottolaitosten sulautumien yhteydessä, silloin, kun talletuksia ei kyetä maksamaan, tai kun asiakasvarojen talletuksia korvataan</w:t>
            </w:r>
            <w:r w:rsidRPr="009E35B2">
              <w:t>.</w:t>
            </w:r>
          </w:p>
        </w:tc>
        <w:tc>
          <w:tcPr>
            <w:tcW w:w="4876" w:type="dxa"/>
            <w:hideMark/>
          </w:tcPr>
          <w:p w:rsidR="00E61B38" w:rsidRPr="009E35B2" w:rsidRDefault="00E61B38" w:rsidP="0024275D">
            <w:pPr>
              <w:pStyle w:val="Normal6"/>
              <w:rPr>
                <w:szCs w:val="24"/>
              </w:rPr>
            </w:pPr>
            <w:r w:rsidRPr="009E35B2">
              <w:t>(36)</w:t>
            </w:r>
            <w:r w:rsidRPr="009E35B2">
              <w:tab/>
              <w:t>Standardoitu ja säännöllinen tietojen julkistaminen lisää tallettajien tietoisuutta talletussuojasta. Jotta voidaan saattaa tietojen julkistamista koskevat vaatimukset vastaamaan teknologian kehitystä, näissä vaatimuksissa olisi otettava huomioon uudet digitaaliset viestintäkanavat, joiden kautta luottolaitokset ovat vuorovaikutuksessa tallettajien kanssa. Tallettajien olisi saatava selkeää ja yhtenäistä tietoa, jossa selitetään heidän talletussuojansa. Samalla on kuitenkin rajoitettava asiasta luottolaitoksille tai talletusten vakuusjärjestelmille aiheutuvaa hallinnollista rasitetta. EPV:lle olisi annettava tehtäväksi laatia teknisten täytäntöönpanostandardien luonnoksia, joissa täsmennetään toisaalta tallettajalle annettavan tiedotteen sisältö ja muoto, jotta voidaan tiedottaa tallettajille vuosittain.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Talletusten vakuusjärjestelmän tehtävänä ei ole ilmoittaa tallettajille sulautumisesta. Talletusten vakuusjärjestelmän on annettava tiedot talletuksista, jotka eivät ole käytettävissä, ja asiakastalletusten takaisinmaksusta virallisella tavalla, mutta tavasta ei pitäisi määrätä yhdenmukaisesti EPV:n mallin avulla. Talletusten vakuusjärjestelmän tällaisessa tapauksessa toimittamien tietojen tyyppi riippuu vahvasti kansallisista olosuhteista ja käytössä olevista prosesseista, ja ne olisi jätettävä talletusten vakuusjärjestelmän harkintavaltaan.</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129</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Luděk Niedermayer</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37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(37)</w:t>
            </w:r>
            <w:r w:rsidRPr="009E35B2">
              <w:tab/>
              <w:t>Luottolaitoksen sulautuminen, tytäryhtiön muuttaminen sivukonttoriksi tai sivukonttorin muuttaminen tytäryhtiöksi voi vaikuttaa talletussuojan keskeisiin piirteisiin. Jotta vältetään haitalliset vaikutukset tallettajiin, joilla on talletuksia molemmissa sulautuvissa pankeissa ja joiden vaatimus talletussuojaan pienenisi talletusten vakuusjärjestelmään kuulumisessa tapahtuvien muutosten vuoksi, kaikille tallettajille olisi ilmoitettava tällaisista muutoksista</w:t>
            </w:r>
            <w:r w:rsidRPr="009E35B2">
              <w:rPr>
                <w:b/>
                <w:i/>
              </w:rPr>
              <w:t xml:space="preserve"> ja heillä</w:t>
            </w:r>
            <w:r w:rsidRPr="009E35B2">
              <w:t xml:space="preserve"> olisi oltava oikeus nostaa enintään menetettyä talletusten suojaa vastaava määrä varojaan ilman seuraamuksia</w:t>
            </w:r>
          </w:p>
        </w:tc>
        <w:tc>
          <w:tcPr>
            <w:tcW w:w="4876" w:type="dxa"/>
            <w:hideMark/>
          </w:tcPr>
          <w:p w:rsidR="00E61B38" w:rsidRPr="009E35B2" w:rsidRDefault="00E61B38" w:rsidP="0024275D">
            <w:pPr>
              <w:pStyle w:val="Normal6"/>
              <w:rPr>
                <w:szCs w:val="24"/>
              </w:rPr>
            </w:pPr>
            <w:r w:rsidRPr="009E35B2">
              <w:t>(37)</w:t>
            </w:r>
            <w:r w:rsidRPr="009E35B2">
              <w:tab/>
              <w:t>Luottolaitoksen sulautuminen, tytäryhtiön muuttaminen sivukonttoriksi tai sivukonttorin muuttaminen tytäryhtiöksi voi vaikuttaa talletussuojan keskeisiin piirteisiin. Jotta vältetään haitalliset vaikutukset tallettajiin, joilla on talletuksia molemmissa sulautuvissa pankeissa ja joiden vaatimus talletussuojaan pienenisi talletusten vakuusjärjestelmään kuulumisessa tapahtuvien muutosten vuoksi, kaikille tallettajille olisi ilmoitettava tällaisista muutoksista</w:t>
            </w:r>
            <w:r w:rsidRPr="009E35B2">
              <w:rPr>
                <w:b/>
                <w:i/>
              </w:rPr>
              <w:t xml:space="preserve">. Tallettajilla </w:t>
            </w:r>
            <w:r w:rsidRPr="009E35B2">
              <w:t>olisi oltava oikeus nostaa enintään menetettyä talletusten suojaa vastaava määrä varojaan ilman seuraamuksia.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130</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38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(38)</w:t>
            </w:r>
            <w:r w:rsidRPr="009E35B2">
              <w:tab/>
              <w:t xml:space="preserve">Jotta säilytetään rahoitusvakaus, vältetään häiriöiden leviäminen ja annetaan tallettajille mahdollisuus käyttää oikeuttaan vaatia talletuksia soveltuvissa tapauksissa, </w:t>
            </w:r>
            <w:r w:rsidRPr="009E35B2">
              <w:rPr>
                <w:b/>
                <w:i/>
              </w:rPr>
              <w:t>asianomaisten nimettyjen viranomaisten,</w:t>
            </w:r>
            <w:r w:rsidRPr="009E35B2">
              <w:t xml:space="preserve"> talletusten vakuusjärjestelmien </w:t>
            </w:r>
            <w:r w:rsidRPr="009E35B2">
              <w:rPr>
                <w:b/>
                <w:i/>
              </w:rPr>
              <w:t>ja luottolaitosten</w:t>
            </w:r>
            <w:r w:rsidRPr="009E35B2">
              <w:t xml:space="preserve"> olisi ilmoitettava tallettajille siitä, että talletuksia ei kyetä maksamaan.</w:t>
            </w:r>
          </w:p>
        </w:tc>
        <w:tc>
          <w:tcPr>
            <w:tcW w:w="4876" w:type="dxa"/>
            <w:hideMark/>
          </w:tcPr>
          <w:p w:rsidR="00E61B38" w:rsidRPr="009E35B2" w:rsidRDefault="00E61B38" w:rsidP="0024275D">
            <w:pPr>
              <w:pStyle w:val="Normal6"/>
              <w:rPr>
                <w:szCs w:val="24"/>
              </w:rPr>
            </w:pPr>
            <w:r w:rsidRPr="009E35B2">
              <w:t>(38)</w:t>
            </w:r>
            <w:r w:rsidRPr="009E35B2">
              <w:tab/>
              <w:t>Jotta säilytetään rahoitusvakaus, vältetään häiriöiden leviäminen ja annetaan tallettajille mahdollisuus käyttää oikeuttaan vaatia talletuksia soveltuvissa tapauksissa, talletusten vakuusjärjestelmien olisi ilmoitettava tallettajille siitä, että talletuksia ei kyetä maksamaan.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Talletusten vakuusjärjestelmän olisi oltava virallinen tiedon lähde tällaisissa tapauksissa. Kolmen eri viraston antamat tiedot tarpeettomasti lisäävät koordinointityöta tuottamatta lisäarvoa, päinvastoin, ne voivat johtaa sekaannuksiin tallettajien välillä.</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131</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39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(39)</w:t>
            </w:r>
            <w:r w:rsidRPr="009E35B2">
              <w:tab/>
              <w:t xml:space="preserve">Jotta voidaan lisätä avoimuutta tallettajien kannalta sekä edistää talletusten vakuusjärjestelmien taloudellista vakautta ja keskinäistä luottamusta niiden suorittaessa toimeksiantoaan, nykyisiä raportointivaatimuksia olisi parannettava. Sen pohjalta, että nykyisissä vaatimuksissa annetaan talletusten vakuusjärjestelmille mahdollisuus pyytää niiden jäseninä olevilta laitoksilta kaikki tiedot, joita tarvitaan korvausten valmisteluun, talletusten vakuusjärjestelmien olisi myös voitava pyytää tietoja, joita tarvitaan korvausten valmisteluun rajatylittävän yhteistyön yhteydessä. Olisi edellytettävä, että jäseninä olevat laitokset toimittavat talletusten vakuusjärjestelmän pyynnöstä yleiset tiedot mahdollisesta olennaisesta rajatylittävästä liiketoiminnasta muissa jäsenvaltioissa. Tarjotakseen EPV:lle riittävästi tietoa talletusten vakuusjärjestelmien käytettävissä olevien rahoitusvarojen kehityksestä ja käytöstä jäsenvaltioiden olisi varmistettava, että talletusten vakuusjärjestelmät ilmoittavat EPV:lle vuosittain suojattujen talletusten määrän ja käytettävissä olevien rahoitusvarojen määrän ja tiedottavat EPV:lle </w:t>
            </w:r>
            <w:r w:rsidRPr="009E35B2">
              <w:rPr>
                <w:b/>
                <w:i/>
              </w:rPr>
              <w:t>olosuhteista, jotka johtivat siihen, että</w:t>
            </w:r>
            <w:r w:rsidRPr="009E35B2">
              <w:t xml:space="preserve"> talletusten vakuusjärjestelmän varoja käytettiin joko korvausten maksamiseen tai muihin toimenpiteisiin. Jotta voidaan myös ottaa huomioon talletusten vakuusjärjestelmien tehostettu pankkien kriisinhallintaan liittyvä rooli, </w:t>
            </w:r>
            <w:r w:rsidRPr="009E35B2">
              <w:rPr>
                <w:b/>
                <w:i/>
              </w:rPr>
              <w:t>jonka tavoitteena on helpottaa talletusten vakuusjärjestelmän varojen käyttöä kriisinratkaisussa, talletusten vakuusjärjestelmillä olisi oltava oikeus saada</w:t>
            </w:r>
            <w:r w:rsidRPr="009E35B2">
              <w:t xml:space="preserve"> tiivistelmä luottolaitosten kriisinratkaisusuunnitelmista, jotta niillä on paremmat yleiset valmiudet asettaa varat saataville.</w:t>
            </w:r>
          </w:p>
        </w:tc>
        <w:tc>
          <w:tcPr>
            <w:tcW w:w="4876" w:type="dxa"/>
            <w:hideMark/>
          </w:tcPr>
          <w:p w:rsidR="00E61B38" w:rsidRPr="009E35B2" w:rsidRDefault="00E61B38" w:rsidP="0024275D">
            <w:pPr>
              <w:pStyle w:val="Normal6"/>
              <w:rPr>
                <w:szCs w:val="24"/>
              </w:rPr>
            </w:pPr>
            <w:r w:rsidRPr="009E35B2">
              <w:t>(39)</w:t>
            </w:r>
            <w:r w:rsidRPr="009E35B2">
              <w:tab/>
              <w:t xml:space="preserve">Jotta voidaan lisätä avoimuutta tallettajien kannalta sekä edistää talletusten vakuusjärjestelmien taloudellista vakautta ja keskinäistä luottamusta niiden suorittaessa toimeksiantoaan, nykyisiä raportointivaatimuksia olisi parannettava. Sen pohjalta, että nykyisissä vaatimuksissa annetaan talletusten vakuusjärjestelmille mahdollisuus pyytää niiden jäseninä olevilta laitoksilta kaikki tiedot, joita tarvitaan korvausten valmisteluun, talletusten vakuusjärjestelmien olisi myös voitava pyytää tietoja, joita tarvitaan korvausten valmisteluun rajatylittävän yhteistyön yhteydessä. Olisi edellytettävä, että jäseninä olevat laitokset toimittavat talletusten vakuusjärjestelmän pyynnöstä yleiset tiedot mahdollisesta olennaisesta rajatylittävästä liiketoiminnasta muissa jäsenvaltioissa. Tarjotakseen EPV:lle riittävästi tietoa talletusten vakuusjärjestelmien käytettävissä olevien rahoitusvarojen kehityksestä ja käytöstä jäsenvaltioiden olisi varmistettava, että talletusten vakuusjärjestelmät ilmoittavat EPV:lle vuosittain suojattujen talletusten määrän ja käytettävissä olevien rahoitusvarojen määrän ja tiedottavat EPV:lle </w:t>
            </w:r>
            <w:r w:rsidRPr="009E35B2">
              <w:rPr>
                <w:b/>
                <w:i/>
              </w:rPr>
              <w:t>tapauksista, joissa</w:t>
            </w:r>
            <w:r w:rsidRPr="009E35B2">
              <w:t xml:space="preserve"> talletusten vakuusjärjestelmän varoja käytettiin joko korvausten maksamiseen tai muihin toimenpiteisiin. Jotta voidaan myös ottaa huomioon talletusten vakuusjärjestelmien tehostettu pankkien kriisinhallintaan liittyvä rooli, </w:t>
            </w:r>
            <w:r w:rsidRPr="009E35B2">
              <w:rPr>
                <w:b/>
                <w:i/>
              </w:rPr>
              <w:t xml:space="preserve">talletusten vakuusjärjestelmien olisi saatava vuosittain </w:t>
            </w:r>
            <w:r w:rsidRPr="009E35B2">
              <w:t>tiivistelmä luottolaitosten kriisinratkaisusuunnitelmista, jotta niillä on paremmat yleiset valmiudet asettaa varat saataville.</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Varojen käyttöön johtaneet olosuhteet eivät anna merkityksellistä tietoa talletusten vakuusjärjestelmien käytettävissä olevien varojen kehityksestä. Talletusten vakuusjärjestelmän kriisinratkaisusuunnitelmia koskevien tietojen säännöllisen saatavuuden olisi oltava riippumaton niiden mahdollisesta tulevasta roolista kriisinratkaisussa. Talletusten vakuusjärjestelmän ja kriisinratkaisuviranomaisten välisen yhteistyön ja tietojenvaihdon parantaminen on parhaiden käytäntöjen mukaista.</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132</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40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(40)</w:t>
            </w:r>
            <w:r w:rsidRPr="009E35B2">
              <w:tab/>
              <w:t xml:space="preserve">Rahoituspalvelualan </w:t>
            </w:r>
            <w:r w:rsidRPr="009E35B2">
              <w:rPr>
                <w:b/>
                <w:i/>
              </w:rPr>
              <w:t>teknisillä standardeilla olisi helpotettava</w:t>
            </w:r>
            <w:r w:rsidRPr="009E35B2">
              <w:t xml:space="preserve"> jatkuvaa yhdenmukaistamista sekä tallettajien riittävää suojaa kaikkialla unionissa. Koska EPV:llä on pitkälle menevää erityisasiantuntemusta, </w:t>
            </w:r>
            <w:r w:rsidRPr="009E35B2">
              <w:rPr>
                <w:b/>
                <w:i/>
              </w:rPr>
              <w:t>olisi</w:t>
            </w:r>
            <w:r w:rsidRPr="009E35B2">
              <w:t xml:space="preserve"> tehokasta ja asianmukaista antaa sen tehtäväksi laatia komissiolle hyväksyttäväksi toimitettavat luonnokset teknisiksi sääntelystandardeiksi ja teknisiksi täytäntöönpanostandardeiksi, joihin ei liity toimintapoliittisia valintoja.</w:t>
            </w:r>
          </w:p>
        </w:tc>
        <w:tc>
          <w:tcPr>
            <w:tcW w:w="4876" w:type="dxa"/>
            <w:hideMark/>
          </w:tcPr>
          <w:p w:rsidR="00E61B38" w:rsidRPr="009E35B2" w:rsidRDefault="00E61B38" w:rsidP="0024275D">
            <w:pPr>
              <w:pStyle w:val="Normal6"/>
              <w:rPr>
                <w:szCs w:val="24"/>
              </w:rPr>
            </w:pPr>
            <w:r w:rsidRPr="009E35B2">
              <w:t>(40)</w:t>
            </w:r>
            <w:r w:rsidRPr="009E35B2">
              <w:tab/>
              <w:t xml:space="preserve">Tietyissä tapauksissa rahoituspalvelualan </w:t>
            </w:r>
            <w:r w:rsidRPr="009E35B2">
              <w:rPr>
                <w:b/>
                <w:i/>
              </w:rPr>
              <w:t>tekniset standardit voivat helpottaa</w:t>
            </w:r>
            <w:r w:rsidRPr="009E35B2">
              <w:t xml:space="preserve"> jatkuvaa yhdenmukaistamista sekä tallettajien riittävää suojaa kaikkialla unionissa. </w:t>
            </w:r>
            <w:r w:rsidRPr="009E35B2">
              <w:rPr>
                <w:b/>
                <w:i/>
              </w:rPr>
              <w:t xml:space="preserve">Jos yksityiskohtaisemmille säännöksille on käytännössä tarvetta, ne olisi sisällytettävä ensimmäisen tason säädökseen, jos se on mahdollista. Vaihtoehtoisesti ja </w:t>
            </w:r>
            <w:r w:rsidRPr="009E35B2">
              <w:t xml:space="preserve">koska EPV:llä on pitkälle menevää erityisasiantuntemusta, </w:t>
            </w:r>
            <w:r w:rsidRPr="009E35B2">
              <w:rPr>
                <w:b/>
                <w:i/>
              </w:rPr>
              <w:t xml:space="preserve">voisi olla poikkeuksellisen </w:t>
            </w:r>
            <w:r w:rsidRPr="009E35B2">
              <w:t xml:space="preserve">tehokasta ja asianmukaista antaa sen tehtäväksi laatia komissiolle hyväksyttäväksi toimitettavat luonnokset teknisiksi sääntelystandardeiksi ja teknisiksi täytäntöönpanostandardeiksi, joihin ei liity toimintapoliittisia valintoja. </w:t>
            </w:r>
            <w:r w:rsidRPr="009E35B2">
              <w:rPr>
                <w:b/>
                <w:i/>
              </w:rPr>
              <w:t>Tätä ennen olisi tehtävä kustannus-hyötyanalyysi ja toimiin liittyvän hallinnollisen taakan arviointi.</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EPV ei ole demokraattisesti legitimoitu elin, joten sen vaikutusvaltaa oikeudellisiin teksteihin olisi rajoitettava. Sen sijaan olisi suosittava ensimmäisen tason tekstejä, jos ne ovat järkeviä ja toteuttamiskelpoisia.</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133</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45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(45)</w:t>
            </w:r>
            <w:r w:rsidRPr="009E35B2">
              <w:tab/>
              <w:t xml:space="preserve">Direktiivin 2014/49/EU mukaan jäsenvaltiot voivat hyväksyä laitosten suojajärjestelmän talletusten vakuusjärjestelmäksi, jos se täyttää asetuksen (EU) N:o 575/2013 113 artiklan 7 kohdassa vahvistetut edellytykset ja on direktiivin 2014/49/EU mukainen. Tällaisten laitosten suojajärjestelmien erityisen liiketoimintamallin ja etenkin niiden toimeksiannon keskiössä olevien ennaltaehkäisevien toimenpiteiden merkityksen huomioon ottamiseksi on aiheellista antaa jäsenvaltioille mahdollisuus </w:t>
            </w:r>
            <w:r w:rsidRPr="009E35B2">
              <w:rPr>
                <w:b/>
                <w:i/>
              </w:rPr>
              <w:t>sallia, että laitosten suojajärjestelmät sopeutuvat ennaltaehkäisevien toimenpiteiden soveltamista koskeviin uusiin suojatoimiin kuuden vuoden kuluessa</w:t>
            </w:r>
            <w:r w:rsidRPr="009E35B2">
              <w:t xml:space="preserve">. </w:t>
            </w:r>
            <w:r w:rsidRPr="009E35B2">
              <w:rPr>
                <w:b/>
                <w:i/>
              </w:rPr>
              <w:t>Tässä mahdollisesti pidemmässä vaatimusten noudattamisajassa otetaan huomioon aika, joka tarvitaan erillisen rahaston luomiseen laitosten suojajärjestelmän muihin kuin talletussuojaan liittyviin tarkoituksiin Euroopan keskuspankin, kansallisen toimivaltaisen viranomaisen ja asiaan liittyvien laitosten suojajärjestelmien sopimalla tavalla.</w:t>
            </w:r>
          </w:p>
        </w:tc>
        <w:tc>
          <w:tcPr>
            <w:tcW w:w="4876" w:type="dxa"/>
            <w:hideMark/>
          </w:tcPr>
          <w:p w:rsidR="00E61B38" w:rsidRPr="009E35B2" w:rsidRDefault="00E61B38" w:rsidP="0024275D">
            <w:pPr>
              <w:pStyle w:val="Normal6"/>
              <w:rPr>
                <w:szCs w:val="24"/>
              </w:rPr>
            </w:pPr>
            <w:r w:rsidRPr="009E35B2">
              <w:t>(45)</w:t>
            </w:r>
            <w:r w:rsidRPr="009E35B2">
              <w:tab/>
              <w:t xml:space="preserve">Direktiivin 2014/49/EU mukaan jäsenvaltiot voivat hyväksyä laitosten suojajärjestelmän talletusten vakuusjärjestelmäksi, jos se täyttää asetuksen (EU) N:o 575/2013 113 artiklan 7 kohdassa vahvistetut edellytykset ja on direktiivin 2014/49/EU mukainen. Tällaisten laitosten suojajärjestelmien erityisen liiketoimintamallin ja etenkin niiden toimeksiannon keskiössä olevien ennaltaehkäisevien toimenpiteiden merkityksen </w:t>
            </w:r>
            <w:r w:rsidRPr="009E35B2">
              <w:rPr>
                <w:b/>
                <w:i/>
              </w:rPr>
              <w:t xml:space="preserve">ja niiden toiminnan todistettavien myönteisten vaikutusten tallettajien luottamukseen ja rahoitusvakauteen </w:t>
            </w:r>
            <w:r w:rsidRPr="009E35B2">
              <w:t xml:space="preserve">huomioon ottamiseksi on aiheellista antaa jäsenvaltioille mahdollisuus </w:t>
            </w:r>
            <w:r w:rsidRPr="009E35B2">
              <w:rPr>
                <w:b/>
                <w:i/>
              </w:rPr>
              <w:t>säilyttää direktiivin 2014/49/EU niitä koskevat säännökset</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Tarvittava muutos johdanto-osan 45 kappaleeseen on seurausta tilintarkastustuomioistuimen ehdottamista ja olennaisista muutoksista 11 ja 11 a–e artiklaan (ks. jäljempänä) sekä tavoitteesta noudattaa kesäkuussa 2022 annettua euroryhmän julkilausumaa.</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134</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Joachim Schuster</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45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(45)</w:t>
            </w:r>
            <w:r w:rsidRPr="009E35B2">
              <w:tab/>
              <w:t xml:space="preserve">Direktiivin 2014/49/EU mukaan jäsenvaltiot voivat hyväksyä laitosten suojajärjestelmän talletusten vakuusjärjestelmäksi, jos se täyttää asetuksen (EU) N:o 575/2013 113 artiklan 7 kohdassa vahvistetut edellytykset ja on direktiivin 2014/49/EU mukainen. Tällaisten laitosten suojajärjestelmien erityisen liiketoimintamallin ja etenkin niiden toimeksiannon keskiössä olevien ennaltaehkäisevien toimenpiteiden merkityksen huomioon ottamiseksi </w:t>
            </w:r>
            <w:r w:rsidRPr="009E35B2">
              <w:rPr>
                <w:b/>
                <w:i/>
              </w:rPr>
              <w:t>on aiheellista antaa jäsenvaltioille mahdollisuus sallia, että laitosten suojajärjestelmät sopeutuvat ennaltaehkäisevien toimenpiteiden soveltamista koskeviin uusiin suojatoimiin kuuden vuoden kuluessa</w:t>
            </w:r>
            <w:r w:rsidRPr="009E35B2">
              <w:t>.</w:t>
            </w:r>
            <w:r w:rsidRPr="009E35B2">
              <w:rPr>
                <w:b/>
                <w:i/>
              </w:rPr>
              <w:t xml:space="preserve"> Tässä mahdollisesti pidemmässä vaatimusten noudattamisajassa otetaan huomioon aika, joka tarvitaan erillisen rahaston luomiseen laitosten suojajärjestelmän muihin kuin talletussuojaan liittyviin tarkoituksiin Euroopan keskuspankin, kansallisen toimivaltaisen viranomaisen ja asiaan liittyvien laitosten suojajärjestelmien sopimalla tavalla.</w:t>
            </w:r>
          </w:p>
        </w:tc>
        <w:tc>
          <w:tcPr>
            <w:tcW w:w="4876" w:type="dxa"/>
            <w:hideMark/>
          </w:tcPr>
          <w:p w:rsidR="00E61B38" w:rsidRPr="009E35B2" w:rsidRDefault="00E61B38" w:rsidP="0024275D">
            <w:pPr>
              <w:pStyle w:val="Normal6"/>
              <w:rPr>
                <w:szCs w:val="24"/>
              </w:rPr>
            </w:pPr>
            <w:r w:rsidRPr="009E35B2">
              <w:t>(45)</w:t>
            </w:r>
            <w:r w:rsidRPr="009E35B2">
              <w:tab/>
              <w:t xml:space="preserve">Direktiivin 2014/49/EU mukaan jäsenvaltiot voivat hyväksyä laitosten suojajärjestelmän talletusten vakuusjärjestelmäksi, jos se täyttää asetuksen (EU) N:o 575/2013 113 artiklan 7 kohdassa vahvistetut edellytykset ja on direktiivin 2014/49/EU mukainen. Tällaisten laitosten suojajärjestelmien erityisen liiketoimintamallin ja etenkin niiden toimeksiannon keskiössä olevien ennaltaehkäisevien </w:t>
            </w:r>
            <w:r w:rsidRPr="009E35B2">
              <w:rPr>
                <w:b/>
                <w:i/>
              </w:rPr>
              <w:t>ja rahoitusvakautta edistävien</w:t>
            </w:r>
            <w:r w:rsidRPr="009E35B2">
              <w:t xml:space="preserve"> toimenpiteiden merkityksen huomioon ottamiseksi </w:t>
            </w:r>
            <w:r w:rsidRPr="009E35B2">
              <w:rPr>
                <w:b/>
                <w:i/>
              </w:rPr>
              <w:t>kansallisten toimivaltaisten viranomaisten ja asianomaisten laitosten suojajärjestelmien olisi varmistettava ja hyväksyttävä laitosten suojajärjestelmien mahdollinen tarve sopeutua ennaltaehkäisevien toimenpiteiden soveltamista koskeviin uusiin suojatoimiin kuuden vuoden kuluessa</w:t>
            </w:r>
            <w:r w:rsidRPr="009E35B2">
              <w:t xml:space="preserve">. </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135</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Irene Tinagli,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45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(45)</w:t>
            </w:r>
            <w:r w:rsidRPr="009E35B2">
              <w:tab/>
              <w:t xml:space="preserve">Direktiivin 2014/49/EU mukaan jäsenvaltiot voivat hyväksyä laitosten suojajärjestelmän talletusten vakuusjärjestelmäksi, jos se täyttää asetuksen (EU) N:o 575/2013 113 artiklan 7 kohdassa vahvistetut edellytykset ja on direktiivin 2014/49/EU mukainen. Tällaisten laitosten suojajärjestelmien erityisen liiketoimintamallin ja etenkin niiden toimeksiannon keskiössä olevien ennaltaehkäisevien toimenpiteiden merkityksen huomioon ottamiseksi on aiheellista antaa jäsenvaltioille mahdollisuus sallia, että laitosten suojajärjestelmät sopeutuvat ennaltaehkäisevien toimenpiteiden soveltamista koskeviin uusiin suojatoimiin </w:t>
            </w:r>
            <w:r w:rsidRPr="009E35B2">
              <w:rPr>
                <w:b/>
                <w:i/>
              </w:rPr>
              <w:t>kuuden</w:t>
            </w:r>
            <w:r w:rsidRPr="009E35B2">
              <w:t xml:space="preserve"> vuoden kuluessa. Tässä mahdollisesti pidemmässä vaatimusten noudattamisajassa otetaan huomioon aika, joka tarvitaan erillisen rahaston luomiseen laitosten suojajärjestelmän muihin kuin talletussuojaan liittyviin tarkoituksiin Euroopan keskuspankin, kansallisen toimivaltaisen viranomaisen ja asiaan liittyvien laitosten suojajärjestelmien sopimalla tavalla.</w:t>
            </w:r>
          </w:p>
        </w:tc>
        <w:tc>
          <w:tcPr>
            <w:tcW w:w="4876" w:type="dxa"/>
            <w:hideMark/>
          </w:tcPr>
          <w:p w:rsidR="00E61B38" w:rsidRPr="009E35B2" w:rsidRDefault="00E61B38" w:rsidP="0024275D">
            <w:pPr>
              <w:pStyle w:val="Normal6"/>
              <w:rPr>
                <w:szCs w:val="24"/>
              </w:rPr>
            </w:pPr>
            <w:r w:rsidRPr="009E35B2">
              <w:t>(45)</w:t>
            </w:r>
            <w:r w:rsidRPr="009E35B2">
              <w:tab/>
              <w:t xml:space="preserve">Direktiivin 2014/49/EU mukaan jäsenvaltiot voivat hyväksyä laitosten suojajärjestelmän talletusten vakuusjärjestelmäksi, jos se täyttää asetuksen (EU) N:o 575/2013 113 artiklan 7 kohdassa vahvistetut edellytykset ja on direktiivin 2014/49/EU mukainen. Tällaisten laitosten suojajärjestelmien erityisen liiketoimintamallin ja etenkin niiden toimeksiannon keskiössä olevien ennaltaehkäisevien toimenpiteiden merkityksen huomioon ottamiseksi on aiheellista antaa jäsenvaltioille mahdollisuus sallia, että laitosten suojajärjestelmät sopeutuvat ennaltaehkäisevien toimenpiteiden soveltamista koskeviin uusiin suojatoimiin </w:t>
            </w:r>
            <w:r w:rsidRPr="009E35B2">
              <w:rPr>
                <w:b/>
                <w:i/>
              </w:rPr>
              <w:t>kolmen</w:t>
            </w:r>
            <w:r w:rsidRPr="009E35B2">
              <w:t xml:space="preserve"> vuoden kuluessa. Tässä mahdollisesti pidemmässä vaatimusten noudattamisajassa otetaan huomioon aika, joka tarvitaan erillisen rahaston luomiseen laitosten suojajärjestelmän muihin kuin talletussuojaan liittyviin tarkoituksiin Euroopan keskuspankin, kansallisen toimivaltaisen viranomaisen ja asiaan liittyvien laitosten suojajärjestelmien sopimalla tavalla.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136</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46 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(46)</w:t>
            </w:r>
            <w:r w:rsidRPr="009E35B2">
              <w:tab/>
              <w:t>Sen varmistamiseksi, että talletusten vakuusjärjestelmillä ja nimetyillä viranomaisilla on mahdollisuus kehittää tarvittavat toiminnalliset valmiudet ennaltaehkäisevien toimenpiteiden käyttöä koskevien uusien sääntöjen soveltamiseksi, on aiheellista säätää kyseisten uusien sääntöjen soveltamisen lykkäämisestä.</w:t>
            </w:r>
          </w:p>
        </w:tc>
        <w:tc>
          <w:tcPr>
            <w:tcW w:w="4876" w:type="dxa"/>
            <w:hideMark/>
          </w:tcPr>
          <w:p w:rsidR="00E61B38" w:rsidRPr="009E35B2" w:rsidRDefault="00E61B38" w:rsidP="0024275D">
            <w:pPr>
              <w:pStyle w:val="Normal6"/>
              <w:rPr>
                <w:szCs w:val="24"/>
              </w:rPr>
            </w:pPr>
            <w:r w:rsidRPr="009E35B2">
              <w:t>(46)</w:t>
            </w:r>
            <w:r w:rsidRPr="009E35B2">
              <w:tab/>
              <w:t xml:space="preserve">Sen varmistamiseksi, että talletusten vakuusjärjestelmillä ja nimetyillä viranomaisilla on </w:t>
            </w:r>
            <w:r w:rsidRPr="009E35B2">
              <w:rPr>
                <w:b/>
                <w:i/>
              </w:rPr>
              <w:t>tarvittaessa</w:t>
            </w:r>
            <w:r w:rsidRPr="009E35B2">
              <w:t xml:space="preserve"> mahdollisuus kehittää tarvittavat toiminnalliset valmiudet ennaltaehkäisevien toimenpiteiden käyttöä koskevien uusien sääntöjen soveltamiseksi, on aiheellista säätää kyseisten uusien sääntöjen soveltamisen lykkäämisestä.</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Ehdotetuissa tarkistuksissa viitataan yleisesti laitosten suojajärjestelmien ennaltaehkäiseviin toimenpiteisiin, jotka on virallisesti tunnustettu talletusten vakuusjärjestelmiksi, mutta ei välttämättä muiden kuin laitosten suojajärjestelmien ennaltaehkäiseviin toimenpiteisiin. Tässä esitetty tarkistus perustuu tähän asiayhteyteen.</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137</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Esther de Lange</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Johdanto-osan 47 a kappale (uusi)</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47 a)</w:t>
            </w:r>
            <w:r w:rsidRPr="009E35B2">
              <w:rPr>
                <w:b/>
                <w:i/>
              </w:rPr>
              <w:tab/>
              <w:t>Yhdessä kriisinhallintaa ja talletussuojaa koskevan kehyksen uudistamisen kanssa varojen yhdistäminen yhteiseen järjestelmään eurooppalaisen talletussuojajärjestelmän käyttöönoton avulla tarjoaisi korkeatasoisen taloudellisen suojan ja varmuuden EU:n kotitalouksille ja yrityksille, lisäisi luottamusta ja vahvistaisi rahoitusvakautta, jotka ovat kasvun, hyvinvoinnin ja häiriönsietokyvyn välttämättömiä edellytyksiä talous- ja rahaliitossa ja yleisemmin EU:ssa. Eurooppalaisen talletussuojajärjestelmän ensimmäisessä vaiheessa voitaisiin antaa ainoastaan maksuvalmiustukea ja myöhemmät vaiheet olisivat mahdollisia tulevaisuudessa. Kriisinhallintaa ja talletussuojaa koskevan kehyksen uudistamisen täydentäminen eurooppalaisen talletussuojajärjestelmän maksuvalmiustuella vahvistaisi pankkiunionin talletussuojajärjestelmän toimivuutta ja lisäisi alan synergioita ja tehokkuutta.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138</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 alakohta – a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 artikla – 1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1.</w:t>
            </w:r>
            <w:r w:rsidRPr="009E35B2">
              <w:tab/>
              <w:t xml:space="preserve">Tässä direktiivissä vahvistetaan säännöt ja menettelyt, jotka koskevat talletusten vakuusjärjestelmien perustamista ja toimintaa, talletussuojan tasoa ja korvausten maksamista </w:t>
            </w:r>
            <w:r w:rsidRPr="009E35B2">
              <w:rPr>
                <w:b/>
                <w:i/>
              </w:rPr>
              <w:t>sekä</w:t>
            </w:r>
            <w:r w:rsidRPr="009E35B2">
              <w:t xml:space="preserve"> talletusten vakuusjärjestelmän varojen käyttöä toimenpiteisiin, joiden tavoitteena on varmistaa tallettajien mahdollisuus saada omat talletuksensa käyttöönsä.”;</w:t>
            </w:r>
          </w:p>
        </w:tc>
        <w:tc>
          <w:tcPr>
            <w:tcW w:w="4876" w:type="dxa"/>
            <w:hideMark/>
          </w:tcPr>
          <w:p w:rsidR="00E61B38" w:rsidRPr="009E35B2" w:rsidRDefault="00E61B38" w:rsidP="0024275D">
            <w:pPr>
              <w:pStyle w:val="Normal6"/>
              <w:rPr>
                <w:szCs w:val="24"/>
              </w:rPr>
            </w:pPr>
            <w:r w:rsidRPr="009E35B2">
              <w:t>1.</w:t>
            </w:r>
            <w:r w:rsidRPr="009E35B2">
              <w:tab/>
              <w:t>Tässä direktiivissä vahvistetaan säännöt ja menettelyt, jotka koskevat talletusten vakuusjärjestelmien perustamista ja toimintaa, talletussuojan tasoa ja korvausten maksamista</w:t>
            </w:r>
            <w:r w:rsidRPr="009E35B2">
              <w:rPr>
                <w:b/>
                <w:i/>
              </w:rPr>
              <w:t>,</w:t>
            </w:r>
            <w:r w:rsidRPr="009E35B2">
              <w:t xml:space="preserve"> talletusten vakuusjärjestelmän varojen käyttöä toimenpiteisiin, joiden tavoitteena on varmistaa tallettajien mahdollisuus saada omat talletuksensa käyttöönsä</w:t>
            </w:r>
            <w:r w:rsidRPr="009E35B2">
              <w:rPr>
                <w:b/>
                <w:i/>
              </w:rPr>
              <w:t>, sekä sääntöjä, jotka koskevat talletusten vakuusjärjestelmien pääsyä yhteisen kriisinratkaisurahaston talletussuojaan asetuksen 806/2014 79 a artiklan mukaisesti</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139</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Fabio Massimo Castaldo</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 alakohta – a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 artikla – 1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1.</w:t>
            </w:r>
            <w:r w:rsidRPr="009E35B2">
              <w:tab/>
              <w:t>Tässä direktiivissä vahvistetaan säännöt ja menettelyt, jotka koskevat talletusten vakuusjärjestelmien perustamista ja toimintaa, talletussuojan tasoa ja korvausten maksamista sekä talletusten vakuusjärjestelmän varojen käyttöä toimenpiteisiin, joiden tavoitteena on varmistaa tallettajien mahdollisuus saada omat talletuksensa käyttöönsä.”;</w:t>
            </w:r>
          </w:p>
        </w:tc>
        <w:tc>
          <w:tcPr>
            <w:tcW w:w="4876" w:type="dxa"/>
            <w:hideMark/>
          </w:tcPr>
          <w:p w:rsidR="00E61B38" w:rsidRPr="009E35B2" w:rsidRDefault="00E61B38" w:rsidP="0024275D">
            <w:pPr>
              <w:pStyle w:val="Normal6"/>
              <w:rPr>
                <w:szCs w:val="24"/>
              </w:rPr>
            </w:pPr>
            <w:r w:rsidRPr="009E35B2">
              <w:t>1.</w:t>
            </w:r>
            <w:r w:rsidRPr="009E35B2">
              <w:tab/>
              <w:t>Tässä direktiivissä vahvistetaan säännöt ja menettelyt, jotka koskevat talletusten vakuusjärjestelmien perustamista ja toimintaa, talletussuojan tasoa ja korvausten maksamista sekä talletusten vakuusjärjestelmän varojen käyttöä toimenpiteisiin, joiden tavoitteena on varmistaa tallettajien mahdollisuus saada omat talletuksensa käyttöönsä</w:t>
            </w:r>
            <w:r w:rsidRPr="009E35B2">
              <w:rPr>
                <w:b/>
                <w:i/>
              </w:rPr>
              <w:t>, ja säännöt, jotka koskevat talletusten vakuusjärjestelmien mahdollisuutta käyttää EU:n luottolimiittiä ja vakuutta ja niiden tietojenvaihtoa niiden kanssa</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140</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 alakohta – a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 artikla – 1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1.</w:t>
            </w:r>
            <w:r w:rsidRPr="009E35B2">
              <w:tab/>
              <w:t xml:space="preserve">Tässä direktiivissä vahvistetaan säännöt ja menettelyt, jotka koskevat talletusten vakuusjärjestelmien perustamista ja toimintaa, talletussuojan tasoa ja korvausten maksamista sekä talletusten vakuusjärjestelmän varojen käyttöä toimenpiteisiin, joiden tavoitteena on varmistaa </w:t>
            </w:r>
            <w:r w:rsidRPr="009E35B2">
              <w:rPr>
                <w:b/>
                <w:i/>
              </w:rPr>
              <w:t>tallettajien mahdollisuus saada omat talletuksensa käyttöönsä</w:t>
            </w:r>
            <w:r w:rsidRPr="009E35B2">
              <w:t>.”;</w:t>
            </w:r>
          </w:p>
        </w:tc>
        <w:tc>
          <w:tcPr>
            <w:tcW w:w="4876" w:type="dxa"/>
            <w:hideMark/>
          </w:tcPr>
          <w:p w:rsidR="00E61B38" w:rsidRPr="009E35B2" w:rsidRDefault="00E61B38" w:rsidP="0024275D">
            <w:pPr>
              <w:pStyle w:val="Normal6"/>
              <w:rPr>
                <w:szCs w:val="24"/>
              </w:rPr>
            </w:pPr>
            <w:r w:rsidRPr="009E35B2">
              <w:t>1.</w:t>
            </w:r>
            <w:r w:rsidRPr="009E35B2">
              <w:tab/>
              <w:t xml:space="preserve">Tässä direktiivissä vahvistetaan säännöt ja menettelyt, jotka koskevat talletusten vakuusjärjestelmien perustamista ja toimintaa, talletussuojan tasoa ja korvausten maksamista sekä talletusten vakuusjärjestelmän varojen käyttöä toimenpiteisiin, joiden tavoitteena on varmistaa </w:t>
            </w:r>
            <w:r w:rsidRPr="009E35B2">
              <w:rPr>
                <w:b/>
                <w:i/>
              </w:rPr>
              <w:t>talletussuojan tarkoitus</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Muotoilun pitäisi olla epämääräisempi, jotta se kattaisi kaikki talletussuojatoimien tarkoitukset.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141</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Enikő Győri</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2 alakohta – c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2 artikla – 1 kohta – 20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rPr>
                <w:b/>
                <w:i/>
              </w:rPr>
              <w:t>(20)</w:t>
            </w:r>
            <w:r w:rsidRPr="009E35B2">
              <w:rPr>
                <w:b/>
                <w:i/>
              </w:rPr>
              <w:tab/>
              <w:t>’asiakasvarojen talletuksilla’ varoja, jotka tilinhaltijat, jotka ovat asetuksen (EU) N:o 575/2013 4 artiklan 1 kohdan 26 alakohdassa määriteltyjä rahoituslaitoksia, tallettavat asiakkaidensa lukuun luottolaitokseen harjoittaessaan liiketoimintaansa;</w:t>
            </w:r>
          </w:p>
        </w:tc>
        <w:tc>
          <w:tcPr>
            <w:tcW w:w="4876" w:type="dxa"/>
            <w:hideMark/>
          </w:tcPr>
          <w:p w:rsidR="00E61B38" w:rsidRPr="009E35B2" w:rsidRDefault="00E61B38" w:rsidP="0024275D">
            <w:pPr>
              <w:pStyle w:val="Normal6"/>
              <w:rPr>
                <w:szCs w:val="24"/>
              </w:rPr>
            </w:pPr>
            <w:r w:rsidRPr="009E35B2">
              <w:rPr>
                <w:b/>
                <w:i/>
              </w:rPr>
              <w:t>Poistetaan.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142</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Martin Hlaváček</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2 alakohta – c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2 artikla – 1 kohta – 20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(20)</w:t>
            </w:r>
            <w:r w:rsidRPr="009E35B2">
              <w:tab/>
              <w:t>’asiakasvarojen talletuksilla’ varoja, jotka tilinhaltijat, jotka ovat asetuksen (EU) N:o 575/2013 4 artiklan 1 kohdan 26 alakohdassa määriteltyjä rahoituslaitoksia, tallettavat asiakkaidensa lukuun luottolaitokseen harjoittaessaan liiketoimintaansa;</w:t>
            </w:r>
          </w:p>
        </w:tc>
        <w:tc>
          <w:tcPr>
            <w:tcW w:w="4876" w:type="dxa"/>
            <w:hideMark/>
          </w:tcPr>
          <w:p w:rsidR="00E61B38" w:rsidRPr="009E35B2" w:rsidRDefault="00E61B38" w:rsidP="0024275D">
            <w:pPr>
              <w:pStyle w:val="Normal6"/>
              <w:rPr>
                <w:szCs w:val="24"/>
              </w:rPr>
            </w:pPr>
            <w:r w:rsidRPr="009E35B2">
              <w:t>(20)</w:t>
            </w:r>
            <w:r w:rsidRPr="009E35B2">
              <w:tab/>
              <w:t xml:space="preserve">’asiakasvarojen talletuksilla’ varoja, jotka tilinhaltijat, jotka ovat asetuksen (EU) N:o 575/2013 4 artiklan 1 kohdan 26 alakohdassa määriteltyjä rahoituslaitoksia, </w:t>
            </w:r>
            <w:r w:rsidRPr="009E35B2">
              <w:rPr>
                <w:b/>
                <w:i/>
              </w:rPr>
              <w:t>tai direktiivin (EU) 2021/2167 3 artiklan 8 kohdassa määritellyt luotonhallinnoijat</w:t>
            </w:r>
            <w:r w:rsidRPr="009E35B2">
              <w:t xml:space="preserve"> tallettavat asiakkaidensa lukuun luottolaitokseen harjoittaessaan liiketoimintaansa;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143</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Markus Ferber, Herbert Dorfmann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2 alakohta – c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2 artikla – 1 kohta – 20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(20)</w:t>
            </w:r>
            <w:r w:rsidRPr="009E35B2">
              <w:tab/>
              <w:t>’asiakasvarojen talletuksilla’ varoja, jotka tilinhaltijat, jotka ovat asetuksen (EU) N:o 575/2013 4 artiklan 1 kohdan 26 alakohdassa määriteltyjä rahoituslaitoksia, tallettavat asiakkaidensa lukuun luottolaitokseen harjoittaessaan liiketoimintaansa;</w:t>
            </w:r>
          </w:p>
        </w:tc>
        <w:tc>
          <w:tcPr>
            <w:tcW w:w="4876" w:type="dxa"/>
            <w:hideMark/>
          </w:tcPr>
          <w:p w:rsidR="00E61B38" w:rsidRPr="009E35B2" w:rsidRDefault="00E61B38" w:rsidP="0024275D">
            <w:pPr>
              <w:pStyle w:val="Normal6"/>
              <w:rPr>
                <w:szCs w:val="24"/>
              </w:rPr>
            </w:pPr>
            <w:r w:rsidRPr="009E35B2">
              <w:t>(20)</w:t>
            </w:r>
            <w:r w:rsidRPr="009E35B2">
              <w:tab/>
              <w:t xml:space="preserve">’asiakasvarojen talletuksilla’ varoja, jotka tilinhaltijat, jotka ovat asetuksen (EU) N:o 575/2013 4 artiklan 1 kohdan 26 alakohdassa määriteltyjä rahoituslaitoksia, tallettavat asiakkaidensa lukuun luottolaitokseen harjoittaessaan liiketoimintaansa </w:t>
            </w:r>
            <w:r w:rsidRPr="009E35B2">
              <w:rPr>
                <w:b/>
                <w:i/>
              </w:rPr>
              <w:t>direktiivin (EU) 2015/2366, direktiivin 2009/110/EY ja komission delegoidun direktiivin (EU) 2017/593 nojalla</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144</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2 alakohta – c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2 artikla – 1 kohta – 20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(20)</w:t>
            </w:r>
            <w:r w:rsidRPr="009E35B2">
              <w:tab/>
              <w:t>’asiakasvarojen talletuksilla’ varoja, jotka tilinhaltijat, jotka ovat asetuksen (EU) N:o 575/2013 4 artiklan 1 kohdan 26 alakohdassa määriteltyjä rahoituslaitoksia, tallettavat asiakkaidensa lukuun luottolaitokseen harjoittaessaan liiketoimintaansa;</w:t>
            </w:r>
          </w:p>
        </w:tc>
        <w:tc>
          <w:tcPr>
            <w:tcW w:w="4876" w:type="dxa"/>
            <w:hideMark/>
          </w:tcPr>
          <w:p w:rsidR="00E61B38" w:rsidRPr="009E35B2" w:rsidRDefault="00E61B38" w:rsidP="0024275D">
            <w:pPr>
              <w:pStyle w:val="Normal6"/>
              <w:rPr>
                <w:szCs w:val="24"/>
              </w:rPr>
            </w:pPr>
            <w:r w:rsidRPr="009E35B2">
              <w:t>(20)</w:t>
            </w:r>
            <w:r w:rsidRPr="009E35B2">
              <w:tab/>
              <w:t xml:space="preserve">’asiakasvarojen talletuksilla’ varoja, jotka tilinhaltijat, jotka ovat asetuksen (EU) N:o 575/2013 4 artiklan 1 kohdan 26 alakohdassa määriteltyjä rahoituslaitoksia, tallettavat asiakkaidensa lukuun luottolaitokseen harjoittaessaan liiketoimintaansa </w:t>
            </w:r>
            <w:r w:rsidRPr="009E35B2">
              <w:rPr>
                <w:b/>
                <w:i/>
              </w:rPr>
              <w:t>direktiivin (EU) 2015/2366, direktiivin 2009/110/EY ja komission delegoidun direktiivin (EU) 2017/593 nojalla</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Määritelmäluonnos, jossa viitataan asetuksen (EU) N:o 575/2013 (vakavaraisuusasetus II) 4 artiklan 1 kohdan 26 alakohdassa määriteltyihin rahoituslaitoksiin ja varoihin, jotka ne tallettavat harjoittaessaan liiketoimintaa, on liian laaja. Määritelmä olisi rajoitettava niihin käyttötapauksiin, joita EPV ja komissio ovat tutkineet etukäteen. Muutoin tämä voi johtaa epäjohdonmukaisuuksiin ja merkittäviin hallinnollisiin seurauksiin, joita ei ole suunniteltu eikä arvioitu etukäteen.</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145</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Roberts Zīle</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3 alakohta – a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4 artikla – 4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4.</w:t>
            </w:r>
            <w:r w:rsidRPr="009E35B2">
              <w:tab/>
              <w:t xml:space="preserve">Jäsenvaltioiden on varmistettava, että jos luottolaitos ei täytä sille tietyn talletusten vakuusjärjestelmän jäsenenä kuuluvia velvoitteita, kyseinen talletusten vakuusjärjestelmä ilmoittaa tästä heti kyseisen luottolaitoksen toimivaltaiselle viranomaiselle. Jäsenvaltioiden on varmistettava, että </w:t>
            </w:r>
            <w:r w:rsidRPr="009E35B2">
              <w:rPr>
                <w:b/>
                <w:i/>
              </w:rPr>
              <w:t>toimivaltainen viranomainen käyttää yhteistyössä kyseisen talletusten vakuusjärjestelmän kanssa direktiivissä 2013/36/EU vahvistettuja valvontavaltuuksia ja toteuttaa viivyttelemättä kaikki aiheelliset toimenpiteet sen takaamiseksi, että asianomainen luottolaitos täyttää velvoitteensa, myös tarvittaessa määräämällä hallinnollisia seuraamuksia ja muita hallinnollisia toimenpiteitä direktiivin 2013/36/EU VII osaston 1 luvun IV jakson säännösten täytäntöönpanon lisäksi annettujen kansallisten lakien mukaisesti</w:t>
            </w:r>
            <w:r w:rsidRPr="009E35B2">
              <w:t>.</w:t>
            </w:r>
            <w:r w:rsidRPr="009E35B2">
              <w:rPr>
                <w:b/>
                <w:i/>
              </w:rPr>
              <w:t>”;</w:t>
            </w:r>
          </w:p>
        </w:tc>
        <w:tc>
          <w:tcPr>
            <w:tcW w:w="4876" w:type="dxa"/>
            <w:hideMark/>
          </w:tcPr>
          <w:p w:rsidR="00E61B38" w:rsidRPr="009E35B2" w:rsidRDefault="00E61B38" w:rsidP="0024275D">
            <w:pPr>
              <w:pStyle w:val="Normal6"/>
              <w:rPr>
                <w:szCs w:val="24"/>
              </w:rPr>
            </w:pPr>
            <w:r w:rsidRPr="009E35B2">
              <w:t>4.</w:t>
            </w:r>
            <w:r w:rsidRPr="009E35B2">
              <w:tab/>
              <w:t xml:space="preserve">Jäsenvaltioiden on varmistettava, että jos luottolaitos ei täytä sille tietyn talletusten vakuusjärjestelmän jäsenenä kuuluvia velvoitteita, kyseinen talletusten vakuusjärjestelmä ilmoittaa tästä heti kyseisen luottolaitoksen toimivaltaiselle viranomaiselle. Jäsenvaltioiden on varmistettava, että </w:t>
            </w:r>
            <w:r w:rsidRPr="009E35B2">
              <w:rPr>
                <w:b/>
                <w:i/>
              </w:rPr>
              <w:t>nimetty viranomainen toteuttaa viivyttelemättä kaikki asiaankuuluvat toimenpiteet, mukaan lukien tarvittaessa seuraamusten määrääminen, sen takaamiseksi, että luottolaitokset täyttävät velvoitteensa talletusten vakuusjärjestelmän jäseninä</w:t>
            </w:r>
            <w:r w:rsidRPr="009E35B2">
              <w:t>.</w:t>
            </w:r>
            <w:r w:rsidRPr="009E35B2">
              <w:rPr>
                <w:b/>
                <w:i/>
              </w:rPr>
              <w:t xml:space="preserve"> Jäsenvaltioiden on vahvistettava säännöt seuraamuksista, joita sovelletaan tapauksissa, joissa luottolaitos ei täytä sille talletusten vakuusjärjestelmän jäsenenä kuuluvia velvoitteita. Seuraamusten on oltava tehokkaita, oikeasuhteisia ja varoittavia.”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146</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3 alakohta – a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4 artikla – 4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4.</w:t>
            </w:r>
            <w:r w:rsidRPr="009E35B2">
              <w:tab/>
              <w:t xml:space="preserve">Jäsenvaltioiden on varmistettava, että jos luottolaitos ei täytä sille tietyn talletusten vakuusjärjestelmän jäsenenä kuuluvia velvoitteita, kyseinen talletusten vakuusjärjestelmä ilmoittaa tästä heti kyseisen luottolaitoksen toimivaltaiselle viranomaiselle. Jäsenvaltioiden on varmistettava, että toimivaltainen viranomainen käyttää yhteistyössä kyseisen </w:t>
            </w:r>
            <w:r w:rsidRPr="009E35B2">
              <w:rPr>
                <w:b/>
                <w:i/>
              </w:rPr>
              <w:t>talletusten vakuusjärjestelmän</w:t>
            </w:r>
            <w:r w:rsidRPr="009E35B2">
              <w:t xml:space="preserve"> kanssa direktiivissä 2013/36/EU vahvistettuja valvontavaltuuksia ja toteuttaa viivyttelemättä kaikki aiheelliset toimenpiteet sen takaamiseksi, että asianomainen luottolaitos täyttää velvoitteensa, myös tarvittaessa määräämällä hallinnollisia seuraamuksia ja muita hallinnollisia toimenpiteitä direktiivin 2013/36/EU VII osaston 1 luvun IV jakson säännösten täytäntöönpanon lisäksi annettujen kansallisten lakien mukaisesti.”;</w:t>
            </w:r>
          </w:p>
        </w:tc>
        <w:tc>
          <w:tcPr>
            <w:tcW w:w="4876" w:type="dxa"/>
            <w:hideMark/>
          </w:tcPr>
          <w:p w:rsidR="00E61B38" w:rsidRPr="009E35B2" w:rsidRDefault="00E61B38" w:rsidP="0024275D">
            <w:pPr>
              <w:pStyle w:val="Normal6"/>
              <w:rPr>
                <w:szCs w:val="24"/>
              </w:rPr>
            </w:pPr>
            <w:r w:rsidRPr="009E35B2">
              <w:t>4.</w:t>
            </w:r>
            <w:r w:rsidRPr="009E35B2">
              <w:tab/>
              <w:t xml:space="preserve">Jäsenvaltioiden on varmistettava, että jos luottolaitos ei täytä sille tietyn talletusten vakuusjärjestelmän jäsenenä kuuluvia velvoitteita, kyseinen talletusten vakuusjärjestelmä ilmoittaa tästä heti kyseisen luottolaitoksen </w:t>
            </w:r>
            <w:r w:rsidRPr="009E35B2">
              <w:rPr>
                <w:b/>
                <w:i/>
              </w:rPr>
              <w:t>nimetylle viranomaiselle ja</w:t>
            </w:r>
            <w:r w:rsidRPr="009E35B2">
              <w:t xml:space="preserve"> toimivaltaiselle viranomaiselle. Jäsenvaltioiden on varmistettava, että toimivaltainen viranomainen käyttää yhteistyössä kyseisen </w:t>
            </w:r>
            <w:r w:rsidRPr="009E35B2">
              <w:rPr>
                <w:b/>
                <w:i/>
              </w:rPr>
              <w:t>nimetyn viranomaisen</w:t>
            </w:r>
            <w:r w:rsidRPr="009E35B2">
              <w:t xml:space="preserve"> kanssa direktiivissä 2013/36/EU vahvistettuja valvontavaltuuksia ja toteuttaa viivyttelemättä kaikki aiheelliset toimenpiteet sen takaamiseksi, että asianomainen luottolaitos täyttää velvoitteensa, myös tarvittaessa määräämällä hallinnollisia seuraamuksia ja muita hallinnollisia toimenpiteitä direktiivin 2013/36/EU VII osaston 1 luvun IV jakson säännösten täytäntöönpanon lisäksi annettujen kansallisten lakien mukaisesti.”;</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147</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3 alakohta – a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2014/59/EU</w:t>
      </w:r>
      <w:r w:rsidRPr="009E35B2">
        <w:rPr>
          <w:rStyle w:val="HideTWBExt"/>
        </w:rPr>
        <w:t>&lt;/DocAmend2&gt;</w:t>
      </w:r>
    </w:p>
    <w:p w:rsidR="00E61B38" w:rsidRPr="009E35B2" w:rsidRDefault="00E61B38" w:rsidP="00E61B38">
      <w:r w:rsidRPr="009E35B2">
        <w:rPr>
          <w:rStyle w:val="HideTWBExt"/>
        </w:rPr>
        <w:t>&lt;Article2&gt;</w:t>
      </w:r>
      <w:r w:rsidRPr="009E35B2">
        <w:t>4 artikla – 4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4.</w:t>
            </w:r>
            <w:r w:rsidRPr="009E35B2">
              <w:tab/>
              <w:t xml:space="preserve">Jäsenvaltioiden on varmistettava, että jos luottolaitos ei täytä sille tietyn talletusten vakuusjärjestelmän jäsenenä kuuluvia velvoitteita, kyseinen talletusten vakuusjärjestelmä ilmoittaa tästä heti kyseisen luottolaitoksen toimivaltaiselle viranomaiselle. Jäsenvaltioiden on varmistettava, että toimivaltainen viranomainen käyttää yhteistyössä kyseisen talletusten vakuusjärjestelmän kanssa direktiivissä 2013/36/EU vahvistettuja valvontavaltuuksia ja toteuttaa viivyttelemättä kaikki aiheelliset toimenpiteet sen takaamiseksi, että asianomainen luottolaitos täyttää velvoitteensa, myös tarvittaessa määräämällä </w:t>
            </w:r>
            <w:r w:rsidRPr="009E35B2">
              <w:rPr>
                <w:b/>
                <w:i/>
              </w:rPr>
              <w:t>hallinnollisia</w:t>
            </w:r>
            <w:r w:rsidRPr="009E35B2">
              <w:t xml:space="preserve"> seuraamuksia ja muita </w:t>
            </w:r>
            <w:r w:rsidRPr="009E35B2">
              <w:rPr>
                <w:b/>
                <w:i/>
              </w:rPr>
              <w:t xml:space="preserve">hallinnollisia </w:t>
            </w:r>
            <w:r w:rsidRPr="009E35B2">
              <w:t>toimenpiteitä direktiivin 2013/36/EU VII osaston 1 luvun IV jakson säännösten täytäntöönpanon lisäksi annettujen kansallisten lakien mukaisesti.”;</w:t>
            </w:r>
          </w:p>
        </w:tc>
        <w:tc>
          <w:tcPr>
            <w:tcW w:w="4876" w:type="dxa"/>
            <w:hideMark/>
          </w:tcPr>
          <w:p w:rsidR="00E61B38" w:rsidRPr="009E35B2" w:rsidRDefault="00E61B38" w:rsidP="0024275D">
            <w:pPr>
              <w:pStyle w:val="Normal6"/>
              <w:rPr>
                <w:szCs w:val="24"/>
              </w:rPr>
            </w:pPr>
            <w:r w:rsidRPr="009E35B2">
              <w:t>4.</w:t>
            </w:r>
            <w:r w:rsidRPr="009E35B2">
              <w:tab/>
              <w:t>Jäsenvaltioiden on varmistettava, että jos luottolaitos ei täytä sille tietyn talletusten vakuusjärjestelmän jäsenenä kuuluvia velvoitteita, kyseinen talletusten vakuusjärjestelmä ilmoittaa tästä heti kyseisen luottolaitoksen toimivaltaiselle viranomaiselle. Jäsenvaltioiden on varmistettava, että toimivaltainen viranomainen käyttää yhteistyössä kyseisen talletusten vakuusjärjestelmän kanssa direktiivissä 2013/36/EU vahvistettuja valvontavaltuuksia ja toteuttaa viivyttelemättä kaikki aiheelliset toimenpiteet sen takaamiseksi, että asianomainen luottolaitos täyttää velvoitteensa, myös tarvittaessa määräämällä seuraamuksia ja muita toimenpiteitä direktiivin 2013/36/EU VII osaston 1 luvun IV jakson säännösten täytäntöönpanon lisäksi annettujen kansallisten lakien mukaisesti.”;</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Sanamuoto jättää tulkinnanvaraa (erityyppisille) talletusten vakuusjärjestelmille osoitettujen tehtävien osalta. Kannatamme vallitsevan tilanteen säilyttämistä tässä vaiheessa. Sanamuotoa olisi tältä osin terävöitettävä eli sana ”hallinnollinen” on poistettava.</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148</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Markus Ferber, Herbert Dorfmann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3 alakohta – c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4 artikla – 5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rPr>
                <w:b/>
                <w:i/>
              </w:rPr>
              <w:t>5.</w:t>
            </w:r>
            <w:r w:rsidRPr="009E35B2">
              <w:rPr>
                <w:b/>
                <w:i/>
              </w:rPr>
              <w:tab/>
              <w:t>Jäsenvaltioiden on varmistettava, että talletusten vakuusjärjestelmä ilmoittaa nimetylle viranomaiselle, jos 4 ja 4 a kohdassa tarkoitetuilla toimenpiteillä ei pystytä varmistamaan, että luottolaitos täyttää jälleen velvoitteensa. Jäsenvaltioiden on varmistettava, että nimetty viranomainen arvioi, täyttääkö laitos edelleen talletusten vakuusjärjestelmän jäsenyyden jatkumisen ehdot, ja ilmoittaa toimivaltaiselle viranomaiselle kyseisen arvioinnin tuloksesta.</w:t>
            </w:r>
          </w:p>
        </w:tc>
        <w:tc>
          <w:tcPr>
            <w:tcW w:w="4876" w:type="dxa"/>
            <w:hideMark/>
          </w:tcPr>
          <w:p w:rsidR="00E61B38" w:rsidRPr="009E35B2" w:rsidRDefault="00E61B38" w:rsidP="0024275D">
            <w:pPr>
              <w:pStyle w:val="Normal6"/>
              <w:rPr>
                <w:szCs w:val="24"/>
              </w:rPr>
            </w:pPr>
            <w:r w:rsidRPr="009E35B2">
              <w:rPr>
                <w:b/>
                <w:i/>
              </w:rPr>
              <w:t>Poistetaan.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Ylläpitää vallitsevaa tilannetta.</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149</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3 alakohta – c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4 artikla – 5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5.</w:t>
            </w:r>
            <w:r w:rsidRPr="009E35B2">
              <w:tab/>
            </w:r>
            <w:r w:rsidRPr="009E35B2">
              <w:rPr>
                <w:b/>
                <w:i/>
              </w:rPr>
              <w:t>Jäsenvaltioiden on varmistettava, että talletusten vakuusjärjestelmä ilmoittaa nimetylle viranomaiselle, jos 4 ja 4 a kohdassa tarkoitetuilla toimenpiteillä ei pystytä varmistamaan, että luottolaitos täyttää jälleen velvoitteensa</w:t>
            </w:r>
            <w:r w:rsidRPr="009E35B2">
              <w:t xml:space="preserve">. </w:t>
            </w:r>
            <w:r w:rsidRPr="009E35B2">
              <w:rPr>
                <w:b/>
                <w:i/>
              </w:rPr>
              <w:t>Jäsenvaltioiden on varmistettava, että nimetty viranomainen arvioi, täyttääkö laitos edelleen talletusten vakuusjärjestelmän jäsenyyden jatkumisen ehdot, ja ilmoittaa toimivaltaiselle viranomaiselle kyseisen arvioinnin tuloksesta.</w:t>
            </w:r>
          </w:p>
        </w:tc>
        <w:tc>
          <w:tcPr>
            <w:tcW w:w="4876" w:type="dxa"/>
            <w:hideMark/>
          </w:tcPr>
          <w:p w:rsidR="00E61B38" w:rsidRPr="009E35B2" w:rsidRDefault="00E61B38" w:rsidP="0024275D">
            <w:pPr>
              <w:pStyle w:val="Normal6"/>
              <w:rPr>
                <w:szCs w:val="24"/>
              </w:rPr>
            </w:pPr>
            <w:r w:rsidRPr="009E35B2">
              <w:t>5.</w:t>
            </w:r>
            <w:r w:rsidRPr="009E35B2">
              <w:tab/>
            </w:r>
            <w:r w:rsidRPr="009E35B2">
              <w:rPr>
                <w:b/>
                <w:i/>
              </w:rPr>
              <w:t>Jos 4 kohdan mukaisesti toteutetuilla toimenpiteillä ei pystytä varmistamaan sitä, että luottolaitos täyttää velvoitteensa, talletusten vakuusjärjestelmä voi kansallisen lainsäädännön sen salliessa ja toimivaltaisten viranomaisten nimenomaisella suostumuksella, ilmoittaa vähintään yhtä kuukautta ennalta aikeestaan erottaa luottolaitos talletusten vakuusjärjestelmästä, jos muita tehokkaita vaihtoehtoja ei ole ja otetaan huomioon rikkomisen luonne ja vakavuus. Ennen tämän määräajan päättymistä tehdyt talletukset kuuluvat edelleen talletusten vakuusjärjestelmään kokonaisuudessaan. Jos luottolaitos ei kyseisen ennalta ilmoittamista koskevan määräajan päättyessä ole täyttänyt velvoitteitaan, talletusten vakuusjärjestelmä erottaa luottolaitoksen</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Talletusten vakuusjärjestelmä ei lopulta enää osallistuisi luottolaitoksen erottamista koskevaan päätökseen, toisin kuin aiemmin. Nykytilanne olisi säilytettävä. Sanamuodon olisi täsmennettävä, että erottaminen olisi valittava vasta viimeisenä keinona ottaen huomioon rikkomisen luonne ja vakavuus sekä (uusi) määräaika. Lisäksi erottamisen uhka, mukaan lukien määräajan asettaminen toimielimelle, poistettiin tästä kohdasta. Myös tältä osin edellinen asetus olisi säilytettävä suhteellisuussyistä.</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150</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3 alakohta – c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4 artikla – 6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6.</w:t>
            </w:r>
            <w:r w:rsidRPr="009E35B2">
              <w:tab/>
              <w:t>Jäsenvaltioiden on varmistettava, että jos toimivaltainen viranomainen päättää peruuttaa toimiluvan direktiivin 2013/36/EU 18 artiklan mukaisesti, luottolaitos lakkaa olemasta talletusten vakuusjärjestelmän jäsen. Jäsenvaltioiden on varmistettava, että talletukset, jotka ovat luottolaitoksen hallussa päivänä, jona luottolaitos lakkasi olemasta talletusten vakuusjärjestelmän jäsen, kuuluvat edelleen kyseiseen talletusten vakuusjärjestelmään.”;</w:t>
            </w:r>
          </w:p>
        </w:tc>
        <w:tc>
          <w:tcPr>
            <w:tcW w:w="4876" w:type="dxa"/>
            <w:hideMark/>
          </w:tcPr>
          <w:p w:rsidR="00E61B38" w:rsidRPr="009E35B2" w:rsidRDefault="00E61B38" w:rsidP="0024275D">
            <w:pPr>
              <w:pStyle w:val="Normal6"/>
              <w:rPr>
                <w:szCs w:val="24"/>
              </w:rPr>
            </w:pPr>
            <w:r w:rsidRPr="009E35B2">
              <w:t>6.</w:t>
            </w:r>
            <w:r w:rsidRPr="009E35B2">
              <w:tab/>
              <w:t xml:space="preserve">Jäsenvaltioiden on varmistettava, että jos toimivaltainen viranomainen päättää peruuttaa toimiluvan direktiivin 2013/36/EU 18 artiklan mukaisesti, luottolaitos lakkaa olemasta talletusten vakuusjärjestelmän jäsen. Jäsenvaltioiden on varmistettava, että talletukset, jotka ovat luottolaitoksen hallussa päivänä, jona luottolaitos lakkasi olemasta talletusten vakuusjärjestelmän jäsen, kuuluvat edelleen kyseiseen talletusten vakuusjärjestelmään </w:t>
            </w:r>
            <w:r w:rsidRPr="009E35B2">
              <w:rPr>
                <w:b/>
                <w:i/>
              </w:rPr>
              <w:t>enintään kuuden kuukauden ajan.</w:t>
            </w:r>
            <w:r w:rsidRPr="009E35B2">
              <w:t xml:space="preserve"> </w:t>
            </w:r>
            <w:r w:rsidRPr="009E35B2">
              <w:rPr>
                <w:b/>
                <w:i/>
              </w:rPr>
              <w:t>Jäsenvaltioiden on varmistettava, että sellaisen luottolaitoksen tallettajille, joka on lakannut olemasta talletusten vakuusjärjestelmän jäsen, ilmoitetaan asianmukaisesti tämän seurauksista ja että nämä voivat siirtää talletuksensa kuluitta samaan talletusten vakuusjärjestelmään kuuluvaan toiseen laitokseen.”</w:t>
            </w:r>
            <w:r w:rsidRPr="009E35B2">
              <w:t xml:space="preserve"> ;</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151</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3 alakohta – c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4 artikla – 6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6.</w:t>
            </w:r>
            <w:r w:rsidRPr="009E35B2">
              <w:tab/>
              <w:t>Jäsenvaltioiden on varmistettava, että jos toimivaltainen viranomainen päättää peruuttaa toimiluvan direktiivin 2013/36/EU 18 artiklan mukaisesti, luottolaitos lakkaa olemasta talletusten vakuusjärjestelmän jäsen. Jäsenvaltioiden on varmistettava, että talletukset, jotka ovat luottolaitoksen hallussa päivänä, jona luottolaitos lakkasi olemasta talletusten vakuusjärjestelmän jäsen, kuuluvat edelleen kyseiseen talletusten vakuusjärjestelmään.</w:t>
            </w:r>
            <w:r w:rsidRPr="009E35B2">
              <w:rPr>
                <w:b/>
                <w:i/>
              </w:rPr>
              <w:t>”;</w:t>
            </w:r>
          </w:p>
        </w:tc>
        <w:tc>
          <w:tcPr>
            <w:tcW w:w="4876" w:type="dxa"/>
            <w:hideMark/>
          </w:tcPr>
          <w:p w:rsidR="00E61B38" w:rsidRPr="009E35B2" w:rsidRDefault="00E61B38" w:rsidP="0024275D">
            <w:pPr>
              <w:pStyle w:val="Normal6"/>
              <w:rPr>
                <w:szCs w:val="24"/>
              </w:rPr>
            </w:pPr>
            <w:r w:rsidRPr="009E35B2">
              <w:t>6.</w:t>
            </w:r>
            <w:r w:rsidRPr="009E35B2">
              <w:tab/>
              <w:t xml:space="preserve">Jäsenvaltioiden on varmistettava, että jos toimivaltainen viranomainen päättää peruuttaa toimiluvan direktiivin 2013/36/EU 18 artiklan mukaisesti, luottolaitos lakkaa olemasta talletusten vakuusjärjestelmän jäsen. Jäsenvaltioiden on varmistettava, että talletukset, jotka ovat luottolaitoksen hallussa päivänä, jona luottolaitos lakkasi olemasta talletusten vakuusjärjestelmän jäsen, kuuluvat edelleen kyseiseen talletusten vakuusjärjestelmään. </w:t>
            </w:r>
            <w:r w:rsidRPr="009E35B2">
              <w:rPr>
                <w:b/>
                <w:i/>
              </w:rPr>
              <w:t>Jäsenvaltioiden on varmistettava, että luottolaitos toimittaa talletusten vakuusjärjestelmälle asiakasprofiilitietokannan viipymättä pankkiluvan peruuttamisen voimaantulopäivän jälkeen.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Olisi varmistettava, että asiakasprofiilitietokanta toimitetaan välittömästi pankkiluvan peruuttamisen jälkeen ja että tiedot toimitetaan peruuttamispäivästä alkaen jatkotoimivastuuseen liittyvistä syistä.</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152</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3 alakohta – e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4 artikla – 13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13.</w:t>
            </w:r>
            <w:r w:rsidRPr="009E35B2">
              <w:tab/>
              <w:t xml:space="preserve">EPV laatii viimeistään [julkaisutoimisto: lisätään päivämäärä, joka on </w:t>
            </w:r>
            <w:r w:rsidRPr="009E35B2">
              <w:rPr>
                <w:b/>
                <w:i/>
              </w:rPr>
              <w:t>36</w:t>
            </w:r>
            <w:r w:rsidRPr="009E35B2">
              <w:t xml:space="preserve"> kuukautta voimaantulosta] </w:t>
            </w:r>
            <w:r w:rsidRPr="009E35B2">
              <w:rPr>
                <w:b/>
                <w:i/>
              </w:rPr>
              <w:t>ohjeet</w:t>
            </w:r>
            <w:r w:rsidRPr="009E35B2">
              <w:t xml:space="preserve"> 10 kohdassa tarkoitettujen stressitestien soveltamisalasta, sisällöstä ja menettelyistä.</w:t>
            </w:r>
            <w:r w:rsidRPr="009E35B2">
              <w:rPr>
                <w:b/>
                <w:i/>
              </w:rPr>
              <w:t>”</w:t>
            </w:r>
          </w:p>
        </w:tc>
        <w:tc>
          <w:tcPr>
            <w:tcW w:w="4876" w:type="dxa"/>
            <w:hideMark/>
          </w:tcPr>
          <w:p w:rsidR="00E61B38" w:rsidRPr="009E35B2" w:rsidRDefault="00E61B38" w:rsidP="0024275D">
            <w:pPr>
              <w:pStyle w:val="Normal6"/>
              <w:rPr>
                <w:szCs w:val="24"/>
              </w:rPr>
            </w:pPr>
            <w:r w:rsidRPr="009E35B2">
              <w:t>13.</w:t>
            </w:r>
            <w:r w:rsidRPr="009E35B2">
              <w:tab/>
              <w:t xml:space="preserve">EPV laatii viimeistään [julkaisutoimisto: lisätään päivämäärä, joka on </w:t>
            </w:r>
            <w:r w:rsidRPr="009E35B2">
              <w:rPr>
                <w:b/>
                <w:i/>
              </w:rPr>
              <w:t>24</w:t>
            </w:r>
            <w:r w:rsidRPr="009E35B2">
              <w:t xml:space="preserve"> kuukautta voimaantulosta] </w:t>
            </w:r>
            <w:r w:rsidRPr="009E35B2">
              <w:rPr>
                <w:b/>
                <w:i/>
              </w:rPr>
              <w:t xml:space="preserve">teknisten sääntelystandardien luonnokset </w:t>
            </w:r>
            <w:r w:rsidRPr="009E35B2">
              <w:t>10 kohdassa tarkoitettujen stressitestien soveltamisalasta, sisällöstä ja menettelyistä.</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EPV toimittaa nämä teknisten sääntelystandardien luonnokset komissiolle viimeistään … päivänä …kuuta … [24 kuukauden kuluttua tämän muutosdirektiivin voimaantulopäivästä].</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Siirretään komissiolle valta täydentää tätä direktiiviä hyväksymällä tämän kohdan ensimmäisessä alakohdassa tarkoitetut tekniset sääntelystandardit asetuksen (EU) N:o 1093/2010 10–14 artiklan mukaisesti.”</w:t>
            </w:r>
            <w:r w:rsidRPr="009E35B2">
              <w:t xml:space="preserve"> ;</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153</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Markus Ferber, Herbert Dorfmann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4 alakohta – a alakohta – iii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5 artikla – 1 kohta – e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rPr>
                <w:b/>
                <w:i/>
              </w:rPr>
              <w:t>iii)</w:t>
            </w:r>
            <w:r w:rsidRPr="009E35B2">
              <w:rPr>
                <w:b/>
                <w:i/>
              </w:rPr>
              <w:tab/>
              <w:t>kumotaan e alakohta;</w:t>
            </w:r>
          </w:p>
        </w:tc>
        <w:tc>
          <w:tcPr>
            <w:tcW w:w="4876" w:type="dxa"/>
            <w:hideMark/>
          </w:tcPr>
          <w:p w:rsidR="00E61B38" w:rsidRPr="009E35B2" w:rsidRDefault="00E61B38" w:rsidP="0024275D">
            <w:pPr>
              <w:pStyle w:val="Normal6"/>
              <w:rPr>
                <w:szCs w:val="24"/>
              </w:rPr>
            </w:pPr>
            <w:r w:rsidRPr="009E35B2">
              <w:rPr>
                <w:b/>
                <w:i/>
              </w:rPr>
              <w:t>Poistetaan.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Sijoituspalveluyritysten talletuksia ei pitäisi poistaa poissuljettujen luettelosta.</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154</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4 alakohta – a alakohta – iii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5 artikla – 1 kohta – e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iii)</w:t>
            </w:r>
            <w:r w:rsidRPr="009E35B2">
              <w:tab/>
            </w:r>
            <w:r w:rsidRPr="009E35B2">
              <w:rPr>
                <w:b/>
                <w:i/>
              </w:rPr>
              <w:t>kumotaan e alakohta;</w:t>
            </w:r>
          </w:p>
        </w:tc>
        <w:tc>
          <w:tcPr>
            <w:tcW w:w="4876" w:type="dxa"/>
            <w:hideMark/>
          </w:tcPr>
          <w:p w:rsidR="00E61B38" w:rsidRPr="009E35B2" w:rsidRDefault="00E61B38" w:rsidP="0024275D">
            <w:pPr>
              <w:pStyle w:val="Normal6"/>
              <w:rPr>
                <w:szCs w:val="24"/>
              </w:rPr>
            </w:pPr>
            <w:r w:rsidRPr="009E35B2">
              <w:t>iii)</w:t>
            </w:r>
            <w:r w:rsidRPr="009E35B2">
              <w:tab/>
              <w:t>Poistetaan.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Emme ymmärrä, miksi sijoituspalveluyritykset on poistettu kokonaan 5 artiklan 1 kohdan luettelosta. Viitaten johdanto-osan 4 kappaleeseen, sijoituspalveluyritykset eivät ole vakavaraisuusasetuksen 4 artiklan 26, 3 ja 2 kohdassa tarkoitettuja rahoituslaitoksia.</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155</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Markus Ferber, Herbert Dorfmann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4 alakohta – a alakohta – v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5 artikla – 1 kohta – j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rPr>
                <w:b/>
                <w:i/>
              </w:rPr>
              <w:t>v)</w:t>
            </w:r>
            <w:r w:rsidRPr="009E35B2">
              <w:rPr>
                <w:b/>
                <w:i/>
              </w:rPr>
              <w:tab/>
              <w:t>kumotaan j alakohta;</w:t>
            </w:r>
          </w:p>
        </w:tc>
        <w:tc>
          <w:tcPr>
            <w:tcW w:w="4876" w:type="dxa"/>
            <w:hideMark/>
          </w:tcPr>
          <w:p w:rsidR="00E61B38" w:rsidRPr="009E35B2" w:rsidRDefault="00E61B38" w:rsidP="0024275D">
            <w:pPr>
              <w:pStyle w:val="Normal6"/>
              <w:rPr>
                <w:szCs w:val="24"/>
              </w:rPr>
            </w:pPr>
            <w:r w:rsidRPr="009E35B2">
              <w:rPr>
                <w:b/>
                <w:i/>
              </w:rPr>
              <w:t>Poistetaan.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Julkisten tahojen talletuksia ei pitäisi suojella, koska ajatus kuluttajansuojasta ja talletuspaosta ei päde tähän.</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156</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4 alakohta – a alakohta – v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5 artikla – 1 kohta – j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v)</w:t>
            </w:r>
            <w:r w:rsidRPr="009E35B2">
              <w:tab/>
            </w:r>
            <w:r w:rsidRPr="009E35B2">
              <w:rPr>
                <w:b/>
                <w:i/>
              </w:rPr>
              <w:t>kumotaan</w:t>
            </w:r>
            <w:r w:rsidRPr="009E35B2">
              <w:t xml:space="preserve"> j alakohta;</w:t>
            </w:r>
          </w:p>
        </w:tc>
        <w:tc>
          <w:tcPr>
            <w:tcW w:w="4876" w:type="dxa"/>
            <w:hideMark/>
          </w:tcPr>
          <w:p w:rsidR="00E61B38" w:rsidRPr="009E35B2" w:rsidRDefault="00E61B38" w:rsidP="0024275D">
            <w:pPr>
              <w:pStyle w:val="Normal6"/>
              <w:rPr>
                <w:szCs w:val="24"/>
              </w:rPr>
            </w:pPr>
            <w:r w:rsidRPr="009E35B2">
              <w:t>v)</w:t>
            </w:r>
            <w:r w:rsidRPr="009E35B2">
              <w:tab/>
            </w:r>
            <w:r w:rsidRPr="009E35B2">
              <w:rPr>
                <w:b/>
                <w:i/>
              </w:rPr>
              <w:t xml:space="preserve">korvataan </w:t>
            </w:r>
            <w:r w:rsidRPr="009E35B2">
              <w:t xml:space="preserve">j alakohta </w:t>
            </w:r>
            <w:r w:rsidRPr="009E35B2">
              <w:rPr>
                <w:b/>
                <w:i/>
              </w:rPr>
              <w:t>seuraavasti:</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 xml:space="preserve">”j) keskus- ja aluehallinnon talletukset” </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Tarkistuksella selvennetään, että keskus-/aluehallinnon ei pitäisi kuulua korvausten piiriin, koska yleisenä tavoitteena on sisällyttää siihen joitakin julkisen sektorin yksiköitä, jotka eivät ole valveutuneita tallettajia, kuten esimerkiksi kouluja, sairaaloita ja joitakin paikallisia palveluja. Tämä vähentäisi riskiä siitä, että talletusten vakuusjärjestelmä joutuisi kantamaan valtion ottamaa riskiä.</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157</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4 alakohta – a alakohta – v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5 artikla – 1 kohta – j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v)</w:t>
            </w:r>
            <w:r w:rsidRPr="009E35B2">
              <w:tab/>
            </w:r>
            <w:r w:rsidRPr="009E35B2">
              <w:rPr>
                <w:b/>
                <w:i/>
              </w:rPr>
              <w:t>kumotaan j alakohta;</w:t>
            </w:r>
          </w:p>
        </w:tc>
        <w:tc>
          <w:tcPr>
            <w:tcW w:w="4876" w:type="dxa"/>
            <w:hideMark/>
          </w:tcPr>
          <w:p w:rsidR="00E61B38" w:rsidRPr="009E35B2" w:rsidRDefault="00E61B38" w:rsidP="0024275D">
            <w:pPr>
              <w:pStyle w:val="Normal6"/>
              <w:rPr>
                <w:szCs w:val="24"/>
              </w:rPr>
            </w:pPr>
            <w:r w:rsidRPr="009E35B2">
              <w:tab/>
            </w:r>
            <w:r w:rsidRPr="009E35B2">
              <w:rPr>
                <w:b/>
                <w:i/>
              </w:rPr>
              <w:t>Poistetaan.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158</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4 alakohta – a alakohta – v a alakohta (uusi)</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5 artikla – 1 kohta – k a alakohta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v a)</w:t>
            </w:r>
            <w:r w:rsidRPr="009E35B2">
              <w:rPr>
                <w:b/>
                <w:i/>
              </w:rPr>
              <w:tab/>
              <w:t>lisätään k a alakohta seuraavasti:</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k a) unionin hyväksymien kohdennettujen talouspakotteiden kohteena olevien henkilöiden tai oikeushenkilöiden talletukset.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159</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Irene Tinagli</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5 alakohta – a alakohta (uusi)</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6 artikla – 1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Nykyinen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-a)</w:t>
            </w:r>
            <w:r w:rsidRPr="009E35B2">
              <w:rPr>
                <w:b/>
                <w:i/>
              </w:rPr>
              <w:tab/>
              <w:t>korvataan 1 kohta seuraavasti:</w:t>
            </w:r>
          </w:p>
        </w:tc>
      </w:tr>
      <w:tr w:rsidR="00E61B38" w:rsidRPr="009E35B2" w:rsidTr="0024275D">
        <w:trPr>
          <w:jc w:val="center"/>
        </w:trPr>
        <w:tc>
          <w:tcPr>
            <w:tcW w:w="4876" w:type="dxa"/>
            <w:hideMark/>
          </w:tcPr>
          <w:p w:rsidR="00E61B38" w:rsidRPr="009E35B2" w:rsidRDefault="00E61B38" w:rsidP="0024275D">
            <w:pPr>
              <w:pStyle w:val="Normal6"/>
            </w:pPr>
            <w:r w:rsidRPr="009E35B2">
              <w:t xml:space="preserve">Jäsenvaltioiden on varmistettava, että saman tallettajan yhteenlaskettujen talletusten talletussuojan taso on </w:t>
            </w:r>
            <w:r w:rsidRPr="009E35B2">
              <w:rPr>
                <w:b/>
                <w:i/>
              </w:rPr>
              <w:t>100 000</w:t>
            </w:r>
            <w:r w:rsidRPr="009E35B2">
              <w:t> euroa, jos talletuksia ei kyetä maksamaan.</w:t>
            </w:r>
          </w:p>
        </w:tc>
        <w:tc>
          <w:tcPr>
            <w:tcW w:w="4876" w:type="dxa"/>
            <w:hideMark/>
          </w:tcPr>
          <w:p w:rsidR="00E61B38" w:rsidRPr="009E35B2" w:rsidRDefault="00E61B38" w:rsidP="0024275D">
            <w:pPr>
              <w:pStyle w:val="Normal6"/>
              <w:rPr>
                <w:szCs w:val="24"/>
              </w:rPr>
            </w:pPr>
            <w:r w:rsidRPr="009E35B2">
              <w:t xml:space="preserve">Jäsenvaltioiden on varmistettava, että saman tallettajan yhteenlaskettujen talletusten talletussuojan taso on </w:t>
            </w:r>
            <w:r w:rsidRPr="009E35B2">
              <w:rPr>
                <w:b/>
                <w:i/>
              </w:rPr>
              <w:t>200 000</w:t>
            </w:r>
            <w:r w:rsidRPr="009E35B2">
              <w:t> euroa, jos talletuksia ei kyetä maksamaan.</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160</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Markus Ferber, Herbert Dorfmann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5 alakohta – a alakohta – ii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6 artikla – 2 kohta – a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a)</w:t>
            </w:r>
            <w:r w:rsidRPr="009E35B2">
              <w:tab/>
              <w:t xml:space="preserve">yksityisiin asuinkiinteistöihin liittyviin kiinteistökauppoihin liittyvät talletukset ja tällaisiin kauppoihin tarkoitetut talletukset, jos luonnollinen henkilö tekee nämä kaupat </w:t>
            </w:r>
            <w:r w:rsidRPr="009E35B2">
              <w:rPr>
                <w:b/>
                <w:i/>
              </w:rPr>
              <w:t xml:space="preserve">lyhyellä aikavälillä </w:t>
            </w:r>
            <w:r w:rsidRPr="009E35B2">
              <w:t>ja jos kyseinen luonnollinen henkilö voi toimittaa asiakirjat, jotka todistavat tällaisen kaupan;”;</w:t>
            </w:r>
          </w:p>
        </w:tc>
        <w:tc>
          <w:tcPr>
            <w:tcW w:w="4876" w:type="dxa"/>
            <w:hideMark/>
          </w:tcPr>
          <w:p w:rsidR="00E61B38" w:rsidRPr="009E35B2" w:rsidRDefault="00E61B38" w:rsidP="0024275D">
            <w:pPr>
              <w:pStyle w:val="Normal6"/>
              <w:rPr>
                <w:szCs w:val="24"/>
              </w:rPr>
            </w:pPr>
            <w:r w:rsidRPr="009E35B2">
              <w:t>a)</w:t>
            </w:r>
            <w:r w:rsidRPr="009E35B2">
              <w:tab/>
              <w:t xml:space="preserve">yksityisiin asuinkiinteistöihin liittyviin kiinteistökauppoihin liittyvät talletukset ja tällaisiin kauppoihin tarkoitetut talletukset, jos luonnollinen henkilö tekee nämä kaupat </w:t>
            </w:r>
            <w:r w:rsidRPr="009E35B2">
              <w:rPr>
                <w:b/>
                <w:i/>
              </w:rPr>
              <w:t>kolmessa kuukaudessa</w:t>
            </w:r>
            <w:r w:rsidRPr="009E35B2">
              <w:t xml:space="preserve"> ja jos kyseinen luonnollinen henkilö voi toimittaa asiakirjat, jotka todistavat tällaisen kaupan;”;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Selkeä aikataulu takaa oikeusvarmuuden.</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161</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5 alakohta – a alakohta – ii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6 artikla – 2 kohta – a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a)</w:t>
            </w:r>
            <w:r w:rsidRPr="009E35B2">
              <w:tab/>
              <w:t xml:space="preserve">yksityisiin asuinkiinteistöihin liittyviin kiinteistökauppoihin liittyvät talletukset ja tällaisiin kauppoihin tarkoitetut talletukset, jos luonnollinen henkilö tekee nämä kaupat </w:t>
            </w:r>
            <w:r w:rsidRPr="009E35B2">
              <w:rPr>
                <w:b/>
                <w:i/>
              </w:rPr>
              <w:t>lyhyellä aikavälillä</w:t>
            </w:r>
            <w:r w:rsidRPr="009E35B2">
              <w:t xml:space="preserve"> ja jos kyseinen luonnollinen henkilö voi toimittaa asiakirjat, jotka todistavat tällaisen kaupan;”;</w:t>
            </w:r>
          </w:p>
        </w:tc>
        <w:tc>
          <w:tcPr>
            <w:tcW w:w="4876" w:type="dxa"/>
            <w:hideMark/>
          </w:tcPr>
          <w:p w:rsidR="00E61B38" w:rsidRPr="009E35B2" w:rsidRDefault="00E61B38" w:rsidP="0024275D">
            <w:pPr>
              <w:pStyle w:val="Normal6"/>
              <w:rPr>
                <w:szCs w:val="24"/>
              </w:rPr>
            </w:pPr>
            <w:r w:rsidRPr="009E35B2">
              <w:t>a)</w:t>
            </w:r>
            <w:r w:rsidRPr="009E35B2">
              <w:tab/>
              <w:t xml:space="preserve">yksityisiin asuinkiinteistöihin liittyviin kiinteistökauppoihin liittyvät talletukset ja tällaisiin kauppoihin tarkoitetut talletukset, jos luonnollinen henkilö tekee nämä kaupat </w:t>
            </w:r>
            <w:r w:rsidRPr="009E35B2">
              <w:rPr>
                <w:b/>
                <w:i/>
              </w:rPr>
              <w:t>kolmessa kuukaudessa</w:t>
            </w:r>
            <w:r w:rsidRPr="009E35B2">
              <w:t xml:space="preserve"> ja jos kyseinen luonnollinen henkilö voi toimittaa asiakirjat, jotka todistavat tällaisen kaupan;”;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Käytännön kokemus talletusten vakuusjärjestelmistä on osoittanut, että tässä on täsmennettävä esimerkiksi siirtoja (esim. käyttötileiltä talletustileille), luokkia (esim. vain kiinteistöt, joissa omistaja itse asuu) ja ilmausta ”lyhyellä aikavälillä” (esim. kolme kuukautta).</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162</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Luděk Niedermayer</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6 alakohta – b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7 artikla – 7 kohta – 1 a alakohta (uusi)</w:t>
      </w:r>
      <w:r w:rsidRPr="009E35B2">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Tapauksissa, joissa tiettyjen talletusten korot ylittävät merkittävästi vallitsevan markkinakoron, joka on määritetty ja joka perustuu läpinäkyviin ja julkisesti saatavilla oleviin tietoihin, talletusten vakuusjärjestelmällä on oltava valtuudet mukauttaa maksettua korkoa siten, että se vastaa määritys- tai ratkaisuhetkellä vallitsevaa markkinakorkoa. Tämä mukautus on tehtävä moraalikadon vaaran estämiseksi. Kriteerit ja menetelmät, joilla määritellään ”merkittävästi ylittäminen” ja mukautus, vahvistetaan avoimesti, Euroopan pankkiviranomaisen laatimien suuntaviivojen mukaisesti ja toimivaltaisen kansallisen viranomaisen suostumuksella.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163</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Martin Hlaváček</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rPr>
          <w:rStyle w:val="HideTWBExt"/>
          <w:b w:val="0"/>
          <w:color w:val="auto"/>
        </w:rPr>
      </w:pPr>
      <w:r w:rsidRPr="009E35B2">
        <w:rPr>
          <w:rStyle w:val="HideTWBExt"/>
          <w:b w:val="0"/>
        </w:rPr>
        <w:t>&lt;Article&gt;</w:t>
      </w:r>
      <w:r w:rsidRPr="009E35B2">
        <w:t>1 artikla – 1 kohta – 6 a alakohta (uusi)</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7 artikla – 3 kohta – 3 a ja b alakohdat (uusi)</w:t>
      </w:r>
      <w:r w:rsidRPr="009E35B2">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-a)</w:t>
            </w:r>
            <w:r w:rsidRPr="009E35B2">
              <w:rPr>
                <w:b/>
                <w:i/>
              </w:rPr>
              <w:tab/>
              <w:t xml:space="preserve"> lisätään 3 a ja 3 b kohta seuraavasti:</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b/>
                <w:i/>
              </w:rPr>
            </w:pPr>
            <w:r w:rsidRPr="009E35B2">
              <w:rPr>
                <w:b/>
                <w:i/>
              </w:rPr>
              <w:t xml:space="preserve">”Jäsenvaltioiden on varmistettava, että kansallisessa lainsäädännössä säädettyjen erityisten talletusten osalta 6 artiklan 1 kohdassa tarkoitettua suojan tasoa sovelletaan kaikkiin ensimmäisessä alakohdassa tarkoitettuihin täysin oikeutettuihin henkilöihin. </w:t>
            </w:r>
          </w:p>
          <w:p w:rsidR="00E61B38" w:rsidRPr="009E35B2" w:rsidRDefault="00E61B38" w:rsidP="0024275D">
            <w:pPr>
              <w:pStyle w:val="Normal6"/>
              <w:rPr>
                <w:szCs w:val="24"/>
              </w:rPr>
            </w:pPr>
            <w:r w:rsidRPr="009E35B2">
              <w:rPr>
                <w:b/>
                <w:i/>
              </w:rPr>
              <w:t>Poiketen siitä, mitä 1 kohdassa säädetään, talletusten vakuusjärjestelmä ei täysin oikeutetulle henkilölle korvattavaa määrää määrittäessään ota huomioon henkilön samaan luottolaitokseen tekemiä yhteenlaskettuja varojen talletuksia. Jäsenvaltioiden on varmistettava, että korvaukset suojatuista talletuksista maksetaan talletusten vakuusjärjestelmistä joko tallettajalle kunkin täysin oikeutetun henkilön hyväksi tai suoraan täysin oikeutetulle henkilölle.”</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Ehdotetun asiakkaiden talletuksia koskevan järjestelmän yhdenmukaistamisen mukaisesti 8 b artiklan mukaisesti ehdotetaan samanlaisen yhdenmukaistetun lähestymistavan käyttöönottoa muihin erityistalletuksiin, kuten notaarien, asianajajien, kiinteistövälittäjätoimistojen, ulosottajien tai maksukyvyttömyysmenettelyn hallinnoijien tileille tehtyihin talletuksiin, jotka voivat joissakin tapauksissa muistuttaa maksulaitoksen tai sähköisen rahan liikkeeseenlaskijalaitoksen kautta tehtyjä talletuksia.</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164</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8 alakohta – a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8 artikla – 3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3.</w:t>
            </w:r>
            <w:r w:rsidRPr="009E35B2">
              <w:tab/>
              <w:t>Poiketen siitä, mitä 1 kohdassa säädetään, jäsenvaltioiden on annettava talletusten vakuusjärjestelmien soveltaa 6 artiklan 2 kohdassa, 7 artiklan 3 kohdassa ja 8 b artiklassa tarkoitettuihin talletuksiin pidempää korvausaikaa, joka ei ylitä 20:tä työpäivää siitä päivästä, jona kyseiset talletusten vakuusjärjestelmät vastaanottavat tallettajalta pyytämänsä kattavan dokumentaation vaatimusten tutkimiseksi ja sen tarkistamiseksi, että korvausten maksamisen edellytykset täyttyvät.”;</w:t>
            </w:r>
          </w:p>
        </w:tc>
        <w:tc>
          <w:tcPr>
            <w:tcW w:w="4876" w:type="dxa"/>
            <w:hideMark/>
          </w:tcPr>
          <w:p w:rsidR="00E61B38" w:rsidRPr="009E35B2" w:rsidRDefault="00E61B38" w:rsidP="0024275D">
            <w:pPr>
              <w:pStyle w:val="Normal6"/>
              <w:rPr>
                <w:szCs w:val="24"/>
              </w:rPr>
            </w:pPr>
            <w:r w:rsidRPr="009E35B2">
              <w:t>3.</w:t>
            </w:r>
            <w:r w:rsidRPr="009E35B2">
              <w:tab/>
              <w:t xml:space="preserve">Poiketen siitä, mitä 1 kohdassa säädetään, jäsenvaltioiden on annettava talletusten vakuusjärjestelmien soveltaa 6 artiklan 2 kohdassa, 7 artiklan 3 kohdassa ja 8 b artiklassa tarkoitettuihin talletuksiin pidempää korvausaikaa, joka ei ylitä 20:tä työpäivää siitä päivästä, jona kyseiset talletusten vakuusjärjestelmät vastaanottavat tallettajalta </w:t>
            </w:r>
            <w:r w:rsidRPr="009E35B2">
              <w:rPr>
                <w:b/>
                <w:i/>
              </w:rPr>
              <w:t>tai tarvittaessa tilinomistajalta</w:t>
            </w:r>
            <w:r w:rsidRPr="009E35B2">
              <w:t xml:space="preserve"> pyytämänsä kattavan dokumentaation vaatimusten tutkimiseksi ja sen tarkistamiseksi, että korvausten maksamisen edellytykset täyttyvät. </w:t>
            </w:r>
            <w:r w:rsidRPr="009E35B2">
              <w:rPr>
                <w:b/>
                <w:i/>
              </w:rPr>
              <w:t>Jos talletusten vakuusjärjestelmä ei voi asettaa korvattavaa määrää saataville alle seitsemän työpäivän kuluessa 6 artiklan 2 kohdassa ja 7 artiklan 3 kohdassa tarkoitettujen talletusten osalta, talletusten vakuusjärjestelmän on varmistettava, että tallettajilla on mahdollisuus saada käyttöönsä viiden työpäivän kuluessa asiaa koskevan pyynnön esittämisestä asianmukainen määrä suojattuja talletuksiaan elinkustannustensa kattamiseksi.</w:t>
            </w:r>
            <w:r w:rsidRPr="009E35B2">
              <w:t>” ;</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165</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Fabio Massimo Castaldo</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8 alakohta – a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8 artikla – 3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3.</w:t>
            </w:r>
            <w:r w:rsidRPr="009E35B2">
              <w:tab/>
              <w:t>Poiketen siitä, mitä 1 kohdassa säädetään, jäsenvaltioiden on annettava talletusten vakuusjärjestelmien soveltaa 6 artiklan 2 kohdassa, 7 artiklan 3 kohdassa ja 8 b artiklassa tarkoitettuihin talletuksiin pidempää korvausaikaa, joka ei ylitä 20:tä työpäivää siitä päivästä, jona kyseiset talletusten vakuusjärjestelmät vastaanottavat tallettajalta pyytämänsä kattavan dokumentaation vaatimusten tutkimiseksi ja sen tarkistamiseksi, että korvausten maksamisen edellytykset täyttyvät.”;</w:t>
            </w:r>
          </w:p>
        </w:tc>
        <w:tc>
          <w:tcPr>
            <w:tcW w:w="4876" w:type="dxa"/>
            <w:hideMark/>
          </w:tcPr>
          <w:p w:rsidR="00E61B38" w:rsidRPr="009E35B2" w:rsidRDefault="00E61B38" w:rsidP="0024275D">
            <w:pPr>
              <w:pStyle w:val="Normal6"/>
              <w:rPr>
                <w:szCs w:val="24"/>
              </w:rPr>
            </w:pPr>
            <w:r w:rsidRPr="009E35B2">
              <w:rPr>
                <w:i/>
                <w:iCs/>
              </w:rPr>
              <w:t>(Tarkistus ei vaikuta suomenkieliseen versioon)</w:t>
            </w:r>
            <w:r w:rsidRPr="009E35B2">
              <w:tab/>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166</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Enikő Győri</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8 alakohta – d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8 artikla – 9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9.</w:t>
            </w:r>
            <w:r w:rsidRPr="009E35B2">
              <w:tab/>
              <w:t>Jäsenvaltioiden on varmistettava, että jos talletukseen ei ole liittynyt mitään tapahtumia viimeksi kuluneiden 24 kuukauden aikana, talletusten vakuusjärjestelmät voivat määrittää kynnysarvon hallinnollisille kuluille, joita niille aiheutuu tällaiseen talletukseen liittyvän korvauksen suorittamisesta. Talletusten vakuusjärjestelmiä ei velvoiteta toteuttamaan aktiivisia toimia kyseistä kynnysarvoa pienempien talletusten korvaamiseksi tallettajille. Jäsenvaltioiden on varmistettava, että talletusten vakuusjärjestelmät korvaavat tallettajille tätä kynnysarvoa pienemmät talletukset näiden tallettajien pyynnöstä.”</w:t>
            </w:r>
          </w:p>
        </w:tc>
        <w:tc>
          <w:tcPr>
            <w:tcW w:w="4876" w:type="dxa"/>
            <w:hideMark/>
          </w:tcPr>
          <w:p w:rsidR="00E61B38" w:rsidRPr="009E35B2" w:rsidRDefault="00E61B38" w:rsidP="0024275D">
            <w:pPr>
              <w:pStyle w:val="Normal6"/>
              <w:rPr>
                <w:szCs w:val="24"/>
              </w:rPr>
            </w:pPr>
            <w:r w:rsidRPr="009E35B2">
              <w:t>9.</w:t>
            </w:r>
            <w:r w:rsidRPr="009E35B2">
              <w:tab/>
              <w:t>Jäsenvaltioiden on varmistettava, että jos talletukseen ei ole liittynyt mitään tapahtumia viimeksi kuluneiden 24 kuukauden aikana</w:t>
            </w:r>
            <w:r w:rsidRPr="009E35B2">
              <w:rPr>
                <w:b/>
                <w:i/>
              </w:rPr>
              <w:t xml:space="preserve"> tai talletustilin saldo on alhainen</w:t>
            </w:r>
            <w:r w:rsidRPr="009E35B2">
              <w:t>, talletusten vakuusjärjestelmät voivat määrittää kynnysarvon hallinnollisille kuluille, joita niille aiheutuu tällaiseen talletukseen liittyvän korvauksen suorittamisesta. Talletusten vakuusjärjestelmiä ei velvoiteta toteuttamaan aktiivisia toimia kyseistä kynnysarvoa pienempien talletusten korvaamiseksi tallettajille. Jäsenvaltioiden on varmistettava, että talletusten vakuusjärjestelmät korvaavat tallettajille tätä kynnysarvoa pienemmät talletukset näiden tallettajien pyynnöstä.”</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167</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Christophe Hansen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9 alakohta</w:t>
      </w:r>
    </w:p>
    <w:p w:rsidR="00E61B38" w:rsidRPr="009E35B2" w:rsidRDefault="00E61B38" w:rsidP="00E61B38">
      <w:pPr>
        <w:pStyle w:val="NormalBold"/>
        <w:rPr>
          <w:rStyle w:val="HideTWBExt"/>
          <w:b w:val="0"/>
          <w:color w:val="auto"/>
        </w:rPr>
      </w:pP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8 b artikla – 1 kohta – c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c)</w:t>
            </w:r>
            <w:r w:rsidRPr="009E35B2">
              <w:tab/>
              <w:t>a alakohdassa tarkoitetut asiakkaat on tunnistettu tai ovat tunnistettavissa ennen sitä päivää, jona asianomainen hallintoviranomainen tekee 2 artiklan 1 kohdan 8 alakohdan a alakohdassa tarkoitetun määrityksen tai jona oikeusviranomainen antaa 2 artiklan 1 kohdan 8 alakohdan b alakohdassa tarkoitetun päätöksen.</w:t>
            </w:r>
          </w:p>
        </w:tc>
        <w:tc>
          <w:tcPr>
            <w:tcW w:w="4876" w:type="dxa"/>
            <w:hideMark/>
          </w:tcPr>
          <w:p w:rsidR="00E61B38" w:rsidRPr="009E35B2" w:rsidRDefault="00E61B38" w:rsidP="0024275D">
            <w:pPr>
              <w:pStyle w:val="Normal6"/>
              <w:rPr>
                <w:szCs w:val="24"/>
              </w:rPr>
            </w:pPr>
            <w:r w:rsidRPr="009E35B2">
              <w:t>c)</w:t>
            </w:r>
            <w:r w:rsidRPr="009E35B2">
              <w:tab/>
              <w:t xml:space="preserve">a alakohdassa tarkoitetut asiakkaat on tunnistettu tai ovat tunnistettavissa </w:t>
            </w:r>
            <w:r w:rsidRPr="009E35B2">
              <w:rPr>
                <w:b/>
                <w:i/>
              </w:rPr>
              <w:t>viime kädessä asiakkaan lukuun tiliä pitävän yhteisön vastuulla</w:t>
            </w:r>
            <w:r w:rsidRPr="009E35B2">
              <w:t xml:space="preserve"> ennen sitä päivää, jona asianomainen hallintoviranomainen tekee 2 artiklan 1 kohdan 8 alakohdan a alakohdassa tarkoitetun määrityksen tai jona oikeusviranomainen antaa 2 artiklan 1 kohdan 8 alakohdan b alakohdassa tarkoitetun päätöksen.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168</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Martin Hlaváček</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9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8 b artikla – 1 a kohta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1 a.</w:t>
            </w:r>
            <w:r w:rsidRPr="009E35B2">
              <w:rPr>
                <w:b/>
                <w:i/>
              </w:rPr>
              <w:tab/>
              <w:t>Edellä olevan 1 kohdan lisäksi jäsenvaltioiden on varmistettava, että talletusten vakuusjärjestelmät kattavat asiakkaan varojen talletukset tileille, jotka ovat asetuksen (EU) 2023/1114 63 artiklan mukaisesti toimiluvan saaneiden kryptovarojen tarjoajien, joukkorahoituspalvelujen tarjoajien tai luotonhallinnoijien, jotka täyttävät tämän artiklan 1 kohdan a ja c alakohdassa säädetyt edellytykset, hallinnassa.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Ehdotetun asiakkaiden talletuksia koskevan järjestelmän yhdenmukaistamisen mukaisesti 8 b artiklan mukaisesti ehdotetaan samanlaisen yhdenmukaistetun lähestymistavan käyttöönottoa muihin erityistalletuksiin, kuten kryptovarapalvelujen tarjoajien, joukkorahoituspalvelujen tarjoajien tai luotonhallinnoijien pitämille tileille tehtyihin talletuksiin, jotka voivat joissakin tapauksissa muistuttaa maksulaitoksen tai sähköisen rahan liikkeeseenlaskijalaitoksen kautta tehtyjä talletuksia.</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169</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Enikő Győri</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9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8 b artikla – 2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rPr>
                <w:b/>
                <w:i/>
              </w:rPr>
              <w:t>2.</w:t>
            </w:r>
            <w:r w:rsidRPr="009E35B2">
              <w:rPr>
                <w:b/>
                <w:i/>
              </w:rPr>
              <w:tab/>
              <w:t>Jäsenvaltioiden on varmistettava, että 6 artiklan 1 kohdassa tarkoitettua talletussuojan tasoa sovelletaan jokaiseen asiakkaaseen, joka täyttää tämän artiklan 1 kohdan c alakohdassa säädetyt ehdot. Poiketen siitä, mitä 7 artiklan 1 kohdassa säädetään, talletusten vakuusjärjestelmä ei yksilöllisen asiakkaan korvattavaa määrää määrittäessään ota huomioon kyseisen asiakkaan samaan luottolaitokseen tekemiä yhteenlaskettuja varojen talletuksia.</w:t>
            </w:r>
          </w:p>
        </w:tc>
        <w:tc>
          <w:tcPr>
            <w:tcW w:w="4876" w:type="dxa"/>
            <w:hideMark/>
          </w:tcPr>
          <w:p w:rsidR="00E61B38" w:rsidRPr="009E35B2" w:rsidRDefault="00E61B38" w:rsidP="0024275D">
            <w:pPr>
              <w:pStyle w:val="Normal6"/>
              <w:rPr>
                <w:szCs w:val="24"/>
              </w:rPr>
            </w:pPr>
            <w:r w:rsidRPr="009E35B2">
              <w:rPr>
                <w:b/>
                <w:i/>
              </w:rPr>
              <w:t>Poistetaan.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170</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Luděk Niedermayer</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9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8 b artikla – 3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3.</w:t>
            </w:r>
            <w:r w:rsidRPr="009E35B2">
              <w:tab/>
              <w:t>Jäsenvaltioiden on varmistettava, että korvaukset suojatuista talletuksista maksetaan talletusten vakuusjärjestelmistä joko tilinhaltijalle kunkin asiakkaan hyväksi tai suoraan asiakkaalle.</w:t>
            </w:r>
          </w:p>
        </w:tc>
        <w:tc>
          <w:tcPr>
            <w:tcW w:w="4876" w:type="dxa"/>
            <w:hideMark/>
          </w:tcPr>
          <w:p w:rsidR="00E61B38" w:rsidRPr="009E35B2" w:rsidRDefault="00E61B38" w:rsidP="0024275D">
            <w:pPr>
              <w:pStyle w:val="Normal6"/>
              <w:rPr>
                <w:szCs w:val="24"/>
              </w:rPr>
            </w:pPr>
            <w:r w:rsidRPr="009E35B2">
              <w:rPr>
                <w:i/>
                <w:iCs/>
              </w:rPr>
              <w:t>(Tarkistus ei vaikuta suomenkieliseen versioon)</w:t>
            </w:r>
            <w:r w:rsidRPr="009E35B2">
              <w:tab/>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171</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Markus Ferber, Herbert Dorfmann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10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9 artikla – 2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2.</w:t>
            </w:r>
            <w:r w:rsidRPr="009E35B2">
              <w:tab/>
              <w:t>Talletusten vakuusjärjestelmillä, jotka maksavat kansallisia vakuuskorvauksia, on tallettajille suorittamiaan maksuja vastaava sijaantulo-oikeus tallettajien oikeuksiin likvidaatio- tai tervehdyttämismenettelyissä, sanotun kuitenkaan rajoittamatta kansallisessa lainsäädännössä talletusten vakuusjärjestelmille annettuja oikeuksia. Talletusten vakuusjärjestelmillä, jotka maksavat rahoitusosuuden direktiivin 2014/59/EU 37 artiklan 3 kohdan a tai b alakohdassa tarkoitettujen kriisinratkaisuvälineiden yhteydessä tai tämän direktiivin 11 artiklan 5 kohdan mukaisesti toteutettujen toimenpiteiden yhteydessä, on oltava jäljelle jäävältä luottolaitokselta saaminen kaikista tappioista, jotka johtuvat direktiivin 2014/59/EU 109 artiklan nojalla kriisinratkaisuun suoritetuista rahoitusosuuksista tai tämän direktiivin 11 artiklan 5 kohdan nojalla tehdyistä siirroista sellaisten tappioiden yhteydessä, jotka olisivat muutoin aiheutuneet tallettajille. Tällaisella saamisella olisi katsottava olevan sama etuoikeusasema kuin talletuksilla on tavanomaisia maksukyvyttömyysmenettelyjä sääntelevän kansallisen lainsäädännön mukaisesti.</w:t>
            </w:r>
          </w:p>
        </w:tc>
        <w:tc>
          <w:tcPr>
            <w:tcW w:w="4876" w:type="dxa"/>
            <w:hideMark/>
          </w:tcPr>
          <w:p w:rsidR="00E61B38" w:rsidRPr="009E35B2" w:rsidRDefault="00E61B38" w:rsidP="0024275D">
            <w:pPr>
              <w:pStyle w:val="Normal6"/>
              <w:rPr>
                <w:szCs w:val="24"/>
              </w:rPr>
            </w:pPr>
            <w:r w:rsidRPr="009E35B2">
              <w:t>2.</w:t>
            </w:r>
            <w:r w:rsidRPr="009E35B2">
              <w:tab/>
              <w:t xml:space="preserve">Talletusten vakuusjärjestelmillä, jotka maksavat kansallisia vakuuskorvauksia, on tallettajille suorittamiaan maksuja vastaava sijaantulo-oikeus tallettajien oikeuksiin likvidaatio- tai tervehdyttämismenettelyissä, sanotun kuitenkaan rajoittamatta kansallisessa lainsäädännössä talletusten vakuusjärjestelmille annettuja oikeuksia. Talletusten vakuusjärjestelmillä, jotka maksavat rahoitusosuuden direktiivin 2014/59/EU 37 artiklan 3 kohdan a tai b alakohdassa tarkoitettujen kriisinratkaisuvälineiden yhteydessä tai tämän direktiivin 11 artiklan 5 kohdan mukaisesti toteutettujen toimenpiteiden yhteydessä, on oltava jäljelle jäävältä luottolaitokselta saaminen kaikista tappioista, jotka johtuvat direktiivin 2014/59/EU 109 artiklan nojalla kriisinratkaisuun suoritetuista rahoitusosuuksista tai tämän direktiivin 11 artiklan 5 kohdan nojalla tehdyistä siirroista sellaisten tappioiden yhteydessä, jotka olisivat muutoin aiheutuneet tallettajille. Tällaisella saamisella olisi katsottava olevan sama etuoikeusasema kuin </w:t>
            </w:r>
            <w:r w:rsidRPr="009E35B2">
              <w:rPr>
                <w:b/>
                <w:i/>
              </w:rPr>
              <w:t>suojatuilla</w:t>
            </w:r>
            <w:r w:rsidRPr="009E35B2">
              <w:t xml:space="preserve"> talletuksilla on tavanomaisia maksukyvyttömyysmenettelyjä sääntelevän kansallisen lainsäädännön mukaisesti.</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172</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10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2014/59/EU</w:t>
      </w:r>
      <w:r w:rsidRPr="009E35B2">
        <w:rPr>
          <w:rStyle w:val="HideTWBExt"/>
        </w:rPr>
        <w:t>&lt;/DocAmend2&gt;</w:t>
      </w:r>
    </w:p>
    <w:p w:rsidR="00E61B38" w:rsidRPr="009E35B2" w:rsidRDefault="00E61B38" w:rsidP="00E61B38">
      <w:r w:rsidRPr="009E35B2">
        <w:rPr>
          <w:rStyle w:val="HideTWBExt"/>
        </w:rPr>
        <w:t>&lt;Article2&gt;</w:t>
      </w:r>
      <w:r w:rsidRPr="009E35B2">
        <w:t>9 artikla – 2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2.</w:t>
            </w:r>
            <w:r w:rsidRPr="009E35B2">
              <w:tab/>
              <w:t>Talletusten vakuusjärjestelmillä, jotka maksavat kansallisia vakuuskorvauksia, on tallettajille suorittamiaan maksuja vastaava sijaantulo-oikeus tallettajien oikeuksiin likvidaatio- tai tervehdyttämismenettelyissä, sanotun kuitenkaan rajoittamatta kansallisessa lainsäädännössä talletusten vakuusjärjestelmille annettuja oikeuksia. Talletusten vakuusjärjestelmillä, jotka maksavat rahoitusosuuden direktiivin 2014/59/EU 37 artiklan 3 kohdan a tai b alakohdassa tarkoitettujen kriisinratkaisuvälineiden yhteydessä tai tämän direktiivin 11 artiklan 5 kohdan mukaisesti toteutettujen toimenpiteiden yhteydessä, on oltava jäljelle jäävältä luottolaitokselta saaminen kaikista tappioista, jotka johtuvat direktiivin 2014/59/EU 109 artiklan nojalla kriisinratkaisuun suoritetuista rahoitusosuuksista tai tämän direktiivin 11 artiklan 5 kohdan nojalla tehdyistä siirroista sellaisten tappioiden yhteydessä, jotka olisivat muutoin aiheutuneet tallettajille. Tällaisella saamisella olisi katsottava olevan sama etuoikeusasema kuin talletuksilla on tavanomaisia maksukyvyttömyysmenettelyjä sääntelevän kansallisen lainsäädännön mukaisesti.</w:t>
            </w:r>
          </w:p>
        </w:tc>
        <w:tc>
          <w:tcPr>
            <w:tcW w:w="4876" w:type="dxa"/>
            <w:hideMark/>
          </w:tcPr>
          <w:p w:rsidR="00E61B38" w:rsidRPr="009E35B2" w:rsidRDefault="00E61B38" w:rsidP="0024275D">
            <w:pPr>
              <w:pStyle w:val="Normal6"/>
              <w:rPr>
                <w:szCs w:val="24"/>
              </w:rPr>
            </w:pPr>
            <w:r w:rsidRPr="009E35B2">
              <w:t>2.</w:t>
            </w:r>
            <w:r w:rsidRPr="009E35B2">
              <w:tab/>
              <w:t xml:space="preserve">Talletusten vakuusjärjestelmillä, jotka maksavat kansallisia vakuuskorvauksia, on tallettajille suorittamiaan maksuja vastaava sijaantulo-oikeus tallettajien oikeuksiin likvidaatio- tai tervehdyttämismenettelyissä, sanotun kuitenkaan rajoittamatta kansallisessa lainsäädännössä talletusten vakuusjärjestelmille annettuja oikeuksia. Talletusten vakuusjärjestelmillä, jotka maksavat rahoitusosuuden direktiivin 2014/59/EU 37 artiklan 3 kohdan a tai b alakohdassa tarkoitettujen kriisinratkaisuvälineiden yhteydessä tai tämän direktiivin 11 artiklan 5 kohdan mukaisesti toteutettujen toimenpiteiden yhteydessä, on oltava jäljelle jäävältä luottolaitokselta saaminen kaikista tappioista, jotka johtuvat direktiivin 2014/59/EU 109 artiklan nojalla kriisinratkaisuun suoritetuista rahoitusosuuksista tai tämän direktiivin 11 artiklan 5 kohdan nojalla tehdyistä siirroista sellaisten tappioiden yhteydessä, jotka olisivat muutoin aiheutuneet tallettajille. Tällaisella saamisella olisi katsottava olevan sama etuoikeusasema kuin </w:t>
            </w:r>
            <w:r w:rsidRPr="009E35B2">
              <w:rPr>
                <w:b/>
                <w:i/>
              </w:rPr>
              <w:t>suojatuilla</w:t>
            </w:r>
            <w:r w:rsidRPr="009E35B2">
              <w:t xml:space="preserve"> talletuksilla on tavanomaisia maksukyvyttömyysmenettelyjä sääntelevän kansallisen lainsäädännön mukaisesti.</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Tämä mukautus johtuu yksitasoisen yleistallettajan etuoikeusaseman hylkäämisestä. Olisi suosittava saamisia talletusten vakuusjärjestelmän jäljelle jäävältä laitokselta.</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173</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Marco Zanni, Valentino Grant, Antonio Maria Rinaldi</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11 alakohta – a alakohta – i alakohta (uusi)</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10 artikla – 2 kohta – 1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Nykyinen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-i) korvataan ensimmäinen alakohta seuraavasti:</w:t>
            </w:r>
          </w:p>
        </w:tc>
      </w:tr>
      <w:tr w:rsidR="00E61B38" w:rsidRPr="009E35B2" w:rsidTr="0024275D">
        <w:trPr>
          <w:jc w:val="center"/>
        </w:trPr>
        <w:tc>
          <w:tcPr>
            <w:tcW w:w="4876" w:type="dxa"/>
          </w:tcPr>
          <w:p w:rsidR="00E61B38" w:rsidRPr="009E35B2" w:rsidRDefault="00E61B38" w:rsidP="0024275D">
            <w:pPr>
              <w:pStyle w:val="Normal6"/>
            </w:pPr>
            <w:r w:rsidRPr="009E35B2">
              <w:t>2.</w:t>
            </w:r>
            <w:r w:rsidRPr="009E35B2">
              <w:tab/>
              <w:t xml:space="preserve">Jäsenvaltioiden on varmistettava, että talletusten vakuusjärjestelmän käytettävissä olevien rahoitusvarojen on oltava tavoitetasoltaan vähintään 0,8 prosenttia sen jäsenten suojattujen talletusten määrästä viimeistään </w:t>
            </w:r>
            <w:r w:rsidRPr="009E35B2">
              <w:rPr>
                <w:b/>
                <w:i/>
                <w:iCs/>
              </w:rPr>
              <w:t>3 päivänä heinäkuuta 2024</w:t>
            </w:r>
            <w:r w:rsidRPr="009E35B2">
              <w:t>.</w:t>
            </w:r>
          </w:p>
        </w:tc>
        <w:tc>
          <w:tcPr>
            <w:tcW w:w="4876" w:type="dxa"/>
            <w:hideMark/>
          </w:tcPr>
          <w:p w:rsidR="00E61B38" w:rsidRPr="009E35B2" w:rsidRDefault="00E61B38" w:rsidP="0024275D">
            <w:pPr>
              <w:pStyle w:val="Normal6"/>
              <w:rPr>
                <w:szCs w:val="24"/>
              </w:rPr>
            </w:pPr>
            <w:r w:rsidRPr="009E35B2">
              <w:rPr>
                <w:b/>
                <w:bCs/>
                <w:i/>
                <w:iCs/>
              </w:rPr>
              <w:t>”</w:t>
            </w:r>
            <w:r w:rsidRPr="009E35B2">
              <w:t>2.</w:t>
            </w:r>
            <w:r w:rsidRPr="009E35B2">
              <w:rPr>
                <w:b/>
              </w:rPr>
              <w:t xml:space="preserve"> </w:t>
            </w:r>
            <w:r w:rsidRPr="009E35B2">
              <w:t>Jäsenvaltioiden on varmistettava,</w:t>
            </w:r>
            <w:r w:rsidRPr="009E35B2">
              <w:rPr>
                <w:b/>
                <w:i/>
              </w:rPr>
              <w:t xml:space="preserve"> </w:t>
            </w:r>
            <w:r w:rsidRPr="009E35B2">
              <w:t xml:space="preserve">että talletusten vakuusjärjestelmän käytettävissä olevien rahoitusvarojen on oltava tavoitetasoltaan vähintään 0,8 prosenttia sen jäsenten suojattujen talletusten määrästä viimeistään </w:t>
            </w:r>
            <w:r w:rsidRPr="009E35B2">
              <w:rPr>
                <w:b/>
                <w:i/>
              </w:rPr>
              <w:t>... päivänä ...kuuta ... [18 kuukautta tämän muutosdirektiivin voimaantulopäivästä] ja että se pysyy tällä tasolla</w:t>
            </w:r>
            <w:r w:rsidRPr="009E35B2">
              <w:t>.</w:t>
            </w:r>
            <w:r w:rsidRPr="009E35B2">
              <w:rPr>
                <w:b/>
                <w:i/>
              </w:rPr>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rPr>
          <w:rStyle w:val="HideTWBExt"/>
          <w:color w:val="auto"/>
        </w:rPr>
      </w:pPr>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174</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Fabio Massimo Castaldo</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11 alakohta – a alakohta – i alakohta (uusi)</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10 artikla – 2 kohta – 1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Nykyinen teksti</w:t>
            </w:r>
          </w:p>
        </w:tc>
        <w:tc>
          <w:tcPr>
            <w:tcW w:w="4876" w:type="dxa"/>
            <w:hideMark/>
          </w:tcPr>
          <w:p w:rsidR="00E61B38" w:rsidRPr="009E35B2" w:rsidRDefault="00E61B38" w:rsidP="0024275D">
            <w:pPr>
              <w:pStyle w:val="ColumnHeading"/>
              <w:keepNext/>
            </w:pPr>
            <w:r w:rsidRPr="009E35B2">
              <w:t>Tarkistus</w:t>
            </w:r>
          </w:p>
          <w:p w:rsidR="00E61B38" w:rsidRPr="009E35B2" w:rsidRDefault="00E61B38" w:rsidP="0024275D">
            <w:pPr>
              <w:pStyle w:val="Normal6"/>
            </w:pPr>
            <w:r w:rsidRPr="009E35B2">
              <w:rPr>
                <w:b/>
                <w:i/>
              </w:rPr>
              <w:t>-i) korvataan ensimmäinen alakohta seuraavasti:</w:t>
            </w:r>
          </w:p>
        </w:tc>
      </w:tr>
      <w:tr w:rsidR="00E61B38" w:rsidRPr="009E35B2" w:rsidTr="0024275D">
        <w:trPr>
          <w:jc w:val="center"/>
        </w:trPr>
        <w:tc>
          <w:tcPr>
            <w:tcW w:w="4876" w:type="dxa"/>
          </w:tcPr>
          <w:p w:rsidR="00E61B38" w:rsidRPr="009E35B2" w:rsidRDefault="00E61B38" w:rsidP="0024275D">
            <w:pPr>
              <w:pStyle w:val="Normal6"/>
            </w:pPr>
            <w:r w:rsidRPr="009E35B2">
              <w:t>2.</w:t>
            </w:r>
            <w:r w:rsidRPr="009E35B2">
              <w:tab/>
              <w:t xml:space="preserve">Jäsenvaltioiden on varmistettava, että talletusten vakuusjärjestelmän käytettävissä olevien rahoitusvarojen on oltava tavoitetasoltaan vähintään 0,8 prosenttia sen jäsenten suojattujen talletusten määrästä viimeistään </w:t>
            </w:r>
            <w:r w:rsidRPr="009E35B2">
              <w:rPr>
                <w:b/>
                <w:i/>
                <w:iCs/>
              </w:rPr>
              <w:t>3 päivänä heinäkuuta 2024</w:t>
            </w:r>
            <w:r w:rsidRPr="009E35B2">
              <w:t>.</w:t>
            </w:r>
          </w:p>
        </w:tc>
        <w:tc>
          <w:tcPr>
            <w:tcW w:w="4876" w:type="dxa"/>
            <w:hideMark/>
          </w:tcPr>
          <w:p w:rsidR="00E61B38" w:rsidRPr="009E35B2" w:rsidRDefault="00E61B38" w:rsidP="0024275D">
            <w:pPr>
              <w:pStyle w:val="Normal6"/>
              <w:rPr>
                <w:szCs w:val="24"/>
              </w:rPr>
            </w:pPr>
            <w:r w:rsidRPr="009E35B2">
              <w:t>2.</w:t>
            </w:r>
            <w:r w:rsidRPr="009E35B2">
              <w:rPr>
                <w:b/>
              </w:rPr>
              <w:t xml:space="preserve"> </w:t>
            </w:r>
            <w:r w:rsidRPr="009E35B2">
              <w:t>Jäsenvaltioiden on varmistettava,</w:t>
            </w:r>
            <w:r w:rsidRPr="009E35B2">
              <w:rPr>
                <w:b/>
                <w:i/>
              </w:rPr>
              <w:t xml:space="preserve"> </w:t>
            </w:r>
            <w:r w:rsidRPr="009E35B2">
              <w:t xml:space="preserve">että talletusten vakuusjärjestelmän käytettävissä olevien rahoitusvarojen on oltava tavoitetasoltaan vähintään 0,8 prosenttia sen jäsenten suojattujen talletusten määrästä viimeistään </w:t>
            </w:r>
            <w:r w:rsidRPr="009E35B2">
              <w:rPr>
                <w:b/>
                <w:i/>
              </w:rPr>
              <w:t>... päivänä ...kuuta ... [18 kuukautta tämän muutosdirektiivin voimaantulopäivästä] ja että se pysyy tällä tasolla</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175</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11 alakohta – a alakohta – i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10 artikla – 2 kohta – 2 ja 3 alakohdat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rPr>
                <w:b/>
                <w:i/>
              </w:rPr>
              <w:t>(i)</w:t>
            </w:r>
            <w:r w:rsidRPr="009E35B2">
              <w:rPr>
                <w:b/>
                <w:i/>
              </w:rPr>
              <w:tab/>
              <w:t>lisätään ensimmäisen alakohdan jälkeen alakohdat seuraavasti:</w:t>
            </w:r>
          </w:p>
        </w:tc>
        <w:tc>
          <w:tcPr>
            <w:tcW w:w="4876" w:type="dxa"/>
            <w:hideMark/>
          </w:tcPr>
          <w:p w:rsidR="00E61B38" w:rsidRPr="009E35B2" w:rsidRDefault="00E61B38" w:rsidP="0024275D">
            <w:pPr>
              <w:pStyle w:val="Normal6"/>
              <w:rPr>
                <w:szCs w:val="24"/>
              </w:rPr>
            </w:pPr>
            <w:r w:rsidRPr="009E35B2">
              <w:rPr>
                <w:b/>
                <w:i/>
              </w:rPr>
              <w:t>Poistetaan.</w:t>
            </w:r>
          </w:p>
        </w:tc>
      </w:tr>
      <w:tr w:rsidR="00E61B38" w:rsidRPr="009E35B2" w:rsidTr="0024275D">
        <w:trPr>
          <w:jc w:val="center"/>
        </w:trPr>
        <w:tc>
          <w:tcPr>
            <w:tcW w:w="4876" w:type="dxa"/>
            <w:hideMark/>
          </w:tcPr>
          <w:p w:rsidR="00E61B38" w:rsidRPr="009E35B2" w:rsidRDefault="00E61B38" w:rsidP="0024275D">
            <w:pPr>
              <w:pStyle w:val="Normal6"/>
            </w:pPr>
            <w:r w:rsidRPr="009E35B2">
              <w:rPr>
                <w:b/>
                <w:i/>
              </w:rPr>
              <w:t>”</w:t>
            </w:r>
          </w:p>
        </w:tc>
        <w:tc>
          <w:tcPr>
            <w:tcW w:w="4876" w:type="dxa"/>
          </w:tcPr>
          <w:p w:rsidR="00E61B38" w:rsidRPr="009E35B2" w:rsidRDefault="00E61B38" w:rsidP="0024275D">
            <w:pPr>
              <w:pStyle w:val="Normal6"/>
              <w:rPr>
                <w:szCs w:val="24"/>
              </w:rPr>
            </w:pPr>
          </w:p>
        </w:tc>
      </w:tr>
      <w:tr w:rsidR="00E61B38" w:rsidRPr="009E35B2" w:rsidTr="0024275D">
        <w:trPr>
          <w:jc w:val="center"/>
        </w:trPr>
        <w:tc>
          <w:tcPr>
            <w:tcW w:w="4876" w:type="dxa"/>
            <w:hideMark/>
          </w:tcPr>
          <w:p w:rsidR="00E61B38" w:rsidRPr="009E35B2" w:rsidRDefault="00E61B38" w:rsidP="0024275D">
            <w:pPr>
              <w:pStyle w:val="Normal6"/>
            </w:pPr>
            <w:r w:rsidRPr="009E35B2">
              <w:rPr>
                <w:b/>
                <w:i/>
              </w:rPr>
              <w:t>Ensimmäisessä alakohdassa tarkoitetun tavoitetason laskemisessa käytettävä viitejakso alkaa 31 päivänä joulukuuta, joka edeltää sitä päivää, jona tavoitetaso on määrä saavuttaa, ja päättyy kyseisenä päivänä.</w:t>
            </w:r>
          </w:p>
        </w:tc>
        <w:tc>
          <w:tcPr>
            <w:tcW w:w="4876" w:type="dxa"/>
          </w:tcPr>
          <w:p w:rsidR="00E61B38" w:rsidRPr="009E35B2" w:rsidRDefault="00E61B38" w:rsidP="0024275D">
            <w:pPr>
              <w:pStyle w:val="Normal6"/>
              <w:rPr>
                <w:szCs w:val="24"/>
              </w:rPr>
            </w:pPr>
          </w:p>
        </w:tc>
      </w:tr>
      <w:tr w:rsidR="00E61B38" w:rsidRPr="009E35B2" w:rsidTr="0024275D">
        <w:trPr>
          <w:jc w:val="center"/>
        </w:trPr>
        <w:tc>
          <w:tcPr>
            <w:tcW w:w="4876" w:type="dxa"/>
            <w:hideMark/>
          </w:tcPr>
          <w:p w:rsidR="00E61B38" w:rsidRPr="009E35B2" w:rsidRDefault="00E61B38" w:rsidP="0024275D">
            <w:pPr>
              <w:pStyle w:val="Normal6"/>
            </w:pPr>
            <w:r w:rsidRPr="009E35B2">
              <w:rPr>
                <w:b/>
                <w:i/>
              </w:rPr>
              <w:t>Määrittäessään, onko talletusten vakuusjärjestelmä saavuttanut kyseisen tavoitetason, jäsenvaltioiden on otettava huomioon ainoastaan järjestelmän jäsenien suoraan maksamat tai niiltä perityt käytettävissä olevat rahoitusvarat, joista on vähennetty hallinnolliset kustannukset ja maksut. Näihin käytettävissä oleviin rahoitusvaroihin on sisällytettävä sijoitustulot, jotka saadaan jäsenten talletusten vakuusjärjestelmään maksamista varoista, mutta ne eivät saa sisältää korvauksia, joita suojakelpoiset tallettajat eivät ole vaatineet korvausmenettelyjen aikana, eivätkä talletusten vakuusjärjestelmien välisiä lainoja.</w:t>
            </w:r>
          </w:p>
        </w:tc>
        <w:tc>
          <w:tcPr>
            <w:tcW w:w="4876" w:type="dxa"/>
          </w:tcPr>
          <w:p w:rsidR="00E61B38" w:rsidRPr="009E35B2" w:rsidRDefault="00E61B38" w:rsidP="0024275D">
            <w:pPr>
              <w:pStyle w:val="Normal6"/>
              <w:rPr>
                <w:szCs w:val="24"/>
              </w:rPr>
            </w:pPr>
          </w:p>
        </w:tc>
      </w:tr>
      <w:tr w:rsidR="00E61B38" w:rsidRPr="009E35B2" w:rsidTr="0024275D">
        <w:trPr>
          <w:jc w:val="center"/>
        </w:trPr>
        <w:tc>
          <w:tcPr>
            <w:tcW w:w="4876" w:type="dxa"/>
            <w:hideMark/>
          </w:tcPr>
          <w:p w:rsidR="00E61B38" w:rsidRPr="009E35B2" w:rsidRDefault="00E61B38" w:rsidP="0024275D">
            <w:pPr>
              <w:pStyle w:val="Normal6"/>
            </w:pPr>
            <w:r w:rsidRPr="009E35B2">
              <w:rPr>
                <w:b/>
                <w:i/>
              </w:rPr>
              <w:t>”;</w:t>
            </w:r>
          </w:p>
        </w:tc>
        <w:tc>
          <w:tcPr>
            <w:tcW w:w="4876" w:type="dxa"/>
          </w:tcPr>
          <w:p w:rsidR="00E61B38" w:rsidRPr="009E35B2" w:rsidRDefault="00E61B38" w:rsidP="0024275D">
            <w:pPr>
              <w:pStyle w:val="Normal6"/>
              <w:rPr>
                <w:szCs w:val="24"/>
              </w:rPr>
            </w:pP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176</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11 alakohta – a alakohta – i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10 artikla – 2 kohta – 3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Määrittäessään, onko talletusten vakuusjärjestelmä saavuttanut kyseisen tavoitetason, jäsenvaltioiden on otettava huomioon ainoastaan järjestelmän jäsenien suoraan maksamat tai niiltä perityt käytettävissä olevat rahoitusvarat, joista on vähennetty hallinnolliset kustannukset ja maksut. Näihin käytettävissä oleviin rahoitusvaroihin on sisällytettävä sijoitustulot, jotka saadaan jäsenten talletusten vakuusjärjestelmään maksamista varoista, mutta ne eivät saa sisältää korvauksia, joita suojakelpoiset tallettajat eivät ole vaatineet korvausmenettelyjen aikana, eivätkä talletusten vakuusjärjestelmien välisiä lainoja.</w:t>
            </w:r>
          </w:p>
        </w:tc>
        <w:tc>
          <w:tcPr>
            <w:tcW w:w="4876" w:type="dxa"/>
            <w:hideMark/>
          </w:tcPr>
          <w:p w:rsidR="00E61B38" w:rsidRPr="009E35B2" w:rsidRDefault="00E61B38" w:rsidP="0024275D">
            <w:pPr>
              <w:pStyle w:val="Normal6"/>
              <w:rPr>
                <w:szCs w:val="24"/>
              </w:rPr>
            </w:pPr>
            <w:r w:rsidRPr="009E35B2">
              <w:t xml:space="preserve">Määrittäessään, onko talletusten vakuusjärjestelmä saavuttanut kyseisen tavoitetason, jäsenvaltioiden on otettava huomioon ainoastaan järjestelmän jäsenien suoraan maksamat tai niiltä perityt käytettävissä olevat rahoitusvarat, joista on vähennetty hallinnolliset kustannukset ja maksut. Näihin käytettävissä oleviin rahoitusvaroihin on sisällytettävä sijoitustulot, jotka saadaan jäsenten talletusten vakuusjärjestelmään maksamista varoista, mutta ne eivät saa sisältää korvauksia, joita suojakelpoiset tallettajat eivät ole vaatineet korvausmenettelyjen aikana, eivätkä talletusten vakuusjärjestelmien välisiä lainoja </w:t>
            </w:r>
            <w:r w:rsidRPr="009E35B2">
              <w:rPr>
                <w:b/>
                <w:i/>
              </w:rPr>
              <w:t>tai talletusten vakuusjärjestelmän maksamattomia velkoja, mukaan lukien muilta talletusten vakuusjärjestelmiltä saadut lainat ja 10 artiklan 9 alakohdassa tarkoitetut vaihtoehtoiset rahoitusjärjestelyt</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Support for the Commission proposal that the available financial means that count toward the target level shall be limited to funds stemming from contributions, and exclude all borrowings made by the DGS. However, loans made to another DGS shall still count towards the target level (as long as the loan is financed by funds stemming from contributions). This treatment would ensure consistency with the current treatment of loans between resolution funds (see article 10(6) BRRD) and foster loans between DGSs. Keeping the current Commission proposal would push DGSs to avoid lending to other DGSs, at some point depriving art. 12 DGSD of any effects, while going backwards regarding the objective of liquidity support between DGSs.</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177</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11 alakohta – a alakohta – i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10 artikla – 2 kohta – 2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 xml:space="preserve">Määrittäessään, onko talletusten vakuusjärjestelmä saavuttanut kyseisen tavoitetason, jäsenvaltioiden on otettava huomioon ainoastaan järjestelmän jäsenien suoraan maksamat tai niiltä perityt käytettävissä olevat rahoitusvarat, joista on vähennetty hallinnolliset kustannukset ja maksut. Näihin käytettävissä oleviin rahoitusvaroihin on sisällytettävä sijoitustulot, jotka saadaan jäsenten talletusten vakuusjärjestelmään maksamista varoista, mutta ne eivät saa sisältää korvauksia, joita suojakelpoiset tallettajat eivät ole vaatineet korvausmenettelyjen aikana, eivätkä </w:t>
            </w:r>
            <w:r w:rsidRPr="009E35B2">
              <w:rPr>
                <w:b/>
                <w:bCs/>
                <w:i/>
                <w:iCs/>
              </w:rPr>
              <w:t xml:space="preserve">talletusten vakuusjärjestelmien välisiä </w:t>
            </w:r>
            <w:r w:rsidRPr="009E35B2">
              <w:t>lainoja.</w:t>
            </w:r>
          </w:p>
        </w:tc>
        <w:tc>
          <w:tcPr>
            <w:tcW w:w="4876" w:type="dxa"/>
            <w:hideMark/>
          </w:tcPr>
          <w:p w:rsidR="00E61B38" w:rsidRPr="009E35B2" w:rsidRDefault="00E61B38" w:rsidP="0024275D">
            <w:pPr>
              <w:pStyle w:val="Normal6"/>
              <w:rPr>
                <w:szCs w:val="24"/>
              </w:rPr>
            </w:pPr>
            <w:r w:rsidRPr="009E35B2">
              <w:t>Määrittäessään, onko talletusten vakuusjärjestelmä saavuttanut kyseisen tavoitetason, jäsenvaltioiden on otettava huomioon ainoastaan järjestelmän jäsenien suoraan maksamat tai niiltä perityt käytettävissä olevat rahoitusvarat, joista on vähennetty hallinnolliset kustannukset ja maksut. Näihin käytettävissä oleviin rahoitusvaroihin on sisällytettävä sijoitustulot, jotka saadaan jäsenten talletusten vakuusjärjestelmään maksamista varoista, mutta ne eivät saa sisältää korvauksia, joita suojakelpoiset tallettajat eivät ole vaatineet korvausmenettelyjen aikana, eivätkä lainoja</w:t>
            </w:r>
            <w:r w:rsidRPr="009E35B2">
              <w:rPr>
                <w:b/>
                <w:i/>
              </w:rPr>
              <w:t>, mukaan lukien talletusten vakuusjärjestelmien väliset lainat</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178</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11 alakohta – a alakohta – i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10 artikla – 2 kohta – 3 a alakohta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Toiselle talletusten vakuusjärjestelmälle 12 artiklan mukaisesti myönnettyä maksamatonta lainaa on käsiteltävä lainan antaneen talletusten vakuusjärjestelmän omaisuuseränä ja se voidaan laskea mukaan kyseisen talletusten vakuusjärjestelmän tavoitetasoon.”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Support for the proposal that the available financial means that count toward the target level shall be limited to funds stemming from contributions, and exclude all borrowings made by the DGS. However, loans made to another DGS shall still count towards the target level (as long as the loan is financed by funds stemming from contributions). This treatment would ensure consistency with the current treatment of loans between resolution funds (see article 106(6) BRRD) and foster loans between DGSs. Keeping the current Commission proposal would push DGSs to avoid lending to other DGSs, at some point depriving art. 12 DGSD of any effects, while going backwards regarding the objective of liquidity support between DGSs.</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179</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Enikő Győri</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11 alakohta – a alakohta – ii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10 artikla – 2 kohta – 3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Jos sen jälkeen, kun ensimmäisessä alakohdassa tarkoitettu tavoitetaso on saavutettu ensimmäisen kerran, käytettävissä olevat rahoitusvarat ovat 8 artiklan 1 kohdan ja 11 artiklan 2, 3 ja 5 alakohdan mukaisen maksujen suorittamisen seurauksena vähentyneet alle kahteen kolmasosaan tavoitetasosta, talletusten vakuusjärjestelmien on asetettava säännöllinen kannatusmaksu tasolle, joka mahdollistaa tavoitetason saavuttamisen kuuden vuoden kuluessa.</w:t>
            </w:r>
          </w:p>
        </w:tc>
        <w:tc>
          <w:tcPr>
            <w:tcW w:w="4876" w:type="dxa"/>
            <w:hideMark/>
          </w:tcPr>
          <w:p w:rsidR="00E61B38" w:rsidRPr="009E35B2" w:rsidRDefault="00E61B38" w:rsidP="0024275D">
            <w:pPr>
              <w:pStyle w:val="Normal6"/>
              <w:rPr>
                <w:szCs w:val="24"/>
              </w:rPr>
            </w:pPr>
            <w:r w:rsidRPr="009E35B2">
              <w:t xml:space="preserve">Jos sen jälkeen, kun ensimmäisessä alakohdassa tarkoitettu tavoitetaso on saavutettu ensimmäisen kerran, käytettävissä olevat rahoitusvarat ovat 8 artiklan 1 kohdan ja 11 artiklan 2, 3 ja 5 alakohdan mukaisen maksujen suorittamisen seurauksena vähentyneet alle kahteen kolmasosaan tavoitetasosta, talletusten vakuusjärjestelmien on asetettava säännöllinen kannatusmaksu tasolle, joka mahdollistaa tavoitetason saavuttamisen kuuden vuoden kuluessa. </w:t>
            </w:r>
            <w:r w:rsidRPr="009E35B2">
              <w:rPr>
                <w:b/>
                <w:i/>
              </w:rPr>
              <w:t>Jos rahoitusvaroja on vähennetty mutta se ne ovat pysyneet tavoitetason kahta kolmasosaa korkeampana, talletusten vakuusjärjestelmien on asetettava säännöllinen rahoitusosuus tasolle, joka mahdollistaa tavoitetason saavuttamisen kolmen vuoden kuluessa.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180</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Irene Tinagli</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rPr>
          <w:rStyle w:val="HideTWBExt"/>
          <w:b w:val="0"/>
          <w:color w:val="auto"/>
        </w:rPr>
      </w:pPr>
      <w:r w:rsidRPr="009E35B2">
        <w:rPr>
          <w:rStyle w:val="HideTWBExt"/>
          <w:b w:val="0"/>
        </w:rPr>
        <w:t>&lt;Article&gt;</w:t>
      </w:r>
      <w:r w:rsidRPr="009E35B2">
        <w:t>1 artikla – 1 kohta – 11 alakohta – c a alakohta (uusi)</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10 artikla – 6 kohta – 1 alakohta – a–b alakohta</w:t>
      </w:r>
      <w:r w:rsidRPr="009E35B2">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tc>
      </w:tr>
      <w:tr w:rsidR="00E61B38" w:rsidRPr="009E35B2" w:rsidTr="0024275D">
        <w:trPr>
          <w:jc w:val="center"/>
        </w:trPr>
        <w:tc>
          <w:tcPr>
            <w:tcW w:w="4876" w:type="dxa"/>
            <w:hideMark/>
          </w:tcPr>
          <w:p w:rsidR="00E61B38" w:rsidRPr="009E35B2" w:rsidRDefault="00E61B38" w:rsidP="0024275D">
            <w:pPr>
              <w:pStyle w:val="ColumnHeading"/>
              <w:keepNext/>
            </w:pPr>
            <w:r w:rsidRPr="009E35B2">
              <w:t>Nykyinen teksti</w:t>
            </w:r>
          </w:p>
          <w:p w:rsidR="00E61B38" w:rsidRPr="009E35B2" w:rsidRDefault="00E61B38" w:rsidP="0024275D">
            <w:pPr>
              <w:pStyle w:val="ColumnHeading"/>
              <w:keepNext/>
            </w:pP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c a)</w:t>
            </w:r>
            <w:r w:rsidRPr="009E35B2">
              <w:rPr>
                <w:b/>
                <w:i/>
              </w:rPr>
              <w:tab/>
              <w:t>korvataan 6 kohdan a ja b alakohta seuraavasti:</w:t>
            </w:r>
          </w:p>
        </w:tc>
      </w:tr>
      <w:tr w:rsidR="00E61B38" w:rsidRPr="009E35B2" w:rsidTr="0024275D">
        <w:trPr>
          <w:jc w:val="center"/>
        </w:trPr>
        <w:tc>
          <w:tcPr>
            <w:tcW w:w="4876" w:type="dxa"/>
          </w:tcPr>
          <w:p w:rsidR="00E61B38" w:rsidRPr="009E35B2" w:rsidRDefault="00E61B38" w:rsidP="0024275D">
            <w:pPr>
              <w:pStyle w:val="Normal6"/>
            </w:pPr>
            <w:r w:rsidRPr="009E35B2">
              <w:t>a)</w:t>
            </w:r>
            <w:r w:rsidRPr="009E35B2">
              <w:tab/>
            </w:r>
            <w:r w:rsidRPr="009E35B2">
              <w:rPr>
                <w:b/>
                <w:bCs/>
                <w:i/>
                <w:iCs/>
              </w:rPr>
              <w:t>alentaminen</w:t>
            </w:r>
            <w:r w:rsidRPr="009E35B2">
              <w:t xml:space="preserve"> perustuu siihen oletukseen, että on epätodennäköistä, että merkittävä osuus saatavilla olevista rahoitusvaroista käytettäisiin toimenpiteisiin, joilla suojataan muita kuin 11 artiklan 2 ja 6 kohdassa tarkoitettuja suojattuja tallettajia; ja</w:t>
            </w:r>
          </w:p>
          <w:p w:rsidR="00E61B38" w:rsidRPr="009E35B2" w:rsidRDefault="00E61B38" w:rsidP="0024275D">
            <w:pPr>
              <w:pStyle w:val="Normal6"/>
            </w:pPr>
          </w:p>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rPr>
              <w:t>”</w:t>
            </w:r>
            <w:r w:rsidRPr="009E35B2">
              <w:t xml:space="preserve">a) </w:t>
            </w:r>
            <w:r w:rsidRPr="009E35B2">
              <w:rPr>
                <w:b/>
                <w:i/>
              </w:rPr>
              <w:t>alentamista sovelletaan yksittäisten talletusten vakuusjärjestelmien tasolla ja se</w:t>
            </w:r>
            <w:r w:rsidRPr="009E35B2">
              <w:t xml:space="preserve"> perustuu siihen oletukseen, että on epätodennäköistä, että merkittävä osuus saatavilla olevista rahoitusvaroista käytettäisiin toimenpiteisiin, joilla suojataan muita kuin 11 artiklan 2 ja 6 kohdassa tarkoitettuja suojattuja tallettajia; ja</w:t>
            </w:r>
          </w:p>
        </w:tc>
      </w:tr>
      <w:tr w:rsidR="00E61B38" w:rsidRPr="009E35B2" w:rsidTr="0024275D">
        <w:trPr>
          <w:jc w:val="center"/>
        </w:trPr>
        <w:tc>
          <w:tcPr>
            <w:tcW w:w="4876" w:type="dxa"/>
          </w:tcPr>
          <w:p w:rsidR="00E61B38" w:rsidRPr="009E35B2" w:rsidRDefault="00E61B38" w:rsidP="0024275D">
            <w:pPr>
              <w:pStyle w:val="Normal6"/>
            </w:pPr>
            <w:r w:rsidRPr="009E35B2">
              <w:t>b)</w:t>
            </w:r>
            <w:r w:rsidRPr="009E35B2">
              <w:tab/>
              <w:t xml:space="preserve">pankkiala, </w:t>
            </w:r>
            <w:r w:rsidRPr="009E35B2">
              <w:rPr>
                <w:b/>
                <w:i/>
                <w:iCs/>
              </w:rPr>
              <w:t>jolla talletusten vakuusjärjestelmiin kuuluvat luottolaitokset toimivat</w:t>
            </w:r>
            <w:r w:rsidRPr="009E35B2">
              <w:t>, on voimakkaasti keskittynyttä ja vähäisellä määrällä luottolaitoksia tai pankkiryhmiä on hallussaan suuri määrä varallisuutta ja niihin sovelletaan vakavaraisuusvalvontaa konsolidoidusti, jolloin maksukyvyttömyystapauksissa ne todennäköisesti joutuvat kokonsa vuoksi kriisinratkaisumenettelyyn.</w:t>
            </w:r>
          </w:p>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t xml:space="preserve">b) pankkiala, </w:t>
            </w:r>
            <w:r w:rsidRPr="009E35B2">
              <w:rPr>
                <w:b/>
                <w:i/>
              </w:rPr>
              <w:t>joka muodostuu talletusten vakuusjärjestelmiin kuuluvista luottolaitoksista</w:t>
            </w:r>
            <w:r w:rsidRPr="009E35B2">
              <w:t>, on voimakkaasti keskittynyttä ja vähäisellä määrällä luottolaitoksia tai pankkiryhmiä on hallussaan suuri määrä varallisuutta ja niihin sovelletaan vakavaraisuusvalvontaa konsolidoidusti, jolloin maksukyvyttömyystapauksissa ne todennäköisesti joutuvat kokonsa vuoksi kriisinratkaisumenettelyyn.</w:t>
            </w:r>
            <w:r w:rsidRPr="009E35B2">
              <w:rPr>
                <w:b/>
                <w:bCs/>
                <w:i/>
              </w:rPr>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Tarkistuksella pyritään selventämään, että tavoitetason alentamisen hyväksymisedellytysten arviointi on suoritettava talletusten vakuusjärjestelmätasolla eikä jäsenvaltiotasolla ottaen huomioon, että jäsenvaltiossa voi olla useampi kuin yksi talletusten vakuusjärjestelmä. Säädöksen tulkinnan on oltava selkeämmin johdonmukainen sen taloudellisten ja rahoituksellisten perustelujen kanssa, sillä taso, jolla talletussuojariskit syntyvät ja jolla niitä hallitaan, on epäilemättä talletusten vakuusjärjestelmätaso. Nykyisessä kehyksessä ei suunnitella riskien jakamista talletusten vakuusjärjestelmien välillä.</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181</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Ernest Urtasun</w:t>
      </w:r>
      <w:r w:rsidRPr="009E35B2">
        <w:rPr>
          <w:rStyle w:val="HideTWBExt"/>
          <w:b w:val="0"/>
        </w:rPr>
        <w:t>&lt;/Members&gt;</w:t>
      </w:r>
    </w:p>
    <w:p w:rsidR="00E61B38" w:rsidRPr="009E35B2" w:rsidRDefault="00E61B38" w:rsidP="00E61B38">
      <w:r w:rsidRPr="009E35B2">
        <w:rPr>
          <w:rStyle w:val="HideTWBExt"/>
        </w:rPr>
        <w:t>&lt;AuNomDe&gt;</w:t>
      </w:r>
      <w:r w:rsidRPr="009E35B2">
        <w:rPr>
          <w:rStyle w:val="HideTWBInt"/>
        </w:rPr>
        <w:t>{Verts/ALE}</w:t>
      </w:r>
      <w:r w:rsidRPr="009E35B2">
        <w:t>Verts/ALE-ryhmän puolesta</w:t>
      </w:r>
      <w:r w:rsidRPr="009E35B2">
        <w:rPr>
          <w:rStyle w:val="HideTWBExt"/>
        </w:rPr>
        <w:t>&lt;/AuNomDe&gt;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11 alakohta – d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10 artikla – 7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7.</w:t>
            </w:r>
            <w:r w:rsidRPr="009E35B2">
              <w:tab/>
              <w:t>Jäsenvaltion on varmistettava, että talletusten vakuusjärjestelmät, nimetyt viranomaiset tai toimivaltaiset viranomaiset määrittävät sijoitusstrategian talletusten vakuusjärjestelmien käytettävissä oleville rahoitusvaroille ja että tämä sijoitusstrategia on hajauttamista ja vähäriskiseen varallisuuteen sijoittamista koskevan periaatteen mukainen.”;</w:t>
            </w:r>
          </w:p>
        </w:tc>
        <w:tc>
          <w:tcPr>
            <w:tcW w:w="4876" w:type="dxa"/>
            <w:hideMark/>
          </w:tcPr>
          <w:p w:rsidR="00E61B38" w:rsidRPr="009E35B2" w:rsidRDefault="00E61B38" w:rsidP="0024275D">
            <w:pPr>
              <w:pStyle w:val="Normal6"/>
              <w:rPr>
                <w:szCs w:val="24"/>
              </w:rPr>
            </w:pPr>
            <w:r w:rsidRPr="009E35B2">
              <w:t>7.</w:t>
            </w:r>
            <w:r w:rsidRPr="009E35B2">
              <w:tab/>
              <w:t xml:space="preserve">Jäsenvaltion on varmistettava, että talletusten vakuusjärjestelmät, nimetyt viranomaiset tai toimivaltaiset viranomaiset määrittävät sijoitusstrategian talletusten vakuusjärjestelmien käytettävissä oleville rahoitusvaroille ja että tämä sijoitusstrategia on hajauttamista ja vähäriskiseen </w:t>
            </w:r>
            <w:r w:rsidRPr="009E35B2">
              <w:rPr>
                <w:b/>
                <w:i/>
              </w:rPr>
              <w:t>ja likvidiin</w:t>
            </w:r>
            <w:r w:rsidRPr="009E35B2">
              <w:t xml:space="preserve"> varallisuuteen sijoittamista koskevan periaatteen mukainen.</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Jäsenvaltioiden on varmistettava, että ensimmäisessä alakohdassa tarkoitettu sijoitusstrategia on komission delegoidun asetuksen (EU) 2016/451 4, 8 ja 10 artiklassa säädettyjen periaatteiden mukainen.”</w:t>
            </w:r>
            <w:r w:rsidRPr="009E35B2">
              <w:t xml:space="preserve"> ;</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182</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Luděk Niedermayer</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11 alakohta – d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10 artikla – 7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7.</w:t>
            </w:r>
            <w:r w:rsidRPr="009E35B2">
              <w:tab/>
              <w:t>Jäsenvaltion on varmistettava, että talletusten vakuusjärjestelmät, nimetyt viranomaiset tai toimivaltaiset viranomaiset määrittävät sijoitusstrategian talletusten vakuusjärjestelmien käytettävissä oleville rahoitusvaroille ja että tämä sijoitusstrategia on hajauttamista ja vähäriskiseen varallisuuteen sijoittamista koskevan periaatteen mukainen.”;</w:t>
            </w:r>
          </w:p>
        </w:tc>
        <w:tc>
          <w:tcPr>
            <w:tcW w:w="4876" w:type="dxa"/>
            <w:hideMark/>
          </w:tcPr>
          <w:p w:rsidR="00E61B38" w:rsidRPr="009E35B2" w:rsidRDefault="00E61B38" w:rsidP="0024275D">
            <w:pPr>
              <w:pStyle w:val="Normal6"/>
              <w:rPr>
                <w:szCs w:val="24"/>
              </w:rPr>
            </w:pPr>
            <w:r w:rsidRPr="009E35B2">
              <w:t>7.</w:t>
            </w:r>
            <w:r w:rsidRPr="009E35B2">
              <w:tab/>
              <w:t xml:space="preserve">Jäsenvaltion on varmistettava, että talletusten vakuusjärjestelmät, nimetyt viranomaiset tai toimivaltaiset viranomaiset määrittävät sijoitusstrategian talletusten vakuusjärjestelmien käytettävissä oleville rahoitusvaroille ja että tämä sijoitusstrategia on hajauttamista ja vähäriskiseen varallisuuteen sijoittamista koskevan periaatteen mukainen </w:t>
            </w:r>
            <w:r w:rsidRPr="009E35B2">
              <w:rPr>
                <w:b/>
                <w:i/>
              </w:rPr>
              <w:t>ja tarjoaa talletusten vakuusjärjestelmälle sen tehtävän täyttämiseen tarvittavaa maksuvalmiutta</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183</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Luděk Niedermayer</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11 alakohta – e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10 artikla – 7 a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7 a.</w:t>
            </w:r>
            <w:r w:rsidRPr="009E35B2">
              <w:tab/>
              <w:t>Jäsenvaltioiden on varmistettava, että talletusten vakuusjärjestelmät voivat tallettaa käytettävissä olevat rahoitusvaransa kokonaan tai osittain maansa kansalliseen keskuspankkiin tai valtionkonttoriin, jos kyseiset käytettävissä olevat rahoitusvarat pidetään erotellulla tilillä ja jos ne ovat helposti saatavilla talletusten vakuusjärjestelmän käyttöön 11 ja 12 artiklan mukaisesti.”;</w:t>
            </w:r>
          </w:p>
        </w:tc>
        <w:tc>
          <w:tcPr>
            <w:tcW w:w="4876" w:type="dxa"/>
            <w:hideMark/>
          </w:tcPr>
          <w:p w:rsidR="00E61B38" w:rsidRPr="009E35B2" w:rsidRDefault="00E61B38" w:rsidP="0024275D">
            <w:pPr>
              <w:pStyle w:val="Normal6"/>
              <w:rPr>
                <w:szCs w:val="24"/>
              </w:rPr>
            </w:pPr>
            <w:r w:rsidRPr="009E35B2">
              <w:t>7 a.</w:t>
            </w:r>
            <w:r w:rsidRPr="009E35B2">
              <w:tab/>
              <w:t xml:space="preserve">Jäsenvaltioiden on varmistettava, että talletusten vakuusjärjestelmät voivat tallettaa käytettävissä olevat rahoitusvaransa kokonaan tai osittain maansa kansalliseen keskuspankkiin tai valtionkonttoriin, jos </w:t>
            </w:r>
            <w:r w:rsidRPr="009E35B2">
              <w:rPr>
                <w:b/>
                <w:i/>
              </w:rPr>
              <w:t>tämä on talletusten vakuusjärjestelmän kannalta kustannustehokas päätös ja</w:t>
            </w:r>
            <w:r w:rsidRPr="009E35B2">
              <w:t xml:space="preserve"> kyseiset käytettävissä olevat rahoitusvarat pidetään erotellulla tilillä ja jos ne ovat helposti saatavilla talletusten vakuusjärjestelmän käyttöön 11 ja 12 artiklan mukaisesti.”;</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184</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Marco Zanni, Valentino Grant, Antonio Maria Rinaldi</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11 alakohta – e a alakohta (uusi)</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10 artikla – 9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Nykyinen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e a)</w:t>
            </w:r>
            <w:r w:rsidRPr="009E35B2">
              <w:rPr>
                <w:b/>
                <w:i/>
              </w:rPr>
              <w:tab/>
              <w:t>korvataan 9 kohta seuraavasti:</w:t>
            </w:r>
          </w:p>
        </w:tc>
      </w:tr>
      <w:tr w:rsidR="00E61B38" w:rsidRPr="009E35B2" w:rsidTr="0024275D">
        <w:trPr>
          <w:jc w:val="center"/>
        </w:trPr>
        <w:tc>
          <w:tcPr>
            <w:tcW w:w="4876" w:type="dxa"/>
          </w:tcPr>
          <w:p w:rsidR="00E61B38" w:rsidRPr="009E35B2" w:rsidRDefault="00E61B38" w:rsidP="0024275D">
            <w:pPr>
              <w:pStyle w:val="Normal6"/>
            </w:pPr>
            <w:r w:rsidRPr="009E35B2">
              <w:t>9.</w:t>
            </w:r>
            <w:r w:rsidRPr="009E35B2">
              <w:tab/>
              <w:t>Jäsenvaltioiden on varmistettava, että talletusten vakuusjärjestelmillä on käytössään asianmukaiset vaihtoehtoiset rahoitusjärjestelyt, joiden avulla ne voivat hankkia lyhyen aikavälin rahoitusta täyttääkseen niitä vastaan esitetyt vaatimukset.</w:t>
            </w:r>
          </w:p>
        </w:tc>
        <w:tc>
          <w:tcPr>
            <w:tcW w:w="4876" w:type="dxa"/>
            <w:hideMark/>
          </w:tcPr>
          <w:p w:rsidR="00E61B38" w:rsidRPr="009E35B2" w:rsidRDefault="00E61B38" w:rsidP="0024275D">
            <w:pPr>
              <w:pStyle w:val="Normal6"/>
              <w:rPr>
                <w:szCs w:val="24"/>
              </w:rPr>
            </w:pPr>
            <w:r w:rsidRPr="009E35B2">
              <w:rPr>
                <w:b/>
                <w:i/>
              </w:rPr>
              <w:t>”</w:t>
            </w:r>
            <w:r w:rsidRPr="009E35B2">
              <w:t>9.</w:t>
            </w:r>
            <w:r w:rsidRPr="009E35B2">
              <w:rPr>
                <w:b/>
                <w:i/>
              </w:rPr>
              <w:t xml:space="preserve"> Vahvistetaan, että </w:t>
            </w:r>
            <w:r w:rsidRPr="009E35B2">
              <w:t>jäsenvaltioiden on varmistettava, että talletusten vakuusjärjestelmillä on käytössään asianmukaiset vaihtoehtoiset rahoitusjärjestelyt, joiden avulla ne voivat hankkia lyhyen aikavälin rahoitusta täyttääkseen niitä vastaan esitetyt vaatimukset.</w:t>
            </w:r>
            <w:r w:rsidRPr="009E35B2">
              <w:rPr>
                <w:b/>
                <w:i/>
              </w:rPr>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185</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Fabio Massimo Castaldo</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11 alakohta – e a alakohta (uusi)</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10 artikla – 9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 xml:space="preserve">Nykyinen teksti </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e a)</w:t>
            </w:r>
            <w:r w:rsidRPr="009E35B2">
              <w:rPr>
                <w:b/>
                <w:i/>
              </w:rPr>
              <w:tab/>
              <w:t>korvataan 9 kohta seuraavasti:</w:t>
            </w:r>
          </w:p>
        </w:tc>
      </w:tr>
      <w:tr w:rsidR="00E61B38" w:rsidRPr="009E35B2" w:rsidTr="0024275D">
        <w:trPr>
          <w:jc w:val="center"/>
        </w:trPr>
        <w:tc>
          <w:tcPr>
            <w:tcW w:w="4876" w:type="dxa"/>
          </w:tcPr>
          <w:p w:rsidR="00E61B38" w:rsidRPr="009E35B2" w:rsidRDefault="00E61B38" w:rsidP="0024275D">
            <w:pPr>
              <w:pStyle w:val="Normal6"/>
            </w:pPr>
            <w:r w:rsidRPr="009E35B2">
              <w:t>9.</w:t>
            </w:r>
            <w:r w:rsidRPr="009E35B2">
              <w:tab/>
              <w:t>Jäsenvaltioiden on varmistettava, että talletusten vakuusjärjestelmillä on käytössään asianmukaiset vaihtoehtoiset rahoitusjärjestelyt, joiden avulla ne voivat hankkia lyhyen aikavälin rahoitusta täyttääkseen niitä vastaan esitetyt vaatimukset.</w:t>
            </w:r>
          </w:p>
        </w:tc>
        <w:tc>
          <w:tcPr>
            <w:tcW w:w="4876" w:type="dxa"/>
            <w:hideMark/>
          </w:tcPr>
          <w:p w:rsidR="00E61B38" w:rsidRPr="009E35B2" w:rsidRDefault="00E61B38" w:rsidP="0024275D">
            <w:pPr>
              <w:pStyle w:val="Normal6"/>
              <w:rPr>
                <w:szCs w:val="24"/>
              </w:rPr>
            </w:pPr>
            <w:r w:rsidRPr="009E35B2">
              <w:rPr>
                <w:b/>
                <w:bCs/>
                <w:i/>
                <w:iCs/>
              </w:rPr>
              <w:t>”</w:t>
            </w:r>
            <w:r w:rsidRPr="009E35B2">
              <w:rPr>
                <w:b/>
                <w:i/>
              </w:rPr>
              <w:t xml:space="preserve">9. Vahvistetaan, että </w:t>
            </w:r>
            <w:r w:rsidRPr="009E35B2">
              <w:t>jäsenvaltioiden on varmistettava, että talletusten vakuusjärjestelmillä on käytössään asianmukaiset vaihtoehtoiset rahoitusjärjestelyt, joiden avulla ne voivat hankkia lyhyen aikavälin rahoitusta täyttääkseen niitä vastaan esitetyt vaatimukset.</w:t>
            </w:r>
            <w:r w:rsidRPr="009E35B2">
              <w:rPr>
                <w:b/>
                <w:i/>
              </w:rPr>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186</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11 alakohta – g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10 artikla – 11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11.</w:t>
            </w:r>
            <w:r w:rsidRPr="009E35B2">
              <w:tab/>
              <w:t>Jäsenvaltioiden on varmistettava, että talletusten vakuusjärjestelmät voivat 11 artiklan 1, 2, 3 ja 5 kohdassa tarkoitettujen toimenpiteiden yhteydessä käyttää 10 artiklan 9 kohdassa tarkoitetuista vaihtoehtoisista rahoitusjärjestelyistä peräisin olevia varoja, joita ei rahoiteta julkisilla varoilla, ennen käytettävissä olevien rahoitusvarojen käyttöä ja ennen 10 artiklan 8 kohdassa tarkoitettujen ylimääräisten kannatusmaksujen keräämistä. Jäsenvaltioiden on varmistettava, että talletusten vakuusjärjestelmät käyttävät julkisilla varoilla rahoitettuja vaihtoehtoisia rahoitusjärjestelyjä vain viimeisenä keinona.</w:t>
            </w:r>
          </w:p>
        </w:tc>
        <w:tc>
          <w:tcPr>
            <w:tcW w:w="4876" w:type="dxa"/>
            <w:hideMark/>
          </w:tcPr>
          <w:p w:rsidR="00E61B38" w:rsidRPr="009E35B2" w:rsidRDefault="00E61B38" w:rsidP="0024275D">
            <w:pPr>
              <w:pStyle w:val="Normal6"/>
              <w:rPr>
                <w:szCs w:val="24"/>
              </w:rPr>
            </w:pPr>
            <w:r w:rsidRPr="009E35B2">
              <w:t>11.</w:t>
            </w:r>
            <w:r w:rsidRPr="009E35B2">
              <w:tab/>
              <w:t>Jäsenvaltioiden on varmistettava, että talletusten vakuusjärjestelmät voivat 11 artiklan 1, 2, 3 ja 5 kohdassa tarkoitettujen toimenpiteiden yhteydessä käyttää 10 artiklan 9 kohdassa tarkoitetuista vaihtoehtoisista rahoitusjärjestelyistä peräisin olevia varoja, joita ei rahoiteta julkisilla varoilla, ennen käytettävissä olevien rahoitusvarojen käyttöä ja ennen 10 artiklan 8 kohdassa tarkoitettujen ylimääräisten kannatusmaksujen keräämistä. Jäsenvaltioiden on varmistettava, että talletusten vakuusjärjestelmät käyttävät julkisilla varoilla rahoitettuja vaihtoehtoisia rahoitusjärjestelyjä vain viimeisenä keinona</w:t>
            </w:r>
            <w:r w:rsidRPr="009E35B2">
              <w:rPr>
                <w:b/>
                <w:i/>
              </w:rPr>
              <w:t>, kun kaikki muut vaihtoehdot on käytetty</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187</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Luděk Niedermayer</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11 alakohta – g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10 artikla – 11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11.</w:t>
            </w:r>
            <w:r w:rsidRPr="009E35B2">
              <w:tab/>
              <w:t>Jäsenvaltioiden on varmistettava, että talletusten vakuusjärjestelmät voivat 11 artiklan 1, 2, 3 ja 5 kohdassa tarkoitettujen toimenpiteiden yhteydessä käyttää 10 artiklan 9 kohdassa tarkoitetuista vaihtoehtoisista rahoitusjärjestelyistä peräisin olevia varoja, joita ei rahoiteta julkisilla varoilla, ennen käytettävissä olevien rahoitusvarojen käyttöä ja ennen 10 artiklan 8 kohdassa tarkoitettujen ylimääräisten kannatusmaksujen keräämistä. Jäsenvaltioiden on varmistettava, että talletusten vakuusjärjestelmät käyttävät julkisilla varoilla rahoitettuja vaihtoehtoisia rahoitusjärjestelyjä vain viimeisenä keinona.</w:t>
            </w:r>
          </w:p>
        </w:tc>
        <w:tc>
          <w:tcPr>
            <w:tcW w:w="4876" w:type="dxa"/>
            <w:hideMark/>
          </w:tcPr>
          <w:p w:rsidR="00E61B38" w:rsidRPr="009E35B2" w:rsidRDefault="00E61B38" w:rsidP="0024275D">
            <w:pPr>
              <w:pStyle w:val="Normal6"/>
              <w:rPr>
                <w:szCs w:val="24"/>
              </w:rPr>
            </w:pPr>
            <w:r w:rsidRPr="009E35B2">
              <w:t>11.</w:t>
            </w:r>
            <w:r w:rsidRPr="009E35B2">
              <w:tab/>
              <w:t xml:space="preserve">Jäsenvaltioiden on varmistettava, että talletusten vakuusjärjestelmät voivat 11 artiklan 1, 2, 3 ja 5 kohdassa tarkoitettujen toimenpiteiden yhteydessä käyttää 10 artiklan 9 kohdassa tarkoitetuista vaihtoehtoisista rahoitusjärjestelyistä peräisin olevia varoja, joita ei rahoiteta julkisilla varoilla, ennen käytettävissä olevien rahoitusvarojen käyttöä ja ennen 10 artiklan 8 kohdassa tarkoitettujen ylimääräisten kannatusmaksujen keräämistä. Jäsenvaltioiden on varmistettava, että talletusten vakuusjärjestelmät käyttävät julkisilla varoilla rahoitettuja vaihtoehtoisia rahoitusjärjestelyjä vain viimeisenä keinona </w:t>
            </w:r>
            <w:r w:rsidRPr="009E35B2">
              <w:rPr>
                <w:b/>
                <w:i/>
              </w:rPr>
              <w:t>ja jos ne ovat kustannustehokkaita</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188</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Marco Zanni, Valentino Grant, Antonio Maria Rinaldi</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11 alakohta – g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10 artikla – 11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11.</w:t>
            </w:r>
            <w:r w:rsidRPr="009E35B2">
              <w:tab/>
              <w:t>Jäsenvaltioiden on varmistettava, että talletusten vakuusjärjestelmät voivat 11 artiklan 1, 2, 3 ja 5 kohdassa tarkoitettujen toimenpiteiden yhteydessä käyttää 10 artiklan 9 kohdassa tarkoitetuista vaihtoehtoisista rahoitusjärjestelyistä peräisin olevia varoja</w:t>
            </w:r>
            <w:r w:rsidRPr="009E35B2">
              <w:rPr>
                <w:b/>
                <w:i/>
              </w:rPr>
              <w:t>, joita ei rahoiteta julkisilla varoilla,</w:t>
            </w:r>
            <w:r w:rsidRPr="009E35B2">
              <w:t xml:space="preserve"> ennen käytettävissä olevien rahoitusvarojen käyttöä ja ennen 10 artiklan 8 kohdassa tarkoitettujen ylimääräisten kannatusmaksujen keräämistä. Jäsenvaltioiden on varmistettava, että talletusten vakuusjärjestelmät käyttävät julkisilla varoilla rahoitettuja vaihtoehtoisia rahoitusjärjestelyjä vain viimeisenä keinona.</w:t>
            </w:r>
          </w:p>
        </w:tc>
        <w:tc>
          <w:tcPr>
            <w:tcW w:w="4876" w:type="dxa"/>
            <w:hideMark/>
          </w:tcPr>
          <w:p w:rsidR="00E61B38" w:rsidRPr="009E35B2" w:rsidRDefault="00E61B38" w:rsidP="0024275D">
            <w:pPr>
              <w:pStyle w:val="Normal6"/>
              <w:rPr>
                <w:szCs w:val="24"/>
              </w:rPr>
            </w:pPr>
            <w:r w:rsidRPr="009E35B2">
              <w:t>11.</w:t>
            </w:r>
            <w:r w:rsidRPr="009E35B2">
              <w:tab/>
              <w:t>Jäsenvaltioiden on varmistettava, että talletusten vakuusjärjestelmät voivat 11 artiklan 1, 2, 3 ja 5 kohdassa tarkoitettujen toimenpiteiden yhteydessä käyttää 10 artiklan 9 kohdassa tarkoitetuista vaihtoehtoisista rahoitusjärjestelyistä peräisin olevia varoja ennen käytettävissä olevien rahoitusvarojen käyttöä ja ennen 10 artiklan 8 kohdassa tarkoitettujen ylimääräisten kannatusmaksujen keräämistä. Jäsenvaltioiden on varmistettava, että talletusten vakuusjärjestelmät käyttävät julkisilla varoilla rahoitettuja vaihtoehtoisia rahoitusjärjestelyjä vain viimeisenä keinona.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189</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Fabio Massimo Castaldo</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11 alakohta – g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10 artikla – 11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11.</w:t>
            </w:r>
            <w:r w:rsidRPr="009E35B2">
              <w:tab/>
              <w:t>Jäsenvaltioiden on varmistettava, että talletusten vakuusjärjestelmät voivat 11 artiklan 1, 2, 3 ja 5 kohdassa tarkoitettujen toimenpiteiden yhteydessä käyttää 10 artiklan 9 kohdassa tarkoitetuista vaihtoehtoisista rahoitusjärjestelyistä peräisin olevia varoja</w:t>
            </w:r>
            <w:r w:rsidRPr="009E35B2">
              <w:rPr>
                <w:b/>
                <w:i/>
              </w:rPr>
              <w:t>, joita ei rahoiteta julkisilla varoilla,</w:t>
            </w:r>
            <w:r w:rsidRPr="009E35B2">
              <w:t xml:space="preserve"> ennen käytettävissä olevien rahoitusvarojen käyttöä ja ennen 10 artiklan 8 kohdassa tarkoitettujen ylimääräisten kannatusmaksujen keräämistä. Jäsenvaltioiden on varmistettava, että talletusten vakuusjärjestelmät käyttävät julkisilla varoilla rahoitettuja vaihtoehtoisia rahoitusjärjestelyjä vain viimeisenä keinona.</w:t>
            </w:r>
          </w:p>
        </w:tc>
        <w:tc>
          <w:tcPr>
            <w:tcW w:w="4876" w:type="dxa"/>
            <w:hideMark/>
          </w:tcPr>
          <w:p w:rsidR="00E61B38" w:rsidRPr="009E35B2" w:rsidRDefault="00E61B38" w:rsidP="0024275D">
            <w:pPr>
              <w:pStyle w:val="Normal6"/>
              <w:rPr>
                <w:szCs w:val="24"/>
              </w:rPr>
            </w:pPr>
            <w:r w:rsidRPr="009E35B2">
              <w:t>11.</w:t>
            </w:r>
            <w:r w:rsidRPr="009E35B2">
              <w:tab/>
              <w:t>Jäsenvaltioiden on varmistettava, että talletusten vakuusjärjestelmät voivat 11 artiklan 1, 2, 3 ja 5 kohdassa tarkoitettujen toimenpiteiden yhteydessä käyttää 10 artiklan 9 kohdassa tarkoitetuista vaihtoehtoisista rahoitusjärjestelyistä peräisin olevia varoja ennen käytettävissä olevien rahoitusvarojen käyttöä ja ennen 10 artiklan 8 kohdassa tarkoitettujen ylimääräisten kannatusmaksujen keräämistä. Jäsenvaltioiden on varmistettava, että talletusten vakuusjärjestelmät käyttävät julkisilla varoilla rahoitettuja vaihtoehtoisia rahoitusjärjestelyjä vain viimeisenä keinona.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190</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11 alakohta – g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10 artikla – 12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rPr>
                <w:b/>
                <w:i/>
              </w:rPr>
              <w:t>12.</w:t>
            </w:r>
            <w:r w:rsidRPr="009E35B2">
              <w:rPr>
                <w:b/>
                <w:i/>
              </w:rPr>
              <w:tab/>
              <w:t>EPV laatii teknisten sääntelystandardien luonnokset, joissa täsmennetään</w:t>
            </w:r>
          </w:p>
        </w:tc>
        <w:tc>
          <w:tcPr>
            <w:tcW w:w="4876" w:type="dxa"/>
            <w:hideMark/>
          </w:tcPr>
          <w:p w:rsidR="00E61B38" w:rsidRPr="009E35B2" w:rsidRDefault="00E61B38" w:rsidP="0024275D">
            <w:pPr>
              <w:pStyle w:val="Normal6"/>
              <w:rPr>
                <w:szCs w:val="24"/>
              </w:rPr>
            </w:pPr>
            <w:r w:rsidRPr="009E35B2">
              <w:rPr>
                <w:b/>
                <w:i/>
              </w:rPr>
              <w:t>Poistetaan.</w:t>
            </w:r>
          </w:p>
        </w:tc>
      </w:tr>
      <w:tr w:rsidR="00E61B38" w:rsidRPr="009E35B2" w:rsidTr="0024275D">
        <w:trPr>
          <w:jc w:val="center"/>
        </w:trPr>
        <w:tc>
          <w:tcPr>
            <w:tcW w:w="4876" w:type="dxa"/>
            <w:hideMark/>
          </w:tcPr>
          <w:p w:rsidR="00E61B38" w:rsidRPr="009E35B2" w:rsidRDefault="00E61B38" w:rsidP="0024275D">
            <w:pPr>
              <w:pStyle w:val="Normal6"/>
            </w:pPr>
            <w:r w:rsidRPr="009E35B2">
              <w:rPr>
                <w:b/>
                <w:i/>
              </w:rPr>
              <w:t>a)</w:t>
            </w:r>
            <w:r w:rsidRPr="009E35B2">
              <w:rPr>
                <w:b/>
                <w:i/>
              </w:rPr>
              <w:tab/>
              <w:t>edellä 2 kohdassa tarkoitetun tavoitetason saavuttamiseen hyväksyttävien käytettävissä olevien rahoitusvarojen laskennassa käytettävät menetelmät, mukaan lukien talletusten vakuusjärjestelmien käytettävissä olevien rahoitusvarojen ja niihin maksetuista varoista johtuvien käytettävissä olevien rahoitusvarojen luokkien rajaaminen;</w:t>
            </w:r>
          </w:p>
        </w:tc>
        <w:tc>
          <w:tcPr>
            <w:tcW w:w="4876" w:type="dxa"/>
          </w:tcPr>
          <w:p w:rsidR="00E61B38" w:rsidRPr="009E35B2" w:rsidRDefault="00E61B38" w:rsidP="0024275D">
            <w:pPr>
              <w:pStyle w:val="Normal6"/>
              <w:rPr>
                <w:szCs w:val="24"/>
              </w:rPr>
            </w:pPr>
          </w:p>
        </w:tc>
      </w:tr>
      <w:tr w:rsidR="00E61B38" w:rsidRPr="009E35B2" w:rsidTr="0024275D">
        <w:trPr>
          <w:jc w:val="center"/>
        </w:trPr>
        <w:tc>
          <w:tcPr>
            <w:tcW w:w="4876" w:type="dxa"/>
            <w:hideMark/>
          </w:tcPr>
          <w:p w:rsidR="00E61B38" w:rsidRPr="009E35B2" w:rsidRDefault="00E61B38" w:rsidP="0024275D">
            <w:pPr>
              <w:pStyle w:val="Normal6"/>
            </w:pPr>
            <w:r w:rsidRPr="009E35B2">
              <w:rPr>
                <w:b/>
                <w:i/>
              </w:rPr>
              <w:t>b)</w:t>
            </w:r>
            <w:r w:rsidRPr="009E35B2">
              <w:rPr>
                <w:b/>
                <w:i/>
              </w:rPr>
              <w:tab/>
              <w:t>yksityiskohdat prosessista 2 kohdassa tarkoitetun tavoitetason saavuttamiseksi sen jälkeen, kun talletusten vakuusjärjestelmä on käyttänyt käytettävissä olevia rahoitusvaroja 11 artiklan mukaisesti.</w:t>
            </w:r>
          </w:p>
        </w:tc>
        <w:tc>
          <w:tcPr>
            <w:tcW w:w="4876" w:type="dxa"/>
          </w:tcPr>
          <w:p w:rsidR="00E61B38" w:rsidRPr="009E35B2" w:rsidRDefault="00E61B38" w:rsidP="0024275D">
            <w:pPr>
              <w:pStyle w:val="Normal6"/>
              <w:rPr>
                <w:szCs w:val="24"/>
              </w:rPr>
            </w:pPr>
          </w:p>
        </w:tc>
      </w:tr>
      <w:tr w:rsidR="00E61B38" w:rsidRPr="009E35B2" w:rsidTr="0024275D">
        <w:trPr>
          <w:jc w:val="center"/>
        </w:trPr>
        <w:tc>
          <w:tcPr>
            <w:tcW w:w="4876" w:type="dxa"/>
            <w:hideMark/>
          </w:tcPr>
          <w:p w:rsidR="00E61B38" w:rsidRPr="009E35B2" w:rsidRDefault="00E61B38" w:rsidP="0024275D">
            <w:pPr>
              <w:pStyle w:val="Normal6"/>
            </w:pPr>
            <w:r w:rsidRPr="009E35B2">
              <w:rPr>
                <w:b/>
                <w:i/>
              </w:rPr>
              <w:t>EPV toimittaa nämä teknisten sääntelystandardien luonnokset komissiolle viimeistään [julkaisutoimisto: lisätään päivämäärä, joka on 24 kuukautta tämän direktiivin voimaantulopäivästä].</w:t>
            </w:r>
          </w:p>
        </w:tc>
        <w:tc>
          <w:tcPr>
            <w:tcW w:w="4876" w:type="dxa"/>
          </w:tcPr>
          <w:p w:rsidR="00E61B38" w:rsidRPr="009E35B2" w:rsidRDefault="00E61B38" w:rsidP="0024275D">
            <w:pPr>
              <w:pStyle w:val="Normal6"/>
              <w:rPr>
                <w:szCs w:val="24"/>
              </w:rPr>
            </w:pPr>
          </w:p>
        </w:tc>
      </w:tr>
      <w:tr w:rsidR="00E61B38" w:rsidRPr="009E35B2" w:rsidTr="0024275D">
        <w:trPr>
          <w:jc w:val="center"/>
        </w:trPr>
        <w:tc>
          <w:tcPr>
            <w:tcW w:w="4876" w:type="dxa"/>
            <w:hideMark/>
          </w:tcPr>
          <w:p w:rsidR="00E61B38" w:rsidRPr="009E35B2" w:rsidRDefault="00E61B38" w:rsidP="0024275D">
            <w:pPr>
              <w:pStyle w:val="Normal6"/>
            </w:pPr>
            <w:r w:rsidRPr="009E35B2">
              <w:rPr>
                <w:b/>
                <w:i/>
              </w:rPr>
              <w:t>Siirretään komissiolle valta täydentää tätä direktiiviä hyväksymällä ensimmäisessä alakohdassa tarkoitetut tekniset sääntelystandardit asetuksen (EU) N:o 1093/2010 10–14 artiklan mukaisesti.</w:t>
            </w:r>
          </w:p>
        </w:tc>
        <w:tc>
          <w:tcPr>
            <w:tcW w:w="4876" w:type="dxa"/>
          </w:tcPr>
          <w:p w:rsidR="00E61B38" w:rsidRPr="009E35B2" w:rsidRDefault="00E61B38" w:rsidP="0024275D">
            <w:pPr>
              <w:pStyle w:val="Normal6"/>
              <w:rPr>
                <w:szCs w:val="24"/>
              </w:rPr>
            </w:pP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The methodology to calculate the available financial means that count towards the target level is important to (i) determine whether DGSs shall levy new contributions or not and (ii) ensure DGSs are sufficiently funded ex-ante, consistent with the purpose of the directive. Also, “available financial means” are defined in article 2, there is no need to mandate the EBA to “delineate” them. Additionally the proposed paragraph 2 already states that available financial means that derive from contributed funds are the only one counting towards the target level (and it should be clarified that that debt does not count toward the target level). The proposed paragraph 2 also clarifies the process to reach the target level after a DGS has used available financial means. Should these clarifications be insufficient, the directive itself should be further clarified, without delegating essential elements to the EBA.</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191</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Luděk Niedermayer</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12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artikla – 1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1.</w:t>
            </w:r>
            <w:r w:rsidRPr="009E35B2">
              <w:tab/>
              <w:t>Jäsenvaltioiden on varmistettava, että talletusten vakuusjärjestelmät käyttävät 10 artiklassa tarkoitettuja käytettävissä olevia rahoitusvaroja ensisijaisesti 8 artiklan mukaiseen korvausten maksamiseen tallettajille, sanotun kuitenkaan rajoittamatta sellaisten, talletusten vakuusjärjestelmien keräämien muiden varojen käyttöä, jotka on tarkoitettu muiden toimeksiantojen kuin tämän direktiivin mukaisen talletussuojaa koskevan toimeksiannon täyttämiseen.</w:t>
            </w:r>
          </w:p>
        </w:tc>
        <w:tc>
          <w:tcPr>
            <w:tcW w:w="4876" w:type="dxa"/>
            <w:hideMark/>
          </w:tcPr>
          <w:p w:rsidR="00E61B38" w:rsidRPr="009E35B2" w:rsidRDefault="00E61B38" w:rsidP="0024275D">
            <w:pPr>
              <w:pStyle w:val="Normal6"/>
              <w:rPr>
                <w:szCs w:val="24"/>
              </w:rPr>
            </w:pPr>
            <w:r w:rsidRPr="009E35B2">
              <w:rPr>
                <w:i/>
                <w:iCs/>
              </w:rPr>
              <w:t>(Tarkistus ei vaikuta suomenkieliseen versioon)</w:t>
            </w:r>
            <w:r w:rsidRPr="009E35B2">
              <w:tab/>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192</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Joachim Schuster</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12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artikla – 1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1.</w:t>
            </w:r>
            <w:r w:rsidRPr="009E35B2">
              <w:tab/>
              <w:t xml:space="preserve">Jäsenvaltioiden on varmistettava, että talletusten vakuusjärjestelmät käyttävät 10 artiklassa tarkoitettuja käytettävissä olevia rahoitusvaroja ensisijaisesti 8 artiklan mukaiseen korvausten maksamiseen tallettajille, sanotun kuitenkaan rajoittamatta sellaisten, talletusten vakuusjärjestelmien keräämien </w:t>
            </w:r>
            <w:r w:rsidRPr="009E35B2">
              <w:rPr>
                <w:b/>
                <w:i/>
              </w:rPr>
              <w:t>muiden</w:t>
            </w:r>
            <w:r w:rsidRPr="009E35B2">
              <w:t xml:space="preserve"> varojen käyttöä, jotka on tarkoitettu muiden toimeksiantojen kuin tämän direktiivin mukaisen talletussuojaa koskevan toimeksiannon täyttämiseen.</w:t>
            </w:r>
          </w:p>
        </w:tc>
        <w:tc>
          <w:tcPr>
            <w:tcW w:w="4876" w:type="dxa"/>
            <w:hideMark/>
          </w:tcPr>
          <w:p w:rsidR="00E61B38" w:rsidRPr="009E35B2" w:rsidRDefault="00E61B38" w:rsidP="0024275D">
            <w:pPr>
              <w:pStyle w:val="Normal6"/>
              <w:rPr>
                <w:szCs w:val="24"/>
              </w:rPr>
            </w:pPr>
            <w:r w:rsidRPr="009E35B2">
              <w:t>1.</w:t>
            </w:r>
            <w:r w:rsidRPr="009E35B2">
              <w:tab/>
              <w:t xml:space="preserve">Jäsenvaltioiden on varmistettava, että talletusten vakuusjärjestelmät käyttävät 10 artiklassa tarkoitettuja käytettävissä olevia rahoitusvaroja ensisijaisesti 8 artiklan mukaiseen korvausten maksamiseen tallettajille, sanotun kuitenkaan rajoittamatta sellaisten, talletusten vakuusjärjestelmien keräämien </w:t>
            </w:r>
            <w:r w:rsidRPr="009E35B2">
              <w:rPr>
                <w:b/>
                <w:i/>
              </w:rPr>
              <w:t>näiden</w:t>
            </w:r>
            <w:r w:rsidRPr="009E35B2">
              <w:t xml:space="preserve"> varojen käyttöä, jotka on tarkoitettu muiden toimeksiantojen kuin tämän direktiivin mukaisen talletussuojaa koskevan toimeksiannon täyttämiseen.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193</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12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artikla – 1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1.</w:t>
            </w:r>
            <w:r w:rsidRPr="009E35B2">
              <w:tab/>
              <w:t xml:space="preserve">Jäsenvaltioiden on varmistettava, että talletusten vakuusjärjestelmät käyttävät 10 artiklassa tarkoitettuja käytettävissä olevia rahoitusvaroja ensisijaisesti 8 artiklan mukaiseen korvausten maksamiseen tallettajille, sanotun kuitenkaan rajoittamatta sellaisten, talletusten vakuusjärjestelmien keräämien </w:t>
            </w:r>
            <w:r w:rsidRPr="009E35B2">
              <w:rPr>
                <w:b/>
                <w:i/>
              </w:rPr>
              <w:t>muiden</w:t>
            </w:r>
            <w:r w:rsidRPr="009E35B2">
              <w:t xml:space="preserve"> varojen käyttöä, jotka on tarkoitettu muiden toimeksiantojen kuin tämän direktiivin mukaisen talletussuojaa koskevan toimeksiannon täyttämiseen.</w:t>
            </w:r>
          </w:p>
        </w:tc>
        <w:tc>
          <w:tcPr>
            <w:tcW w:w="4876" w:type="dxa"/>
            <w:hideMark/>
          </w:tcPr>
          <w:p w:rsidR="00E61B38" w:rsidRPr="009E35B2" w:rsidRDefault="00E61B38" w:rsidP="0024275D">
            <w:pPr>
              <w:pStyle w:val="Normal6"/>
              <w:rPr>
                <w:szCs w:val="24"/>
              </w:rPr>
            </w:pPr>
            <w:r w:rsidRPr="009E35B2">
              <w:t>1.</w:t>
            </w:r>
            <w:r w:rsidRPr="009E35B2">
              <w:tab/>
              <w:t xml:space="preserve">Jäsenvaltioiden on varmistettava, että talletusten vakuusjärjestelmät käyttävät 10 artiklassa tarkoitettuja käytettävissä olevia rahoitusvaroja ensisijaisesti 8 artiklan mukaiseen korvausten maksamiseen tallettajille, sanotun kuitenkaan rajoittamatta sellaisten, talletusten vakuusjärjestelmien keräämien </w:t>
            </w:r>
            <w:r w:rsidRPr="009E35B2">
              <w:rPr>
                <w:b/>
                <w:i/>
              </w:rPr>
              <w:t>näiden</w:t>
            </w:r>
            <w:r w:rsidRPr="009E35B2">
              <w:t xml:space="preserve"> varojen käyttöä, jotka on tarkoitettu muiden toimeksiantojen kuin tämän direktiivin mukaisen talletussuojaa koskevan toimeksiannon täyttämiseen. </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Up to now, financing of IPSs preventive measures has been permitted within certain limits from the available financial means, since the need for depositor reimbursement is averted in the case of an IPS, and this type of use of funds is therefore especially economic on funds. In addition, IPSs are subject to the strict supervisory regulations of CRR Art. 113 (7) anyway, so that effective control is also provided. This must be kept in any DGSD review. But due to the restrictions set out in the DGSD draft, preventive measures could de-facto no longer be financed from the officially recognised deposit guarantee funds (i.e. from the “available financial means”) after implementing the directive, but would require additional financial resources. Such a financial burden would have to be financed by the member banks - and thus ultimately by their customers - and would thus create a competitive disadvantage. This is neither in line with the goal of financial stability nor with the Eurogroup Statement of June 2022.</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194</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12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artikla – 2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2.</w:t>
            </w:r>
            <w:r w:rsidRPr="009E35B2">
              <w:tab/>
              <w:t xml:space="preserve">Jäsenvaltioiden on varmistettava, että talletusten vakuusjärjestelmät käyttävät käytettävissä olevia rahoitusvaroja luottolaitosten kriisinratkaisun rahoittamiseen direktiivin 2014/59/EU 109 artiklan mukaisesti. </w:t>
            </w:r>
            <w:r w:rsidRPr="009E35B2">
              <w:rPr>
                <w:b/>
                <w:i/>
              </w:rPr>
              <w:t>Jäsenvaltioiden on varmistettava, että kriisinratkaisuviranomaiset määrittävät määrän, joka talletusten vakuusjärjestelmästä maksetaan luottolaitosten kriisinratkaisun rahoittamiseen, sen jälkeen, kun kriisinratkaisuviranomaiset ovat kuulleet talletusten vakuusjärjestelmää tämän direktiivin 11 e artiklassa tarkoitetun pienimmän kustannuksen testin tuloksista.</w:t>
            </w:r>
          </w:p>
        </w:tc>
        <w:tc>
          <w:tcPr>
            <w:tcW w:w="4876" w:type="dxa"/>
            <w:hideMark/>
          </w:tcPr>
          <w:p w:rsidR="00E61B38" w:rsidRPr="009E35B2" w:rsidRDefault="00E61B38" w:rsidP="0024275D">
            <w:pPr>
              <w:pStyle w:val="Normal6"/>
              <w:rPr>
                <w:szCs w:val="24"/>
              </w:rPr>
            </w:pPr>
            <w:r w:rsidRPr="009E35B2">
              <w:t>2.</w:t>
            </w:r>
            <w:r w:rsidRPr="009E35B2">
              <w:tab/>
              <w:t>Jäsenvaltioiden on varmistettava, että talletusten vakuusjärjestelmät käyttävät käytettävissä olevia rahoitusvaroja luottolaitosten kriisinratkaisun rahoittamiseen direktiivin 2014/59/EU 109 artiklan mukaisesti.</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Ehdotettu muutos perustuu 11 artiklan 2 kohdan osalta pankkien elvytys- ja kriisinratkaisudirektiivin 109 artiklaan ehdotettuihin vastaaviin muutoksiin. Muutokset edellyttävät talletusten vakuusjärjestelmien kriisinratkaisutoimenpiteiden yhteisrahoituksen pidentämistä, mikä todennäköisesti rasittaa talletusten vakuusjärjestelmiä taloudellisesti. Koska tämä ajatus aiheuttaa vakavia uhkia rahoitusvakaudelle, pankkien elvytys- ja kriisinratkaisudirektiivin 109 artiklaa ja siten myös 11 artiklan 2 kohtaa koskeva komission ehdotus on hylättävä lopulta kokonaisuudessaan.</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195</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Joachim Schuster</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12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artikla – 2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2.</w:t>
            </w:r>
            <w:r w:rsidRPr="009E35B2">
              <w:tab/>
              <w:t xml:space="preserve">Jäsenvaltioiden on varmistettava, että talletusten vakuusjärjestelmät käyttävät käytettävissä olevia rahoitusvaroja luottolaitosten kriisinratkaisun rahoittamiseen direktiivin 2014/59/EU 109 artiklan mukaisesti. </w:t>
            </w:r>
            <w:r w:rsidRPr="009E35B2">
              <w:rPr>
                <w:b/>
                <w:i/>
              </w:rPr>
              <w:t>Jäsenvaltioiden on varmistettava, että kriisinratkaisuviranomaiset määrittävät määrän, joka talletusten vakuusjärjestelmästä maksetaan luottolaitosten kriisinratkaisun rahoittamiseen, sen jälkeen, kun kriisinratkaisuviranomaiset ovat kuulleet talletusten vakuusjärjestelmää tämän direktiivin 11 e artiklassa tarkoitetun pienimmän kustannuksen testin tuloksista.</w:t>
            </w:r>
          </w:p>
        </w:tc>
        <w:tc>
          <w:tcPr>
            <w:tcW w:w="4876" w:type="dxa"/>
            <w:hideMark/>
          </w:tcPr>
          <w:p w:rsidR="00E61B38" w:rsidRPr="009E35B2" w:rsidRDefault="00E61B38" w:rsidP="0024275D">
            <w:pPr>
              <w:pStyle w:val="Normal6"/>
              <w:rPr>
                <w:szCs w:val="24"/>
              </w:rPr>
            </w:pPr>
            <w:r w:rsidRPr="009E35B2">
              <w:t>2.</w:t>
            </w:r>
            <w:r w:rsidRPr="009E35B2">
              <w:tab/>
              <w:t>Jäsenvaltioiden on varmistettava, että talletusten vakuusjärjestelmät käyttävät käytettävissä olevia rahoitusvaroja luottolaitosten kriisinratkaisun rahoittamiseen direktiivin 2014/59/EU 109 artiklan mukaisesti.</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196</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12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artikla – 2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2.</w:t>
            </w:r>
            <w:r w:rsidRPr="009E35B2">
              <w:tab/>
              <w:t>Jäsenvaltioiden on varmistettava, että talletusten vakuusjärjestelmät käyttävät käytettävissä olevia rahoitusvaroja luottolaitosten kriisinratkaisun rahoittamiseen direktiivin 2014/59/EU 109 artiklan mukaisesti. Jäsenvaltioiden on varmistettava, että kriisinratkaisuviranomaiset määrittävät määrän, joka talletusten vakuusjärjestelmästä maksetaan luottolaitosten kriisinratkaisun rahoittamiseen, sen jälkeen, kun kriisinratkaisuviranomaiset ovat kuulleet talletusten vakuusjärjestelmää tämän direktiivin 11 e artiklassa tarkoitetun pienimmän kustannuksen testin tuloksista.</w:t>
            </w:r>
          </w:p>
        </w:tc>
        <w:tc>
          <w:tcPr>
            <w:tcW w:w="4876" w:type="dxa"/>
            <w:hideMark/>
          </w:tcPr>
          <w:p w:rsidR="00E61B38" w:rsidRPr="009E35B2" w:rsidRDefault="00E61B38" w:rsidP="0024275D">
            <w:pPr>
              <w:pStyle w:val="Normal6"/>
              <w:rPr>
                <w:szCs w:val="24"/>
              </w:rPr>
            </w:pPr>
            <w:r w:rsidRPr="009E35B2">
              <w:t>2.</w:t>
            </w:r>
            <w:r w:rsidRPr="009E35B2">
              <w:tab/>
              <w:t xml:space="preserve">Jäsenvaltioiden on varmistettava, että talletusten vakuusjärjestelmät käyttävät käytettävissä olevia rahoitusvaroja luottolaitosten kriisinratkaisun rahoittamiseen direktiivin 2014/59/EU 109 artiklan mukaisesti. Jäsenvaltioiden on varmistettava, että kriisinratkaisuviranomaiset määrittävät määrän, joka talletusten vakuusjärjestelmästä maksetaan luottolaitosten kriisinratkaisun rahoittamiseen, sen jälkeen, kun kriisinratkaisuviranomaiset ovat kuulleet talletusten vakuusjärjestelmää tämän direktiivin 11 e artiklassa tarkoitetun pienimmän kustannuksen testin tuloksista. </w:t>
            </w:r>
            <w:r w:rsidRPr="009E35B2">
              <w:rPr>
                <w:b/>
                <w:i/>
              </w:rPr>
              <w:t>Jäsenvaltioiden on varmistettava, että talletusten vakuusjärjestelmät vastaavat tällaiseen kuulemiseen viipymättä.</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197</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Markus Ferber, Herbert Dorfmann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12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artikla – 3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3.</w:t>
            </w:r>
            <w:r w:rsidRPr="009E35B2">
              <w:tab/>
              <w:t>Jäsenvaltiot voivat sallia, että talletusten vakuusjärjestelmät käyttävät käytettävissä olevia rahoitusvaroja 11 a artiklassa tarkoitettuihin ennaltaehkäiseviin toimenpiteisiin luottolaitoksen hyväksi, kun kaikki seuraavat edellytykset täyttyvät:</w:t>
            </w:r>
          </w:p>
        </w:tc>
        <w:tc>
          <w:tcPr>
            <w:tcW w:w="4876" w:type="dxa"/>
            <w:hideMark/>
          </w:tcPr>
          <w:p w:rsidR="00E61B38" w:rsidRPr="009E35B2" w:rsidRDefault="00E61B38" w:rsidP="0024275D">
            <w:pPr>
              <w:pStyle w:val="Normal6"/>
              <w:rPr>
                <w:szCs w:val="24"/>
              </w:rPr>
            </w:pPr>
            <w:r w:rsidRPr="009E35B2">
              <w:t>3.</w:t>
            </w:r>
            <w:r w:rsidRPr="009E35B2">
              <w:tab/>
            </w:r>
            <w:r w:rsidRPr="009E35B2">
              <w:rPr>
                <w:b/>
                <w:i/>
              </w:rPr>
              <w:t>Sen estämättä, mitä 3 a kohdassa säädetään,</w:t>
            </w:r>
            <w:r w:rsidRPr="009E35B2">
              <w:t xml:space="preserve"> jäsenvaltiot voivat sallia, että talletusten vakuusjärjestelmät käyttävät käytettävissä olevia rahoitusvaroja 11 a artiklassa tarkoitettuihin ennaltaehkäiseviin toimenpiteisiin luottolaitoksen hyväksi, kun kaikki seuraavat edellytykset täyttyvät: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198</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Irene Tinagli,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12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artikla – 3 kohta - johdantokappale</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3.</w:t>
            </w:r>
            <w:r w:rsidRPr="009E35B2">
              <w:tab/>
            </w:r>
            <w:r w:rsidRPr="009E35B2">
              <w:rPr>
                <w:b/>
                <w:i/>
              </w:rPr>
              <w:t>Jäsenvaltiot voivat sallia</w:t>
            </w:r>
            <w:r w:rsidRPr="009E35B2">
              <w:t xml:space="preserve">, että talletusten vakuusjärjestelmät </w:t>
            </w:r>
            <w:r w:rsidRPr="009E35B2">
              <w:rPr>
                <w:b/>
                <w:i/>
              </w:rPr>
              <w:t>käyttävät</w:t>
            </w:r>
            <w:r w:rsidRPr="009E35B2">
              <w:t xml:space="preserve"> käytettävissä olevia rahoitusvaroja 11 a artiklassa tarkoitettuihin ennaltaehkäiseviin toimenpiteisiin luottolaitoksen hyväksi, kun kaikki seuraavat edellytykset täyttyvät:</w:t>
            </w:r>
          </w:p>
        </w:tc>
        <w:tc>
          <w:tcPr>
            <w:tcW w:w="4876" w:type="dxa"/>
            <w:hideMark/>
          </w:tcPr>
          <w:p w:rsidR="00E61B38" w:rsidRPr="009E35B2" w:rsidRDefault="00E61B38" w:rsidP="0024275D">
            <w:pPr>
              <w:pStyle w:val="Normal6"/>
              <w:rPr>
                <w:szCs w:val="24"/>
              </w:rPr>
            </w:pPr>
            <w:r w:rsidRPr="009E35B2">
              <w:t>3.</w:t>
            </w:r>
            <w:r w:rsidRPr="009E35B2">
              <w:tab/>
            </w:r>
            <w:r w:rsidRPr="009E35B2">
              <w:rPr>
                <w:b/>
                <w:i/>
              </w:rPr>
              <w:t>Jäsenvaltioiden on varmistettava</w:t>
            </w:r>
            <w:r w:rsidRPr="009E35B2">
              <w:t xml:space="preserve">, että talletusten vakuusjärjestelmät </w:t>
            </w:r>
            <w:r w:rsidRPr="009E35B2">
              <w:rPr>
                <w:b/>
                <w:i/>
              </w:rPr>
              <w:t>voivat käyttää</w:t>
            </w:r>
            <w:r w:rsidRPr="009E35B2">
              <w:t xml:space="preserve"> käytettävissä olevia rahoitusvaroja 11 a artiklassa tarkoitettuihin ennaltaehkäiseviin toimenpiteisiin luottolaitoksen hyväksi, kun kaikki seuraavat edellytykset täyttyvät: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199</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Marco Zanni, Valentino Grant, Antonio Maria Rinaldi</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12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artikla – 3 kohta – johdantokappale</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3.</w:t>
            </w:r>
            <w:r w:rsidRPr="009E35B2">
              <w:tab/>
            </w:r>
            <w:r w:rsidRPr="009E35B2">
              <w:rPr>
                <w:b/>
                <w:i/>
              </w:rPr>
              <w:t>Jäsenvaltiot voivat sallia</w:t>
            </w:r>
            <w:r w:rsidRPr="009E35B2">
              <w:t xml:space="preserve">, että talletusten vakuusjärjestelmät </w:t>
            </w:r>
            <w:r w:rsidRPr="009E35B2">
              <w:rPr>
                <w:b/>
                <w:i/>
              </w:rPr>
              <w:t xml:space="preserve">käyttävät </w:t>
            </w:r>
            <w:r w:rsidRPr="009E35B2">
              <w:t>käytettävissä olevia rahoitusvaroja 11 a artiklassa tarkoitettuihin ennaltaehkäiseviin toimenpiteisiin luottolaitoksen hyväksi, kun kaikki seuraavat edellytykset täyttyvät:</w:t>
            </w:r>
          </w:p>
        </w:tc>
        <w:tc>
          <w:tcPr>
            <w:tcW w:w="4876" w:type="dxa"/>
            <w:hideMark/>
          </w:tcPr>
          <w:p w:rsidR="00E61B38" w:rsidRPr="009E35B2" w:rsidRDefault="00E61B38" w:rsidP="0024275D">
            <w:pPr>
              <w:pStyle w:val="Normal6"/>
              <w:rPr>
                <w:szCs w:val="24"/>
              </w:rPr>
            </w:pPr>
            <w:r w:rsidRPr="009E35B2">
              <w:t>3.</w:t>
            </w:r>
            <w:r w:rsidRPr="009E35B2">
              <w:tab/>
            </w:r>
            <w:r w:rsidRPr="009E35B2">
              <w:rPr>
                <w:b/>
                <w:i/>
              </w:rPr>
              <w:t>Jäsenvaltioiden on varmistettava</w:t>
            </w:r>
            <w:r w:rsidRPr="009E35B2">
              <w:t xml:space="preserve">, että talletusten vakuusjärjestelmät </w:t>
            </w:r>
            <w:r w:rsidRPr="009E35B2">
              <w:rPr>
                <w:b/>
                <w:i/>
              </w:rPr>
              <w:t>voivat käyttää</w:t>
            </w:r>
            <w:r w:rsidRPr="009E35B2">
              <w:t xml:space="preserve"> käytettävissä olevia rahoitusvaroja 11 a artiklassa tarkoitettuihin ennaltaehkäiseviin toimenpiteisiin luottolaitoksen hyväksi, kun kaikki seuraavat edellytykset täyttyvät: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200</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Fabio Massimo Castaldo</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12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artikla – 3 kohta – johdantokappale</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3.</w:t>
            </w:r>
            <w:r w:rsidRPr="009E35B2">
              <w:tab/>
            </w:r>
            <w:r w:rsidRPr="009E35B2">
              <w:rPr>
                <w:b/>
                <w:i/>
              </w:rPr>
              <w:t>Jäsenvaltiot voivat sallia</w:t>
            </w:r>
            <w:r w:rsidRPr="009E35B2">
              <w:t xml:space="preserve">, että talletusten vakuusjärjestelmät </w:t>
            </w:r>
            <w:r w:rsidRPr="009E35B2">
              <w:rPr>
                <w:b/>
                <w:i/>
              </w:rPr>
              <w:t>käyttävät</w:t>
            </w:r>
            <w:r w:rsidRPr="009E35B2">
              <w:t xml:space="preserve"> käytettävissä olevia rahoitusvaroja 11 a artiklassa tarkoitettuihin ennaltaehkäiseviin toimenpiteisiin luottolaitoksen hyväksi, kun kaikki seuraavat edellytykset täyttyvät:</w:t>
            </w:r>
          </w:p>
        </w:tc>
        <w:tc>
          <w:tcPr>
            <w:tcW w:w="4876" w:type="dxa"/>
            <w:hideMark/>
          </w:tcPr>
          <w:p w:rsidR="00E61B38" w:rsidRPr="009E35B2" w:rsidRDefault="00E61B38" w:rsidP="0024275D">
            <w:pPr>
              <w:pStyle w:val="Normal6"/>
              <w:rPr>
                <w:szCs w:val="24"/>
              </w:rPr>
            </w:pPr>
            <w:r w:rsidRPr="009E35B2">
              <w:t>3.</w:t>
            </w:r>
            <w:r w:rsidRPr="009E35B2">
              <w:tab/>
            </w:r>
            <w:r w:rsidRPr="009E35B2">
              <w:rPr>
                <w:b/>
                <w:i/>
              </w:rPr>
              <w:t>Jäsenvaltioiden on varmistettava</w:t>
            </w:r>
            <w:r w:rsidRPr="009E35B2">
              <w:t xml:space="preserve">, että talletusten vakuusjärjestelmät </w:t>
            </w:r>
            <w:r w:rsidRPr="009E35B2">
              <w:rPr>
                <w:b/>
                <w:i/>
              </w:rPr>
              <w:t>voivat käyttää</w:t>
            </w:r>
            <w:r w:rsidRPr="009E35B2">
              <w:t xml:space="preserve"> käytettävissä olevia rahoitusvaroja 11 a artiklassa tarkoitettuihin ennaltaehkäiseviin toimenpiteisiin luottolaitoksen hyväksi, kun kaikki seuraavat edellytykset täyttyvät: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201</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Irene Tinagli,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12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artikla – 3 kohta – a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a)</w:t>
            </w:r>
            <w:r w:rsidRPr="009E35B2">
              <w:tab/>
              <w:t>mikään direktiivin 2014/59/EY 32 artiklan 4 kohdassa tarkoitetuista tilanteista ei vallitse;</w:t>
            </w:r>
          </w:p>
        </w:tc>
        <w:tc>
          <w:tcPr>
            <w:tcW w:w="4876" w:type="dxa"/>
            <w:hideMark/>
          </w:tcPr>
          <w:p w:rsidR="00E61B38" w:rsidRPr="009E35B2" w:rsidRDefault="00E61B38" w:rsidP="0024275D">
            <w:pPr>
              <w:pStyle w:val="Normal6"/>
              <w:rPr>
                <w:szCs w:val="24"/>
              </w:rPr>
            </w:pPr>
            <w:r w:rsidRPr="009E35B2">
              <w:t>a)</w:t>
            </w:r>
            <w:r w:rsidRPr="009E35B2">
              <w:tab/>
            </w:r>
            <w:r w:rsidRPr="009E35B2">
              <w:rPr>
                <w:b/>
                <w:i/>
              </w:rPr>
              <w:t xml:space="preserve">toimivaltainen viranomainen on vahvistanut, että </w:t>
            </w:r>
            <w:r w:rsidRPr="009E35B2">
              <w:t>mikään direktiivin 2014/59/EY 32 artiklan 4 kohdassa tarkoitetuista tilanteista ei vallitse;</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202</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Marco Zanni, Valentino Grant, Antonio Maria Rinaldi</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12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artikla – 3 kohta – a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a)</w:t>
            </w:r>
            <w:r w:rsidRPr="009E35B2">
              <w:tab/>
            </w:r>
            <w:r w:rsidRPr="009E35B2">
              <w:rPr>
                <w:b/>
                <w:i/>
              </w:rPr>
              <w:t xml:space="preserve">mikään </w:t>
            </w:r>
            <w:r w:rsidRPr="009E35B2">
              <w:t xml:space="preserve">direktiivin 2014/59/EY 32 artiklan </w:t>
            </w:r>
            <w:r w:rsidRPr="009E35B2">
              <w:rPr>
                <w:b/>
                <w:i/>
              </w:rPr>
              <w:t>4 kohdassa tarkoitetuista tilanteista ei vallitse</w:t>
            </w:r>
            <w:r w:rsidRPr="009E35B2">
              <w:t>;</w:t>
            </w:r>
          </w:p>
        </w:tc>
        <w:tc>
          <w:tcPr>
            <w:tcW w:w="4876" w:type="dxa"/>
            <w:hideMark/>
          </w:tcPr>
          <w:p w:rsidR="00E61B38" w:rsidRPr="009E35B2" w:rsidRDefault="00E61B38" w:rsidP="0024275D">
            <w:pPr>
              <w:pStyle w:val="Normal6"/>
              <w:rPr>
                <w:szCs w:val="24"/>
              </w:rPr>
            </w:pPr>
            <w:r w:rsidRPr="009E35B2">
              <w:t>a)</w:t>
            </w:r>
            <w:r w:rsidRPr="009E35B2">
              <w:tab/>
            </w:r>
            <w:r w:rsidRPr="009E35B2">
              <w:rPr>
                <w:b/>
                <w:i/>
              </w:rPr>
              <w:t xml:space="preserve">kriisinratkaisuviranomainen ei ole toteuttanut </w:t>
            </w:r>
            <w:r w:rsidRPr="009E35B2">
              <w:t xml:space="preserve">direktiivin 2014/59/EU 32 artiklan </w:t>
            </w:r>
            <w:r w:rsidRPr="009E35B2">
              <w:rPr>
                <w:b/>
                <w:i/>
              </w:rPr>
              <w:t>mukaisia kriisinratkaisutoimia</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203</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Fabio Massimo Castaldo</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12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artikla – 3 kohta – a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a)</w:t>
            </w:r>
            <w:r w:rsidRPr="009E35B2">
              <w:tab/>
            </w:r>
            <w:r w:rsidRPr="009E35B2">
              <w:rPr>
                <w:b/>
                <w:i/>
              </w:rPr>
              <w:t xml:space="preserve">mikään </w:t>
            </w:r>
            <w:r w:rsidRPr="009E35B2">
              <w:t xml:space="preserve">direktiivin 2014/59/EY 32 artiklan </w:t>
            </w:r>
            <w:r w:rsidRPr="009E35B2">
              <w:rPr>
                <w:b/>
                <w:i/>
              </w:rPr>
              <w:t>4 kohdassa tarkoitetuista tilanteista ei vallitse;</w:t>
            </w:r>
          </w:p>
        </w:tc>
        <w:tc>
          <w:tcPr>
            <w:tcW w:w="4876" w:type="dxa"/>
            <w:hideMark/>
          </w:tcPr>
          <w:p w:rsidR="00E61B38" w:rsidRPr="009E35B2" w:rsidRDefault="00E61B38" w:rsidP="0024275D">
            <w:pPr>
              <w:pStyle w:val="Normal6"/>
              <w:rPr>
                <w:szCs w:val="24"/>
              </w:rPr>
            </w:pPr>
            <w:r w:rsidRPr="009E35B2">
              <w:t>a)</w:t>
            </w:r>
            <w:r w:rsidRPr="009E35B2">
              <w:tab/>
            </w:r>
            <w:r w:rsidRPr="009E35B2">
              <w:rPr>
                <w:b/>
                <w:i/>
              </w:rPr>
              <w:t>kriisinratkaisuviranomainen ei ole toteuttanut</w:t>
            </w:r>
            <w:r w:rsidRPr="009E35B2">
              <w:t xml:space="preserve"> direktiivin 2014/59/EU 32 artiklan </w:t>
            </w:r>
            <w:r w:rsidRPr="009E35B2">
              <w:rPr>
                <w:b/>
                <w:i/>
              </w:rPr>
              <w:t>mukaisia kriisinratkaisutoimia.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204</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Joachim Schuster</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12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artikla – 3 kohta – a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a)</w:t>
            </w:r>
            <w:r w:rsidRPr="009E35B2">
              <w:tab/>
            </w:r>
            <w:r w:rsidRPr="009E35B2">
              <w:rPr>
                <w:b/>
                <w:i/>
              </w:rPr>
              <w:t xml:space="preserve">mikään </w:t>
            </w:r>
            <w:r w:rsidRPr="009E35B2">
              <w:t xml:space="preserve">direktiivin 2014/59/EY 32 artiklan </w:t>
            </w:r>
            <w:r w:rsidRPr="009E35B2">
              <w:rPr>
                <w:b/>
                <w:i/>
              </w:rPr>
              <w:t>4 kohdassa tarkoitetuista tilanteista ei vallitse</w:t>
            </w:r>
            <w:r w:rsidRPr="009E35B2">
              <w:t>;</w:t>
            </w:r>
          </w:p>
        </w:tc>
        <w:tc>
          <w:tcPr>
            <w:tcW w:w="4876" w:type="dxa"/>
            <w:hideMark/>
          </w:tcPr>
          <w:p w:rsidR="00E61B38" w:rsidRPr="009E35B2" w:rsidRDefault="00E61B38" w:rsidP="0024275D">
            <w:pPr>
              <w:pStyle w:val="Normal6"/>
              <w:rPr>
                <w:szCs w:val="24"/>
              </w:rPr>
            </w:pPr>
            <w:r w:rsidRPr="009E35B2">
              <w:t>a)</w:t>
            </w:r>
            <w:r w:rsidRPr="009E35B2">
              <w:tab/>
            </w:r>
            <w:r w:rsidRPr="009E35B2">
              <w:rPr>
                <w:b/>
                <w:i/>
              </w:rPr>
              <w:t xml:space="preserve">kriisinratkaisuviranomainen ei ole toteuttanut </w:t>
            </w:r>
            <w:r w:rsidRPr="009E35B2">
              <w:t xml:space="preserve">direktiivin 2014/59/EU 32 artiklan </w:t>
            </w:r>
            <w:r w:rsidRPr="009E35B2">
              <w:rPr>
                <w:b/>
                <w:i/>
              </w:rPr>
              <w:t>mukaisia kriisinratkaisutoimia</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205</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12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artikla – 3 kohta – a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a)</w:t>
            </w:r>
            <w:r w:rsidRPr="009E35B2">
              <w:tab/>
            </w:r>
            <w:r w:rsidRPr="009E35B2">
              <w:rPr>
                <w:b/>
                <w:i/>
              </w:rPr>
              <w:t xml:space="preserve">mikään </w:t>
            </w:r>
            <w:r w:rsidRPr="009E35B2">
              <w:t xml:space="preserve">direktiivin 2014/59/EY 32 artiklan </w:t>
            </w:r>
            <w:r w:rsidRPr="009E35B2">
              <w:rPr>
                <w:b/>
                <w:i/>
              </w:rPr>
              <w:t>4 kohdassa tarkoitetuista tilanteista ei vallitse</w:t>
            </w:r>
            <w:r w:rsidRPr="009E35B2">
              <w:t>;</w:t>
            </w:r>
          </w:p>
        </w:tc>
        <w:tc>
          <w:tcPr>
            <w:tcW w:w="4876" w:type="dxa"/>
            <w:hideMark/>
          </w:tcPr>
          <w:p w:rsidR="00E61B38" w:rsidRPr="009E35B2" w:rsidRDefault="00E61B38" w:rsidP="0024275D">
            <w:pPr>
              <w:pStyle w:val="Normal6"/>
              <w:rPr>
                <w:szCs w:val="24"/>
              </w:rPr>
            </w:pPr>
            <w:r w:rsidRPr="009E35B2">
              <w:t>a)</w:t>
            </w:r>
            <w:r w:rsidRPr="009E35B2">
              <w:tab/>
            </w:r>
            <w:r w:rsidRPr="009E35B2">
              <w:rPr>
                <w:b/>
                <w:i/>
              </w:rPr>
              <w:t xml:space="preserve">kriisinratkaisuviranomainen ei ole toteuttanut </w:t>
            </w:r>
            <w:r w:rsidRPr="009E35B2">
              <w:t xml:space="preserve">direktiivin 2014/59/EU 32 artiklan </w:t>
            </w:r>
            <w:r w:rsidRPr="009E35B2">
              <w:rPr>
                <w:b/>
                <w:i/>
              </w:rPr>
              <w:t>mukaisia kriisinratkaisutoimia</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The Commission's proposal to amend Art. 11 (3) point (a) reads as if any preventive measure based on available financial means is only permitted as long as the institution is not yet objectively in a status of FOLTF according to Art. 32 (4) BRRD. This would, however, imply a significant hindrance of measures by DGS even though such measures are an important safeguard to the resolution objectives set out in Art. 31 BRRD. We understand that this effect was not intended by the European Commission; hence, the proposal needs to be changed correspondingly. The proposed amendment on the Least Cost Test is the logical consequence on our amendments for Article 11e.</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206</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Irene Tinagli,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12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artikla – 3 kohta – a a alakohta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a a)</w:t>
            </w:r>
            <w:r w:rsidRPr="009E35B2">
              <w:rPr>
                <w:b/>
                <w:i/>
              </w:rPr>
              <w:tab/>
              <w:t>talletusten vakuusjärjestelmä on vahvistanut, että tukitoimi on tarpeen luottolaitoksen taloudellisen vakauden ja pitkän aikavälin elinkelpoisuuden säilyttämiseksi;</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207</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Luděk Niedermayer</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12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artikla – 3 kohta – b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b)</w:t>
            </w:r>
            <w:r w:rsidRPr="009E35B2">
              <w:tab/>
              <w:t>talletusten vakuusjärjestelmä on vahvistanut, että toimenpiteen kustannukset eivät ylitä tallettajille korvaamisen kustannuksia 11 e artiklan mukaisesti laskettuna;</w:t>
            </w:r>
          </w:p>
        </w:tc>
        <w:tc>
          <w:tcPr>
            <w:tcW w:w="4876" w:type="dxa"/>
            <w:hideMark/>
          </w:tcPr>
          <w:p w:rsidR="00E61B38" w:rsidRPr="009E35B2" w:rsidRDefault="00E61B38" w:rsidP="0024275D">
            <w:pPr>
              <w:pStyle w:val="Normal6"/>
              <w:rPr>
                <w:szCs w:val="24"/>
              </w:rPr>
            </w:pPr>
            <w:r w:rsidRPr="009E35B2">
              <w:t>b)</w:t>
            </w:r>
            <w:r w:rsidRPr="009E35B2">
              <w:tab/>
              <w:t xml:space="preserve">talletusten vakuusjärjestelmä on vahvistanut, että toimenpiteen kustannukset eivät ylitä tallettajille korvaamisen kustannuksia 11 e artiklan mukaisesti laskettuna </w:t>
            </w:r>
            <w:r w:rsidRPr="009E35B2">
              <w:rPr>
                <w:b/>
                <w:i/>
              </w:rPr>
              <w:t>tai muita toimenpiteitä, joiden voidaan katsoa vastaavan tallettajille korvaamista</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208</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12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artikla – 3 kohta – b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b)</w:t>
            </w:r>
            <w:r w:rsidRPr="009E35B2">
              <w:tab/>
              <w:t xml:space="preserve">talletusten vakuusjärjestelmä on vahvistanut, että toimenpiteen kustannukset </w:t>
            </w:r>
            <w:r w:rsidRPr="009E35B2">
              <w:rPr>
                <w:b/>
                <w:i/>
              </w:rPr>
              <w:t>eivät ylitä tallettajille korvaamisen kustannuksia 11 e artiklan mukaisesti laskettuna</w:t>
            </w:r>
            <w:r w:rsidRPr="009E35B2">
              <w:t>;</w:t>
            </w:r>
          </w:p>
        </w:tc>
        <w:tc>
          <w:tcPr>
            <w:tcW w:w="4876" w:type="dxa"/>
            <w:hideMark/>
          </w:tcPr>
          <w:p w:rsidR="00E61B38" w:rsidRPr="009E35B2" w:rsidRDefault="00E61B38" w:rsidP="0024275D">
            <w:pPr>
              <w:pStyle w:val="Normal6"/>
              <w:rPr>
                <w:szCs w:val="24"/>
              </w:rPr>
            </w:pPr>
            <w:r w:rsidRPr="009E35B2">
              <w:t>b)</w:t>
            </w:r>
            <w:r w:rsidRPr="009E35B2">
              <w:tab/>
              <w:t xml:space="preserve">talletusten vakuusjärjestelmä on vahvistanut, että toimenpiteen kustannukset </w:t>
            </w:r>
            <w:r w:rsidRPr="009E35B2">
              <w:rPr>
                <w:b/>
                <w:i/>
              </w:rPr>
              <w:t>täyttävät pienimmän kustannuksen testin vaatimukset 11 e artiklan mukaisesti</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209</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12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artikla – 3 kohta – c a alakohta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c a)</w:t>
            </w:r>
            <w:r w:rsidRPr="009E35B2">
              <w:rPr>
                <w:b/>
                <w:i/>
              </w:rPr>
              <w:tab/>
              <w:t>luottolaitos ei ole kymmenen viime vuoden aikana hyötynyt direktiivin 2014/59/EU 32 c artiklassa määritellyistä poikkeuksellisista julkisista rahoitustukitoimenpiteistä, talletusten vakuusjärjestelmien ehkäisevät toimenpiteet mukaan luettuina.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Jotta vältettäisiin se, että elinkelvottomat pankit saavat useasti ja säännöllisesti tukea, jonka avulla ne voivat pysyä markkinoilla ja kiertää kriisinratkaisua, olisi vahvistettava tiukka tuen ainutkertaisuuden periaate. Lisäksi talletusten vakuusjärjestelmän varoja olisi käytettävä ensisijaisesti sen yhdenmukaistettuihin käyttötarkoituksiin (maksaminen ja kriisinratkaisu), joten niitä olisi suojattava paremmin käyttämällä lisävaroja tai muihin käyttötarkoituksiin jälkikäteen maksettavia rahoitusosuuksia.</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210</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Markus Ferber, Herbert Dorfmann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12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artikla – 3 a kohta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3 a.</w:t>
            </w:r>
            <w:r w:rsidRPr="009E35B2">
              <w:rPr>
                <w:b/>
                <w:i/>
              </w:rPr>
              <w:tab/>
              <w:t>Jäsenvaltiot voivat sallia, että laitosten suojajärjestelmät, jotka on virallisesti tunnustettu talletusten vakuusjärjestelmiksi 4 artiklan 2 kohdan mukaisesti, käyttävät käytettävissä olevia varoja luottolaitoksen hyväksi toteutettaviin ennaltaehkäiseviin toimenpiteisiin, jos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a) kriisinratkaisuviranomainen ei ole toteuttanut direktiivin 2014/59/EU 32 artiklan mukaisia kriisinratkaisutoimia;</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b) talletusten vakuusjärjestelmä on asetuksen (EU) N:o 575/2013 133 artiklan 7 kohdan mukaisesti sertifioitu järjestelmä;</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c) kaikki 11 f artiklassa säädetyt edellytykset täyttyvät.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Tunnustaa laitosten suojajärjestelmän erityistehtävän: laitosten suojajärjestelmät käyttävät ennaltaehkäiseviä toimenpiteitä keinona ehkäistä korvausasioita ja siten varmistavat talletussuojaa. Niiden kannalta ehkäisevien toimenpiteiden käyttö on normaali menettelytapa, ei yksi useista mahdollisista työkalupakista valittavista välineistä.</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211</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12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artikla – 4 kohta – a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a)</w:t>
            </w:r>
            <w:r w:rsidRPr="009E35B2">
              <w:tab/>
              <w:t>tallettajille on maksettava korvauksia ja talletusten vakuusjärjestelmän saatavilla olevat rahoitusvarat ovat alle kaksi kolmasosaa tavoitetasosta;</w:t>
            </w:r>
          </w:p>
        </w:tc>
        <w:tc>
          <w:tcPr>
            <w:tcW w:w="4876" w:type="dxa"/>
            <w:hideMark/>
          </w:tcPr>
          <w:p w:rsidR="00E61B38" w:rsidRPr="009E35B2" w:rsidRDefault="00E61B38" w:rsidP="0024275D">
            <w:pPr>
              <w:pStyle w:val="Normal6"/>
              <w:rPr>
                <w:szCs w:val="24"/>
              </w:rPr>
            </w:pPr>
            <w:r w:rsidRPr="009E35B2">
              <w:t>a)</w:t>
            </w:r>
            <w:r w:rsidRPr="009E35B2">
              <w:tab/>
              <w:t xml:space="preserve">tallettajille on maksettava korvauksia </w:t>
            </w:r>
            <w:r w:rsidRPr="009E35B2">
              <w:rPr>
                <w:b/>
                <w:i/>
              </w:rPr>
              <w:t>tai on osallistuttava kriisinratkaisuun,</w:t>
            </w:r>
            <w:r w:rsidRPr="009E35B2">
              <w:t xml:space="preserve"> ja talletusten vakuusjärjestelmän saatavilla olevat rahoitusvarat ovat alle kaksi kolmasosaa tavoitetasosta;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212</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12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artikla – 4 kohta – b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b)</w:t>
            </w:r>
            <w:r w:rsidRPr="009E35B2">
              <w:tab/>
              <w:t xml:space="preserve">talletusten vakuusjärjestelmän käytettävissä olevat rahoitusvarat laskevat alle </w:t>
            </w:r>
            <w:r w:rsidRPr="009E35B2">
              <w:rPr>
                <w:b/>
                <w:i/>
              </w:rPr>
              <w:t>25</w:t>
            </w:r>
            <w:r w:rsidRPr="009E35B2">
              <w:t> prosenttiin tavoitetasosta.</w:t>
            </w:r>
          </w:p>
        </w:tc>
        <w:tc>
          <w:tcPr>
            <w:tcW w:w="4876" w:type="dxa"/>
            <w:hideMark/>
          </w:tcPr>
          <w:p w:rsidR="00E61B38" w:rsidRPr="009E35B2" w:rsidRDefault="00E61B38" w:rsidP="0024275D">
            <w:pPr>
              <w:pStyle w:val="Normal6"/>
              <w:rPr>
                <w:szCs w:val="24"/>
              </w:rPr>
            </w:pPr>
            <w:r w:rsidRPr="009E35B2">
              <w:t>b)</w:t>
            </w:r>
            <w:r w:rsidRPr="009E35B2">
              <w:tab/>
              <w:t xml:space="preserve">talletusten vakuusjärjestelmän käytettävissä olevat rahoitusvarat laskevat alle </w:t>
            </w:r>
            <w:r w:rsidRPr="009E35B2">
              <w:rPr>
                <w:b/>
                <w:i/>
              </w:rPr>
              <w:t>62,5</w:t>
            </w:r>
            <w:r w:rsidRPr="009E35B2">
              <w:t> prosenttiin tavoitetasosta.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Jotta vältettäisiin se, että elinkelvottomat pankit saavat useasti ja säännöllisesti tukea, jonka avulla ne voivat pysyä markkinoilla ja kiertää kriisinratkaisua, olisi vahvistettava tiukka tuen ainutkertaisuuden periaate. Lisäksi talletusten vakuusjärjestelmän varoja olisi käytettävä ensisijaisesti sen yhdenmukaistettuihin käyttötarkoituksiin (maksaminen ja kriisinratkaisu), joten niitä olisi suojattava paremmin käyttämällä lisävaroja tai muihin käyttötarkoituksiin jälkikäteen maksettavia rahoitusosuuksia.</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213</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12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artikla – 5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5.</w:t>
            </w:r>
            <w:r w:rsidRPr="009E35B2">
              <w:tab/>
              <w:t>Jos luottolaitos likvidoidaan direktiivin 2014/59/EU 32 b artiklan mukaisesti markkinoilta poistumiseksi tai sen pankkitoiminnan lopettamiseksi, jäsenvaltiot voivat sallia, että talletusten vakuusjärjestelmät käyttävät käytettävissä olevia rahoitusvaroja vaihtoehtoisiin toimenpiteisiin, joilla säilytetään tallettajien mahdollisuus käyttää talletuksiaan, varojen ja velkojen sekä talletuskirjojen siirrot mukaan luettuina</w:t>
            </w:r>
            <w:r w:rsidRPr="009E35B2">
              <w:rPr>
                <w:b/>
                <w:i/>
              </w:rPr>
              <w:t>, edellyttäen, että talletusten vakuusjärjestelmä vahvistaa, etteivät toimenpiteen kustannukset ylitä tallettajille korvaamisen kustannuksia tämän direktiivin 11 e artiklan mukaisesti laskettuna ja että kaikki tämän direktiivin 11 d artiklassa säädetyt edellytykset täyttyvät.”</w:t>
            </w:r>
          </w:p>
        </w:tc>
        <w:tc>
          <w:tcPr>
            <w:tcW w:w="4876" w:type="dxa"/>
            <w:hideMark/>
          </w:tcPr>
          <w:p w:rsidR="00E61B38" w:rsidRPr="009E35B2" w:rsidRDefault="00E61B38" w:rsidP="0024275D">
            <w:pPr>
              <w:pStyle w:val="Normal6"/>
              <w:rPr>
                <w:szCs w:val="24"/>
              </w:rPr>
            </w:pPr>
            <w:r w:rsidRPr="009E35B2">
              <w:t>5.</w:t>
            </w:r>
            <w:r w:rsidRPr="009E35B2">
              <w:tab/>
              <w:t>Jos luottolaitos likvidoidaan direktiivin 2014/59/EU 32 b artiklan mukaisesti markkinoilta poistumiseksi tai sen pankkitoiminnan lopettamiseksi, jäsenvaltiot voivat sallia, että talletusten vakuusjärjestelmät käyttävät käytettävissä olevia rahoitusvaroja vaihtoehtoisiin toimenpiteisiin, joilla säilytetään tallettajien mahdollisuus käyttää talletuksiaan, varojen ja velkojen sekä talletuskirjojen siirrot mukaan luettuina</w:t>
            </w:r>
            <w:r w:rsidRPr="009E35B2">
              <w:rPr>
                <w:b/>
                <w:i/>
              </w:rPr>
              <w:t>, jos kaikki seuraavat edellytykset täyttyvät</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a)</w:t>
            </w:r>
            <w:r w:rsidRPr="009E35B2">
              <w:t xml:space="preserve"> </w:t>
            </w:r>
            <w:r w:rsidRPr="009E35B2">
              <w:rPr>
                <w:b/>
                <w:i/>
              </w:rPr>
              <w:t>talletusten vakuusjärjestelmä vahvistaa, että toimenpiteen kustannukset eivät ylitä tallettajille korvaamisen kustannuksia tämän direktiivin 11 e artiklan mukaisesti laskettuna;</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b)</w:t>
            </w:r>
            <w:r w:rsidRPr="009E35B2">
              <w:t xml:space="preserve"> </w:t>
            </w:r>
            <w:r w:rsidRPr="009E35B2">
              <w:rPr>
                <w:b/>
                <w:bCs/>
                <w:i/>
                <w:iCs/>
              </w:rPr>
              <w:t>kaikki tämän direktiivin 11 d artiklassa säädetyt edellytykset täyttyvät;</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c) toimenpide sisältyi direktiivin 2014/59/EU 10 ja 12 artiklassa määriteltyyn kriisinratkaisusuunnitelmaan;</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d) jos toimenpide toteutetaan varojen tai velkojen siirron muodossa, siirrettyjen velkojen on oltava</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i) suojattuja talletuksia;</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ii) luonnollisten henkilöiden ja mikroyritysten sekä pienten ja keskisuurten yritysten suojakelpoisia talletuksia;</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iii) talletuksia, jotka olisivat luonnollisten henkilöiden ja mikroyritysten sekä pienten ja keskisuurten yritysten suojakelpoisia talletuksia, jollei niitä olisi tehty unioniin sijoittautuneiden laitosten unionin ulkopuolella sijaitsevien sivuliikkeiden kautta;</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iv) velkoja, jotka olivat suojattuihin talletuksiin nähden ensisijaisia saamisten maksukyvyttömyysmenettelyssä kansallisessa velkojien hierarkiassa.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The least cost test is not a sufficient safeguard to ensure that alternative measures will not be able to circumvent resolution when the resolution is based on transfer strategies. Since DGS alternative measures and transfer strategies in resolution have the same economic outcomes, they should be subject to similar economic conditions, in particular in relation to (i) market exit; (ii) preliminary burden sharing (limitation in terms of seniority of liabilities that could be transferred); (iii) sufficient internal loss absorption capacity. In order to protect available financial means of the DGS and thus ensure that DGS would be able to perform a payout in case needed, a cap should be reintroduced in terms of use of available financial means (50%, as in the current BRRD/DGSD) should the DGS be used for resolution/preventive/ alternative measures.</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214</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Marco Zanni, Valentino Grant, Antonio Maria Rinaldi</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12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artikla – 5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5.</w:t>
            </w:r>
            <w:r w:rsidRPr="009E35B2">
              <w:tab/>
              <w:t xml:space="preserve">Jos luottolaitos likvidoidaan direktiivin 2014/59/EU 32 b artiklan mukaisesti markkinoilta poistumiseksi tai sen pankkitoiminnan lopettamiseksi, </w:t>
            </w:r>
            <w:r w:rsidRPr="009E35B2">
              <w:rPr>
                <w:b/>
                <w:i/>
              </w:rPr>
              <w:t>jäsenvaltiot voivat sallia</w:t>
            </w:r>
            <w:r w:rsidRPr="009E35B2">
              <w:t xml:space="preserve">, että talletusten vakuusjärjestelmät </w:t>
            </w:r>
            <w:r w:rsidRPr="009E35B2">
              <w:rPr>
                <w:b/>
                <w:i/>
              </w:rPr>
              <w:t>käyttävät</w:t>
            </w:r>
            <w:r w:rsidRPr="009E35B2">
              <w:t xml:space="preserve"> käytettävissä olevia rahoitusvaroja vaihtoehtoisiin toimenpiteisiin, joilla säilytetään tallettajien mahdollisuus käyttää talletuksiaan, varojen ja velkojen sekä talletuskirjojen siirrot mukaan luettuina, edellyttäen, että talletusten vakuusjärjestelmä vahvistaa, etteivät toimenpiteen kustannukset ylitä </w:t>
            </w:r>
            <w:r w:rsidRPr="009E35B2">
              <w:rPr>
                <w:b/>
                <w:i/>
              </w:rPr>
              <w:t>tallettajille</w:t>
            </w:r>
            <w:r w:rsidRPr="009E35B2">
              <w:t xml:space="preserve"> korvaamisen kustannuksia </w:t>
            </w:r>
            <w:r w:rsidRPr="009E35B2">
              <w:rPr>
                <w:b/>
                <w:i/>
              </w:rPr>
              <w:t>tämän direktiivin 11 e artiklan mukaisesti laskettuna ja että kaikki tämän direktiivin 11 d artiklassa säädetyt edellytykset täyttyvät</w:t>
            </w:r>
            <w:r w:rsidRPr="009E35B2">
              <w:t>.”</w:t>
            </w:r>
          </w:p>
        </w:tc>
        <w:tc>
          <w:tcPr>
            <w:tcW w:w="4876" w:type="dxa"/>
            <w:hideMark/>
          </w:tcPr>
          <w:p w:rsidR="00E61B38" w:rsidRPr="009E35B2" w:rsidRDefault="00E61B38" w:rsidP="0024275D">
            <w:pPr>
              <w:pStyle w:val="Normal6"/>
              <w:rPr>
                <w:szCs w:val="24"/>
              </w:rPr>
            </w:pPr>
            <w:r w:rsidRPr="009E35B2">
              <w:t>5.</w:t>
            </w:r>
            <w:r w:rsidRPr="009E35B2">
              <w:tab/>
              <w:t xml:space="preserve">Jos luottolaitos likvidoidaan direktiivin 2014/59/EU 32 b artiklan mukaisesti markkinoilta poistumiseksi tai sen pankkitoiminnan lopettamiseksi, </w:t>
            </w:r>
            <w:r w:rsidRPr="009E35B2">
              <w:rPr>
                <w:b/>
                <w:i/>
              </w:rPr>
              <w:t>jäsenvaltioiden on varmistettava</w:t>
            </w:r>
            <w:r w:rsidRPr="009E35B2">
              <w:t xml:space="preserve">, että talletusten vakuusjärjestelmät </w:t>
            </w:r>
            <w:r w:rsidRPr="009E35B2">
              <w:rPr>
                <w:b/>
                <w:i/>
              </w:rPr>
              <w:t>voivat käyttää</w:t>
            </w:r>
            <w:r w:rsidRPr="009E35B2">
              <w:t xml:space="preserve"> käytettävissä olevia rahoitusvaroja vaihtoehtoisiin toimenpiteisiin, joilla säilytetään tallettajien mahdollisuus käyttää talletuksiaan, varojen ja velkojen sekä talletuskirjojen siirrot mukaan luettuina, edellyttäen, että talletusten vakuusjärjestelmä vahvistaa, etteivät toimenpiteen kustannukset ylitä korvaamisen kustannuksia.”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215</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Irene Tinagli,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12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artikla – 5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5.</w:t>
            </w:r>
            <w:r w:rsidRPr="009E35B2">
              <w:tab/>
              <w:t xml:space="preserve">Jos luottolaitos likvidoidaan direktiivin 2014/59/EU 32 b artiklan mukaisesti markkinoilta poistumiseksi tai sen pankkitoiminnan lopettamiseksi, </w:t>
            </w:r>
            <w:r w:rsidRPr="009E35B2">
              <w:rPr>
                <w:b/>
                <w:i/>
              </w:rPr>
              <w:t>jäsenvaltiot voivat sallia</w:t>
            </w:r>
            <w:r w:rsidRPr="009E35B2">
              <w:t xml:space="preserve">, että talletusten vakuusjärjestelmät </w:t>
            </w:r>
            <w:r w:rsidRPr="009E35B2">
              <w:rPr>
                <w:b/>
                <w:i/>
              </w:rPr>
              <w:t xml:space="preserve">käyttävät </w:t>
            </w:r>
            <w:r w:rsidRPr="009E35B2">
              <w:t>käytettävissä olevia rahoitusvaroja vaihtoehtoisiin toimenpiteisiin, joilla säilytetään tallettajien mahdollisuus käyttää talletuksiaan, varojen ja velkojen sekä talletuskirjojen siirrot mukaan luettuina, edellyttäen, että talletusten vakuusjärjestelmä vahvistaa, etteivät toimenpiteen kustannukset ylitä tallettajille korvaamisen kustannuksia tämän direktiivin 11 e artiklan mukaisesti laskettuna ja että kaikki tämän direktiivin 11 d artiklassa säädetyt edellytykset täyttyvät.”</w:t>
            </w:r>
          </w:p>
        </w:tc>
        <w:tc>
          <w:tcPr>
            <w:tcW w:w="4876" w:type="dxa"/>
            <w:hideMark/>
          </w:tcPr>
          <w:p w:rsidR="00E61B38" w:rsidRPr="009E35B2" w:rsidRDefault="00E61B38" w:rsidP="0024275D">
            <w:pPr>
              <w:pStyle w:val="Normal6"/>
              <w:rPr>
                <w:szCs w:val="24"/>
              </w:rPr>
            </w:pPr>
            <w:r w:rsidRPr="009E35B2">
              <w:t>5.</w:t>
            </w:r>
            <w:r w:rsidRPr="009E35B2">
              <w:tab/>
              <w:t xml:space="preserve">Jos luottolaitos likvidoidaan direktiivin 2014/59/EU 32 b artiklan mukaisesti markkinoilta poistumiseksi tai sen pankkitoiminnan lopettamiseksi, </w:t>
            </w:r>
            <w:r w:rsidRPr="009E35B2">
              <w:rPr>
                <w:b/>
                <w:i/>
              </w:rPr>
              <w:t>jäsenvaltioiden on varmistettava</w:t>
            </w:r>
            <w:r w:rsidRPr="009E35B2">
              <w:t xml:space="preserve">, että talletusten vakuusjärjestelmät </w:t>
            </w:r>
            <w:r w:rsidRPr="009E35B2">
              <w:rPr>
                <w:b/>
                <w:i/>
              </w:rPr>
              <w:t>voivat käyttää</w:t>
            </w:r>
            <w:r w:rsidRPr="009E35B2">
              <w:t xml:space="preserve"> käytettävissä olevia rahoitusvaroja vaihtoehtoisiin toimenpiteisiin, joilla säilytetään tallettajien mahdollisuus käyttää talletuksiaan, varojen ja velkojen sekä talletuskirjojen siirrot mukaan luettuina, edellyttäen, että talletusten vakuusjärjestelmä vahvistaa, etteivät toimenpiteen kustannukset ylitä tallettajille korvaamisen kustannuksia tämän direktiivin 11 e artiklan mukaisesti laskettuna ja että kaikki tämän direktiivin 11 d artiklassa säädetyt edellytykset täyttyvät.”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216</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12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artikla – 5 a kohta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5 a.</w:t>
            </w:r>
            <w:r w:rsidRPr="009E35B2">
              <w:rPr>
                <w:b/>
                <w:i/>
              </w:rPr>
              <w:tab/>
              <w:t>Jäsenvaltioiden on varmistettava, että kun talletusten vakuusjärjestelmät toteuttavat tämän artiklan 2, 3 ja 5 kohdassa tarkoitettuja toimenpiteitä, jaetut käytettävissä olevat varat olisi rajoitettava 50 prosenttiin niiden 10 artiklan mukaisesta tavoitetasosta.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The least cost test is not a sufficient safeguard to ensure that alternative measures will not be able to circumvent resolution when the resolution is based on transfer strategies. Since DGS alternative measures and transfer strategies in resolution have the same economic outcomes, they should be subject to similar economic conditions, in particular in relation to (i) market exit; (ii) preliminary burden sharing (limitation in terms of seniority of liabilities that could be transferred); (iii) sufficient internal loss absorption capacity.In order to protect available financial means of the DGS and thus ensure that DGS would be able to perform a payout in case needed, a cap should be reintroduced in terms of use of available financial means (50%, as in the current BRRD/DGSD) should the DGS be used for resolution/preventive/ alternative measures.</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217</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Markus Ferber, Herbert Dorfmann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 – johdantokappale</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(13)</w:t>
            </w:r>
            <w:r w:rsidRPr="009E35B2">
              <w:tab/>
              <w:t>Lisätään 11 a–11 </w:t>
            </w:r>
            <w:r w:rsidRPr="009E35B2">
              <w:rPr>
                <w:b/>
                <w:i/>
              </w:rPr>
              <w:t>e</w:t>
            </w:r>
            <w:r w:rsidRPr="009E35B2">
              <w:t> artikla seuraavasti:</w:t>
            </w:r>
          </w:p>
        </w:tc>
        <w:tc>
          <w:tcPr>
            <w:tcW w:w="4876" w:type="dxa"/>
            <w:hideMark/>
          </w:tcPr>
          <w:p w:rsidR="00E61B38" w:rsidRPr="009E35B2" w:rsidRDefault="00E61B38" w:rsidP="0024275D">
            <w:pPr>
              <w:pStyle w:val="Normal6"/>
              <w:rPr>
                <w:szCs w:val="24"/>
              </w:rPr>
            </w:pPr>
            <w:r w:rsidRPr="009E35B2">
              <w:t>(13)</w:t>
            </w:r>
            <w:r w:rsidRPr="009E35B2">
              <w:tab/>
              <w:t>Lisätään 11 a–11 </w:t>
            </w:r>
            <w:r w:rsidRPr="009E35B2">
              <w:rPr>
                <w:b/>
                <w:i/>
              </w:rPr>
              <w:t>f</w:t>
            </w:r>
            <w:r w:rsidRPr="009E35B2">
              <w:t> artikla seuraavasti:</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218</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Fabio Massimo Castaldo</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 artikla – 1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1.</w:t>
            </w:r>
            <w:r w:rsidRPr="009E35B2">
              <w:tab/>
            </w:r>
            <w:r w:rsidRPr="009E35B2">
              <w:rPr>
                <w:b/>
                <w:i/>
              </w:rPr>
              <w:t>Jos jäsenvaltiot sallivat talletusten vakuusjärjestelmän varojen käytön ennaltaehkäiseviin toimenpiteisiin 11 artiklan 3 kohdassa tarkoitetun mukaisesti, niiden</w:t>
            </w:r>
            <w:r w:rsidRPr="009E35B2">
              <w:t xml:space="preserve"> on varmistettava, että talletusten vakuusjärjestelmät käyttävät käytettävissä olevia varoja 11 artiklan 3 kohdassa tarkoitettuihin ennaltaehkäiseviin toimenpiteisiin edellyttäen, että kaikki seuraavat edellytykset täyttyvät:</w:t>
            </w:r>
          </w:p>
        </w:tc>
        <w:tc>
          <w:tcPr>
            <w:tcW w:w="4876" w:type="dxa"/>
            <w:hideMark/>
          </w:tcPr>
          <w:p w:rsidR="00E61B38" w:rsidRPr="009E35B2" w:rsidRDefault="00E61B38" w:rsidP="0024275D">
            <w:pPr>
              <w:pStyle w:val="Normal6"/>
              <w:rPr>
                <w:szCs w:val="24"/>
              </w:rPr>
            </w:pPr>
            <w:r w:rsidRPr="009E35B2">
              <w:t>1.</w:t>
            </w:r>
            <w:r w:rsidRPr="009E35B2">
              <w:tab/>
            </w:r>
            <w:r w:rsidRPr="009E35B2">
              <w:rPr>
                <w:b/>
                <w:bCs/>
                <w:i/>
                <w:iCs/>
              </w:rPr>
              <w:t xml:space="preserve">Jäsenvaltioiden </w:t>
            </w:r>
            <w:r w:rsidRPr="009E35B2">
              <w:t>on varmistettava, että talletusten vakuusjärjestelmät käyttävät käytettävissä olevia varoja 11 artiklan 3 kohdassa tarkoitettuihin ennaltaehkäiseviin toimenpiteisiin edellyttäen, että kaikki seuraavat edellytykset täyttyvät: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219</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Marco Zanni, Valentino Grant, Antonio Maria Rinaldi</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 artikla – 1 kohta – johdantokappale</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1.</w:t>
            </w:r>
            <w:r w:rsidRPr="009E35B2">
              <w:tab/>
            </w:r>
            <w:r w:rsidRPr="009E35B2">
              <w:rPr>
                <w:b/>
                <w:i/>
              </w:rPr>
              <w:t>Jos jäsenvaltiot sallivat talletusten vakuusjärjestelmän varojen käytön ennaltaehkäiseviin toimenpiteisiin 11 artiklan 3 kohdassa tarkoitetun mukaisesti, niiden</w:t>
            </w:r>
            <w:r w:rsidRPr="009E35B2">
              <w:t xml:space="preserve"> on varmistettava, että </w:t>
            </w:r>
            <w:r w:rsidRPr="009E35B2">
              <w:rPr>
                <w:b/>
                <w:i/>
              </w:rPr>
              <w:t>talletusten vakuusjärjestelmät käyttävät käytettävissä olevia varoja</w:t>
            </w:r>
            <w:r w:rsidRPr="009E35B2">
              <w:t xml:space="preserve"> 11 artiklan 3 kohdassa tarkoitettuihin ennaltaehkäiseviin toimenpiteisiin edellyttäen, että kaikki seuraavat edellytykset täyttyvät:</w:t>
            </w:r>
          </w:p>
        </w:tc>
        <w:tc>
          <w:tcPr>
            <w:tcW w:w="4876" w:type="dxa"/>
            <w:hideMark/>
          </w:tcPr>
          <w:p w:rsidR="00E61B38" w:rsidRPr="009E35B2" w:rsidRDefault="00E61B38" w:rsidP="0024275D">
            <w:pPr>
              <w:pStyle w:val="Normal6"/>
              <w:rPr>
                <w:szCs w:val="24"/>
              </w:rPr>
            </w:pPr>
            <w:r w:rsidRPr="009E35B2">
              <w:t>1.</w:t>
            </w:r>
            <w:r w:rsidRPr="009E35B2">
              <w:tab/>
            </w:r>
            <w:r w:rsidRPr="009E35B2">
              <w:rPr>
                <w:b/>
                <w:i/>
              </w:rPr>
              <w:t>Jäsenvaltioiden</w:t>
            </w:r>
            <w:r w:rsidRPr="009E35B2">
              <w:t xml:space="preserve"> on varmistettava, että </w:t>
            </w:r>
            <w:r w:rsidRPr="009E35B2">
              <w:rPr>
                <w:b/>
                <w:i/>
              </w:rPr>
              <w:t>nimetyt viranomaiset hyväksyvät toimivaltaisia viranomaisia ja kriisinratkaisuviranomaisia kuultuaan oikea-aikaisesti tallennusten vakuusjärjestelmien käytettävissä olevien rahoitusvarojen käytön</w:t>
            </w:r>
            <w:r w:rsidRPr="009E35B2">
              <w:t xml:space="preserve"> 11 artiklan 3 kohdassa tarkoitettuihin ennaltaehkäiseviin toimenpiteisiin edellyttäen, että kaikki seuraavat edellytykset täyttyvät: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220</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Irene Tinagli,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 artikla – 1 kohta – johdantokappale</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1.</w:t>
            </w:r>
            <w:r w:rsidRPr="009E35B2">
              <w:tab/>
            </w:r>
            <w:r w:rsidRPr="009E35B2">
              <w:rPr>
                <w:b/>
                <w:i/>
              </w:rPr>
              <w:t>Jos jäsenvaltiot sallivat talletusten vakuusjärjestelmän varojen käytön ennaltaehkäiseviin toimenpiteisiin 11 artiklan 3 kohdassa tarkoitetun mukaisesti, niiden</w:t>
            </w:r>
            <w:r w:rsidRPr="009E35B2">
              <w:t xml:space="preserve"> on varmistettava, että talletusten vakuusjärjestelmät käyttävät käytettävissä olevia varoja 11 artiklan 3 kohdassa tarkoitettuihin ennaltaehkäiseviin toimenpiteisiin edellyttäen, että kaikki seuraavat edellytykset täyttyvät:</w:t>
            </w:r>
          </w:p>
        </w:tc>
        <w:tc>
          <w:tcPr>
            <w:tcW w:w="4876" w:type="dxa"/>
            <w:hideMark/>
          </w:tcPr>
          <w:p w:rsidR="00E61B38" w:rsidRPr="009E35B2" w:rsidRDefault="00E61B38" w:rsidP="0024275D">
            <w:pPr>
              <w:pStyle w:val="Normal6"/>
              <w:rPr>
                <w:szCs w:val="24"/>
              </w:rPr>
            </w:pPr>
            <w:r w:rsidRPr="009E35B2">
              <w:t>1.</w:t>
            </w:r>
            <w:r w:rsidRPr="009E35B2">
              <w:tab/>
            </w:r>
            <w:r w:rsidRPr="009E35B2">
              <w:rPr>
                <w:b/>
                <w:bCs/>
                <w:i/>
                <w:iCs/>
              </w:rPr>
              <w:t xml:space="preserve">Jäsenvaltioiden </w:t>
            </w:r>
            <w:r w:rsidRPr="009E35B2">
              <w:t>on varmistettava, että talletusten vakuusjärjestelmät käyttävät käytettävissä olevia varoja 11 artiklan 3 kohdassa tarkoitettuihin ennaltaehkäiseviin toimenpiteisiin edellyttäen, että kaikki seuraavat edellytykset täyttyvät: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221</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Roberts Zīle</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 artikla – 1 kohta – johdantokappale</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1.</w:t>
            </w:r>
            <w:r w:rsidRPr="009E35B2">
              <w:tab/>
            </w:r>
            <w:r w:rsidRPr="009E35B2">
              <w:rPr>
                <w:b/>
                <w:i/>
              </w:rPr>
              <w:t xml:space="preserve">Jos jäsenvaltiot sallivat talletusten vakuusjärjestelmän varojen käytön ennaltaehkäiseviin toimenpiteisiin 11 artiklan 3 kohdassa tarkoitetun mukaisesti, niiden </w:t>
            </w:r>
            <w:r w:rsidRPr="009E35B2">
              <w:t xml:space="preserve">on varmistettava, että </w:t>
            </w:r>
            <w:r w:rsidRPr="009E35B2">
              <w:rPr>
                <w:b/>
                <w:i/>
              </w:rPr>
              <w:t>talletusten vakuusjärjestelmät käyttävät käytettävissä olevia varoja</w:t>
            </w:r>
            <w:r w:rsidRPr="009E35B2">
              <w:t xml:space="preserve"> 11 artiklan 3 kohdassa tarkoitettuihin ennaltaehkäiseviin toimenpiteisiin edellyttäen, että kaikki seuraavat edellytykset täyttyvät:</w:t>
            </w:r>
          </w:p>
        </w:tc>
        <w:tc>
          <w:tcPr>
            <w:tcW w:w="4876" w:type="dxa"/>
            <w:hideMark/>
          </w:tcPr>
          <w:p w:rsidR="00E61B38" w:rsidRPr="009E35B2" w:rsidRDefault="00E61B38" w:rsidP="0024275D">
            <w:pPr>
              <w:pStyle w:val="Normal6"/>
              <w:rPr>
                <w:szCs w:val="24"/>
              </w:rPr>
            </w:pPr>
            <w:r w:rsidRPr="009E35B2">
              <w:t>1.</w:t>
            </w:r>
            <w:r w:rsidRPr="009E35B2">
              <w:tab/>
            </w:r>
            <w:r w:rsidRPr="009E35B2">
              <w:rPr>
                <w:b/>
                <w:i/>
              </w:rPr>
              <w:t>Jäsenvaltioiden</w:t>
            </w:r>
            <w:r w:rsidRPr="009E35B2">
              <w:t xml:space="preserve"> on varmistettava, että </w:t>
            </w:r>
            <w:r w:rsidRPr="009E35B2">
              <w:rPr>
                <w:b/>
                <w:i/>
              </w:rPr>
              <w:t xml:space="preserve">nimetyt viranomaiset hyväksyvät toimivaltaisia viranomaisia ja kriisinratkaisuviranomaisia kuultuaan oikea-aikaisesti tallennusten vakuusjärjestelmien käytettävissä olevien rahoitusvarojen käytön </w:t>
            </w:r>
            <w:r w:rsidRPr="009E35B2">
              <w:t>11 artiklan 3 kohdassa tarkoitettuihin ennaltaehkäiseviin toimenpiteisiin edellyttäen, että kaikki seuraavat edellytykset täyttyvät: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222</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 artikla – 1 kohta – a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a)</w:t>
            </w:r>
            <w:r w:rsidRPr="009E35B2">
              <w:tab/>
              <w:t xml:space="preserve">luottolaitoksen pyyntöön tällaisten ennaltaehkäisevien toimenpiteiden rahoittamisesta on liitetty </w:t>
            </w:r>
            <w:r w:rsidRPr="009E35B2">
              <w:rPr>
                <w:b/>
                <w:bCs/>
                <w:i/>
                <w:iCs/>
              </w:rPr>
              <w:t xml:space="preserve">11 b artiklassa tarkoitettu toimenpiteet sisältävä </w:t>
            </w:r>
            <w:r w:rsidRPr="009E35B2">
              <w:t>ilmoitus;</w:t>
            </w:r>
          </w:p>
        </w:tc>
        <w:tc>
          <w:tcPr>
            <w:tcW w:w="4876" w:type="dxa"/>
            <w:hideMark/>
          </w:tcPr>
          <w:p w:rsidR="00E61B38" w:rsidRPr="009E35B2" w:rsidRDefault="00E61B38" w:rsidP="0024275D">
            <w:pPr>
              <w:pStyle w:val="Normal6"/>
              <w:rPr>
                <w:szCs w:val="24"/>
              </w:rPr>
            </w:pPr>
            <w:r w:rsidRPr="009E35B2">
              <w:t>a)</w:t>
            </w:r>
            <w:r w:rsidRPr="009E35B2">
              <w:tab/>
              <w:t>luottolaitoksen pyyntöön tällaisten ennaltaehkäisevien toimenpiteiden rahoittamisesta on liitetty ilmoitus</w:t>
            </w:r>
            <w:r w:rsidRPr="009E35B2">
              <w:rPr>
                <w:b/>
                <w:i/>
              </w:rPr>
              <w:t>, jossa sitoudutaan rakenneuudistussuunnitelmaan, jotta varmistetaan tai palautetaan pitkän aikavälin elinkelpoisuus ja asianomaiseen laitokseen sovellettavien valvontavaatimusten noudattaminen direktiivin 2013/36/EU ja asetuksen (EU) N:o 575/2013 mukaisesti, ja joka sisältää 11 b artiklassa tarkoitettuja ja toimivaltaisen viranomaisen hyväksymiä toimenpiteitä</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Ennaltaehkäiseviä tukimuotoja olisi kohdeltava yhdenvertaisesti tasapuolisten toimintaedellytysten säilyttämiseksi riippumatta siitä, perustuvatko tukimuodot julkisiin varoihin vai yksityiseen talletusten vakuusjärjestelmään. Sen vuoksi nämä ehdot olisi yhdenmukaistettava pankkien elvytys- ja kriisinratkaisudirektiivin 32 c artiklan kanssa, ja niillä on varmistettava, että valtiontukikehyksen keskeiset periaatteet vahvistetaan ensimmäisellä tasolla talletussuojadirektiivissä. Tämä voi tietenkin vaikuttaa laitosten suojajärjestelmien toimintaan niiden vapaaehtoisten ja lakisääteisten tehtävien osalta, minkä vuoksi on ehkä tutkittava keinoja järjestelmien erityispiirteiden huomioon ottamiseksi.</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223</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Luděk Niedermayer</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 artikla – 1 kohta – a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a)</w:t>
            </w:r>
            <w:r w:rsidRPr="009E35B2">
              <w:tab/>
              <w:t xml:space="preserve">luottolaitoksen pyyntöön tällaisten ennaltaehkäisevien toimenpiteiden rahoittamisesta on liitetty </w:t>
            </w:r>
            <w:r w:rsidRPr="009E35B2">
              <w:rPr>
                <w:b/>
                <w:bCs/>
                <w:i/>
                <w:iCs/>
              </w:rPr>
              <w:t xml:space="preserve">11 b artiklassa tarkoitettu toimenpiteet sisältävä </w:t>
            </w:r>
            <w:r w:rsidRPr="009E35B2">
              <w:t>ilmoitus;</w:t>
            </w:r>
          </w:p>
        </w:tc>
        <w:tc>
          <w:tcPr>
            <w:tcW w:w="4876" w:type="dxa"/>
            <w:hideMark/>
          </w:tcPr>
          <w:p w:rsidR="00E61B38" w:rsidRPr="009E35B2" w:rsidRDefault="00E61B38" w:rsidP="0024275D">
            <w:pPr>
              <w:pStyle w:val="Normal6"/>
              <w:rPr>
                <w:szCs w:val="24"/>
              </w:rPr>
            </w:pPr>
            <w:r w:rsidRPr="009E35B2">
              <w:t>a)</w:t>
            </w:r>
            <w:r w:rsidRPr="009E35B2">
              <w:tab/>
              <w:t>luottolaitoksen pyyntöön tällaisten ennaltaehkäisevien toimenpiteiden rahoittamisesta on liitetty ilmoitus</w:t>
            </w:r>
            <w:r w:rsidRPr="009E35B2">
              <w:rPr>
                <w:b/>
                <w:i/>
              </w:rPr>
              <w:t>, jossa sitoudutaan rakenneuudistussuunnitelmaan, jotta varmistetaan tai palautetaan pitkän aikavälin elinkelpoisuus ja asianomaiseen laitokseen sovellettavien valvontavaatimusten noudattaminen direktiivin 2013/36/EU ja asetuksen (EU) N:o 575/2013 mukaisesti, ja joka sisältää 11 b artiklassa tarkoitettuja toimenpiteitä</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224</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 artikla – 1 kohta – a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a)</w:t>
            </w:r>
            <w:r w:rsidRPr="009E35B2">
              <w:tab/>
              <w:t>luottolaitoksen pyyntöön tällaisten ennaltaehkäisevien toimenpiteiden rahoittamisesta on liitetty 11 b </w:t>
            </w:r>
            <w:r w:rsidRPr="009E35B2">
              <w:rPr>
                <w:b/>
                <w:bCs/>
                <w:i/>
                <w:iCs/>
              </w:rPr>
              <w:t>artiklassa</w:t>
            </w:r>
            <w:r w:rsidRPr="009E35B2">
              <w:t xml:space="preserve"> tarkoitettu toimenpiteet sisältävä ilmoitus;</w:t>
            </w:r>
          </w:p>
        </w:tc>
        <w:tc>
          <w:tcPr>
            <w:tcW w:w="4876" w:type="dxa"/>
            <w:hideMark/>
          </w:tcPr>
          <w:p w:rsidR="00E61B38" w:rsidRPr="009E35B2" w:rsidRDefault="00E61B38" w:rsidP="0024275D">
            <w:pPr>
              <w:pStyle w:val="Normal6"/>
              <w:rPr>
                <w:szCs w:val="24"/>
              </w:rPr>
            </w:pPr>
            <w:r w:rsidRPr="009E35B2">
              <w:t>a)</w:t>
            </w:r>
            <w:r w:rsidRPr="009E35B2">
              <w:tab/>
              <w:t xml:space="preserve">luottolaitoksen pyyntöön tällaisten ennaltaehkäisevien toimenpiteiden rahoittamisesta on liitetty 11 b </w:t>
            </w:r>
            <w:r w:rsidRPr="009E35B2">
              <w:rPr>
                <w:b/>
                <w:i/>
              </w:rPr>
              <w:t>artiklan 1–5 kohdassa</w:t>
            </w:r>
            <w:r w:rsidRPr="009E35B2">
              <w:t xml:space="preserve"> tarkoitettu toimenpiteet sisältävä ilmoitus</w:t>
            </w:r>
            <w:r w:rsidRPr="009E35B2">
              <w:rPr>
                <w:b/>
                <w:i/>
              </w:rPr>
              <w:t>, tai talletusten vakuusjärjestelmä velvoittaa luottolaitoksen laatimaan ja toimittamaan kattavan rakenneuudistussuunnitelman 11 b artiklan 7 kohdassa tarkoitetussa kohtuullisessa ajassa</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225</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 artikla – 1 kohta – b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rPr>
                <w:b/>
                <w:i/>
              </w:rPr>
              <w:t>b)</w:t>
            </w:r>
            <w:r w:rsidRPr="009E35B2">
              <w:rPr>
                <w:b/>
                <w:i/>
              </w:rPr>
              <w:tab/>
              <w:t>luottolaitos on kuullut toimivaltaista viranomaista 11 b artiklassa tarkoitetussa ilmoituksessa suunnitelluista toimenpiteistä;</w:t>
            </w:r>
          </w:p>
        </w:tc>
        <w:tc>
          <w:tcPr>
            <w:tcW w:w="4876" w:type="dxa"/>
            <w:hideMark/>
          </w:tcPr>
          <w:p w:rsidR="00E61B38" w:rsidRPr="009E35B2" w:rsidRDefault="00E61B38" w:rsidP="0024275D">
            <w:pPr>
              <w:pStyle w:val="Normal6"/>
              <w:rPr>
                <w:szCs w:val="24"/>
              </w:rPr>
            </w:pPr>
            <w:r w:rsidRPr="009E35B2">
              <w:rPr>
                <w:b/>
                <w:i/>
              </w:rPr>
              <w:t>Poistetaan.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Ennaltaehkäiseviä tukimuotoja olisi kohdeltava yhdenvertaisesti tasapuolisten toimintaedellytysten säilyttämiseksi riippumatta siitä, perustuvatko tukimuodot julkisiin varoihin vai yksityiseen talletusten vakuusjärjestelmään. Sen vuoksi nämä ehdot olisi yhdenmukaistettava pankkien elvytys- ja kriisinratkaisudirektiivin 32 c artiklan kanssa, ja niillä on varmistettava, että valtiontukikehyksen keskeiset periaatteet vahvistetaan ensimmäisellä tasolla talletussuojadirektiivissä. Tämä voi tietenkin vaikuttaa laitosten suojajärjestelmien toimintaan niiden vapaaehtoisten ja lakisääteisten tehtävien osalta, minkä vuoksi on ehkä tutkittava keinoja järjestelmien erityispiirteiden huomioon ottamiseksi.</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226</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Irene Tinagli,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 artikla – 1 kohta – b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b)</w:t>
            </w:r>
            <w:r w:rsidRPr="009E35B2">
              <w:tab/>
            </w:r>
            <w:r w:rsidRPr="009E35B2">
              <w:rPr>
                <w:b/>
                <w:i/>
              </w:rPr>
              <w:t>luottolaitos on kuullut toimivaltaista viranomaista</w:t>
            </w:r>
            <w:r w:rsidRPr="009E35B2">
              <w:t xml:space="preserve"> 11 b artiklassa tarkoitetussa ilmoituksessa </w:t>
            </w:r>
            <w:r w:rsidRPr="009E35B2">
              <w:rPr>
                <w:b/>
                <w:i/>
              </w:rPr>
              <w:t>suunnitelluista toimenpiteistä</w:t>
            </w:r>
            <w:r w:rsidRPr="009E35B2">
              <w:t>;</w:t>
            </w:r>
          </w:p>
        </w:tc>
        <w:tc>
          <w:tcPr>
            <w:tcW w:w="4876" w:type="dxa"/>
            <w:hideMark/>
          </w:tcPr>
          <w:p w:rsidR="00E61B38" w:rsidRPr="009E35B2" w:rsidRDefault="00E61B38" w:rsidP="0024275D">
            <w:pPr>
              <w:pStyle w:val="Normal6"/>
              <w:rPr>
                <w:szCs w:val="24"/>
              </w:rPr>
            </w:pPr>
            <w:r w:rsidRPr="009E35B2">
              <w:t>b)</w:t>
            </w:r>
            <w:r w:rsidRPr="009E35B2">
              <w:tab/>
            </w:r>
            <w:r w:rsidRPr="009E35B2">
              <w:rPr>
                <w:b/>
                <w:i/>
              </w:rPr>
              <w:t>toimivaltainen viranomainen on arvioinut</w:t>
            </w:r>
            <w:r w:rsidRPr="009E35B2">
              <w:t xml:space="preserve"> 11 b artiklassa tarkoitetussa ilmoituksessa </w:t>
            </w:r>
            <w:r w:rsidRPr="009E35B2">
              <w:rPr>
                <w:b/>
                <w:i/>
              </w:rPr>
              <w:t>suunnitellut toimenpiteet ja vahvistanut, että toimenpiteet ovat tarpeen luottolaitoksen taloudellisen vakauden ja pitkän aikavälin elinkelpoisuuden varmistamiseksi</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227</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 artikla – 1 kohta – b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b)</w:t>
            </w:r>
            <w:r w:rsidRPr="009E35B2">
              <w:tab/>
              <w:t>luottolaitos on kuullut toimivaltaista viranomaista 11 b </w:t>
            </w:r>
            <w:r w:rsidRPr="009E35B2">
              <w:rPr>
                <w:b/>
                <w:bCs/>
                <w:i/>
                <w:iCs/>
              </w:rPr>
              <w:t>artiklassa</w:t>
            </w:r>
            <w:r w:rsidRPr="009E35B2">
              <w:t xml:space="preserve"> tarkoitetussa ilmoituksessa suunnitelluista toimenpiteistä;</w:t>
            </w:r>
          </w:p>
        </w:tc>
        <w:tc>
          <w:tcPr>
            <w:tcW w:w="4876" w:type="dxa"/>
            <w:hideMark/>
          </w:tcPr>
          <w:p w:rsidR="00E61B38" w:rsidRPr="009E35B2" w:rsidRDefault="00E61B38" w:rsidP="0024275D">
            <w:pPr>
              <w:pStyle w:val="Normal6"/>
              <w:rPr>
                <w:szCs w:val="24"/>
              </w:rPr>
            </w:pPr>
            <w:r w:rsidRPr="009E35B2">
              <w:t>b)</w:t>
            </w:r>
            <w:r w:rsidRPr="009E35B2">
              <w:tab/>
              <w:t xml:space="preserve">luottolaitos </w:t>
            </w:r>
            <w:r w:rsidRPr="009E35B2">
              <w:rPr>
                <w:b/>
                <w:i/>
              </w:rPr>
              <w:t>tai talletusten vakuusjärjestelmä</w:t>
            </w:r>
            <w:r w:rsidRPr="009E35B2">
              <w:t xml:space="preserve"> on kuullut toimivaltaista viranomaista 11 b </w:t>
            </w:r>
            <w:r w:rsidRPr="009E35B2">
              <w:rPr>
                <w:b/>
                <w:i/>
              </w:rPr>
              <w:t>artiklan 1–5 kohdassa</w:t>
            </w:r>
            <w:r w:rsidRPr="009E35B2">
              <w:t xml:space="preserve"> tarkoitetussa ilmoituksessa suunnitelluista toimenpiteistä;</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228</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Joachim Schuster</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 artikla – 1 kohta – c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c)</w:t>
            </w:r>
            <w:r w:rsidRPr="009E35B2">
              <w:tab/>
              <w:t>talletusten vakuusjärjestelmän käyttämät ennaltaehkäisevät toimenpiteet on sidottu tuetulle luottolaitokselle asetettuihin ehtoihin, joihin kuuluu vähintään luottolaitoksen tehostetumpi riskivalvonta ja talletusten vakuusjärjestelmän laajennetut tarkistusoikeudet;</w:t>
            </w:r>
          </w:p>
        </w:tc>
        <w:tc>
          <w:tcPr>
            <w:tcW w:w="4876" w:type="dxa"/>
            <w:hideMark/>
          </w:tcPr>
          <w:p w:rsidR="00E61B38" w:rsidRPr="009E35B2" w:rsidRDefault="00E61B38" w:rsidP="0024275D">
            <w:pPr>
              <w:pStyle w:val="Normal6"/>
              <w:rPr>
                <w:szCs w:val="24"/>
              </w:rPr>
            </w:pPr>
            <w:r w:rsidRPr="009E35B2">
              <w:t>c)</w:t>
            </w:r>
            <w:r w:rsidRPr="009E35B2">
              <w:tab/>
              <w:t>talletusten vakuusjärjestelmän käyttämät ennaltaehkäisevät toimenpiteet on sidottu tuetulle luottolaitokselle asetettuihin ehtoihin, joihin kuuluu vähintään luottolaitoksen tehostetumpi riskivalvonta ja</w:t>
            </w:r>
            <w:r w:rsidRPr="009E35B2">
              <w:rPr>
                <w:b/>
                <w:i/>
              </w:rPr>
              <w:t xml:space="preserve"> tällaista valvontaa helpottavat hallinnointijärjestelyt sekä</w:t>
            </w:r>
            <w:r w:rsidRPr="009E35B2">
              <w:t xml:space="preserve"> talletusten vakuusjärjestelmän </w:t>
            </w:r>
            <w:r w:rsidRPr="009E35B2">
              <w:rPr>
                <w:b/>
                <w:i/>
              </w:rPr>
              <w:t>ja kansallisten toimivaltaisten viranomaisten</w:t>
            </w:r>
            <w:r w:rsidRPr="009E35B2">
              <w:t xml:space="preserve"> laajennetut tarkistusoikeudet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229</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 artikla – 1 kohta – d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d)</w:t>
            </w:r>
            <w:r w:rsidRPr="009E35B2">
              <w:tab/>
              <w:t xml:space="preserve">talletusten vakuusjärjestelmän käyttämien ennaltaehkäisevien toimenpiteiden edellytyksenä </w:t>
            </w:r>
            <w:r w:rsidRPr="009E35B2">
              <w:rPr>
                <w:b/>
                <w:i/>
              </w:rPr>
              <w:t>ovat luottolaitoksen antamat sitoumukset, joilla varmistetaan</w:t>
            </w:r>
            <w:r w:rsidRPr="009E35B2">
              <w:t xml:space="preserve"> tallettajien mahdollisuus käyttää suojattuja talletuksia;</w:t>
            </w:r>
          </w:p>
        </w:tc>
        <w:tc>
          <w:tcPr>
            <w:tcW w:w="4876" w:type="dxa"/>
            <w:hideMark/>
          </w:tcPr>
          <w:p w:rsidR="00E61B38" w:rsidRPr="009E35B2" w:rsidRDefault="00E61B38" w:rsidP="0024275D">
            <w:pPr>
              <w:pStyle w:val="Normal6"/>
              <w:rPr>
                <w:szCs w:val="24"/>
              </w:rPr>
            </w:pPr>
            <w:r w:rsidRPr="009E35B2">
              <w:t>d)</w:t>
            </w:r>
            <w:r w:rsidRPr="009E35B2">
              <w:tab/>
              <w:t xml:space="preserve">talletusten vakuusjärjestelmän käyttämien ennaltaehkäisevien toimenpiteiden edellytyksenä </w:t>
            </w:r>
            <w:r w:rsidRPr="009E35B2">
              <w:rPr>
                <w:b/>
                <w:i/>
              </w:rPr>
              <w:t>on</w:t>
            </w:r>
            <w:r w:rsidRPr="009E35B2">
              <w:t xml:space="preserve"> tallettajien </w:t>
            </w:r>
            <w:r w:rsidRPr="009E35B2">
              <w:rPr>
                <w:b/>
                <w:i/>
              </w:rPr>
              <w:t>tosiasiallinen</w:t>
            </w:r>
            <w:r w:rsidRPr="009E35B2">
              <w:t xml:space="preserve"> mahdollisuus käyttää suojattuja talletuksia;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Ennaltaehkäiseviä tukimuotoja olisi kohdeltava yhdenvertaisesti tasapuolisten toimintaedellytysten säilyttämiseksi riippumatta siitä, perustuvatko tukimuodot julkisiin varoihin vai yksityiseen talletusten vakuusjärjestelmään. Sen vuoksi nämä ehdot olisi yhdenmukaistettava pankkien elvytys- ja kriisinratkaisudirektiivin 32 c artiklan kanssa, ja niillä on varmistettava, että valtiontukikehyksen keskeiset periaatteet vahvistetaan ensimmäisellä tasolla talletussuojadirektiivissä. Tämä voi tietenkin vaikuttaa laitosten suojajärjestelmien toimintaan niiden vapaaehtoisten ja lakisääteisten tehtävien osalta, minkä vuoksi on ehkä tutkittava keinoja järjestelmien erityispiirteiden huomioon ottamiseksi.</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230</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Luděk Niedermayer</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 artikla – 1 kohta – f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f)</w:t>
            </w:r>
            <w:r w:rsidRPr="009E35B2">
              <w:tab/>
              <w:t xml:space="preserve">luottolaitos täyttää tämän direktiivin mukaiset velvoitteensa ja on maksanut kokonaan takaisin mahdolliset aiemmat </w:t>
            </w:r>
            <w:r w:rsidRPr="009E35B2">
              <w:rPr>
                <w:b/>
                <w:i/>
              </w:rPr>
              <w:t>ennaltaehkäisevät toimenpiteet</w:t>
            </w:r>
            <w:r w:rsidRPr="009E35B2">
              <w:t>.</w:t>
            </w:r>
          </w:p>
        </w:tc>
        <w:tc>
          <w:tcPr>
            <w:tcW w:w="4876" w:type="dxa"/>
            <w:hideMark/>
          </w:tcPr>
          <w:p w:rsidR="00E61B38" w:rsidRPr="009E35B2" w:rsidRDefault="00E61B38" w:rsidP="0024275D">
            <w:pPr>
              <w:pStyle w:val="Normal6"/>
              <w:rPr>
                <w:szCs w:val="24"/>
              </w:rPr>
            </w:pPr>
            <w:r w:rsidRPr="009E35B2">
              <w:t>f)</w:t>
            </w:r>
            <w:r w:rsidRPr="009E35B2">
              <w:tab/>
              <w:t>luottolaitos täyttää tämän direktiivin mukaiset velvoitteensa</w:t>
            </w:r>
            <w:r w:rsidRPr="009E35B2">
              <w:rPr>
                <w:b/>
                <w:i/>
              </w:rPr>
              <w:t xml:space="preserve">, se ei ole viiden viime vuoden aikana ollut jo ennaltaehkäisevän toimenpiteen kohteena, </w:t>
            </w:r>
            <w:r w:rsidRPr="009E35B2">
              <w:t xml:space="preserve">ja </w:t>
            </w:r>
            <w:r w:rsidRPr="009E35B2">
              <w:rPr>
                <w:b/>
                <w:i/>
              </w:rPr>
              <w:t>se</w:t>
            </w:r>
            <w:r w:rsidRPr="009E35B2">
              <w:t xml:space="preserve"> on maksanut kokonaan takaisin mahdolliset </w:t>
            </w:r>
            <w:r w:rsidRPr="009E35B2">
              <w:rPr>
                <w:b/>
                <w:i/>
              </w:rPr>
              <w:t>muut</w:t>
            </w:r>
            <w:r w:rsidRPr="009E35B2">
              <w:t xml:space="preserve"> aiemmat </w:t>
            </w:r>
            <w:r w:rsidRPr="009E35B2">
              <w:rPr>
                <w:b/>
                <w:i/>
              </w:rPr>
              <w:t>ylimääräiset rahoitustuet, jotka se on saanut kymmenen viime vuoden aikana</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231</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 artikla – 1 kohta – f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f)</w:t>
            </w:r>
            <w:r w:rsidRPr="009E35B2">
              <w:tab/>
              <w:t xml:space="preserve">luottolaitos täyttää tämän direktiivin mukaiset velvoitteensa ja on maksanut kokonaan takaisin mahdolliset aiemmat </w:t>
            </w:r>
            <w:r w:rsidRPr="009E35B2">
              <w:rPr>
                <w:b/>
                <w:i/>
              </w:rPr>
              <w:t>ennaltaehkäisevät toimenpiteet</w:t>
            </w:r>
            <w:r w:rsidRPr="009E35B2">
              <w:t>.</w:t>
            </w:r>
          </w:p>
        </w:tc>
        <w:tc>
          <w:tcPr>
            <w:tcW w:w="4876" w:type="dxa"/>
            <w:hideMark/>
          </w:tcPr>
          <w:p w:rsidR="00E61B38" w:rsidRPr="009E35B2" w:rsidRDefault="00E61B38" w:rsidP="0024275D">
            <w:pPr>
              <w:pStyle w:val="Normal6"/>
              <w:rPr>
                <w:szCs w:val="24"/>
              </w:rPr>
            </w:pPr>
            <w:r w:rsidRPr="009E35B2">
              <w:t>f)</w:t>
            </w:r>
            <w:r w:rsidRPr="009E35B2">
              <w:tab/>
              <w:t>luottolaitos täyttää tämän direktiivin mukaiset velvoitteensa</w:t>
            </w:r>
            <w:r w:rsidRPr="009E35B2">
              <w:rPr>
                <w:b/>
                <w:i/>
              </w:rPr>
              <w:t xml:space="preserve">, se ei ole ennen ollut ennaltaehkäisevän toimenpiteen kohteena, </w:t>
            </w:r>
            <w:r w:rsidRPr="009E35B2">
              <w:t xml:space="preserve">ja </w:t>
            </w:r>
            <w:r w:rsidRPr="009E35B2">
              <w:rPr>
                <w:b/>
                <w:i/>
              </w:rPr>
              <w:t>se</w:t>
            </w:r>
            <w:r w:rsidRPr="009E35B2">
              <w:t xml:space="preserve"> on maksanut kokonaan takaisin mahdolliset </w:t>
            </w:r>
            <w:r w:rsidRPr="009E35B2">
              <w:rPr>
                <w:b/>
                <w:i/>
              </w:rPr>
              <w:t>muut</w:t>
            </w:r>
            <w:r w:rsidRPr="009E35B2">
              <w:t xml:space="preserve"> aiemmat </w:t>
            </w:r>
            <w:r w:rsidRPr="009E35B2">
              <w:rPr>
                <w:b/>
                <w:i/>
              </w:rPr>
              <w:t>ylimääräiset rahoitustuet, jotka se on saanut kymmenen viime vuoden aikana</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Ennaltaehkäiseviä tukimuotoja olisi kohdeltava yhdenvertaisesti tasapuolisten toimintaedellytysten säilyttämiseksi riippumatta siitä, perustuvatko tukimuodot julkisiin varoihin vai yksityiseen talletusten vakuusjärjestelmään. Sen vuoksi nämä ehdot olisi yhdenmukaistettava pankkien elvytys- ja kriisinratkaisudirektiivin 32 c artiklan kanssa, ja niillä on varmistettava, että valtiontukikehyksen keskeiset periaatteet vahvistetaan ensimmäisellä tasolla talletussuojadirektiivissä. Tämä voi tietenkin vaikuttaa laitosten suojajärjestelmien toimintaan niiden vapaaehtoisten ja lakisääteisten tehtävien osalta, minkä vuoksi on ehkä tutkittava keinoja järjestelmien erityispiirteiden huomioon ottamiseksi.</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232</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 artikla – 1 kohta – f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f)</w:t>
            </w:r>
            <w:r w:rsidRPr="009E35B2">
              <w:tab/>
              <w:t xml:space="preserve">luottolaitos täyttää tämän direktiivin mukaiset velvoitteensa </w:t>
            </w:r>
            <w:r w:rsidRPr="009E35B2">
              <w:rPr>
                <w:b/>
                <w:i/>
              </w:rPr>
              <w:t>ja on maksanut kokonaan takaisin mahdolliset aiemmat ennaltaehkäisevät toimenpiteet</w:t>
            </w:r>
            <w:r w:rsidRPr="009E35B2">
              <w:t>.</w:t>
            </w:r>
          </w:p>
        </w:tc>
        <w:tc>
          <w:tcPr>
            <w:tcW w:w="4876" w:type="dxa"/>
            <w:hideMark/>
          </w:tcPr>
          <w:p w:rsidR="00E61B38" w:rsidRPr="009E35B2" w:rsidRDefault="00E61B38" w:rsidP="0024275D">
            <w:pPr>
              <w:pStyle w:val="Normal6"/>
              <w:rPr>
                <w:szCs w:val="24"/>
              </w:rPr>
            </w:pPr>
            <w:r w:rsidRPr="009E35B2">
              <w:t>f)</w:t>
            </w:r>
            <w:r w:rsidRPr="009E35B2">
              <w:tab/>
              <w:t>luottolaitos täyttää tämän direktiivin mukaiset velvoitteensa.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233</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Marco Zanni, Valentino Grant, Antonio Maria Rinaldi</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 artikla – 1 kohta – f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f)</w:t>
            </w:r>
            <w:r w:rsidRPr="009E35B2">
              <w:tab/>
              <w:t xml:space="preserve">luottolaitos täyttää tämän direktiivin mukaiset velvoitteensa </w:t>
            </w:r>
            <w:r w:rsidRPr="009E35B2">
              <w:rPr>
                <w:b/>
                <w:i/>
              </w:rPr>
              <w:t>ja on maksanut kokonaan takaisin mahdolliset aiemmat ennaltaehkäisevät toimenpiteet.</w:t>
            </w:r>
          </w:p>
        </w:tc>
        <w:tc>
          <w:tcPr>
            <w:tcW w:w="4876" w:type="dxa"/>
            <w:hideMark/>
          </w:tcPr>
          <w:p w:rsidR="00E61B38" w:rsidRPr="009E35B2" w:rsidRDefault="00E61B38" w:rsidP="0024275D">
            <w:pPr>
              <w:pStyle w:val="Normal6"/>
              <w:rPr>
                <w:szCs w:val="24"/>
              </w:rPr>
            </w:pPr>
            <w:r w:rsidRPr="009E35B2">
              <w:t>f)</w:t>
            </w:r>
            <w:r w:rsidRPr="009E35B2">
              <w:tab/>
              <w:t>luottolaitos täyttää tämän direktiivin mukaiset velvoitteensa</w:t>
            </w:r>
            <w:r w:rsidRPr="009E35B2">
              <w:rPr>
                <w:b/>
                <w:bCs/>
                <w:i/>
                <w:iCs/>
              </w:rPr>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234</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2 artikla – 1 kohta – f a alakohta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f a)</w:t>
            </w:r>
            <w:r w:rsidRPr="009E35B2">
              <w:rPr>
                <w:b/>
                <w:i/>
              </w:rPr>
              <w:tab/>
              <w:t>Suunniteltu tuen määrä on enintään 50 prosenttia talletusten vakuusjärjestelmän käytettävissä olevista varoista.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Ennaltaehkäiseviä tukimuotoja olisi kohdeltava yhdenvertaisesti tasapuolisten toimintaedellytysten säilyttämiseksi riippumatta siitä, perustuvatko tukimuodot julkisiin varoihin vai yksityiseen talletusten vakuusjärjestelmään. Sen vuoksi nämä ehdot olisi yhdenmukaistettava pankkien elvytys- ja kriisinratkaisudirektiivin 32 c artiklan kanssa, ja niillä on varmistettava, että valtiontukikehyksen keskeiset periaatteet vahvistetaan ensimmäisellä tasolla talletussuojadirektiivissä. Tämä voi tietenkin vaikuttaa laitosten suojajärjestelmien toimintaan niiden vapaaehtoisten ja lakisääteisten tehtävien osalta, minkä vuoksi on ehkä tutkittava keinoja järjestelmien erityispiirteiden huomioon ottamiseksi.</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235</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Luděk Niedermayer</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 artikla – 1 kohta – f a alakohta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f a)</w:t>
            </w:r>
            <w:r w:rsidRPr="009E35B2">
              <w:rPr>
                <w:b/>
                <w:i/>
              </w:rPr>
              <w:tab/>
              <w:t>toimenpiteet rajoittuvat laitoksiin tai yhteisöihin, jotka toimivaltainen viranomainen on vahvistanut vakavaraisiksi;</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236</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Luděk Niedermayer</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 artikla – 1 kohta – f b alakohta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f b)</w:t>
            </w:r>
            <w:r w:rsidRPr="009E35B2">
              <w:rPr>
                <w:b/>
                <w:i/>
              </w:rPr>
              <w:tab/>
              <w:t>toimenpiteitä ei käytetä korvaamaan tappioita, joita laitokselle tai yhteisölle on aiheutunut tai todennäköisesti aiheutuu lähitulevaisuudessa.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237</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 artikla – 1 kohta – f b alakohta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f b)</w:t>
            </w:r>
            <w:r w:rsidRPr="009E35B2">
              <w:rPr>
                <w:b/>
                <w:i/>
              </w:rPr>
              <w:tab/>
              <w:t>toimenpiteet rajoittuvat laitoksiin tai yhteisöihin, jotka toimivaltainen viranomainen on vahvistanut vakavaraisiksi;</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Ennaltaehkäiseviä tukimuotoja olisi kohdeltava yhdenvertaisesti tasapuolisten toimintaedellytysten säilyttämiseksi riippumatta siitä, perustuvatko tukimuodot julkisiin varoihin vai yksityiseen talletusten vakuusjärjestelmään. Sen vuoksi nämä ehdot olisi yhdenmukaistettava pankkien elvytys- ja kriisinratkaisudirektiivin 32 c artiklan kanssa, ja niillä on varmistettava, että valtiontukikehyksen keskeiset periaatteet vahvistetaan ensimmäisellä tasolla talletussuojadirektiivissä. Tämä voi tietenkin vaikuttaa laitosten suojajärjestelmien toimintaan niiden vapaaehtoisten ja lakisääteisten tehtävien osalta, minkä vuoksi on ehkä tutkittava keinoja järjestelmien erityispiirteiden huomioon ottamiseksi.</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238</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 artikla – 1 kohta – f c alakohta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f c)</w:t>
            </w:r>
            <w:r w:rsidRPr="009E35B2">
              <w:rPr>
                <w:b/>
                <w:i/>
              </w:rPr>
              <w:tab/>
              <w:t>toimenpiteet ovat luonteeltaan ennalta varautuvia ja väliaikaisia ja perustuvat toimivaltaisen viranomaisen hyväksymään ennalta määriteltyyn irtautumisstrategiaan, johon sisältyy selkeästi määritetty päättymispäivä, myyntipäivä tai takaisinmaksuaikataulu kaikkien toteutettujen toimenpiteiden osalta;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Ennaltaehkäiseviä tukimuotoja olisi kohdeltava yhdenvertaisesti tasapuolisten toimintaedellytysten säilyttämiseksi riippumatta siitä, perustuvatko tukimuodot julkisiin varoihin vai yksityiseen talletusten vakuusjärjestelmään. Sen vuoksi nämä ehdot olisi yhdenmukaistettava pankkien elvytys- ja kriisinratkaisudirektiivin 32 c artiklan kanssa, ja niillä on varmistettava, että valtiontukikehyksen keskeiset periaatteet vahvistetaan ensimmäisellä tasolla talletussuojadirektiivissä. Tämä voi tietenkin vaikuttaa laitosten suojajärjestelmien toimintaan niiden vapaaehtoisten ja lakisääteisten tehtävien osalta, minkä vuoksi on ehkä tutkittava keinoja järjestelmien erityispiirteiden huomioon ottamiseksi.</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239</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 artikla – 1 kohta – f d alakohta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f d)</w:t>
            </w:r>
            <w:r w:rsidRPr="009E35B2">
              <w:rPr>
                <w:b/>
                <w:i/>
              </w:rPr>
              <w:tab/>
              <w:t>toimenpiteitä ei käytetä korvaamaan tappioita, joita laitokselle tai yhteisölle on aiheutunut tai todennäköisesti aiheutuu lähitulevaisuudessa.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Ennaltaehkäiseviä tukimuotoja olisi kohdeltava yhdenvertaisesti tasapuolisten toimintaedellytysten säilyttämiseksi riippumatta siitä, perustuvatko tukimuodot julkisiin varoihin vai yksityiseen talletusten vakuusjärjestelmään. Sen vuoksi nämä ehdot olisi yhdenmukaistettava pankkien elvytys- ja kriisinratkaisudirektiivin 32 c artiklan kanssa, ja niillä on varmistettava, että valtiontukikehyksen keskeiset periaatteet vahvistetaan ensimmäisellä tasolla talletussuojadirektiivissä. Tämä voi tietenkin vaikuttaa laitosten suojajärjestelmien toimintaan niiden vapaaehtoisten ja lakisääteisten tehtävien osalta, minkä vuoksi on ehkä tutkittava keinoja järjestelmien erityispiirteiden huomioon ottamiseksi.</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240</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 artikla – 1 kohta – 1 a alakohta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1 a.</w:t>
            </w:r>
            <w:r w:rsidRPr="009E35B2">
              <w:rPr>
                <w:b/>
                <w:i/>
              </w:rPr>
              <w:tab/>
              <w:t>Ensimmäisen alakohdan f b alakohtaa sovellettaessa laitoksen tai yhteisön katsotaan olevan vakavarainen, jos toimivaltainen viranomainen on todennut, että mitään asetuksen (EU) N:o 575/2013 92 artiklan 1 kohdassa, direktiivin 2013/36/EU 104 a artiklassa, asetuksen (EU) 2019/2033 11 artiklan 1 kohdassa ja direktiivin (EU) 2019/2034 40 artiklassa tarkoitettuja vaatimuksia tai unionin lainsäädännössä tai kansallisessa lainsäädännössä säädettyjä asiaankuuluvia sovellettavia vaatimuksia ei ole rikottu tai ei todennäköisesti rikota seuraavien 12 kuukauden aikana.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Ennaltaehkäiseviä tukimuotoja olisi kohdeltava yhdenvertaisesti tasapuolisten toimintaedellytysten säilyttämiseksi riippumatta siitä, perustuvatko tukimuodot julkisiin varoihin vai yksityiseen talletusten vakuusjärjestelmään. Sen vuoksi nämä ehdot olisi yhdenmukaistettava pankkien elvytys- ja kriisinratkaisudirektiivin 32 c artiklan kanssa, ja niillä on varmistettava, että valtiontukikehyksen keskeiset periaatteet vahvistetaan ensimmäisellä tasolla talletussuojadirektiivissä. Tämä voi tietenkin vaikuttaa laitosten suojajärjestelmien toimintaan niiden vapaaehtoisten ja lakisääteisten tehtävien osalta, minkä vuoksi on ehkä tutkittava keinoja järjestelmien erityispiirteiden huomioon ottamiseksi.</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241</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Luděk Niedermayer</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 artikla – 1 kohta – 1 a alakohta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1 a.</w:t>
            </w:r>
            <w:r w:rsidRPr="009E35B2">
              <w:rPr>
                <w:b/>
                <w:i/>
              </w:rPr>
              <w:tab/>
              <w:t>Ensimmäisen alakohdan f a alakohtaa sovellettaessa laitoksen tai yhteisön katsotaan olevan vakavarainen, jos toimivaltainen viranomainen on todennut, että mitään asetuksen (EU) N:o 575/2013 92 artiklan 1 kohdassa, direktiivin 2013/36/EU 104 a artiklassa, asetuksen (EU) 2019/2033 11 artiklan 1 kohdassa ja direktiivin (EU) 2019/2034 40 artiklassa tarkoitettuja vaatimuksia tai unionin lainsäädännössä tai kansallisessa lainsäädännössä säädettyjä asiaankuuluvia sovellettavia vaatimuksia ei ole rikottu tai ei todennäköisesti rikota seuraavien 12 kuukauden aikana.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242</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 artikla – 1 kohta – 1 b alakohta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1 b.</w:t>
            </w:r>
            <w:r w:rsidRPr="009E35B2">
              <w:rPr>
                <w:b/>
                <w:i/>
              </w:rPr>
              <w:tab/>
              <w:t>Ensimmäisen alakohdan f d alakohtaa sovellettaessa asianomaisen toimivaltaisen viranomaisen on ilmaistava määrällisesti tappiot, joita laitokselle tai yhteisölle on aiheutunut tai todennäköisesti aiheutuu. Määrällisen ilmaisemisen perustana on oltava ainakin Euroopan keskuspankin, EPV:n tai kansallisten viranomaisten suorittamat omaisuuserien laadun tarkastelut tai tarvittaessa toimivaltaisen viranomaisen toteuttamat paikan päällä tehtävät tarkastukset. Jos näitä toimia ei voida toteuttaa asianmukaisessa ajassa, toimivaltaisen viranomaisen arvioinnin perustana voi olla ainakin laitoksen tai yhteisön tase, edellyttäen, että tase on sovellettavien kirjanpitosääntöjen ja -standardien mukainen, minkä riippumaton ulkopuolinen tilintarkastaja on vahvistanut. Toimivaltaisen viranomaisen olisi parhaansa mukaan pyrittävä varmistamaan, että määrällinen ilmaiseminen perustuu laitoksen tai yhteisön varojen, velkojen ja taseen ulkopuolisten erien markkina-arvoon.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Ennaltaehkäiseviä tukimuotoja olisi kohdeltava yhdenvertaisesti tasapuolisten toimintaedellytysten säilyttämiseksi riippumatta siitä, perustuvatko tukimuodot julkisiin varoihin vai yksityiseen talletusten vakuusjärjestelmään. Sen vuoksi nämä ehdot olisi yhdenmukaistettava pankkien elvytys- ja kriisinratkaisudirektiivin 32 c artiklan kanssa, ja niillä on varmistettava, että valtiontukikehyksen keskeiset periaatteet vahvistetaan ensimmäisellä tasolla talletussuojadirektiivissä. Tämä voi tietenkin vaikuttaa laitosten suojajärjestelmien toimintaan niiden vapaaehtoisten ja lakisääteisten tehtävien osalta, minkä vuoksi on ehkä tutkittava keinoja järjestelmien erityispiirteiden huomioon ottamiseksi.</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243</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 artikla – 1 kohta – 1 c alakohta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1 c.</w:t>
            </w:r>
            <w:r w:rsidRPr="009E35B2">
              <w:rPr>
                <w:b/>
                <w:i/>
              </w:rPr>
              <w:tab/>
              <w:t>Jos arviointi perustuu laitoksen tai yhteisön taseeseen, laitokselle tai yhteisölle myönnettyihin tukitoimenpiteisiin on sisällyttävä takaisinperintämekanismi, joka perustuu toimivaltaisen viranomaisen jälkikäteen suorittamaan tuen myöntämisajankohtana koettujen tappioiden kvantifiointiin.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Ennaltaehkäiseviä tukimuotoja olisi kohdeltava yhdenvertaisesti tasapuolisten toimintaedellytysten säilyttämiseksi riippumatta siitä, perustuvatko tukimuodot julkisiin varoihin vai yksityiseen talletusten vakuusjärjestelmään. Sen vuoksi nämä ehdot olisi yhdenmukaistettava pankkien elvytys- ja kriisinratkaisudirektiivin 32 c artiklan kanssa, ja niillä on varmistettava, että valtiontukikehyksen keskeiset periaatteet vahvistetaan ensimmäisellä tasolla talletussuojadirektiivissä. Tämä voi tietenkin vaikuttaa laitosten suojajärjestelmien toimintaan niiden vapaaehtoisten ja lakisääteisten tehtävien osalta, minkä vuoksi on ehkä tutkittava keinoja järjestelmien erityispiirteiden huomioon ottamiseksi.</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244</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Martin Schirdewan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w:t>
      </w:r>
      <w:r w:rsidRPr="009E35B2">
        <w:rPr>
          <w:rStyle w:val="HideTWBExt"/>
        </w:rPr>
        <w:t>&lt;/DocAmend2&gt;</w:t>
      </w:r>
    </w:p>
    <w:p w:rsidR="00E61B38" w:rsidRPr="009E35B2" w:rsidRDefault="00E61B38" w:rsidP="00E61B38">
      <w:r w:rsidRPr="009E35B2">
        <w:rPr>
          <w:rStyle w:val="HideTWBExt"/>
        </w:rPr>
        <w:t>&lt;Article2&gt;</w:t>
      </w:r>
      <w:r w:rsidRPr="009E35B2">
        <w:t>11 a artikla – 3 kohta – 1 a alakohta (uusi)</w:t>
      </w:r>
      <w:r w:rsidRPr="009E35B2">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Jäsenvaltioiden on varmistettava, että tämän artiklan vaatimuksia sovelletaan oikeasuhteisesti kansallisiin laitosten suojelujärjestelmiin, jotta ne eivät aiheettomasti estä ennaltaehkäisevien toimenpiteiden toimintaa.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245</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Joachim Schuster</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 artikla – 3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3.</w:t>
            </w:r>
            <w:r w:rsidRPr="009E35B2">
              <w:tab/>
              <w:t xml:space="preserve">Jäsenvaltioiden on varmistettava, että talletusten vakuusjärjestelmät </w:t>
            </w:r>
            <w:r w:rsidRPr="009E35B2">
              <w:rPr>
                <w:b/>
                <w:i/>
              </w:rPr>
              <w:t>voivat toteuttaa ennaltaehkäiseviä toimenpiteitä vain, jos nimetty viranomainen on vahvistanut</w:t>
            </w:r>
            <w:r w:rsidRPr="009E35B2">
              <w:t>, että kaikki 1 kohdassa säädetyt edellytykset täyttyvät. Nimetyn viranomaisen on ilmoitettava asiasta toimivaltaiselle viranomaiselle ja kriisinratkaisuviranomaiselle.</w:t>
            </w:r>
          </w:p>
        </w:tc>
        <w:tc>
          <w:tcPr>
            <w:tcW w:w="4876" w:type="dxa"/>
            <w:hideMark/>
          </w:tcPr>
          <w:p w:rsidR="00E61B38" w:rsidRPr="009E35B2" w:rsidRDefault="00E61B38" w:rsidP="0024275D">
            <w:pPr>
              <w:pStyle w:val="Normal6"/>
              <w:rPr>
                <w:szCs w:val="24"/>
              </w:rPr>
            </w:pPr>
            <w:r w:rsidRPr="009E35B2">
              <w:t>3.</w:t>
            </w:r>
            <w:r w:rsidRPr="009E35B2">
              <w:tab/>
              <w:t xml:space="preserve">Jäsenvaltioiden on varmistettava, että talletusten vakuusjärjestelmät </w:t>
            </w:r>
            <w:r w:rsidRPr="009E35B2">
              <w:rPr>
                <w:b/>
                <w:i/>
              </w:rPr>
              <w:t>vahvistavat</w:t>
            </w:r>
            <w:r w:rsidRPr="009E35B2">
              <w:t>, että kaikki 1 kohdassa säädetyt edellytykset täyttyvät. Nimetyn viranomaisen on ilmoitettava asiasta toimivaltaiselle viranomaiselle ja kriisinratkaisuviranomaiselle.</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246</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 artikla – 3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3.</w:t>
            </w:r>
            <w:r w:rsidRPr="009E35B2">
              <w:tab/>
              <w:t xml:space="preserve">Jäsenvaltioiden on varmistettava, että talletusten vakuusjärjestelmät </w:t>
            </w:r>
            <w:r w:rsidRPr="009E35B2">
              <w:rPr>
                <w:b/>
                <w:i/>
              </w:rPr>
              <w:t>voivat toteuttaa ennaltaehkäiseviä toimenpiteitä vain, jos nimetty viranomainen on vahvistanut</w:t>
            </w:r>
            <w:r w:rsidRPr="009E35B2">
              <w:t>, että kaikki 1 kohdassa säädetyt edellytykset täyttyvät. Nimetyn viranomaisen on ilmoitettava asiasta toimivaltaiselle viranomaiselle ja kriisinratkaisuviranomaiselle.</w:t>
            </w:r>
          </w:p>
        </w:tc>
        <w:tc>
          <w:tcPr>
            <w:tcW w:w="4876" w:type="dxa"/>
            <w:hideMark/>
          </w:tcPr>
          <w:p w:rsidR="00E61B38" w:rsidRPr="009E35B2" w:rsidRDefault="00E61B38" w:rsidP="0024275D">
            <w:pPr>
              <w:pStyle w:val="Normal6"/>
              <w:rPr>
                <w:szCs w:val="24"/>
              </w:rPr>
            </w:pPr>
            <w:r w:rsidRPr="009E35B2">
              <w:t>3.</w:t>
            </w:r>
            <w:r w:rsidRPr="009E35B2">
              <w:tab/>
              <w:t xml:space="preserve">Jäsenvaltioiden on varmistettava, että talletusten vakuusjärjestelmät </w:t>
            </w:r>
            <w:r w:rsidRPr="009E35B2">
              <w:rPr>
                <w:b/>
                <w:i/>
              </w:rPr>
              <w:t>ilmoittavat nimetylle viranomaiselle</w:t>
            </w:r>
            <w:r w:rsidRPr="009E35B2">
              <w:t>, että kaikki 1 kohdassa säädetyt edellytykset täyttyvät. Nimetyn viranomaisen on ilmoitettava asiasta toimivaltaiselle viranomaiselle ja kriisinratkaisuviranomaiselle.</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247</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 artikla – 4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4.</w:t>
            </w:r>
            <w:r w:rsidRPr="009E35B2">
              <w:tab/>
              <w:t>Jäsenvaltioiden on varmistettava, että talletusten vakuusjärjestelmä, jonka käytettävissä olevia rahoitusvaroja käytetään pääomatukitoimenpiteisiin, siirtää omistuksensa tuetun luottolaitoksen osakkeista tai muista pääomainstrumenteista yksityiselle sektorille heti kaupallisten ja rahoitusolosuhteiden salliessa.</w:t>
            </w:r>
          </w:p>
        </w:tc>
        <w:tc>
          <w:tcPr>
            <w:tcW w:w="4876" w:type="dxa"/>
            <w:hideMark/>
          </w:tcPr>
          <w:p w:rsidR="00E61B38" w:rsidRPr="009E35B2" w:rsidRDefault="00E61B38" w:rsidP="0024275D">
            <w:pPr>
              <w:pStyle w:val="Normal6"/>
              <w:rPr>
                <w:szCs w:val="24"/>
              </w:rPr>
            </w:pPr>
            <w:r w:rsidRPr="009E35B2">
              <w:t>4.</w:t>
            </w:r>
            <w:r w:rsidRPr="009E35B2">
              <w:tab/>
              <w:t xml:space="preserve">Jäsenvaltioiden on varmistettava, että talletusten vakuusjärjestelmä, jonka käytettävissä olevia rahoitusvaroja käytetään pääomatukitoimenpiteisiin, siirtää </w:t>
            </w:r>
            <w:r w:rsidRPr="009E35B2">
              <w:rPr>
                <w:b/>
                <w:i/>
              </w:rPr>
              <w:t>11 b artiklan edellytyksien täyttyessä</w:t>
            </w:r>
            <w:r w:rsidRPr="009E35B2">
              <w:t xml:space="preserve"> omistuksensa tuetun luottolaitoksen osakkeista tai muista pääomainstrumenteista yksityiselle sektorille heti kaupallisten ja rahoitusolosuhteiden salliessa.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248</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Marco Zanni, Valentino Grant, Antonio Maria Rinaldi</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 artikla – 4 a kohta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4 a.</w:t>
            </w:r>
            <w:r w:rsidRPr="009E35B2">
              <w:rPr>
                <w:b/>
                <w:i/>
              </w:rPr>
              <w:tab/>
              <w:t>EPV laatii ohjeluonnokset, joissa määritetään seuraavat:</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a) edellä 1 kohdan c alakohdassa tarkoitetut edellytykset;</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b) seurantajärjestelmät ja päätöksentekojärjestelmät, jotka talletusten vakuusjärjestelmillä on oltava käytössä 2 kohdan mukaisesti.</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EPV toimittaa nämä ohjeet komissiolle viimeistään ... [vuoden kuluttua tämän direktiivin voimaantulosta].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249</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Fabio Massimo Castaldo</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a artikla – 4 a kohta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4 a.</w:t>
            </w:r>
            <w:r w:rsidRPr="009E35B2">
              <w:rPr>
                <w:b/>
                <w:i/>
              </w:rPr>
              <w:tab/>
              <w:t>EPV laatii ohjeluonnokset, joissa määritetään seuraavat:</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a) edellä 1 kohdan c alakohdassa tarkoitetut edellytykset;</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b) seurantajärjestelmät ja päätöksentekojärjestelmät, jotka talletusten vakuusjärjestelmillä on oltava käytössä 2 kohdan mukaisesti.</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EPV toimittaa nämä ohjeet komissiolle viimeistään ... [vuoden kuluttua tämän direktiivin voimaantulosta].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250</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Marco Zanni, Valentino Grant, Antonio Maria Rinaldi</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b artikla – 1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1.</w:t>
            </w:r>
            <w:r w:rsidRPr="009E35B2">
              <w:tab/>
              <w:t xml:space="preserve">Jäsenvaltioiden on varmistettava, että luottolaitos, joka pyytää talletusten vakuusjärjestelmää rahoittamaan 11 artiklan 3 kohdan mukaisia ennaltaehkäiseviä toimenpiteitä, esittää toimivaltaiselle viranomaiselle </w:t>
            </w:r>
            <w:r w:rsidRPr="009E35B2">
              <w:rPr>
                <w:b/>
                <w:i/>
              </w:rPr>
              <w:t>kuulemista varten</w:t>
            </w:r>
            <w:r w:rsidRPr="009E35B2">
              <w:t xml:space="preserve"> ilmoituksen toimenpiteistä, jotka se sitoutuu toteuttamaan </w:t>
            </w:r>
            <w:r w:rsidRPr="009E35B2">
              <w:rPr>
                <w:b/>
                <w:i/>
              </w:rPr>
              <w:t>siihen sovellettavien ja</w:t>
            </w:r>
            <w:r w:rsidRPr="009E35B2">
              <w:t xml:space="preserve"> direktiivissä 2013/36/EU ja asetuksessa (EU) N:o 575/2013 säädettyjen vakavaraisuusvaatimusten noudattamisen varmistamiseksi </w:t>
            </w:r>
            <w:r w:rsidRPr="009E35B2">
              <w:rPr>
                <w:b/>
                <w:i/>
              </w:rPr>
              <w:t>tai palauttamiseksi</w:t>
            </w:r>
            <w:r w:rsidRPr="009E35B2">
              <w:t>.</w:t>
            </w:r>
          </w:p>
        </w:tc>
        <w:tc>
          <w:tcPr>
            <w:tcW w:w="4876" w:type="dxa"/>
            <w:hideMark/>
          </w:tcPr>
          <w:p w:rsidR="00E61B38" w:rsidRPr="009E35B2" w:rsidRDefault="00E61B38" w:rsidP="0024275D">
            <w:pPr>
              <w:pStyle w:val="Normal6"/>
              <w:rPr>
                <w:szCs w:val="24"/>
              </w:rPr>
            </w:pPr>
            <w:r w:rsidRPr="009E35B2">
              <w:t>1.</w:t>
            </w:r>
            <w:r w:rsidRPr="009E35B2">
              <w:tab/>
              <w:t xml:space="preserve">Jäsenvaltioiden on varmistettava, että luottolaitos, joka pyytää talletusten vakuusjärjestelmää rahoittamaan 11 artiklan 3 kohdan mukaisia ennaltaehkäiseviä toimenpiteitä, esittää toimivaltaiselle viranomaiselle ilmoituksen toimenpiteistä, jotka se sitoutuu toteuttamaan direktiivissä 2013/36/EU ja asetuksessa (EU) N:o 575/2013 säädettyjen </w:t>
            </w:r>
            <w:r w:rsidRPr="009E35B2">
              <w:rPr>
                <w:b/>
                <w:i/>
              </w:rPr>
              <w:t>sovellettavien</w:t>
            </w:r>
            <w:r w:rsidRPr="009E35B2">
              <w:t xml:space="preserve"> vakavaraisuusvaatimusten noudattamisen varmistamiseksi </w:t>
            </w:r>
            <w:r w:rsidRPr="009E35B2">
              <w:rPr>
                <w:b/>
                <w:i/>
              </w:rPr>
              <w:t>tai ylläpitämiseksi</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251</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Fabio Massimo Castaldo</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b artikla – 1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1.</w:t>
            </w:r>
            <w:r w:rsidRPr="009E35B2">
              <w:tab/>
              <w:t xml:space="preserve">Jäsenvaltioiden on varmistettava, että luottolaitos, joka pyytää talletusten vakuusjärjestelmää rahoittamaan 11 artiklan 3 kohdan mukaisia ennaltaehkäiseviä toimenpiteitä, esittää toimivaltaiselle viranomaiselle </w:t>
            </w:r>
            <w:r w:rsidRPr="009E35B2">
              <w:rPr>
                <w:b/>
                <w:i/>
              </w:rPr>
              <w:t>kuulemista varten</w:t>
            </w:r>
            <w:r w:rsidRPr="009E35B2">
              <w:t xml:space="preserve"> ilmoituksen toimenpiteistä, jotka se sitoutuu toteuttamaan </w:t>
            </w:r>
            <w:r w:rsidRPr="009E35B2">
              <w:rPr>
                <w:b/>
                <w:i/>
              </w:rPr>
              <w:t>siihen sovellettavien ja</w:t>
            </w:r>
            <w:r w:rsidRPr="009E35B2">
              <w:t xml:space="preserve"> direktiivissä 2013/36/EU ja asetuksessa (EU) N:o 575/2013 säädettyjen vakavaraisuusvaatimusten noudattamisen varmistamiseksi </w:t>
            </w:r>
            <w:r w:rsidRPr="009E35B2">
              <w:rPr>
                <w:b/>
                <w:i/>
              </w:rPr>
              <w:t>tai palauttamiseksi</w:t>
            </w:r>
            <w:r w:rsidRPr="009E35B2">
              <w:t>.</w:t>
            </w:r>
          </w:p>
        </w:tc>
        <w:tc>
          <w:tcPr>
            <w:tcW w:w="4876" w:type="dxa"/>
            <w:hideMark/>
          </w:tcPr>
          <w:p w:rsidR="00E61B38" w:rsidRPr="009E35B2" w:rsidRDefault="00E61B38" w:rsidP="0024275D">
            <w:pPr>
              <w:pStyle w:val="Normal6"/>
              <w:rPr>
                <w:szCs w:val="24"/>
              </w:rPr>
            </w:pPr>
            <w:r w:rsidRPr="009E35B2">
              <w:t>1.</w:t>
            </w:r>
            <w:r w:rsidRPr="009E35B2">
              <w:tab/>
              <w:t xml:space="preserve">Jäsenvaltioiden on varmistettava, että luottolaitos, joka pyytää talletusten vakuusjärjestelmää rahoittamaan 11 artiklan 3 kohdan mukaisia ennaltaehkäiseviä toimenpiteitä, esittää toimivaltaiselle viranomaiselle ilmoituksen toimenpiteistä, jotka se sitoutuu toteuttamaan direktiivissä 2013/36/EU ja asetuksessa (EU) N:o 575/2013 säädettyjen </w:t>
            </w:r>
            <w:r w:rsidRPr="009E35B2">
              <w:rPr>
                <w:b/>
                <w:i/>
              </w:rPr>
              <w:t>sovellettavien</w:t>
            </w:r>
            <w:r w:rsidRPr="009E35B2">
              <w:t xml:space="preserve"> vakavaraisuusvaatimusten noudattamisen varmistamiseksi </w:t>
            </w:r>
            <w:r w:rsidRPr="009E35B2">
              <w:rPr>
                <w:b/>
                <w:i/>
              </w:rPr>
              <w:t>tai ylläpitämiseksi</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252</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b artikla – 1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1.</w:t>
            </w:r>
            <w:r w:rsidRPr="009E35B2">
              <w:tab/>
              <w:t xml:space="preserve">Jäsenvaltioiden on varmistettava, että luottolaitos, joka pyytää talletusten vakuusjärjestelmää rahoittamaan 11 artiklan 3 kohdan mukaisia ennaltaehkäiseviä toimenpiteitä, esittää toimivaltaiselle viranomaiselle </w:t>
            </w:r>
            <w:r w:rsidRPr="009E35B2">
              <w:rPr>
                <w:b/>
                <w:i/>
              </w:rPr>
              <w:t>kuulemista varten ilmoituksen toimenpiteistä, jotka se sitoutuu toteuttamaan siihen sovellettavien ja direktiivissä 2013/36/EU ja asetuksessa (EU) N:o 575/2013 säädettyjen vakavaraisuusvaatimusten noudattamisen varmistamiseksi tai palauttamiseksi</w:t>
            </w:r>
            <w:r w:rsidRPr="009E35B2">
              <w:t>.</w:t>
            </w:r>
          </w:p>
        </w:tc>
        <w:tc>
          <w:tcPr>
            <w:tcW w:w="4876" w:type="dxa"/>
            <w:hideMark/>
          </w:tcPr>
          <w:p w:rsidR="00E61B38" w:rsidRPr="009E35B2" w:rsidRDefault="00E61B38" w:rsidP="0024275D">
            <w:pPr>
              <w:pStyle w:val="Normal6"/>
              <w:rPr>
                <w:szCs w:val="24"/>
              </w:rPr>
            </w:pPr>
            <w:r w:rsidRPr="009E35B2">
              <w:t>1.</w:t>
            </w:r>
            <w:r w:rsidRPr="009E35B2">
              <w:tab/>
              <w:t xml:space="preserve">Jäsenvaltioiden on varmistettava, että luottolaitos, joka pyytää talletusten vakuusjärjestelmää rahoittamaan 11 artiklan 3 kohdan mukaisia ennaltaehkäiseviä toimenpiteitä, esittää toimivaltaiselle viranomaiselle </w:t>
            </w:r>
            <w:r w:rsidRPr="009E35B2">
              <w:rPr>
                <w:b/>
                <w:i/>
              </w:rPr>
              <w:t>hyväksyttäväksi rakenneuudistussuunnitelman, jolla varmistetaan tai palautetaan pitkän aikavälin elinkelpoisuus ja asianomaiseen laitokseen sovellettavien valvontavaatimusten noudattaminen direktiivin 2013/36/EU ja asetuksen (EU) N:o 575/2013 mukaisesti</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Ennaltaehkäiseviä tukimuotoja olisi kohdeltava yhdenvertaisesti tasapuolisten toimintaedellytysten säilyttämiseksi riippumatta siitä, perustuvatko tukimuodot julkisiin varoihin vai yksityiseen talletusten vakuusjärjestelmään. Sen vuoksi nämä ehdot olisi yhdenmukaistettava pankkien elvytys- ja kriisinratkaisudirektiivin 32 c artiklan kanssa, ja niillä on varmistettava, että valtiontukikehyksen keskeiset periaatteet vahvistetaan ensimmäisellä tasolla talletussuojadirektiivissä. Tämä voi tietenkin vaikuttaa laitosten suojajärjestelmien toimintaan niiden vapaaehtoisten ja lakisääteisten tehtävien osalta, minkä vuoksi on ehkä tutkittava keinoja järjestelmien erityispiirteiden huomioon ottamiseksi.</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253</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Luděk Niedermayer</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b artikla – 1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1.</w:t>
            </w:r>
            <w:r w:rsidRPr="009E35B2">
              <w:tab/>
              <w:t xml:space="preserve">Jäsenvaltioiden on varmistettava, että luottolaitos, joka pyytää talletusten vakuusjärjestelmää rahoittamaan 11 artiklan 3 kohdan mukaisia ennaltaehkäiseviä toimenpiteitä, esittää toimivaltaiselle viranomaiselle </w:t>
            </w:r>
            <w:r w:rsidRPr="009E35B2">
              <w:rPr>
                <w:b/>
                <w:i/>
              </w:rPr>
              <w:t>kuulemista varten ilmoituksen toimenpiteistä, jotka se sitoutuu toteuttamaan siihen sovellettavien ja direktiivissä 2013/36/EU ja asetuksessa (EU) N:o 575/2013 säädettyjen vakavaraisuusvaatimusten noudattamisen varmistamiseksi tai palauttamiseksi</w:t>
            </w:r>
            <w:r w:rsidRPr="009E35B2">
              <w:t>.</w:t>
            </w:r>
          </w:p>
        </w:tc>
        <w:tc>
          <w:tcPr>
            <w:tcW w:w="4876" w:type="dxa"/>
            <w:hideMark/>
          </w:tcPr>
          <w:p w:rsidR="00E61B38" w:rsidRPr="009E35B2" w:rsidRDefault="00E61B38" w:rsidP="0024275D">
            <w:pPr>
              <w:pStyle w:val="Normal6"/>
              <w:rPr>
                <w:szCs w:val="24"/>
              </w:rPr>
            </w:pPr>
            <w:r w:rsidRPr="009E35B2">
              <w:t>1.</w:t>
            </w:r>
            <w:r w:rsidRPr="009E35B2">
              <w:tab/>
              <w:t xml:space="preserve">Jäsenvaltioiden on varmistettava, että luottolaitos, joka pyytää talletusten vakuusjärjestelmää rahoittamaan 11 artiklan 3 kohdan mukaisia ennaltaehkäiseviä toimenpiteitä, esittää toimivaltaiselle viranomaiselle </w:t>
            </w:r>
            <w:r w:rsidRPr="009E35B2">
              <w:rPr>
                <w:b/>
                <w:i/>
              </w:rPr>
              <w:t>hyväksyttäväksi rakenneuudistussuunnitelman, jolla varmistetaan tai palautetaan pitkän aikavälin elinkelpoisuus ja asianomaiseen laitokseen sovellettavien valvontavaatimusten noudattaminen direktiivin 2013/36/EU ja asetuksen (EU) N:o 575/2013 mukaisesti</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254</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Eero Heinäluoma</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b artikla – 1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1.</w:t>
            </w:r>
            <w:r w:rsidRPr="009E35B2">
              <w:tab/>
              <w:t xml:space="preserve">Jäsenvaltioiden on varmistettava, että luottolaitos, joka pyytää talletusten vakuusjärjestelmää rahoittamaan 11 artiklan 3 kohdan mukaisia ennaltaehkäiseviä toimenpiteitä, esittää toimivaltaiselle viranomaiselle </w:t>
            </w:r>
            <w:r w:rsidRPr="009E35B2">
              <w:rPr>
                <w:b/>
                <w:i/>
              </w:rPr>
              <w:t>kuulemista varten ilmoituksen toimenpiteistä, jotka se sitoutuu toteuttamaan siihen sovellettavien ja direktiivissä 2013/36/EU ja asetuksessa (EU) N:o 575/2013 säädettyjen vakavaraisuusvaatimusten noudattamisen varmistamiseksi tai palauttamiseksi</w:t>
            </w:r>
            <w:r w:rsidRPr="009E35B2">
              <w:t>.</w:t>
            </w:r>
          </w:p>
        </w:tc>
        <w:tc>
          <w:tcPr>
            <w:tcW w:w="4876" w:type="dxa"/>
            <w:hideMark/>
          </w:tcPr>
          <w:p w:rsidR="00E61B38" w:rsidRPr="009E35B2" w:rsidRDefault="00E61B38" w:rsidP="0024275D">
            <w:pPr>
              <w:pStyle w:val="Normal6"/>
              <w:rPr>
                <w:szCs w:val="24"/>
              </w:rPr>
            </w:pPr>
            <w:r w:rsidRPr="009E35B2">
              <w:t>1.</w:t>
            </w:r>
            <w:r w:rsidRPr="009E35B2">
              <w:tab/>
              <w:t xml:space="preserve">Jäsenvaltioiden on varmistettava, että luottolaitos, joka pyytää talletusten vakuusjärjestelmää rahoittamaan 11 artiklan 3 kohdan mukaisia ennaltaehkäiseviä toimenpiteitä, esittää toimivaltaiselle viranomaiselle </w:t>
            </w:r>
            <w:r w:rsidRPr="009E35B2">
              <w:rPr>
                <w:b/>
                <w:i/>
              </w:rPr>
              <w:t>hyväksyttäväksi rakenneuudistussuunnitelman, jolla varmistetaan tai palautetaan pitkän aikavälin elinkelpoisuus ja asianomaiseen laitokseen sovellettavien valvontavaatimusten noudattaminen direktiivin 2013/36/EU ja asetuksen (EU) N:o 575/2013 mukaisesti</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255</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Eero Heinäluoma</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b artikla – 2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2.</w:t>
            </w:r>
            <w:r w:rsidRPr="009E35B2">
              <w:tab/>
              <w:t>Edellä 1 kohdassa tarkoitetussa</w:t>
            </w:r>
            <w:r w:rsidRPr="009E35B2">
              <w:rPr>
                <w:b/>
                <w:i/>
              </w:rPr>
              <w:t xml:space="preserve"> ilmoituksessa</w:t>
            </w:r>
            <w:r w:rsidRPr="009E35B2">
              <w:t xml:space="preserve"> on määritettävä toimet taloudellisen vakauden heikkenemistä koskevan riskin lieventämiseksi ja luottolaitoksen pääoma- ja likviditeettiposition vahvistamiseksi.</w:t>
            </w:r>
          </w:p>
        </w:tc>
        <w:tc>
          <w:tcPr>
            <w:tcW w:w="4876" w:type="dxa"/>
            <w:hideMark/>
          </w:tcPr>
          <w:p w:rsidR="00E61B38" w:rsidRPr="009E35B2" w:rsidRDefault="00E61B38" w:rsidP="0024275D">
            <w:pPr>
              <w:pStyle w:val="Normal6"/>
              <w:rPr>
                <w:szCs w:val="24"/>
              </w:rPr>
            </w:pPr>
            <w:r w:rsidRPr="009E35B2">
              <w:t>2.</w:t>
            </w:r>
            <w:r w:rsidRPr="009E35B2">
              <w:tab/>
              <w:t xml:space="preserve">Edellä 1 kohdassa tarkoitetussa </w:t>
            </w:r>
            <w:r w:rsidRPr="009E35B2">
              <w:rPr>
                <w:b/>
                <w:i/>
              </w:rPr>
              <w:t>rakenneuudistussuunnitelmassa</w:t>
            </w:r>
            <w:r w:rsidRPr="009E35B2">
              <w:t xml:space="preserve"> on määritettävä toimet taloudellisen vakauden heikkenemistä koskevan riskin lieventämiseksi ja luottolaitoksen pääoma- ja likviditeettiposition vahvistamiseksi.</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256</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b artikla – 2 a kohta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2 a.</w:t>
            </w:r>
            <w:r w:rsidRPr="009E35B2">
              <w:rPr>
                <w:b/>
                <w:i/>
              </w:rPr>
              <w:tab/>
              <w:t>Jos talletusten vakuusjärjestelmän rahoitusvaroja käytetään ennaltaehkäiseviin toimenpiteisiin 3 kohdan mukaisesti, toimivaltaisen viranomaisen on vaadittava edunsaajana olevaa luottolaitosta päivittämään direktiivin 2014/59/EU 5 ja7 artiklassa tarkoitettu elvytyssuunnitelma tapauksen mukaan. Toimivaltaisen viranomaisen on ohjattava tuettua luottolaitosta toteuttamaan direktiivin 2014/59/EU 6 artiklan 6 kohdan kolmannessa alakohdassa tarkoitetut toimenpiteet.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257</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Roberts Zīle</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b artikla – 2 a kohta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2 a.</w:t>
            </w:r>
            <w:r w:rsidRPr="009E35B2">
              <w:rPr>
                <w:b/>
                <w:i/>
              </w:rPr>
              <w:tab/>
              <w:t>Jos talletusten vakuusjärjestelmän rahoitusvaroja käytetään ennaltaehkäiseviin toimenpiteisiin 3 kohdan mukaisesti, toimivaltaisen viranomaisen on vaadittava edunsaajana olevaa luottolaitosta päivittämään direktiivin 2014/59/EU 5 ja7 artiklassa tarkoitettu elvytyssuunnitelma tapauksen mukaan.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258</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Eero Heinäluoma</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b artikla – 3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3.</w:t>
            </w:r>
            <w:r w:rsidRPr="009E35B2">
              <w:tab/>
              <w:t xml:space="preserve">Jäsenvaltioiden on varmistettava, että jos kyseessä on pääomatukitoimenpide, 1 kohdassa tarkoitetussa </w:t>
            </w:r>
            <w:r w:rsidRPr="009E35B2">
              <w:rPr>
                <w:b/>
                <w:i/>
              </w:rPr>
              <w:t>ilmoituksessa</w:t>
            </w:r>
            <w:r w:rsidRPr="009E35B2">
              <w:t xml:space="preserve"> yksilöidään kaikki pääoman hankkimista koskevat toimenpiteet, jotka voidaan toteuttaa, mukaan lukien varojen ulosvirtauksen estävät suojatoimet, tulevaisuuteen suuntautuva pääoman riittävyyden arviointi ja sen pääomavajeen määrittäminen, joka on katettava talletusten vakuusjärjestelmästä.</w:t>
            </w:r>
          </w:p>
        </w:tc>
        <w:tc>
          <w:tcPr>
            <w:tcW w:w="4876" w:type="dxa"/>
            <w:hideMark/>
          </w:tcPr>
          <w:p w:rsidR="00E61B38" w:rsidRPr="009E35B2" w:rsidRDefault="00E61B38" w:rsidP="0024275D">
            <w:pPr>
              <w:pStyle w:val="Normal6"/>
              <w:rPr>
                <w:szCs w:val="24"/>
              </w:rPr>
            </w:pPr>
            <w:r w:rsidRPr="009E35B2">
              <w:t>3.</w:t>
            </w:r>
            <w:r w:rsidRPr="009E35B2">
              <w:tab/>
              <w:t xml:space="preserve">Jäsenvaltioiden on varmistettava, että jos kyseessä on pääomatukitoimenpide, 1 kohdassa tarkoitetussa </w:t>
            </w:r>
            <w:r w:rsidRPr="009E35B2">
              <w:rPr>
                <w:b/>
                <w:i/>
              </w:rPr>
              <w:t>rakenneuudistussuunnitelmassa</w:t>
            </w:r>
            <w:r w:rsidRPr="009E35B2">
              <w:t xml:space="preserve"> yksilöidään kaikki pääoman hankkimista koskevat toimenpiteet, jotka voidaan toteuttaa, mukaan lukien varojen ulosvirtauksen estävät suojatoimet, tulevaisuuteen suuntautuva pääoman riittävyyden arviointi ja sen pääomavajeen määrittäminen, joka on katettava talletusten vakuusjärjestelmästä.</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259</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Irene Tinagli,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b artikla – 3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3.</w:t>
            </w:r>
            <w:r w:rsidRPr="009E35B2">
              <w:tab/>
              <w:t xml:space="preserve">Jäsenvaltioiden on varmistettava, että jos kyseessä on pääomatukitoimenpide, 1 kohdassa tarkoitetussa ilmoituksessa yksilöidään kaikki pääoman hankkimista koskevat toimenpiteet, jotka voidaan toteuttaa, mukaan lukien varojen ulosvirtauksen estävät suojatoimet, tulevaisuuteen suuntautuva pääoman riittävyyden arviointi ja </w:t>
            </w:r>
            <w:r w:rsidRPr="009E35B2">
              <w:rPr>
                <w:b/>
                <w:i/>
              </w:rPr>
              <w:t>sen pääomavajeen määrittäminen</w:t>
            </w:r>
            <w:r w:rsidRPr="009E35B2">
              <w:t>, joka on katettava talletusten vakuusjärjestelmästä.</w:t>
            </w:r>
          </w:p>
        </w:tc>
        <w:tc>
          <w:tcPr>
            <w:tcW w:w="4876" w:type="dxa"/>
            <w:hideMark/>
          </w:tcPr>
          <w:p w:rsidR="00E61B38" w:rsidRPr="009E35B2" w:rsidRDefault="00E61B38" w:rsidP="0024275D">
            <w:pPr>
              <w:pStyle w:val="Normal6"/>
              <w:rPr>
                <w:szCs w:val="24"/>
              </w:rPr>
            </w:pPr>
            <w:r w:rsidRPr="009E35B2">
              <w:t>3.</w:t>
            </w:r>
            <w:r w:rsidRPr="009E35B2">
              <w:tab/>
              <w:t xml:space="preserve">Jäsenvaltioiden on varmistettava, että jos kyseessä on pääomatukitoimenpide, 1 kohdassa tarkoitetussa ilmoituksessa yksilöidään kaikki pääoman hankkimista koskevat toimenpiteet, jotka voidaan toteuttaa, mukaan lukien varojen ulosvirtauksen estävät suojatoimet, tulevaisuuteen suuntautuva pääoman riittävyyden arviointi ja </w:t>
            </w:r>
            <w:r w:rsidRPr="009E35B2">
              <w:rPr>
                <w:b/>
                <w:i/>
              </w:rPr>
              <w:t>toimivaltaisen viranomaisen määrittämä pääomavaje</w:t>
            </w:r>
            <w:r w:rsidRPr="009E35B2">
              <w:t>, joka on katettava talletusten vakuusjärjestelmästä.</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260</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Fabio Massimo Castaldo</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b artikla – 3 a kohta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3 a.</w:t>
            </w:r>
            <w:r w:rsidRPr="009E35B2">
              <w:rPr>
                <w:b/>
                <w:i/>
              </w:rPr>
              <w:tab/>
              <w:t>Jos kyseessä on pääomatukitoimenpide, jäsenvaltioiden on varmistettava, että tuetun luottolaitoksen osakkeenomistajat ja huonommassa etuoikeusasemassa olevat velalliset ovat edistäneet pääomavajeen vähentämistä. Tällainen edistäminen on toteutettava toimivaltaisten viranomaisten tai kriisinratkaisuviranomaisten toteuttaman pääomainstrumenttien ja hyväksyttävien velkojen alaskirjauksen ja muuntamisen muodossa direktiivin 2014/59/EU 59–62 artiklan mukaisesti. Jäsenvaltioiden on varmistettava, että talletusten vakuusjärjestelmien pääomatuen muodossa rahoittamia ennaltaehkäiseviä toimenpiteitä ei toteuteta ennen kuin ensimmäisessä alakohdassa säädetyt vaatimukset täyttyvät.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261</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b artikla – 3 a kohta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3 a.</w:t>
            </w:r>
            <w:r w:rsidRPr="009E35B2">
              <w:rPr>
                <w:b/>
                <w:i/>
              </w:rPr>
              <w:tab/>
              <w:t>Jos kyseessä on pääomatukitoimenpide, jäsenvaltioiden on varmistettava, että tuetun luottolaitoksen osakkeenomistajat ja velkojat ovat edistäneet pääomavajeen vähentämistä mahdollisimman paljon.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262</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b artikla – 5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5.</w:t>
            </w:r>
            <w:r w:rsidRPr="009E35B2">
              <w:tab/>
              <w:t xml:space="preserve">Jäsenvaltioiden on </w:t>
            </w:r>
            <w:r w:rsidRPr="009E35B2">
              <w:rPr>
                <w:b/>
                <w:i/>
              </w:rPr>
              <w:t>tarvittaessa</w:t>
            </w:r>
            <w:r w:rsidRPr="009E35B2">
              <w:t xml:space="preserve"> varmistettava, että </w:t>
            </w:r>
            <w:r w:rsidRPr="009E35B2">
              <w:rPr>
                <w:b/>
                <w:i/>
              </w:rPr>
              <w:t>1 kohdassa tarkoitetussa ilmoituksessa suunnitellut toimenpiteet ovat yhdenmukaisia direktiivin 2013/36/EU 142 artiklassa tarkoitetun pääoman ylläpitämissuunnitelman kanssa</w:t>
            </w:r>
            <w:r w:rsidRPr="009E35B2">
              <w:t>.</w:t>
            </w:r>
          </w:p>
        </w:tc>
        <w:tc>
          <w:tcPr>
            <w:tcW w:w="4876" w:type="dxa"/>
            <w:hideMark/>
          </w:tcPr>
          <w:p w:rsidR="00E61B38" w:rsidRPr="009E35B2" w:rsidRDefault="00E61B38" w:rsidP="0024275D">
            <w:pPr>
              <w:pStyle w:val="Normal6"/>
              <w:rPr>
                <w:szCs w:val="24"/>
              </w:rPr>
            </w:pPr>
            <w:r w:rsidRPr="009E35B2">
              <w:t>5.</w:t>
            </w:r>
            <w:r w:rsidRPr="009E35B2">
              <w:tab/>
            </w:r>
            <w:r w:rsidRPr="009E35B2">
              <w:rPr>
                <w:b/>
                <w:i/>
              </w:rPr>
              <w:t>Jäsenvaltioiden on varmistettava, että toimivaltaiset viranomaiset toteavat, ettei tuettu luottolaitos maksa osinkoja, toteuta osakkeiden takaisinostoja tai maksa muuttuvia palkkioita ja ettei kyseinen laitos tee peruuttamatonta sitoumusta maksaa osinkoja, toteuttaa osakkeiden takaisinostoja tai maksaa muuttuvia palkkioita.</w:t>
            </w:r>
            <w:r w:rsidRPr="009E35B2">
              <w:t xml:space="preserve"> Jäsenvaltioiden on varmistettava, että </w:t>
            </w:r>
            <w:r w:rsidRPr="009E35B2">
              <w:rPr>
                <w:b/>
                <w:i/>
              </w:rPr>
              <w:t>tämän kohdan mukaiset rajoitukset pysyvät voimassa, kunnes tuetut luottolaitokset ovat täydentäneet talletusten vakuusjärjestelmää tällaisiin toimenpiteisiin käytetyllä määrällä</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263</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Roberts Zīle</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b artikla – 5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5.</w:t>
            </w:r>
            <w:r w:rsidRPr="009E35B2">
              <w:tab/>
              <w:t xml:space="preserve">Jäsenvaltioiden on </w:t>
            </w:r>
            <w:r w:rsidRPr="009E35B2">
              <w:rPr>
                <w:b/>
                <w:i/>
              </w:rPr>
              <w:t>tarvittaessa</w:t>
            </w:r>
            <w:r w:rsidRPr="009E35B2">
              <w:t xml:space="preserve"> varmistettava, että </w:t>
            </w:r>
            <w:r w:rsidRPr="009E35B2">
              <w:rPr>
                <w:b/>
                <w:i/>
              </w:rPr>
              <w:t>1 kohdassa tarkoitetussa ilmoituksessa suunnitellut toimenpiteet ovat yhdenmukaisia direktiivin 2013/36/EU 142 artiklassa tarkoitetun pääoman ylläpitämissuunnitelman kanssa</w:t>
            </w:r>
            <w:r w:rsidRPr="009E35B2">
              <w:t>.</w:t>
            </w:r>
          </w:p>
        </w:tc>
        <w:tc>
          <w:tcPr>
            <w:tcW w:w="4876" w:type="dxa"/>
            <w:hideMark/>
          </w:tcPr>
          <w:p w:rsidR="00E61B38" w:rsidRPr="009E35B2" w:rsidRDefault="00E61B38" w:rsidP="0024275D">
            <w:pPr>
              <w:pStyle w:val="Normal6"/>
              <w:rPr>
                <w:szCs w:val="24"/>
              </w:rPr>
            </w:pPr>
            <w:r w:rsidRPr="009E35B2">
              <w:t>5.</w:t>
            </w:r>
            <w:r w:rsidRPr="009E35B2">
              <w:tab/>
            </w:r>
            <w:r w:rsidRPr="009E35B2">
              <w:rPr>
                <w:b/>
                <w:i/>
              </w:rPr>
              <w:t>Jäsenvaltioiden on varmistettava, että toimivaltaiset viranomaiset toteavat, ettei tuettu luottolaitos maksa osinkoja, toteuta osakkeiden takaisinostoja tai maksa muuttuvia palkkioita ja ettei kyseinen laitos tee peruuttamatonta sitoumusta maksaa osinkoja, toteuttaa osakkeiden takaisinostoja tai maksaa muuttuvia palkkioita.</w:t>
            </w:r>
            <w:r w:rsidRPr="009E35B2">
              <w:t xml:space="preserve"> Jäsenvaltioiden on varmistettava, että </w:t>
            </w:r>
            <w:r w:rsidRPr="009E35B2">
              <w:rPr>
                <w:b/>
                <w:i/>
              </w:rPr>
              <w:t>tämän kohdan mukaiset rajoitukset pysyvät voimassa, kunnes tuetut luottolaitokset maksavat talletusten vakuusjärjestelmälle varat, jotka on käytetty tällaisiin toimenpiteisiin</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264</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Luděk Niedermayer</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b artikla – 5 a kohta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5 a.</w:t>
            </w:r>
            <w:r w:rsidRPr="009E35B2">
              <w:rPr>
                <w:b/>
                <w:i/>
              </w:rPr>
              <w:tab/>
              <w:t>On varmistettava, että talletusten vakuusjärjestelmä saa asianmukaisen korvauksen ennaltaehkäisevistä toimenpiteistä ja että tukea saava luottolaitos, sen osakkeenomistajat, sen velkojat tai konserni, johon se kuuluu, osallistuvat rakenneuudistus- tai likvidaatiokustannuksiin merkittävällä määrällä omia varojaan. Ennaltaehkäisevien toimenpiteiden on oltava väliaikaisia, niitä ei saa käyttää tappioiden kattamiseen eikä niistä saa tulla pääomatukea. Talletusten vakuusjärjestelmälle maksetaan asianmukainen korvaus likviditeetin tarjoamista tukevista ennaltaehkäisevistä toimenpiteistä.</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265</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b artikla – 5 a kohta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5 a.</w:t>
            </w:r>
            <w:r w:rsidRPr="009E35B2">
              <w:rPr>
                <w:b/>
                <w:i/>
              </w:rPr>
              <w:tab/>
              <w:t>On varmistettava, että talletusten vakuusjärjestelmä saa asianmukaisen korvauksen ennaltaehkäisevästä toimenpiteestä ja että tukea saava luottolaitos, sen osakkeenomistajat, sen velkojat tai konserni, johon se kuuluu, osallistuvat rakenneuudistus- tai likvidaatiokustannuksiin merkittävällä määrällä omia varojaan. Ennaltaehkäisevien toimenpiteiden on oltava väliaikaisia, niitä ei saa käyttää tappioiden kattamiseen eikä niistä saa tulla pääomatukea. Talletusten vakuusjärjestelmälle maksetaan asianmukainen korvaus likviditeetin tarjoamista tukevista ennaltaehkäisevistä toimenpiteistä.</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Ennaltaehkäiseviä tukimuotoja olisi kohdeltava yhdenvertaisesti tasapuolisten toimintaedellytysten säilyttämiseksi riippumatta siitä, perustuvatko tukimuodot julkisiin varoihin vai yksityiseen talletusten vakuusjärjestelmään. Sen vuoksi nämä ehdot olisi yhdenmukaistettava pankkien elvytys- ja kriisinratkaisudirektiivin 32 c artiklan kanssa, ja niillä on varmistettava, että valtiontukikehyksen keskeiset periaatteet vahvistetaan ensimmäisellä tasolla talletussuojadirektiivissä. Tämä voi tietenkin vaikuttaa laitosten suojajärjestelmien toimintaan niiden vapaaehtoisten ja lakisääteisten tehtävien osalta, minkä vuoksi on ehkä tutkittava keinoja järjestelmien erityispiirteiden huomioon ottamiseksi.</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266</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b artikla – 6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6.</w:t>
            </w:r>
            <w:r w:rsidRPr="009E35B2">
              <w:tab/>
            </w:r>
            <w:r w:rsidRPr="009E35B2">
              <w:rPr>
                <w:b/>
                <w:i/>
              </w:rPr>
              <w:t>Siltä osin kuin sovelletaan unionin valtiontukikehystä, jäsenvaltioiden on varmistettava, että 1 kohdassa tarkoitetussa ilmoituksessa suunnitellut toimenpiteet ovat yhteensopivia sen rakenneuudistussuunnitelman kanssa, joka luottolaitoksen on toimitettava komissiolle unionin valtiontukikehyksen mukaisesti</w:t>
            </w:r>
            <w:r w:rsidRPr="009E35B2">
              <w:t>.</w:t>
            </w:r>
          </w:p>
        </w:tc>
        <w:tc>
          <w:tcPr>
            <w:tcW w:w="4876" w:type="dxa"/>
            <w:hideMark/>
          </w:tcPr>
          <w:p w:rsidR="00E61B38" w:rsidRPr="009E35B2" w:rsidRDefault="00E61B38" w:rsidP="0024275D">
            <w:pPr>
              <w:pStyle w:val="Normal6"/>
              <w:rPr>
                <w:szCs w:val="24"/>
              </w:rPr>
            </w:pPr>
            <w:r w:rsidRPr="009E35B2">
              <w:t>6.</w:t>
            </w:r>
            <w:r w:rsidRPr="009E35B2">
              <w:tab/>
            </w:r>
            <w:r w:rsidRPr="009E35B2">
              <w:rPr>
                <w:b/>
                <w:i/>
              </w:rPr>
              <w:t>Kaikkiin tämän direktiivin mukaisiin toimenpiteisiin ei sovelleta valtiontukilainsäädäntöä</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Kaikkiin talletussuojadirektiivin mukaisiin toimenpiteisiin ei nimenomaisesti pitäisi soveltaa valtiontukilainsäädäntöä. Talletusten vakuusjärjestelmän varat kerätään yksityisesti, ne eivät ole veronmaksajien rahoja. Lisäksi valtiontukitarkastus aiheuttaa pitkän viiveen, joka estää ennaltaehkäisevien tai vaihtoehtoisten toimenpiteiden ja talletuskorvausten nopean toteuttamisen. Direktiivin 11 b artiklan 6 kohdan mukaan ennaltaehkäisevien toimenpiteiden toteuttaminen on käytännössä mahdotonta aikataulun vuoksi. Näin ollen talletussuojadirektiivin 11 b artiklan 6 kohta olisi poistettava.</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267</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Marco Zanni, Valentino Grant, Antonio Maria Rinaldi</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b artikla – 6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6.</w:t>
            </w:r>
            <w:r w:rsidRPr="009E35B2">
              <w:tab/>
            </w:r>
            <w:r w:rsidRPr="009E35B2">
              <w:rPr>
                <w:b/>
                <w:i/>
              </w:rPr>
              <w:t xml:space="preserve">Siltä osin kuin sovelletaan unionin valtiontukikehystä, </w:t>
            </w:r>
            <w:r w:rsidRPr="009E35B2">
              <w:t>jäsenvaltioiden on varmistettava, että 1 kohdassa tarkoitetussa ilmoituksessa suunnitellut toimenpiteet ovat yhteensopivia sen rakenneuudistussuunnitelman kanssa, joka luottolaitoksen on toimitettava komissiolle unionin valtiontukikehyksen mukaisesti.</w:t>
            </w:r>
          </w:p>
        </w:tc>
        <w:tc>
          <w:tcPr>
            <w:tcW w:w="4876" w:type="dxa"/>
            <w:hideMark/>
          </w:tcPr>
          <w:p w:rsidR="00E61B38" w:rsidRPr="009E35B2" w:rsidRDefault="00E61B38" w:rsidP="0024275D">
            <w:pPr>
              <w:pStyle w:val="Normal6"/>
              <w:rPr>
                <w:szCs w:val="24"/>
              </w:rPr>
            </w:pPr>
            <w:r w:rsidRPr="009E35B2">
              <w:t>6.</w:t>
            </w:r>
            <w:r w:rsidRPr="009E35B2">
              <w:tab/>
              <w:t>Jäsenvaltioiden on varmistettava, että 1 kohdassa tarkoitetussa ilmoituksessa suunnitellut toimenpiteet ovat yhteensopivia sen rakenneuudistussuunnitelman kanssa, joka luottolaitoksen on toimitettava komissiolle unionin valtiontukikehyksen mukaisesti</w:t>
            </w:r>
            <w:r w:rsidRPr="009E35B2">
              <w:rPr>
                <w:b/>
                <w:i/>
              </w:rPr>
              <w:t>, ja ne saatetaan ennen direktiivin voimaantuloa asianmukaisesti ajan tasalle ottaen huomioon Euroopan yhteisöjen tuomioistuimen julistukset</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268</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Fabio Massimo Castaldo</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b artikla – 6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6.</w:t>
            </w:r>
            <w:r w:rsidRPr="009E35B2">
              <w:tab/>
            </w:r>
            <w:r w:rsidRPr="009E35B2">
              <w:rPr>
                <w:b/>
                <w:i/>
              </w:rPr>
              <w:t xml:space="preserve">Siltä osin kuin sovelletaan unionin valtiontukikehystä, </w:t>
            </w:r>
            <w:r w:rsidRPr="009E35B2">
              <w:t>jäsenvaltioiden on varmistettava, että 1 kohdassa tarkoitetussa ilmoituksessa suunnitellut toimenpiteet ovat yhteensopivia sen rakenneuudistussuunnitelman kanssa, joka luottolaitoksen on toimitettava komissiolle unionin valtiontukikehyksen mukaisesti.</w:t>
            </w:r>
          </w:p>
        </w:tc>
        <w:tc>
          <w:tcPr>
            <w:tcW w:w="4876" w:type="dxa"/>
            <w:hideMark/>
          </w:tcPr>
          <w:p w:rsidR="00E61B38" w:rsidRPr="009E35B2" w:rsidRDefault="00E61B38" w:rsidP="0024275D">
            <w:pPr>
              <w:pStyle w:val="Normal6"/>
              <w:rPr>
                <w:szCs w:val="24"/>
              </w:rPr>
            </w:pPr>
            <w:r w:rsidRPr="009E35B2">
              <w:t>6.</w:t>
            </w:r>
            <w:r w:rsidRPr="009E35B2">
              <w:tab/>
              <w:t>Jäsenvaltioiden on varmistettava, että 1 kohdassa tarkoitetussa ilmoituksessa suunnitellut toimenpiteet ovat yhteensopivia sen rakenneuudistussuunnitelman kanssa, joka luottolaitoksen on toimitettava komissiolle unionin valtiontukikehyksen mukaisesti</w:t>
            </w:r>
            <w:r w:rsidRPr="009E35B2">
              <w:rPr>
                <w:b/>
                <w:i/>
              </w:rPr>
              <w:t>, ja ne saatetaan ennen direktiivin voimaantuloa asianmukaisesti ajan tasalle</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269</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Luděk Niedermayer</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b artikla – 6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6.</w:t>
            </w:r>
            <w:r w:rsidRPr="009E35B2">
              <w:tab/>
              <w:t xml:space="preserve">Siltä osin kuin sovelletaan unionin valtiontukikehystä, jäsenvaltioiden on varmistettava, että 1 kohdassa tarkoitetussa </w:t>
            </w:r>
            <w:r w:rsidRPr="009E35B2">
              <w:rPr>
                <w:b/>
                <w:i/>
              </w:rPr>
              <w:t>ilmoituksessa</w:t>
            </w:r>
            <w:r w:rsidRPr="009E35B2">
              <w:t xml:space="preserve"> suunnitellut toimenpiteet ovat yhteensopivia sen rakenneuudistussuunnitelman kanssa, joka luottolaitoksen on toimitettava komissiolle unionin valtiontukikehyksen mukaisesti.</w:t>
            </w:r>
          </w:p>
        </w:tc>
        <w:tc>
          <w:tcPr>
            <w:tcW w:w="4876" w:type="dxa"/>
            <w:hideMark/>
          </w:tcPr>
          <w:p w:rsidR="00E61B38" w:rsidRPr="009E35B2" w:rsidRDefault="00E61B38" w:rsidP="0024275D">
            <w:pPr>
              <w:pStyle w:val="Normal6"/>
              <w:rPr>
                <w:szCs w:val="24"/>
              </w:rPr>
            </w:pPr>
            <w:r w:rsidRPr="009E35B2">
              <w:t>6.</w:t>
            </w:r>
            <w:r w:rsidRPr="009E35B2">
              <w:tab/>
              <w:t xml:space="preserve">Siltä osin kuin sovelletaan unionin valtiontukikehystä, jäsenvaltioiden on varmistettava, että 1 kohdassa tarkoitetussa </w:t>
            </w:r>
            <w:r w:rsidRPr="009E35B2">
              <w:rPr>
                <w:b/>
                <w:i/>
              </w:rPr>
              <w:t xml:space="preserve">rakenneuudistussuunnitelmassa </w:t>
            </w:r>
            <w:r w:rsidRPr="009E35B2">
              <w:t>suunnitellut toimenpiteet ovat yhteensopivia sen rakenneuudistussuunnitelman kanssa, joka luottolaitoksen on toimitettava komissiolle unionin valtiontukikehyksen mukaisesti.</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270</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b artikla – 6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6.</w:t>
            </w:r>
            <w:r w:rsidRPr="009E35B2">
              <w:tab/>
              <w:t xml:space="preserve">Siltä osin kuin sovelletaan unionin valtiontukikehystä, jäsenvaltioiden on varmistettava, että 1 kohdassa tarkoitetussa </w:t>
            </w:r>
            <w:r w:rsidRPr="009E35B2">
              <w:rPr>
                <w:b/>
                <w:i/>
              </w:rPr>
              <w:t>ilmoituksessa</w:t>
            </w:r>
            <w:r w:rsidRPr="009E35B2">
              <w:t xml:space="preserve"> suunnitellut toimenpiteet ovat yhteensopivia sen rakenneuudistussuunnitelman kanssa, joka luottolaitoksen on toimitettava komissiolle unionin valtiontukikehyksen mukaisesti.</w:t>
            </w:r>
          </w:p>
        </w:tc>
        <w:tc>
          <w:tcPr>
            <w:tcW w:w="4876" w:type="dxa"/>
            <w:hideMark/>
          </w:tcPr>
          <w:p w:rsidR="00E61B38" w:rsidRPr="009E35B2" w:rsidRDefault="00E61B38" w:rsidP="0024275D">
            <w:pPr>
              <w:pStyle w:val="Normal6"/>
              <w:rPr>
                <w:szCs w:val="24"/>
              </w:rPr>
            </w:pPr>
            <w:r w:rsidRPr="009E35B2">
              <w:t>6.</w:t>
            </w:r>
            <w:r w:rsidRPr="009E35B2">
              <w:tab/>
              <w:t xml:space="preserve">Siltä osin kuin sovelletaan unionin valtiontukikehystä, jäsenvaltioiden on varmistettava, että 1 kohdassa tarkoitetussa </w:t>
            </w:r>
            <w:r w:rsidRPr="009E35B2">
              <w:rPr>
                <w:b/>
                <w:i/>
              </w:rPr>
              <w:t>rakenneuudistussuunnitelmassa</w:t>
            </w:r>
            <w:r w:rsidRPr="009E35B2">
              <w:t xml:space="preserve"> suunnitellut toimenpiteet ovat yhteensopivia sen rakenneuudistussuunnitelman kanssa, joka luottolaitoksen on toimitettava komissiolle unionin valtiontukikehyksen mukaisesti.</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Ennaltaehkäiseviä tukimuotoja olisi kohdeltava yhdenvertaisesti tasapuolisten toimintaedellytysten säilyttämiseksi riippumatta siitä, perustuvatko tukimuodot julkisiin varoihin vai yksityiseen talletusten vakuusjärjestelmään. Sen vuoksi nämä ehdot olisi yhdenmukaistettava pankkien elvytys- ja kriisinratkaisudirektiivin 32 c artiklan kanssa, ja niillä on varmistettava, että valtiontukikehyksen keskeiset periaatteet vahvistetaan ensimmäisellä tasolla talletussuojadirektiivissä. Tämä voi tietenkin vaikuttaa laitosten suojajärjestelmien toimintaan niiden vapaaehtoisten ja lakisääteisten tehtävien osalta, minkä vuoksi on ehkä tutkittava keinoja järjestelmien erityispiirteiden huomioon ottamiseksi.</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271</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b artikla – 6 a kohta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6 a.</w:t>
            </w:r>
            <w:r w:rsidRPr="009E35B2">
              <w:rPr>
                <w:b/>
                <w:i/>
              </w:rPr>
              <w:tab/>
              <w:t>Jäsenvaltioiden on varmistettava, että tämän artiklan 1–5 kohdasta poiketen tämän direktiivin 1 artiklan 2 kohdan c alakohdassa tarkoitettuihin laitosten suojajärjestelmän jäsenlaitoksiin sovelletaan seuraavaa: Myöntäessä ennaltaehkäisevää toimenpidettä laitosten suojajärjestelmä edellyttää, että luottolaitos laatii ja toimittaa laitosten suojajärjestelmälle kohtuullisen ajan kuluessa toimenpiteen myöntämisestä kattavan rakenneuudistussuunnitelman, jossa kerrotaan, miten laitoksen peruskannattavuus voidaan palauttaa. Tähän sisältyy kyseiseen luottolaitokseen sovellettavien lakisääteisten vaatimusten noudattaminen.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A comprehensive, institution-specific restructuring concept, including a detailed status-quo analysis and a business plan, is in any case already regularly a mandatory part of the contract on support measures between the institution and the IPS. However, preparation requires some time until final acceptance by the IPS, in order to show valid results and thus the way to restore the bank's basic profitability. This concept with an underlying and reliable business plan is also subject to close implementation control by the IPS as is,including all necessary countermeasures in the event of significant deviations.</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272</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b artikla – 6 a kohta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6 a.</w:t>
            </w:r>
            <w:r w:rsidRPr="009E35B2">
              <w:rPr>
                <w:b/>
                <w:i/>
              </w:rPr>
              <w:tab/>
              <w:t>Toimivaltaisen viranomaisen on toimitettava ilmoitus kriisinratkaisuviranomaiselle. Kriisinratkaisuviranomainen voi tarkastella ilmoitusta havaitakseen toimia, jotka saattaisivat vaikuttaa kielteisesti laitoksen purkamismahdollisuuksiin, ja esittää toimivaltaiselle viranomaiselle asiaa koskevia suosituksia. Kriisinratkaisuviranomaisen on toimitettava arviointinsa ja suosituksensa toimivaltaisen viranomaisen asettamassa määräajassa.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273</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b artikla – 6 a kohta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6 a.</w:t>
            </w:r>
            <w:r w:rsidRPr="009E35B2">
              <w:rPr>
                <w:b/>
                <w:i/>
              </w:rPr>
              <w:tab/>
              <w:t>Toimivaltaisella viranomaisella on kaksi viikkoa aikaa hyväksyä rakenneuudistussuunnitelma. Jos toimivaltainen viranomainen pitää rakenneuudistussuunnitelmaa epätyydyttävänä, suunniteltua ennaltaehkäisevää toimenpidettä ei voida toteuttaa.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Ennaltaehkäiseviä tukimuotoja olisi kohdeltava yhdenvertaisesti tasapuolisten toimintaedellytysten säilyttämiseksi riippumatta siitä, perustuvatko tukimuodot julkisiin varoihin vai yksityiseen talletusten vakuusjärjestelmään. Sen vuoksi nämä ehdot olisi yhdenmukaistettava pankkien elvytys- ja kriisinratkaisudirektiivin 32 c artiklan kanssa, ja niillä on varmistettava, että valtiontukikehyksen keskeiset periaatteet vahvistetaan ensimmäisellä tasolla talletussuojadirektiivissä. Tämä voi tietenkin vaikuttaa laitosten suojajärjestelmien toimintaan niiden vapaaehtoisten ja lakisääteisten tehtävien osalta, minkä vuoksi on ehkä tutkittava keinoja järjestelmien erityispiirteiden huomioon ottamiseksi.</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274</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Luděk Niedermayer</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b artikla – 6 a kohta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6 a.</w:t>
            </w:r>
            <w:r w:rsidRPr="009E35B2">
              <w:rPr>
                <w:b/>
                <w:i/>
              </w:rPr>
              <w:tab/>
              <w:t>Toimivaltaisella viranomaisella on kaksi viikkoa aikaa hyväksyä rakenneuudistussuunnitelma. Jos toimivaltainen viranomainen pitää rakenneuudistussuunnitelmaa epätyydyttävänä, suunniteltua ennaltaehkäisevää toimenpidettä ei voida toteuttaa.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275</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Eero Heinäluoma</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c artikla – 1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1.</w:t>
            </w:r>
            <w:r w:rsidRPr="009E35B2">
              <w:tab/>
              <w:t xml:space="preserve">Jäsenvaltioiden on varmistettava, että jos luottolaitos ei täytä 11 b artiklan 1 kohdassa tarkoitetussa </w:t>
            </w:r>
            <w:r w:rsidRPr="009E35B2">
              <w:rPr>
                <w:b/>
                <w:i/>
              </w:rPr>
              <w:t xml:space="preserve">ilmoituksessa </w:t>
            </w:r>
            <w:r w:rsidRPr="009E35B2">
              <w:t>esitettyjä sitoumuksia tai ei maksa takaisin osana ennaltaehkäiseviä toimenpiteitä suoritettua määrää sen erääntyessä, talletusten vakuusjärjestelmä ilmoittaa asiasta viipymättä toimivaltaiselle viranomaiselle.</w:t>
            </w:r>
          </w:p>
        </w:tc>
        <w:tc>
          <w:tcPr>
            <w:tcW w:w="4876" w:type="dxa"/>
            <w:hideMark/>
          </w:tcPr>
          <w:p w:rsidR="00E61B38" w:rsidRPr="009E35B2" w:rsidRDefault="00E61B38" w:rsidP="0024275D">
            <w:pPr>
              <w:pStyle w:val="Normal6"/>
              <w:rPr>
                <w:szCs w:val="24"/>
              </w:rPr>
            </w:pPr>
            <w:r w:rsidRPr="009E35B2">
              <w:t>1.</w:t>
            </w:r>
            <w:r w:rsidRPr="009E35B2">
              <w:tab/>
              <w:t xml:space="preserve">Jäsenvaltioiden on varmistettava, että jos luottolaitos ei täytä 11 b artiklan 1 kohdassa tarkoitetussa </w:t>
            </w:r>
            <w:r w:rsidRPr="009E35B2">
              <w:rPr>
                <w:b/>
                <w:i/>
              </w:rPr>
              <w:t>rakenneuudistussuunnitelmassa</w:t>
            </w:r>
            <w:r w:rsidRPr="009E35B2">
              <w:t xml:space="preserve"> esitettyjä sitoumuksia tai ei maksa takaisin osana ennaltaehkäiseviä toimenpiteitä suoritettua määrää sen erääntyessä, talletusten vakuusjärjestelmä ilmoittaa asiasta viipymättä toimivaltaiselle viranomaiselle.</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276</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José Manuel García-Margallo y Marfil</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c artikla – 2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2.</w:t>
            </w:r>
            <w:r w:rsidRPr="009E35B2">
              <w:tab/>
              <w:t xml:space="preserve">Edellä 1 kohdassa tarkoitetussa tilanteessa jäsenvaltioiden on varmistettava, että </w:t>
            </w:r>
            <w:r w:rsidRPr="009E35B2">
              <w:rPr>
                <w:b/>
                <w:i/>
              </w:rPr>
              <w:t>toimivaltainen viranomainen pyytää luottolaitosta toimittamaan</w:t>
            </w:r>
            <w:r w:rsidRPr="009E35B2">
              <w:t xml:space="preserve"> korjaussuunnitelman, jossa kuvaillaan toimia, jotka luottolaitos toteuttaa valvontavaatimusten noudattamisen varmistamiseksi tai palauttamiseksi, pitkän aikavälin elinkelpoisuutensa varmistamiseksi ja talletusten vakuusjärjestelmän ennaltaehkäisevään toimenpiteeseen suorittaman määrän takaisinmaksamiseksi, sekä asiaan liittyvää aikataulua.</w:t>
            </w:r>
          </w:p>
        </w:tc>
        <w:tc>
          <w:tcPr>
            <w:tcW w:w="4876" w:type="dxa"/>
            <w:hideMark/>
          </w:tcPr>
          <w:p w:rsidR="00E61B38" w:rsidRPr="009E35B2" w:rsidRDefault="00E61B38" w:rsidP="0024275D">
            <w:pPr>
              <w:pStyle w:val="Normal6"/>
              <w:rPr>
                <w:szCs w:val="24"/>
              </w:rPr>
            </w:pPr>
            <w:r w:rsidRPr="009E35B2">
              <w:t>2.</w:t>
            </w:r>
            <w:r w:rsidRPr="009E35B2">
              <w:tab/>
              <w:t xml:space="preserve">Edellä 1 kohdassa tarkoitetussa tilanteessa jäsenvaltioiden on varmistettava, että </w:t>
            </w:r>
            <w:r w:rsidRPr="009E35B2">
              <w:rPr>
                <w:b/>
                <w:i/>
              </w:rPr>
              <w:t>luottolaitos toimittaa nimetylle viranomaiselle ja talletusten vakuusjärjestelmälle</w:t>
            </w:r>
            <w:r w:rsidRPr="009E35B2">
              <w:t xml:space="preserve"> korjaussuunnitelman, jossa kuvaillaan toimia, jotka luottolaitos toteuttaa valvontavaatimusten noudattamisen varmistamiseksi tai palauttamiseksi, pitkän aikavälin elinkelpoisuutensa varmistamiseksi ja talletusten vakuusjärjestelmän ennaltaehkäisevään toimenpiteeseen suorittaman määrän takaisinmaksamiseksi, sekä asiaan liittyvää aikataulua. </w:t>
            </w:r>
            <w:r w:rsidRPr="009E35B2">
              <w:rPr>
                <w:b/>
                <w:i/>
              </w:rPr>
              <w:t>Nimetyn viranomaisen ja talletusten vakuusjärjestelmän on kuultava toimivaltaista viranomaista luottolaitoksen toimittamassa korjaussuunnitelmassa suunnitelluista toimenpiteistä, joilla pyritään varmistamaan tai palauttamaan valvontavaatimusten noudattaminen.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277</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c artikla – 2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2.</w:t>
            </w:r>
            <w:r w:rsidRPr="009E35B2">
              <w:tab/>
              <w:t xml:space="preserve">Edellä 1 kohdassa tarkoitetussa tilanteessa </w:t>
            </w:r>
            <w:r w:rsidRPr="009E35B2">
              <w:rPr>
                <w:b/>
                <w:i/>
              </w:rPr>
              <w:t>jäsenvaltioiden on varmistettava, että</w:t>
            </w:r>
            <w:r w:rsidRPr="009E35B2">
              <w:t xml:space="preserve"> toimivaltainen viranomainen pyytää luottolaitosta toimittamaan korjaussuunnitelman, jossa kuvaillaan toimia, jotka luottolaitos toteuttaa valvontavaatimusten noudattamisen varmistamiseksi tai palauttamiseksi, pitkän aikavälin elinkelpoisuutensa varmistamiseksi ja talletusten vakuusjärjestelmän ennaltaehkäisevään toimenpiteeseen suorittaman määrän takaisinmaksamiseksi, sekä asiaan liittyvää aikataulua.</w:t>
            </w:r>
          </w:p>
        </w:tc>
        <w:tc>
          <w:tcPr>
            <w:tcW w:w="4876" w:type="dxa"/>
            <w:hideMark/>
          </w:tcPr>
          <w:p w:rsidR="00E61B38" w:rsidRPr="009E35B2" w:rsidRDefault="00E61B38" w:rsidP="0024275D">
            <w:pPr>
              <w:pStyle w:val="Normal6"/>
              <w:rPr>
                <w:szCs w:val="24"/>
              </w:rPr>
            </w:pPr>
            <w:r w:rsidRPr="009E35B2">
              <w:t>2.</w:t>
            </w:r>
            <w:r w:rsidRPr="009E35B2">
              <w:tab/>
              <w:t xml:space="preserve">Edellä 1 kohdassa tarkoitetussa tilanteessa toimivaltainen viranomainen pyytää luottolaitosta toimittamaan </w:t>
            </w:r>
            <w:r w:rsidRPr="009E35B2">
              <w:rPr>
                <w:b/>
                <w:i/>
              </w:rPr>
              <w:t>nimetylle viranomaiselle ja talletusten vakuusjärjestelmälle</w:t>
            </w:r>
            <w:r w:rsidRPr="009E35B2">
              <w:t xml:space="preserve"> korjaussuunnitelman, jossa kuvaillaan toimia, jotka luottolaitos toteuttaa valvontavaatimusten noudattamisen varmistamiseksi tai palauttamiseksi, pitkän aikavälin elinkelpoisuutensa varmistamiseksi ja talletusten vakuusjärjestelmän ennaltaehkäisevään toimenpiteeseen suorittaman määrän takaisinmaksamiseksi, sekä asiaan liittyvää aikataulua. </w:t>
            </w:r>
            <w:r w:rsidRPr="009E35B2">
              <w:rPr>
                <w:b/>
                <w:i/>
              </w:rPr>
              <w:t>Nimetyn viranomaisen ja talletusten vakuusjärjestelmän on kuultava toimivaltaista viranomaista korjaussuunnitelmassa suunnitelluista toimenpiteistä.</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278</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c artikla – 3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3.</w:t>
            </w:r>
            <w:r w:rsidRPr="009E35B2">
              <w:tab/>
              <w:t>Jos toimivaltainen viranomainen ei katso, että korjaussuunnitelma on uskottava tai toteuttamiskelpoinen, talletusten vakuusjärjestelmä ei saa myöntää uusia ennaltaehkäiseviä toimenpiteitä kyseiselle luottolaitokselle.</w:t>
            </w:r>
          </w:p>
        </w:tc>
        <w:tc>
          <w:tcPr>
            <w:tcW w:w="4876" w:type="dxa"/>
            <w:hideMark/>
          </w:tcPr>
          <w:p w:rsidR="00E61B38" w:rsidRPr="009E35B2" w:rsidRDefault="00E61B38" w:rsidP="0024275D">
            <w:pPr>
              <w:pStyle w:val="Normal6"/>
              <w:rPr>
                <w:szCs w:val="24"/>
              </w:rPr>
            </w:pPr>
            <w:r w:rsidRPr="009E35B2">
              <w:t>3.</w:t>
            </w:r>
            <w:r w:rsidRPr="009E35B2">
              <w:tab/>
              <w:t>Jos toimivaltainen viranomainen ei katso, että korjaussuunnitelma on uskottava tai toteuttamiskelpoinen</w:t>
            </w:r>
            <w:r w:rsidRPr="009E35B2">
              <w:rPr>
                <w:b/>
                <w:i/>
              </w:rPr>
              <w:t>, tai jos luottolaitokset eivät noudata 11 c artiklan 1 kohdassa tarkoitettua korjaussuunnitelmaa tai eivät maksa takaisin ennaltaehkäisevien toimenpiteiden nojalla maksettua määrää erääntymishetkellä,</w:t>
            </w:r>
            <w:r w:rsidRPr="009E35B2">
              <w:t xml:space="preserve"> talletusten vakuusjärjestelmä ei saa myöntää uusia ennaltaehkäiseviä toimenpiteitä kyseiselle luottolaitokselle</w:t>
            </w:r>
            <w:r w:rsidRPr="009E35B2">
              <w:rPr>
                <w:b/>
                <w:i/>
              </w:rPr>
              <w:t xml:space="preserve"> ja asianomaisten viranomaisten on direktiivin 2014/59/EU 32 artiklan mukaisesti arvioitava, onko laitos lähellä kaatumista tai onko sen kaatuminen todennäköistä</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279</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José Manuel García-Margallo y Marfil</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c artikla – 3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3.</w:t>
            </w:r>
            <w:r w:rsidRPr="009E35B2">
              <w:tab/>
              <w:t xml:space="preserve">Jos </w:t>
            </w:r>
            <w:r w:rsidRPr="009E35B2">
              <w:rPr>
                <w:b/>
                <w:i/>
              </w:rPr>
              <w:t>toimivaltainen</w:t>
            </w:r>
            <w:r w:rsidRPr="009E35B2">
              <w:t xml:space="preserve"> viranomainen ei katso, että korjaussuunnitelma on uskottava tai toteuttamiskelpoinen, talletusten vakuusjärjestelmä ei saa myöntää uusia ennaltaehkäiseviä toimenpiteitä kyseiselle luottolaitokselle.</w:t>
            </w:r>
          </w:p>
        </w:tc>
        <w:tc>
          <w:tcPr>
            <w:tcW w:w="4876" w:type="dxa"/>
            <w:hideMark/>
          </w:tcPr>
          <w:p w:rsidR="00E61B38" w:rsidRPr="009E35B2" w:rsidRDefault="00E61B38" w:rsidP="0024275D">
            <w:pPr>
              <w:pStyle w:val="Normal6"/>
              <w:rPr>
                <w:szCs w:val="24"/>
              </w:rPr>
            </w:pPr>
            <w:r w:rsidRPr="009E35B2">
              <w:t>3.</w:t>
            </w:r>
            <w:r w:rsidRPr="009E35B2">
              <w:tab/>
              <w:t xml:space="preserve">Jos </w:t>
            </w:r>
            <w:r w:rsidRPr="009E35B2">
              <w:rPr>
                <w:b/>
                <w:i/>
              </w:rPr>
              <w:t>nimetty</w:t>
            </w:r>
            <w:r w:rsidRPr="009E35B2">
              <w:t xml:space="preserve"> viranomainen ei katso, että korjaussuunnitelma on uskottava tai toteuttamiskelpoinen, talletusten vakuusjärjestelmä ei saa myöntää uusia ennaltaehkäiseviä toimenpiteitä kyseiselle luottolaitokselle.</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280</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c artikla – 3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3.</w:t>
            </w:r>
            <w:r w:rsidRPr="009E35B2">
              <w:tab/>
              <w:t xml:space="preserve">Jos toimivaltainen viranomainen ei katso, että korjaussuunnitelma on uskottava tai toteuttamiskelpoinen, </w:t>
            </w:r>
            <w:r w:rsidRPr="009E35B2">
              <w:rPr>
                <w:b/>
                <w:i/>
              </w:rPr>
              <w:t>talletusten vakuusjärjestelmä ei saa myöntää uusia ennaltaehkäiseviä toimenpiteitä kyseiselle luottolaitokselle</w:t>
            </w:r>
            <w:r w:rsidRPr="009E35B2">
              <w:t>.</w:t>
            </w:r>
          </w:p>
        </w:tc>
        <w:tc>
          <w:tcPr>
            <w:tcW w:w="4876" w:type="dxa"/>
            <w:hideMark/>
          </w:tcPr>
          <w:p w:rsidR="00E61B38" w:rsidRPr="009E35B2" w:rsidRDefault="00E61B38" w:rsidP="0024275D">
            <w:pPr>
              <w:pStyle w:val="Normal6"/>
              <w:rPr>
                <w:szCs w:val="24"/>
              </w:rPr>
            </w:pPr>
            <w:r w:rsidRPr="009E35B2">
              <w:t>3.</w:t>
            </w:r>
            <w:r w:rsidRPr="009E35B2">
              <w:tab/>
              <w:t xml:space="preserve">Jos toimivaltainen viranomainen ei katso, että korjaussuunnitelma on uskottava tai toteuttamiskelpoinen, </w:t>
            </w:r>
            <w:r w:rsidRPr="009E35B2">
              <w:rPr>
                <w:b/>
                <w:i/>
              </w:rPr>
              <w:t>laitoksen katsotaan olevan lähellä kaatumista tai kaatuminen on todennäköistä</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Jos korjaussuunnitelma ei toimi, on tehtävä arviointi laitoksen kaatumisen todennäköisyydestä. Myös EPV:n ohjeet olisi hyväksyttävä aikaisemmin.</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281</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Eero Heinäluoma</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c artikla – 4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4.</w:t>
            </w:r>
            <w:r w:rsidRPr="009E35B2">
              <w:tab/>
              <w:t xml:space="preserve">EPV laatii viimeistään [julkaisutoimisto: lisätään päivämäärä, joka on </w:t>
            </w:r>
            <w:r w:rsidRPr="009E35B2">
              <w:rPr>
                <w:b/>
                <w:i/>
              </w:rPr>
              <w:t>42</w:t>
            </w:r>
            <w:r w:rsidRPr="009E35B2">
              <w:t xml:space="preserve"> kuukautta tämän direktiivin voimaantulopäivästä] ohjeita, joissa määritetään 11 b artiklan 1 kohdassa tarkoitettua ennaltaehkäiseviin toimenpiteisiin liitettävää </w:t>
            </w:r>
            <w:r w:rsidRPr="009E35B2">
              <w:rPr>
                <w:b/>
                <w:i/>
              </w:rPr>
              <w:t xml:space="preserve">ilmoitusta </w:t>
            </w:r>
            <w:r w:rsidRPr="009E35B2">
              <w:t>ja tämän artiklan 1 kohdassa tarkoitettua korjaussuunnitelmaa koskevat osatekijät.</w:t>
            </w:r>
          </w:p>
        </w:tc>
        <w:tc>
          <w:tcPr>
            <w:tcW w:w="4876" w:type="dxa"/>
            <w:hideMark/>
          </w:tcPr>
          <w:p w:rsidR="00E61B38" w:rsidRPr="009E35B2" w:rsidRDefault="00E61B38" w:rsidP="0024275D">
            <w:pPr>
              <w:pStyle w:val="Normal6"/>
              <w:rPr>
                <w:szCs w:val="24"/>
              </w:rPr>
            </w:pPr>
            <w:r w:rsidRPr="009E35B2">
              <w:t>4.</w:t>
            </w:r>
            <w:r w:rsidRPr="009E35B2">
              <w:tab/>
              <w:t xml:space="preserve">EPV laatii viimeistään [julkaisutoimisto: lisätään päivämäärä, joka on </w:t>
            </w:r>
            <w:r w:rsidRPr="009E35B2">
              <w:rPr>
                <w:b/>
                <w:i/>
              </w:rPr>
              <w:t>24</w:t>
            </w:r>
            <w:r w:rsidRPr="009E35B2">
              <w:t xml:space="preserve"> kuukautta tämän direktiivin voimaantulopäivästä] ohjeita, joissa määritetään 11 b artiklan 1 kohdassa tarkoitettua ennaltaehkäiseviin toimenpiteisiin liitettävää </w:t>
            </w:r>
            <w:r w:rsidRPr="009E35B2">
              <w:rPr>
                <w:b/>
                <w:i/>
              </w:rPr>
              <w:t>rakenneuudistussuunnitelmaa</w:t>
            </w:r>
            <w:r w:rsidRPr="009E35B2">
              <w:t xml:space="preserve"> ja tämän artiklan 1 kohdassa tarkoitettua korjaussuunnitelmaa koskevat osatekijät.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282</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c artikla – 4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4.</w:t>
            </w:r>
            <w:r w:rsidRPr="009E35B2">
              <w:tab/>
              <w:t xml:space="preserve">EPV laatii viimeistään [julkaisutoimisto: lisätään päivämäärä, joka on </w:t>
            </w:r>
            <w:r w:rsidRPr="009E35B2">
              <w:rPr>
                <w:b/>
                <w:i/>
              </w:rPr>
              <w:t>42</w:t>
            </w:r>
            <w:r w:rsidRPr="009E35B2">
              <w:t> kuukautta tämän direktiivin voimaantulopäivästä] ohjeita, joissa määritetään 11 b artiklan 1 kohdassa tarkoitettua ennaltaehkäiseviin toimenpiteisiin liitettävää ilmoitusta ja tämän artiklan 1 kohdassa tarkoitettua korjaussuunnitelmaa koskevat osatekijät.</w:t>
            </w:r>
          </w:p>
        </w:tc>
        <w:tc>
          <w:tcPr>
            <w:tcW w:w="4876" w:type="dxa"/>
            <w:hideMark/>
          </w:tcPr>
          <w:p w:rsidR="00E61B38" w:rsidRPr="009E35B2" w:rsidRDefault="00E61B38" w:rsidP="0024275D">
            <w:pPr>
              <w:pStyle w:val="Normal6"/>
              <w:rPr>
                <w:szCs w:val="24"/>
              </w:rPr>
            </w:pPr>
            <w:r w:rsidRPr="009E35B2">
              <w:t>4.</w:t>
            </w:r>
            <w:r w:rsidRPr="009E35B2">
              <w:tab/>
              <w:t xml:space="preserve">EPV laatii viimeistään [julkaisutoimisto: lisätään päivämäärä, joka on </w:t>
            </w:r>
            <w:r w:rsidRPr="009E35B2">
              <w:rPr>
                <w:b/>
                <w:i/>
              </w:rPr>
              <w:t>24</w:t>
            </w:r>
            <w:r w:rsidRPr="009E35B2">
              <w:t> kuukautta tämän direktiivin voimaantulopäivästä] ohjeita, joissa määritetään 11 b artiklan 1 kohdassa tarkoitettua ennaltaehkäiseviin toimenpiteisiin liitettävää ilmoitusta ja tämän artiklan 1 kohdassa tarkoitettua korjaussuunnitelmaa koskevat osatekijät.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Jos korjaussuunnitelma ei toimi, on tehtävä arviointi laitoksen kaatumisen todennäköisyydestä. Myös EPV:n ohjeet olisi hyväksyttävä aikaisemmin.</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283</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c artikla – 4 a kohta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4 a.</w:t>
            </w:r>
            <w:r w:rsidRPr="009E35B2">
              <w:rPr>
                <w:b/>
                <w:i/>
              </w:rPr>
              <w:tab/>
              <w:t>Jäsenvaltioiden on varmistettava, että tämän artiklan 1–4 kohdasta poiketen tämän direktiivin 1 artiklan 2 kohdan c alakohdassa tarkoitettuihin laitosten suojajärjestelmän jäsenlaitoksiin sovelletaan seuraavaa: Jos luottolaitos ei täytä 11 b artiklan 7 kohdassa tarkoitetussa rakenneuudistuksen käsitteessä määriteltyjä sitoumuksia, laitosten suojajärjestelmän on vaadittava laitosta tarkistamaan käsitettä, jossa kuvataan toimenpiteet, jotka luottolaitoksen on toteutettava varmistaakseen valvontavaatimusten noudattamisen tai palauttaakseen sen pitkän aikavälin elinkelpoisuuden. Laitosten suojajärjestelmä ilmoittaa tästä viipymättä toimivaltaiselle viranomaiselle.</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A comprehensive, institution-specific restructuring concept, including a detailed status-quo analysis and a business plan, is in any case already regularly a mandatory part of the contract on support measures between the institution and the IPS. However, preparation requires some time until final acceptance by the IPS, in order to show valid results and thus the way to restore the bank's basic profitability. This concept with an underlying and reliable business plan is also subject to close implementation control by the IPS, including all necessary countermeasures in the event of significant deviations.</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284</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Marco Zanni, Valentino Grant, Antonio Maria Rinaldi</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d artikla – 1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1.</w:t>
            </w:r>
            <w:r w:rsidRPr="009E35B2">
              <w:tab/>
            </w:r>
            <w:r w:rsidRPr="009E35B2">
              <w:rPr>
                <w:b/>
                <w:i/>
              </w:rPr>
              <w:t>Jos jäsenvaltiot sallivat</w:t>
            </w:r>
            <w:r w:rsidRPr="009E35B2">
              <w:t xml:space="preserve"> talletusten vakuusjärjestelmän varojen </w:t>
            </w:r>
            <w:r w:rsidRPr="009E35B2">
              <w:rPr>
                <w:b/>
                <w:i/>
              </w:rPr>
              <w:t>käytön 11 artiklan 5 kohdassa tarkoitettuihin vaihtoehtoisiin toimenpiteisiin, jäsenvaltioiden on varmistettava, että kun talletusten vakuusjärjestelmät rahoittavat tällaisia toimenpiteitä, luottolaitokset markkinoivat sellaisia varoja, oikeuksia ja velkoja, jotka luottolaitokset aikovat siirtää, tai tekevät järjestelyjä tällaista markkinointia varten</w:t>
            </w:r>
            <w:r w:rsidRPr="009E35B2">
              <w:t>. Rajoittamatta unionin valtiontukikehyksen soveltamista tällaisen markkinoinnin on noudatettava kaikkia seuraavia:</w:t>
            </w:r>
          </w:p>
        </w:tc>
        <w:tc>
          <w:tcPr>
            <w:tcW w:w="4876" w:type="dxa"/>
            <w:hideMark/>
          </w:tcPr>
          <w:p w:rsidR="00E61B38" w:rsidRPr="009E35B2" w:rsidRDefault="00E61B38" w:rsidP="0024275D">
            <w:pPr>
              <w:pStyle w:val="Normal6"/>
              <w:rPr>
                <w:szCs w:val="24"/>
              </w:rPr>
            </w:pPr>
            <w:r w:rsidRPr="009E35B2">
              <w:t>1.</w:t>
            </w:r>
            <w:r w:rsidRPr="009E35B2">
              <w:tab/>
            </w:r>
            <w:r w:rsidRPr="009E35B2">
              <w:rPr>
                <w:b/>
                <w:i/>
              </w:rPr>
              <w:t xml:space="preserve">Jäsenvaltioiden on mahdollistettava </w:t>
            </w:r>
            <w:r w:rsidRPr="009E35B2">
              <w:t xml:space="preserve">talletusten vakuusjärjestelmän varojen </w:t>
            </w:r>
            <w:r w:rsidRPr="009E35B2">
              <w:rPr>
                <w:b/>
                <w:i/>
              </w:rPr>
              <w:t>käyttö 11 artiklan 5 kohdassa tarkoitettuihin vaihtoehtoisiin toimenpiteisiin. Jäsenvaltioiden on varmistettava, että kun talletussuojajärjestelmät rahoittavat tällaisia toimenpiteitä, markkinointi tai markkinointijärjestelyt olisi toteutettava ottaen huomioon ne varat, oikeudet ja velat, jotka luottolaitokset aikovat siirtää</w:t>
            </w:r>
            <w:r w:rsidRPr="009E35B2">
              <w:t>. Rajoittamatta unionin valtiontukikehyksen soveltamista tällaisen markkinoinnin on noudatettava kaikkia seuraavia: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285</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d artikla – 1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1.</w:t>
            </w:r>
            <w:r w:rsidRPr="009E35B2">
              <w:tab/>
            </w:r>
            <w:r w:rsidRPr="009E35B2">
              <w:rPr>
                <w:b/>
                <w:i/>
              </w:rPr>
              <w:t xml:space="preserve">Jos </w:t>
            </w:r>
            <w:r w:rsidRPr="009E35B2">
              <w:t>jäsenvaltiot sallivat talletusten vakuusjärjestelmän varojen käytön 11 artiklan 5 kohdassa tarkoitettuihin vaihtoehtoisiin toimenpiteisiin</w:t>
            </w:r>
            <w:r w:rsidRPr="009E35B2">
              <w:rPr>
                <w:b/>
                <w:i/>
              </w:rPr>
              <w:t>, jäsenvaltioiden on varmistettava,</w:t>
            </w:r>
            <w:r w:rsidRPr="009E35B2">
              <w:t xml:space="preserve"> että kun talletusten vakuusjärjestelmät rahoittavat tällaisia toimenpiteitä, luottolaitokset markkinoivat sellaisia varoja, oikeuksia ja velkoja, jotka luottolaitokset aikovat siirtää, tai tekevät järjestelyjä tällaista markkinointia varten. Rajoittamatta unionin valtiontukikehyksen soveltamista tällaisen markkinoinnin on noudatettava kaikkia seuraavia:</w:t>
            </w:r>
          </w:p>
        </w:tc>
        <w:tc>
          <w:tcPr>
            <w:tcW w:w="4876" w:type="dxa"/>
            <w:hideMark/>
          </w:tcPr>
          <w:p w:rsidR="00E61B38" w:rsidRPr="009E35B2" w:rsidRDefault="00E61B38" w:rsidP="0024275D">
            <w:pPr>
              <w:pStyle w:val="Normal6"/>
              <w:rPr>
                <w:szCs w:val="24"/>
              </w:rPr>
            </w:pPr>
            <w:r w:rsidRPr="009E35B2">
              <w:t>1.</w:t>
            </w:r>
            <w:r w:rsidRPr="009E35B2">
              <w:tab/>
              <w:t xml:space="preserve">Jäsenvaltiot sallivat talletusten vakuusjärjestelmän varojen käytön 11 artiklan 5 kohdassa tarkoitettuihin vaihtoehtoisiin toimenpiteisiin </w:t>
            </w:r>
            <w:r w:rsidRPr="009E35B2">
              <w:rPr>
                <w:b/>
                <w:i/>
              </w:rPr>
              <w:t>varmistaen</w:t>
            </w:r>
            <w:r w:rsidRPr="009E35B2">
              <w:t>, että kun talletusten vakuusjärjestelmät rahoittavat tällaisia toimenpiteitä, luottolaitokset markkinoivat sellaisia varoja, oikeuksia ja velkoja, jotka luottolaitokset aikovat siirtää, tai tekevät järjestelyjä tällaista markkinointia varten. Rajoittamatta unionin valtiontukikehyksen soveltamista tällaisen markkinoinnin on noudatettava kaikkia seuraavia: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286</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d a artikla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1 a.</w:t>
            </w:r>
            <w:r w:rsidRPr="009E35B2">
              <w:rPr>
                <w:b/>
                <w:i/>
              </w:rPr>
              <w:tab/>
              <w:t>”11 d a artikla</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Salkunsiirroille vaihtoehtoisissa toimenpiteissä myönnetty tuki</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1. Jäsenvaltioiden on varmistettava, että jos talletusten vakuusjärjestelmää käytetään luottolaitoksen osalta 11 artiklan 5 kohdan mukaisesti ja edellyttäen, että tällaisella toimella varmistetaan, että luonnollisilla henkilöillä ja mikroyrityksillä sekä pienillä ja keskisuurilla yrityksillä on edelleen pääsy talletuksiinsa, jotta niille ei aiheudu tappioita, talletusten vakuusjärjestelmän, johon kyseinen luottolaitos kuuluu, on maksettava seuraavat määrät:</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i) määrä, joka on tarpeen kattamaan suojattujen talletusten ja niiden velkojen, joilla on sama tai parempi etuoikeusasema, arvon ja vastaanottajalle siirrettävien kriisinratkaisun kohteena olevan laitoksen varojen arvon välinen erotus; ja</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ii) tarvittaessa määrä, joka on tarpeen vastaanottajan pääomaneutraaliuden varmistamiseksi siirron jälkeen.</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2. Jäsenvaltioiden on varmistettava, että 11 artiklan 5 kohdan mukaisesti käytettävissä olevat varat eivät ylitä 25 prosenttia talletusten vakuusjärjestelmän tavoitetasosta 10 artiklan mukaisesti.</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Jos talletusten vakuusjärjestelmästä tarvittava määrä on yli 25 prosenttia järjestelmän tavoitetasosta, siihen liittyvien luottolaitosten on välittömästi toimitettava talletusten vakuusjärjestelmälle tarvittavat varat jäljellä olevan osan rahoittamiseksi, tarvittaessa ylimääräisinä maksuina.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Talletusten vakuusjärjestelmän kyky tukea siirtostrategioita ei saa olla maksukyvyttömyydessä suurempi kuin kriisinratkaisussa sen varojen säilyttämistä koskevan kriisinratkaisutavoitteen mukaisesti, jota sovelletaan sekä kriisinratkaisussa että maksukyvyttömyydessä.</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287</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Esther de Lange</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e artikla – 1 kohta – a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a)</w:t>
            </w:r>
            <w:r w:rsidRPr="009E35B2">
              <w:tab/>
              <w:t>arvioidut kustannukset, jotka aiheutuvat talletusten vakuusjärjestelmälle 11 artiklan 2, 3 tai 5 kohdassa tarkoitettujen toimenpiteiden rahoittamisesta;</w:t>
            </w:r>
          </w:p>
        </w:tc>
        <w:tc>
          <w:tcPr>
            <w:tcW w:w="4876" w:type="dxa"/>
            <w:hideMark/>
          </w:tcPr>
          <w:p w:rsidR="00E61B38" w:rsidRPr="009E35B2" w:rsidRDefault="00E61B38" w:rsidP="0024275D">
            <w:pPr>
              <w:pStyle w:val="Normal6"/>
              <w:rPr>
                <w:szCs w:val="24"/>
              </w:rPr>
            </w:pPr>
            <w:r w:rsidRPr="009E35B2">
              <w:t>a)</w:t>
            </w:r>
            <w:r w:rsidRPr="009E35B2">
              <w:tab/>
              <w:t xml:space="preserve">arvioidut </w:t>
            </w:r>
            <w:r w:rsidRPr="009E35B2">
              <w:rPr>
                <w:b/>
                <w:i/>
              </w:rPr>
              <w:t>suorat</w:t>
            </w:r>
            <w:r w:rsidRPr="009E35B2">
              <w:t xml:space="preserve"> kustannukset, jotka aiheutuvat talletusten vakuusjärjestelmälle 11 artiklan 2, 3 tai 5 kohdassa tarkoitettujen toimenpiteiden rahoittamisesta;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288</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Esther de Lange</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e artikla – 1 kohta – b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b)</w:t>
            </w:r>
            <w:r w:rsidRPr="009E35B2">
              <w:tab/>
              <w:t>arvioidut kustannukset, jotka aiheutuvat 8 artiklan 1 kohdan mukaisesta tallettajille korvaamisesta.</w:t>
            </w:r>
          </w:p>
        </w:tc>
        <w:tc>
          <w:tcPr>
            <w:tcW w:w="4876" w:type="dxa"/>
            <w:hideMark/>
          </w:tcPr>
          <w:p w:rsidR="00E61B38" w:rsidRPr="009E35B2" w:rsidRDefault="00E61B38" w:rsidP="0024275D">
            <w:pPr>
              <w:pStyle w:val="Normal6"/>
              <w:rPr>
                <w:szCs w:val="24"/>
              </w:rPr>
            </w:pPr>
            <w:r w:rsidRPr="009E35B2">
              <w:t>b)</w:t>
            </w:r>
            <w:r w:rsidRPr="009E35B2">
              <w:tab/>
              <w:t xml:space="preserve">arvioidut </w:t>
            </w:r>
            <w:r w:rsidRPr="009E35B2">
              <w:rPr>
                <w:b/>
                <w:i/>
              </w:rPr>
              <w:t>suorat</w:t>
            </w:r>
            <w:r w:rsidRPr="009E35B2">
              <w:t xml:space="preserve"> kustannukset, jotka aiheutuvat 8 artiklan 1 kohdan mukaisesta tallettajille korvaamisesta.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289</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e artikla – 2 kohta – a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a)</w:t>
            </w:r>
            <w:r w:rsidRPr="009E35B2">
              <w:tab/>
            </w:r>
            <w:r w:rsidRPr="009E35B2">
              <w:rPr>
                <w:b/>
                <w:i/>
              </w:rPr>
              <w:t xml:space="preserve">talletusten vakuusjärjestelmän on </w:t>
            </w:r>
            <w:r w:rsidRPr="009E35B2">
              <w:t xml:space="preserve">1 kohdan a alakohdassa </w:t>
            </w:r>
            <w:r w:rsidRPr="009E35B2">
              <w:rPr>
                <w:b/>
                <w:i/>
              </w:rPr>
              <w:t>tarkoitettujen kustannusten arvioinnissa otettava huomioon toimenpiteeseen liittyvät odotetut tuotot, toimintamenot ja mahdolliset tappiot;</w:t>
            </w:r>
          </w:p>
        </w:tc>
        <w:tc>
          <w:tcPr>
            <w:tcW w:w="4876" w:type="dxa"/>
            <w:hideMark/>
          </w:tcPr>
          <w:p w:rsidR="00E61B38" w:rsidRPr="009E35B2" w:rsidRDefault="00E61B38" w:rsidP="0024275D">
            <w:pPr>
              <w:pStyle w:val="Normal6"/>
              <w:rPr>
                <w:szCs w:val="24"/>
              </w:rPr>
            </w:pPr>
            <w:r w:rsidRPr="009E35B2">
              <w:t>a)</w:t>
            </w:r>
            <w:r w:rsidRPr="009E35B2">
              <w:tab/>
            </w:r>
            <w:r w:rsidRPr="009E35B2">
              <w:rPr>
                <w:b/>
                <w:i/>
              </w:rPr>
              <w:t xml:space="preserve">edellä </w:t>
            </w:r>
            <w:r w:rsidRPr="009E35B2">
              <w:t xml:space="preserve">1 kohdan a alakohdassa </w:t>
            </w:r>
            <w:r w:rsidRPr="009E35B2">
              <w:rPr>
                <w:b/>
                <w:i/>
              </w:rPr>
              <w:t>tarkoitetut kustannukset arvioidaan seuraavien kustannusten erotukseksi:</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i) talletusten vakuusjärjestelmän toimenpiteen rahoittamiseksi maksamien määrien summa, 10 artiklan 8 kohdan mukaisten jälkikäteen suoritettavien maksujen perimisestä aiheutuvat hallinnolliset kustannukset, jos tällaiset maksut ovat tarpeen toimenpiteen rahoittamiseksi, ja 10 artiklan 9 kohdan mukaisten vaihtoehtoisten rahoitusjärjestelyjen käyttöönotosta aiheutuvat kustannukset, jos nämä järjestelyt otetaan käyttöön; ja</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ii)</w:t>
            </w:r>
            <w:r w:rsidRPr="009E35B2">
              <w:t xml:space="preserve"> </w:t>
            </w:r>
            <w:r w:rsidRPr="009E35B2">
              <w:rPr>
                <w:b/>
                <w:i/>
              </w:rPr>
              <w:t>talletussuojajärjestelmän saatavan odotetut maksut 9 artiklan 2 kohdan mukaisesti.</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Pienimmän kustannuksen testi tulisi määritellä ensimmäisen tason tekstissä mahdollisimman pitkälle.</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290</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Marco Zanni, Valentino Grant, Antonio Maria Rinaldi</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e artikla – 2 kohta – b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rPr>
                <w:b/>
                <w:i/>
              </w:rPr>
              <w:t>b)</w:t>
            </w:r>
            <w:r w:rsidRPr="009E35B2">
              <w:rPr>
                <w:b/>
                <w:i/>
              </w:rPr>
              <w:tab/>
              <w:t>talletusten vakuusjärjestelmän on 11 artiklan 2 ja 5 kohdassa tarkoitettujen toimenpiteiden osalta perustettava arvionsa 1 kohdan b alakohdassa tarkoitetuista tallettajille korvaamisesta aiheutuvista kustannuksista direktiivin 2014/59/EU 36 artiklan 1 kohdassa tarkoitettuun luottolaitoksen varojen ja velkojen arvostukseen ja kyseisen direktiivin 36 artiklan 8 kohdassa tarkoitettuun arvioon;</w:t>
            </w:r>
          </w:p>
        </w:tc>
        <w:tc>
          <w:tcPr>
            <w:tcW w:w="4876" w:type="dxa"/>
            <w:hideMark/>
          </w:tcPr>
          <w:p w:rsidR="00E61B38" w:rsidRPr="009E35B2" w:rsidRDefault="00E61B38" w:rsidP="0024275D">
            <w:pPr>
              <w:pStyle w:val="Normal6"/>
              <w:rPr>
                <w:szCs w:val="24"/>
              </w:rPr>
            </w:pPr>
            <w:r w:rsidRPr="009E35B2">
              <w:rPr>
                <w:b/>
                <w:i/>
              </w:rPr>
              <w:t>Poistetaan.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291</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e artikla – 2 kohta – c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c)</w:t>
            </w:r>
            <w:r w:rsidRPr="009E35B2">
              <w:tab/>
            </w:r>
            <w:r w:rsidRPr="009E35B2">
              <w:rPr>
                <w:b/>
                <w:i/>
              </w:rPr>
              <w:t>talletusten vakuusjärjestelmän on 11 artiklan 2, 3 ja 5 kohdassa tarkoitettujen toimenpiteiden osalta arvioidessaan</w:t>
            </w:r>
            <w:r w:rsidRPr="009E35B2">
              <w:t xml:space="preserve"> 1 kohdan b alakohdassa </w:t>
            </w:r>
            <w:r w:rsidRPr="009E35B2">
              <w:rPr>
                <w:b/>
                <w:i/>
              </w:rPr>
              <w:t>tarkoitettuja tallettajille korvaamisesta aiheutuvia kustannuksia otettava huomioon odotettu perittyjen saatavien osuus, talletusten vakuusjärjestelmän varojen täydentämisen kustannukset, jotka aiheutuvat järjestelmään kuuluville luottolaitoksille, ja talletusten vakuusjärjestelmälle aiheutuvat mahdolliset ylimääräiset rahoituskulut;</w:t>
            </w:r>
          </w:p>
        </w:tc>
        <w:tc>
          <w:tcPr>
            <w:tcW w:w="4876" w:type="dxa"/>
            <w:hideMark/>
          </w:tcPr>
          <w:p w:rsidR="00E61B38" w:rsidRPr="009E35B2" w:rsidRDefault="00E61B38" w:rsidP="0024275D">
            <w:pPr>
              <w:pStyle w:val="Normal6"/>
              <w:rPr>
                <w:szCs w:val="24"/>
              </w:rPr>
            </w:pPr>
            <w:r w:rsidRPr="009E35B2">
              <w:t>c)</w:t>
            </w:r>
            <w:r w:rsidRPr="009E35B2">
              <w:tab/>
            </w:r>
            <w:r w:rsidRPr="009E35B2">
              <w:rPr>
                <w:b/>
                <w:i/>
              </w:rPr>
              <w:t xml:space="preserve">edellä </w:t>
            </w:r>
            <w:r w:rsidRPr="009E35B2">
              <w:t xml:space="preserve">1 kohdan a alakohdassa </w:t>
            </w:r>
            <w:r w:rsidRPr="009E35B2">
              <w:rPr>
                <w:b/>
                <w:i/>
              </w:rPr>
              <w:t>tarkoitetut tallettajille korvaamisesta aiheutuvat kustannukset arvioidaan seuraavien kustannusten erotuksena:</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i) tallettajille maksettavan arvioidun määrän summa, takaisinmaksuprosessiin liittyvät hallinnolliset kustannukset, joita ei kateta vuotuisilla kannatusmaksuilla, 10 artiklan 8 kohdan mukaisten jälkikäteen suoritettavien kannatusmaksujen perimisestä aiheutuvat hallinnolliset kustannukset, jos tällaisia maksuja tarvitaan tallettajille takaisinmaksuun, ja 10 artiklan 9 kohdan mukaisten vaihtoehtoisten rahoitusjärjestelyjen käyttöönotosta aiheutuvat kustannukset, jos tällaiset järjestelyt otetaan käyttöön; ja</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ii)</w:t>
            </w:r>
            <w:r w:rsidRPr="009E35B2">
              <w:t xml:space="preserve"> </w:t>
            </w:r>
            <w:r w:rsidRPr="009E35B2">
              <w:rPr>
                <w:b/>
                <w:i/>
              </w:rPr>
              <w:t>talletussuojajärjestelmän saatavan odotetut maksut 9 artiklan 2 kohdan mukaisesti. Saatavan takaisinperintäaste ei saa olla alle 50 prosenttia.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Pienimmän kustannuksen testi tulisi määritellä ensimmäisen tason tekstissä mahdollisimman pitkälle.</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292</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Marco Zanni, Valentino Grant, Antonio Maria Rinaldi</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e artikla – 2 kohta – c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c)</w:t>
            </w:r>
            <w:r w:rsidRPr="009E35B2">
              <w:tab/>
              <w:t>talletusten vakuusjärjestelmän on 11 artiklan 2, 3 ja 5 kohdassa tarkoitettujen toimenpiteiden osalta arvioidessaan 1 kohdan b alakohdassa tarkoitettuja tallettajille korvaamisesta aiheutuvia kustannuksia otettava huomioon odotettu perittyjen saatavien osuus</w:t>
            </w:r>
            <w:r w:rsidRPr="009E35B2">
              <w:rPr>
                <w:b/>
                <w:i/>
              </w:rPr>
              <w:t>,</w:t>
            </w:r>
            <w:r w:rsidRPr="009E35B2">
              <w:t xml:space="preserve"> talletusten vakuusjärjestelmän varojen täydentämisen kustannukset, jotka aiheutuvat järjestelmään kuuluville luottolaitoksille, ja talletusten vakuusjärjestelmälle aiheutuvat mahdolliset ylimääräiset rahoituskulut;</w:t>
            </w:r>
          </w:p>
        </w:tc>
        <w:tc>
          <w:tcPr>
            <w:tcW w:w="4876" w:type="dxa"/>
            <w:hideMark/>
          </w:tcPr>
          <w:p w:rsidR="00E61B38" w:rsidRPr="009E35B2" w:rsidRDefault="00E61B38" w:rsidP="0024275D">
            <w:pPr>
              <w:pStyle w:val="Normal6"/>
              <w:rPr>
                <w:szCs w:val="24"/>
              </w:rPr>
            </w:pPr>
            <w:r w:rsidRPr="009E35B2">
              <w:t>c)</w:t>
            </w:r>
            <w:r w:rsidRPr="009E35B2">
              <w:tab/>
              <w:t xml:space="preserve">talletusten vakuusjärjestelmän on 11 artiklan 2, 3 ja 5 kohdassa tarkoitettujen toimenpiteiden osalta arvioidessaan 1 kohdan b alakohdassa tarkoitettuja tallettajille korvaamisesta aiheutuvia kustannuksia otettava huomioon odotettu perittyjen saatavien osuus </w:t>
            </w:r>
            <w:r w:rsidRPr="009E35B2">
              <w:rPr>
                <w:b/>
                <w:i/>
              </w:rPr>
              <w:t xml:space="preserve">ja mahdolliset välilliset kustannukset, mukaan lukien </w:t>
            </w:r>
            <w:r w:rsidRPr="009E35B2">
              <w:t xml:space="preserve">talletusten vakuusjärjestelmän varojen täydentämisen kustannukset, jotka aiheutuvat järjestelmään kuuluville luottolaitoksille, ja talletusten vakuusjärjestelmälle </w:t>
            </w:r>
            <w:r w:rsidRPr="009E35B2">
              <w:rPr>
                <w:b/>
                <w:i/>
              </w:rPr>
              <w:t>ja pankkijärjestelmälle</w:t>
            </w:r>
            <w:r w:rsidRPr="009E35B2">
              <w:t xml:space="preserve"> aiheutuvat mahdolliset ylimääräiset rahoituskulut </w:t>
            </w:r>
            <w:r w:rsidRPr="009E35B2">
              <w:rPr>
                <w:b/>
                <w:i/>
              </w:rPr>
              <w:t>sekä vaikutukset heikompiin pankkeihin</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293</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e artikla – 2 kohta – d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rPr>
                <w:b/>
                <w:i/>
              </w:rPr>
              <w:t>d)</w:t>
            </w:r>
            <w:r w:rsidRPr="009E35B2">
              <w:rPr>
                <w:b/>
                <w:i/>
              </w:rPr>
              <w:tab/>
              <w:t>talletusten vakuusjärjestelmän on 11 artiklan 3 kohdassa tarkoitettujen toimenpiteiden osalta arvioidessaan tallettajille korvaamisesta aiheutuvia kustannuksia kerrottava 5 kohdan b alakohdassa tarkoitettujen menetelmien mukaisesti laskettu perittyjen saatavien osuus 85 prosentilla.</w:t>
            </w:r>
          </w:p>
        </w:tc>
        <w:tc>
          <w:tcPr>
            <w:tcW w:w="4876" w:type="dxa"/>
            <w:hideMark/>
          </w:tcPr>
          <w:p w:rsidR="00E61B38" w:rsidRPr="009E35B2" w:rsidRDefault="00E61B38" w:rsidP="0024275D">
            <w:pPr>
              <w:pStyle w:val="Normal6"/>
              <w:rPr>
                <w:szCs w:val="24"/>
              </w:rPr>
            </w:pPr>
            <w:r w:rsidRPr="009E35B2">
              <w:rPr>
                <w:b/>
                <w:i/>
              </w:rPr>
              <w:t>Poistetaan.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Pienimmän kustannuksen testi tulisi määritellä ensimmäisen tason tekstissä mahdollisimman pitkälle.</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294</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Marco Zanni, Valentino Grant, Antonio Maria Rinaldi</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e artikla – 2 kohta – d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d)</w:t>
            </w:r>
            <w:r w:rsidRPr="009E35B2">
              <w:tab/>
              <w:t>talletusten vakuusjärjestelmän on 11 artiklan 3 kohdassa tarkoitettujen toimenpiteiden osalta arvioidessaan tallettajille korvaamisesta aiheutuvia kustannuksia kerrottava 5 kohdan b alakohdassa tarkoitettujen menetelmien mukaisesti laskettu perittyjen saatavien osuus 85 prosentilla.</w:t>
            </w:r>
          </w:p>
        </w:tc>
        <w:tc>
          <w:tcPr>
            <w:tcW w:w="4876" w:type="dxa"/>
            <w:hideMark/>
          </w:tcPr>
          <w:p w:rsidR="00E61B38" w:rsidRPr="009E35B2" w:rsidRDefault="00E61B38" w:rsidP="0024275D">
            <w:pPr>
              <w:pStyle w:val="Normal6"/>
              <w:rPr>
                <w:szCs w:val="24"/>
              </w:rPr>
            </w:pPr>
            <w:r w:rsidRPr="009E35B2">
              <w:t>d)</w:t>
            </w:r>
            <w:r w:rsidRPr="009E35B2">
              <w:tab/>
              <w:t xml:space="preserve">talletusten vakuusjärjestelmän on 11 artiklan </w:t>
            </w:r>
            <w:r w:rsidRPr="009E35B2">
              <w:rPr>
                <w:b/>
                <w:i/>
              </w:rPr>
              <w:t>2,</w:t>
            </w:r>
            <w:r w:rsidRPr="009E35B2">
              <w:t xml:space="preserve"> 3 </w:t>
            </w:r>
            <w:r w:rsidRPr="009E35B2">
              <w:rPr>
                <w:b/>
                <w:i/>
              </w:rPr>
              <w:t>ja 5</w:t>
            </w:r>
            <w:r w:rsidRPr="009E35B2">
              <w:t xml:space="preserve"> kohdassa tarkoitettujen toimenpiteiden osalta arvioidessaan tallettajille korvaamisesta aiheutuvia kustannuksia kerrottava 5 kohdan b alakohdassa tarkoitettujen menetelmien mukaisesti laskettu perittyjen saatavien osuus 85 prosentilla.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295</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2014/59/EU</w:t>
      </w:r>
      <w:r w:rsidRPr="009E35B2">
        <w:rPr>
          <w:rStyle w:val="HideTWBExt"/>
        </w:rPr>
        <w:t>&lt;/DocAmend2&gt;</w:t>
      </w:r>
    </w:p>
    <w:p w:rsidR="00E61B38" w:rsidRPr="009E35B2" w:rsidRDefault="00E61B38" w:rsidP="00E61B38">
      <w:r w:rsidRPr="009E35B2">
        <w:rPr>
          <w:rStyle w:val="HideTWBExt"/>
        </w:rPr>
        <w:t>&lt;Article2&gt;</w:t>
      </w:r>
      <w:r w:rsidRPr="009E35B2">
        <w:t>11 e artikla – 3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3.</w:t>
            </w:r>
            <w:r w:rsidRPr="009E35B2">
              <w:tab/>
              <w:t>Jäsenvaltioiden on varmistettava, että määrä, joka käytetään 11 artiklan 2 kohdassa tarkoitettuun luottolaitosten kriisinratkaisun rahoittamiseen</w:t>
            </w:r>
            <w:r w:rsidRPr="009E35B2">
              <w:rPr>
                <w:b/>
                <w:i/>
              </w:rPr>
              <w:t>, 11 artiklan 3 kohdassa tarkoitettuihin ennaltaehkäiseviin toimenpiteisiin</w:t>
            </w:r>
            <w:r w:rsidRPr="009E35B2">
              <w:t xml:space="preserve"> tai 11 artiklan 5 kohdassa tarkoitettuihin vaihtoehtoisiin toimenpiteisiin, ei ylitä luottolaitoksessa olevien suojattujen talletusten määrää.</w:t>
            </w:r>
          </w:p>
        </w:tc>
        <w:tc>
          <w:tcPr>
            <w:tcW w:w="4876" w:type="dxa"/>
            <w:hideMark/>
          </w:tcPr>
          <w:p w:rsidR="00E61B38" w:rsidRPr="009E35B2" w:rsidRDefault="00E61B38" w:rsidP="0024275D">
            <w:pPr>
              <w:pStyle w:val="Normal6"/>
              <w:rPr>
                <w:szCs w:val="24"/>
              </w:rPr>
            </w:pPr>
            <w:r w:rsidRPr="009E35B2">
              <w:t>3.</w:t>
            </w:r>
            <w:r w:rsidRPr="009E35B2">
              <w:tab/>
              <w:t>Jäsenvaltioiden on varmistettava, että määrä, joka käytetään 11 artiklan 2 kohdassa tarkoitettuun luottolaitosten kriisinratkaisun rahoittamiseen tai 11 artiklan 5 kohdassa tarkoitettuihin vaihtoehtoisiin toimenpiteisiin, ei ylitä luottolaitoksessa olevien suojattujen talletusten määrää.</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296</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e artikla – 4 a kohta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4 a.</w:t>
            </w:r>
            <w:r w:rsidRPr="009E35B2">
              <w:rPr>
                <w:b/>
                <w:i/>
              </w:rPr>
              <w:tab/>
              <w:t>Jäsenvaltioiden on mahdollisimman pian vaihtoehtoisten toimenpiteiden toteuttamisen jälkeen varmistettava, että talletusten vakuusjärjestelmä julkaisee yhteenvedon tämän artiklan mukaisesti tehdyn laskelman keskeisistä osista. Laskelman on sisällettävä erityisesti talletusten vakuusjärjestelmän tallettajille takaisinmaksusta aiheutuvista arvioiduista kustannuksista johdetun nettopalautusasteen ja siihen liittyvien oletusten laajat perustelut.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Pienimmän kustannuksen testi tulisi määritellä ensimmäisen tason tekstissä mahdollisimman pitkälle.</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297</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e artikla – 5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rPr>
                <w:b/>
                <w:i/>
              </w:rPr>
              <w:t>5.</w:t>
            </w:r>
            <w:r w:rsidRPr="009E35B2">
              <w:rPr>
                <w:b/>
                <w:i/>
              </w:rPr>
              <w:tab/>
              <w:t>EPV laatii teknisten sääntelystandardien luonnokset, joissa täsmennetään</w:t>
            </w:r>
          </w:p>
        </w:tc>
        <w:tc>
          <w:tcPr>
            <w:tcW w:w="4876" w:type="dxa"/>
            <w:hideMark/>
          </w:tcPr>
          <w:p w:rsidR="00E61B38" w:rsidRPr="009E35B2" w:rsidRDefault="00E61B38" w:rsidP="0024275D">
            <w:pPr>
              <w:pStyle w:val="Normal6"/>
              <w:rPr>
                <w:szCs w:val="24"/>
              </w:rPr>
            </w:pPr>
            <w:r w:rsidRPr="009E35B2">
              <w:rPr>
                <w:b/>
                <w:i/>
              </w:rPr>
              <w:t>Poistetaan.</w:t>
            </w:r>
          </w:p>
        </w:tc>
      </w:tr>
      <w:tr w:rsidR="00E61B38" w:rsidRPr="009E35B2" w:rsidTr="0024275D">
        <w:trPr>
          <w:jc w:val="center"/>
        </w:trPr>
        <w:tc>
          <w:tcPr>
            <w:tcW w:w="4876" w:type="dxa"/>
            <w:hideMark/>
          </w:tcPr>
          <w:p w:rsidR="00E61B38" w:rsidRPr="009E35B2" w:rsidRDefault="00E61B38" w:rsidP="0024275D">
            <w:pPr>
              <w:pStyle w:val="Normal6"/>
            </w:pPr>
            <w:r w:rsidRPr="009E35B2">
              <w:rPr>
                <w:b/>
                <w:i/>
              </w:rPr>
              <w:t>a)</w:t>
            </w:r>
            <w:r w:rsidRPr="009E35B2">
              <w:rPr>
                <w:b/>
                <w:i/>
              </w:rPr>
              <w:tab/>
              <w:t>1 kohdan a alakohdassa tarkoitettujen arvioitujen kustannusten laskennassa käytettävät menetelmät, joissa otetaan huomioon kyseisen toimenpiteen erityispiirteet;</w:t>
            </w:r>
          </w:p>
        </w:tc>
        <w:tc>
          <w:tcPr>
            <w:tcW w:w="4876" w:type="dxa"/>
          </w:tcPr>
          <w:p w:rsidR="00E61B38" w:rsidRPr="009E35B2" w:rsidRDefault="00E61B38" w:rsidP="0024275D">
            <w:pPr>
              <w:pStyle w:val="Normal6"/>
              <w:rPr>
                <w:szCs w:val="24"/>
              </w:rPr>
            </w:pPr>
          </w:p>
        </w:tc>
      </w:tr>
      <w:tr w:rsidR="00E61B38" w:rsidRPr="009E35B2" w:rsidTr="0024275D">
        <w:trPr>
          <w:jc w:val="center"/>
        </w:trPr>
        <w:tc>
          <w:tcPr>
            <w:tcW w:w="4876" w:type="dxa"/>
            <w:hideMark/>
          </w:tcPr>
          <w:p w:rsidR="00E61B38" w:rsidRPr="009E35B2" w:rsidRDefault="00E61B38" w:rsidP="0024275D">
            <w:pPr>
              <w:pStyle w:val="Normal6"/>
            </w:pPr>
            <w:r w:rsidRPr="009E35B2">
              <w:rPr>
                <w:b/>
                <w:i/>
              </w:rPr>
              <w:t>b)</w:t>
            </w:r>
            <w:r w:rsidRPr="009E35B2">
              <w:rPr>
                <w:b/>
                <w:i/>
              </w:rPr>
              <w:tab/>
              <w:t>1 kohdan b alakohdassa tarkoitettujen tallettajille korvaamisesta aiheutuvien arvioitujen kustannusten laskennassa käytettävät menetelmät, mukaan lukien 2 kohdan c alakohdassa tarkoitettu arvioitu perittyjen saatavien osuus;</w:t>
            </w:r>
          </w:p>
        </w:tc>
        <w:tc>
          <w:tcPr>
            <w:tcW w:w="4876" w:type="dxa"/>
          </w:tcPr>
          <w:p w:rsidR="00E61B38" w:rsidRPr="009E35B2" w:rsidRDefault="00E61B38" w:rsidP="0024275D">
            <w:pPr>
              <w:pStyle w:val="Normal6"/>
              <w:rPr>
                <w:szCs w:val="24"/>
              </w:rPr>
            </w:pPr>
          </w:p>
        </w:tc>
      </w:tr>
      <w:tr w:rsidR="00E61B38" w:rsidRPr="009E35B2" w:rsidTr="0024275D">
        <w:trPr>
          <w:jc w:val="center"/>
        </w:trPr>
        <w:tc>
          <w:tcPr>
            <w:tcW w:w="4876" w:type="dxa"/>
            <w:hideMark/>
          </w:tcPr>
          <w:p w:rsidR="00E61B38" w:rsidRPr="009E35B2" w:rsidRDefault="00E61B38" w:rsidP="0024275D">
            <w:pPr>
              <w:pStyle w:val="Normal6"/>
            </w:pPr>
            <w:r w:rsidRPr="009E35B2">
              <w:rPr>
                <w:b/>
                <w:i/>
              </w:rPr>
              <w:t>c)</w:t>
            </w:r>
            <w:r w:rsidRPr="009E35B2">
              <w:rPr>
                <w:b/>
                <w:i/>
              </w:rPr>
              <w:tab/>
              <w:t>tapa, jolla a, b ja c alakohdassa tarkoitetuissa menetelmissä otetaan tarvittaessa huomioon rahan arvon muutos, joka johtuu mahdollisesta tuottojen kertymisestä ajan mittaan.</w:t>
            </w:r>
          </w:p>
        </w:tc>
        <w:tc>
          <w:tcPr>
            <w:tcW w:w="4876" w:type="dxa"/>
          </w:tcPr>
          <w:p w:rsidR="00E61B38" w:rsidRPr="009E35B2" w:rsidRDefault="00E61B38" w:rsidP="0024275D">
            <w:pPr>
              <w:pStyle w:val="Normal6"/>
              <w:rPr>
                <w:szCs w:val="24"/>
              </w:rPr>
            </w:pPr>
          </w:p>
        </w:tc>
      </w:tr>
      <w:tr w:rsidR="00E61B38" w:rsidRPr="009E35B2" w:rsidTr="0024275D">
        <w:trPr>
          <w:jc w:val="center"/>
        </w:trPr>
        <w:tc>
          <w:tcPr>
            <w:tcW w:w="4876" w:type="dxa"/>
            <w:hideMark/>
          </w:tcPr>
          <w:p w:rsidR="00E61B38" w:rsidRPr="009E35B2" w:rsidRDefault="00E61B38" w:rsidP="0024275D">
            <w:pPr>
              <w:pStyle w:val="Normal6"/>
            </w:pPr>
            <w:r w:rsidRPr="009E35B2">
              <w:rPr>
                <w:b/>
                <w:i/>
              </w:rPr>
              <w:t>Jos on kyse ennaltaehkäisevistä toimenpiteistä, 1 kohdan b alakohdassa tarkoitettuja tallettajille korvaamisesta aiheutuvia arvioituja kustannuksia laskettaessa b alakohdassa tarkoitetuissa menetelmissä on otettava huomioon ennaltaehkäisevien toimenpiteiden merkitys talletusten vakuusjärjestelmän, 1 artiklan 2 alakohdan c alakohdassa tarkoitetut laitosten suojajärjestelmät mukaan luettuina, lakisääteisen tai sopimusperusteisen toimeksiannon kannalta.</w:t>
            </w:r>
          </w:p>
        </w:tc>
        <w:tc>
          <w:tcPr>
            <w:tcW w:w="4876" w:type="dxa"/>
          </w:tcPr>
          <w:p w:rsidR="00E61B38" w:rsidRPr="009E35B2" w:rsidRDefault="00E61B38" w:rsidP="0024275D">
            <w:pPr>
              <w:pStyle w:val="Normal6"/>
              <w:rPr>
                <w:szCs w:val="24"/>
              </w:rPr>
            </w:pPr>
          </w:p>
        </w:tc>
      </w:tr>
      <w:tr w:rsidR="00E61B38" w:rsidRPr="009E35B2" w:rsidTr="0024275D">
        <w:trPr>
          <w:jc w:val="center"/>
        </w:trPr>
        <w:tc>
          <w:tcPr>
            <w:tcW w:w="4876" w:type="dxa"/>
            <w:hideMark/>
          </w:tcPr>
          <w:p w:rsidR="00E61B38" w:rsidRPr="009E35B2" w:rsidRDefault="00E61B38" w:rsidP="0024275D">
            <w:pPr>
              <w:pStyle w:val="Normal6"/>
            </w:pPr>
            <w:r w:rsidRPr="009E35B2">
              <w:rPr>
                <w:b/>
                <w:i/>
              </w:rPr>
              <w:t>EPV toimittaa nämä teknisten sääntelystandardien luonnokset komissiolle viimeistään [julkaisutoimisto: lisätään päivämäärä, joka on 12 kuukautta tämän direktiivin voimaantulopäivästä].</w:t>
            </w:r>
          </w:p>
        </w:tc>
        <w:tc>
          <w:tcPr>
            <w:tcW w:w="4876" w:type="dxa"/>
          </w:tcPr>
          <w:p w:rsidR="00E61B38" w:rsidRPr="009E35B2" w:rsidRDefault="00E61B38" w:rsidP="0024275D">
            <w:pPr>
              <w:pStyle w:val="Normal6"/>
              <w:rPr>
                <w:szCs w:val="24"/>
              </w:rPr>
            </w:pPr>
          </w:p>
        </w:tc>
      </w:tr>
      <w:tr w:rsidR="00E61B38" w:rsidRPr="009E35B2" w:rsidTr="0024275D">
        <w:trPr>
          <w:jc w:val="center"/>
        </w:trPr>
        <w:tc>
          <w:tcPr>
            <w:tcW w:w="4876" w:type="dxa"/>
            <w:hideMark/>
          </w:tcPr>
          <w:p w:rsidR="00E61B38" w:rsidRPr="009E35B2" w:rsidRDefault="00E61B38" w:rsidP="0024275D">
            <w:pPr>
              <w:pStyle w:val="Normal6"/>
            </w:pPr>
            <w:r w:rsidRPr="009E35B2">
              <w:rPr>
                <w:b/>
                <w:i/>
              </w:rPr>
              <w:t>Siirretään komissiolle valta täydentää tätä direktiiviä hyväksymällä ensimmäisessä alakohdassa tarkoitetut tekniset sääntelystandardit asetuksen (EU) N:o 1093/2010 10–14 artiklan mukaisesti.”</w:t>
            </w:r>
          </w:p>
        </w:tc>
        <w:tc>
          <w:tcPr>
            <w:tcW w:w="4876" w:type="dxa"/>
          </w:tcPr>
          <w:p w:rsidR="00E61B38" w:rsidRPr="009E35B2" w:rsidRDefault="00E61B38" w:rsidP="0024275D">
            <w:pPr>
              <w:pStyle w:val="Normal6"/>
              <w:rPr>
                <w:szCs w:val="24"/>
              </w:rPr>
            </w:pP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Pienimmän kustannuksen testi tulisi määritellä ensimmäisen tason tekstissä mahdollisimman pitkälle.</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298</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e artikla – 5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EPV laatii teknisten sääntelystandardien luonnokset, joissa täsmennetään</w:t>
            </w:r>
          </w:p>
        </w:tc>
        <w:tc>
          <w:tcPr>
            <w:tcW w:w="4876" w:type="dxa"/>
            <w:hideMark/>
          </w:tcPr>
          <w:p w:rsidR="00E61B38" w:rsidRPr="009E35B2" w:rsidRDefault="00E61B38" w:rsidP="0024275D">
            <w:pPr>
              <w:pStyle w:val="Normal6"/>
              <w:rPr>
                <w:szCs w:val="24"/>
              </w:rPr>
            </w:pPr>
            <w:r w:rsidRPr="009E35B2">
              <w:t xml:space="preserve">EPV </w:t>
            </w:r>
            <w:r w:rsidRPr="009E35B2">
              <w:rPr>
                <w:b/>
                <w:i/>
              </w:rPr>
              <w:t>ottaa huomioon direktiivin 2014/59/EU 36 artiklan 15 kohdan mukaisesti laaditut ja sen 36 artiklan 16 kohdan nojalla hyväksytyt tekniset sääntelystandardit ja</w:t>
            </w:r>
            <w:r w:rsidRPr="009E35B2">
              <w:t xml:space="preserve"> laatii teknisten sääntelystandardien luonnokset, joissa täsmennetään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299</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Marco Zanni, Valentino Grant, Antonio Maria Rinaldi</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e artikla – 5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 xml:space="preserve">EPV laatii </w:t>
            </w:r>
            <w:r w:rsidRPr="009E35B2">
              <w:rPr>
                <w:b/>
                <w:i/>
              </w:rPr>
              <w:t>teknisten sääntelystandardien luonnokset</w:t>
            </w:r>
            <w:r w:rsidRPr="009E35B2">
              <w:t>, joissa täsmennetään</w:t>
            </w:r>
          </w:p>
        </w:tc>
        <w:tc>
          <w:tcPr>
            <w:tcW w:w="4876" w:type="dxa"/>
            <w:hideMark/>
          </w:tcPr>
          <w:p w:rsidR="00E61B38" w:rsidRPr="009E35B2" w:rsidRDefault="00E61B38" w:rsidP="0024275D">
            <w:pPr>
              <w:pStyle w:val="Normal6"/>
              <w:rPr>
                <w:szCs w:val="24"/>
              </w:rPr>
            </w:pPr>
            <w:r w:rsidRPr="009E35B2">
              <w:t xml:space="preserve">EPV laatii </w:t>
            </w:r>
            <w:r w:rsidRPr="009E35B2">
              <w:rPr>
                <w:b/>
                <w:i/>
              </w:rPr>
              <w:t>kunkin jäsenvaltion erityispiirteet huomioon ottaen ohjeet</w:t>
            </w:r>
            <w:r w:rsidRPr="009E35B2">
              <w:t>, joissa täsmennetään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300</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Marco Zanni, Valentino Grant, Antonio Maria Rinaldi</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e artikla – 5 kohta – b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b)</w:t>
            </w:r>
            <w:r w:rsidRPr="009E35B2">
              <w:tab/>
              <w:t>1 kohdan b alakohdassa tarkoitettujen tallettajille korvaamisesta aiheutuvien arvioitujen kustannusten laskennassa käytettävät menetelmät, mukaan lukien 2 kohdan c alakohdassa tarkoitettu arvioitu perittyjen saatavien osuus;</w:t>
            </w:r>
          </w:p>
        </w:tc>
        <w:tc>
          <w:tcPr>
            <w:tcW w:w="4876" w:type="dxa"/>
            <w:hideMark/>
          </w:tcPr>
          <w:p w:rsidR="00E61B38" w:rsidRPr="009E35B2" w:rsidRDefault="00E61B38" w:rsidP="0024275D">
            <w:pPr>
              <w:pStyle w:val="Normal6"/>
              <w:rPr>
                <w:szCs w:val="24"/>
              </w:rPr>
            </w:pPr>
            <w:r w:rsidRPr="009E35B2">
              <w:t>b)</w:t>
            </w:r>
            <w:r w:rsidRPr="009E35B2">
              <w:tab/>
              <w:t>1 kohdan b alakohdassa tarkoitettujen tallettajille korvaamisesta aiheutuvien arvioitujen kustannusten laskennassa käytettävät menetelmät, mukaan lukien 2 kohdan c alakohdassa tarkoitettu arvioitu perittyjen saatavien osuus</w:t>
            </w:r>
            <w:r w:rsidRPr="009E35B2">
              <w:rPr>
                <w:b/>
                <w:i/>
              </w:rPr>
              <w:t>, joissa on otettava huomioon asianomaisen jäsenvaltion erityispiirteet</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301</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2014/59/EU</w:t>
      </w:r>
      <w:r w:rsidRPr="009E35B2">
        <w:rPr>
          <w:rStyle w:val="HideTWBExt"/>
        </w:rPr>
        <w:t>&lt;/DocAmend2&gt;</w:t>
      </w:r>
    </w:p>
    <w:p w:rsidR="00E61B38" w:rsidRPr="009E35B2" w:rsidRDefault="00E61B38" w:rsidP="00E61B38">
      <w:r w:rsidRPr="009E35B2">
        <w:rPr>
          <w:rStyle w:val="HideTWBExt"/>
        </w:rPr>
        <w:t>&lt;Article2&gt;</w:t>
      </w:r>
      <w:r w:rsidRPr="009E35B2">
        <w:t>11 e artikla – 5 kohta – 2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Jos on kyse ennaltaehkäisevistä toimenpiteistä, 1 kohdan b alakohdassa tarkoitettuja tallettajille korvaamisesta aiheutuvia arvioituja kustannuksia laskettaessa b alakohdassa tarkoitetuissa menetelmissä on otettava huomioon ennaltaehkäisevien toimenpiteiden merkitys talletusten vakuusjärjestelmän</w:t>
            </w:r>
            <w:r w:rsidRPr="009E35B2">
              <w:rPr>
                <w:b/>
                <w:i/>
              </w:rPr>
              <w:t>, 1 artiklan 2 alakohdan c alakohdassa tarkoitetut laitosten suojajärjestelmät mukaan luettuina,</w:t>
            </w:r>
            <w:r w:rsidRPr="009E35B2">
              <w:t xml:space="preserve"> lakisääteisen tai sopimusperusteisen toimeksiannon kannalta.</w:t>
            </w:r>
          </w:p>
        </w:tc>
        <w:tc>
          <w:tcPr>
            <w:tcW w:w="4876" w:type="dxa"/>
            <w:hideMark/>
          </w:tcPr>
          <w:p w:rsidR="00E61B38" w:rsidRPr="009E35B2" w:rsidRDefault="00E61B38" w:rsidP="0024275D">
            <w:pPr>
              <w:pStyle w:val="Normal6"/>
              <w:rPr>
                <w:szCs w:val="24"/>
              </w:rPr>
            </w:pPr>
            <w:r w:rsidRPr="009E35B2">
              <w:t>Jos on kyse ennaltaehkäisevistä toimenpiteistä, 1 kohdan b alakohdassa tarkoitettuja tallettajille korvaamisesta aiheutuvia arvioituja kustannuksia laskettaessa b alakohdassa tarkoitetuissa menetelmissä on otettava huomioon ennaltaehkäisevien toimenpiteiden merkitys talletusten vakuusjärjestelmän lakisääteisen tai sopimusperusteisen toimeksiannon kannalta.</w:t>
            </w:r>
            <w:r w:rsidRPr="009E35B2">
              <w:rPr>
                <w:b/>
                <w:i/>
              </w:rPr>
              <w:t xml:space="preserve"> </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Edellä 1 artiklan 2 kohdan c alakohdassa tarkoitetun laitosten suojajärjestelmän osalta on otettava huomioon yritysten yhteistä tavaramerkkiä suojaamalla estetty mainevahinko sekä tietyllä alueella 1 artiklan 2 kohdan c alakohdassa tarkoitettuun laitosten suojajärjestelmään kuuluvien laitosten luotto- ja rahoituspalvelutoimintojen jatkamisen avulla estetyt ulkoiset kustannukset.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302</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Marco Zanni, Valentino Grant, Antonio Maria Rinaldi</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e artikla – 5 kohta – 3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rPr>
                <w:b/>
                <w:i/>
              </w:rPr>
              <w:t>EPV toimittaa nämä teknisten sääntelystandardien luonnokset komissiolle viimeistään [julkaisutoimisto: lisätään päivämäärä, joka on 12 kuukautta tämän direktiivin voimaantulopäivästä].</w:t>
            </w:r>
          </w:p>
        </w:tc>
        <w:tc>
          <w:tcPr>
            <w:tcW w:w="4876" w:type="dxa"/>
            <w:hideMark/>
          </w:tcPr>
          <w:p w:rsidR="00E61B38" w:rsidRPr="009E35B2" w:rsidRDefault="00E61B38" w:rsidP="0024275D">
            <w:pPr>
              <w:pStyle w:val="Normal6"/>
              <w:rPr>
                <w:szCs w:val="24"/>
              </w:rPr>
            </w:pPr>
            <w:r w:rsidRPr="009E35B2">
              <w:rPr>
                <w:b/>
                <w:i/>
              </w:rPr>
              <w:t>Poistetaan.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303</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Marco Zanni, Valentino Grant, Antonio Maria Rinaldi</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e artikla – 5 kohta – 4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rPr>
                <w:b/>
                <w:i/>
              </w:rPr>
              <w:t>Siirretään komissiolle valta täydentää tätä direktiiviä hyväksymällä ensimmäisessä alakohdassa tarkoitetut tekniset sääntelystandardit asetuksen (EU) N:o 1093/2010 10–14 artiklan mukaisesti.”</w:t>
            </w:r>
          </w:p>
        </w:tc>
        <w:tc>
          <w:tcPr>
            <w:tcW w:w="4876" w:type="dxa"/>
            <w:hideMark/>
          </w:tcPr>
          <w:p w:rsidR="00E61B38" w:rsidRPr="009E35B2" w:rsidRDefault="00E61B38" w:rsidP="0024275D">
            <w:pPr>
              <w:pStyle w:val="Normal6"/>
              <w:rPr>
                <w:szCs w:val="24"/>
              </w:rPr>
            </w:pPr>
            <w:r w:rsidRPr="009E35B2">
              <w:rPr>
                <w:b/>
                <w:i/>
              </w:rPr>
              <w:t>Poistetaan.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304</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Fabio Massimo Castaldo</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e artikla – 5 a kohta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5 a.</w:t>
            </w:r>
            <w:r w:rsidRPr="009E35B2">
              <w:rPr>
                <w:b/>
                <w:i/>
              </w:rPr>
              <w:tab/>
              <w:t>Jäsenvaltioiden on varmistettava, että jos talletusten vakuusjärjestelmä kärsii likviditeettivajeesta, se voi käyttää kriisinratkaisuneuvoston hallinnoimaa EU:n luottolimiittiä ja takausta. EU:n luottolimiitin ja takauksen rahoittamiseksi ei pitäisi pyytää lisärahoitusosuuksia. Pyynnön esittäneen talletusten vakuusjärjestelmän on tiedotettava asiasta viipymättä EPV:lle ja yhteiselle kriisinratkaisuneuvostolle ja ilmoitettava perustelut ja se, kuinka suurta rahamäärää se pyytää likviditeettivajeensa korjaamiseksi. Jäsenvaltioiden on varmistettava, että talletusten vakuusjärjestelmä ilmoittaa kriisinratkaisuneuvostolle heti, kun se ennakoi, että on olemassa likviditeettivajeen vaara.</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Jos talletusten vakuusjärjestelmä on käyttänyt loppuun sen käyttöön annetun EU:n luottolimiitin, jäsenvaltioiden on varmistettava, että muissa jäsenvaltioissa sijaitsevat talletusten vakuusjärjestelmät tarjoavat likviditeettivajeesta kärsivälle talletussuojajärjestelmälle rahoitusvarat, joita se tarvitsee tehtäviensä hoitamiseksi 11 artiklan mukaisesti.</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Edellä 1 kohdassa tarkoitettu likviditeettivaje lasketaan siten, että luottolaitoksen hallussa korvausten maksun ajankohtana olevien suojattujen talletusten kokonaismäärästä tai siitä käytettävissä olevasta määrästä, jonka talletusten vakuusjärjestelmä on käyttänyt 11 artiklan 3 ja 5 kohdassa tarkoitettujen ennaltaehkäisevien tai vaihtoehtoisten toimenpiteiden rahoittamiseen, vähennetään seuraavat:</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a) niiden käytettävissä olevien rahoitusvarojen määrä, jotka talletusten vakuusjärjestelmä on hankkinut 10 artiklan 1 kohdan mukaisesti;</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b) niiden 10 artiklan 8 kohdassa tarkoitettujen ylimääräisten kannatusmaksujen määrä, jotka talletusten vakuusjärjestelmä voi hankkia viiden päivän kuluessa korvausten maksun ajankohdasta, tai sellaisten vaihtoehtoisten rahoitusjärjestelyjen ja jälkikäteen suoritettavien kannatusmaksujen määrä, jotka talletusten vakuusjärjestelmä voi hankkia viiden päivän kuluessa ennaltaehkäisevien tai vaihtoehtoisten toimenpiteiden käytön rahoittamisesta.</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Tapauksissa, joissa talletusten vakuusjärjestelmää käytetään kriisinratkaisumenettelyissä 11 artiklan 2 kohdan mukaisesti, sen likviditeettivaje lasketaan siten, että siitä määrästä, jonka kriisinratkaisuviranomainen määrittää asetuksen (EU) N:o 806/2014 79 artiklan mukaisesti, vähennetään talletusten vakuusjärjestelmän käytettävissä olevien rahoitusvarojen määrä. Tämän artiklan 1–1 c kohtaa voidaan soveltaa tapauksissa, joissa talletusten vakuusjärjestelmän on maksettava korvauksia, tai tämän direktiivin 11 artiklan 2, 3 ja 5 kohdassa tarkoitettujen toimenpiteiden yhteydessä.”</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305</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Fabio Massimo Castaldo</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e artikla – 5 b kohta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5 b.</w:t>
            </w:r>
            <w:r w:rsidRPr="009E35B2">
              <w:rPr>
                <w:b/>
                <w:i/>
              </w:rPr>
              <w:tab/>
              <w:t>Jäsenvaltioiden on varmistettava, että lainaa ottavan talletusten vakuusjärjestelmän perimät kannatusmaksut riittävät siihen, että lainattu määrä maksetaan takaisin lainan antaville talletusten vakuusjärjestelmille ja EU:n luottolimiitille tai takaukselle ja tavoitetaso saavutetaan uudelleen mahdollisimman pian ja joka tapauksessa alle kuuden vuoden kuluessa.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306</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Markus Ferber, Herbert Dorfmann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 alakohta (uusi)</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f artikla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13 a)</w:t>
            </w:r>
            <w:r w:rsidRPr="009E35B2">
              <w:rPr>
                <w:b/>
                <w:i/>
              </w:rPr>
              <w:tab/>
              <w:t>Lisätään 11 f artikla seuraavasti:</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Laitosten suojajärjestelmien ennaltaehkäisevät toimenpiteet</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1. Poiketen siitä, mitä 11 a–11 e artiklassa säädetään, talletusten vakuusjärjestelmiksi 4 artiklan 2 kohdan mukaisesti virallisesti hyväksytyt laitosten suojajärjestelmät voivat käyttää 11 artiklan 3 a kohdassa tarkoitettuja ennaltaehkäiseviä toimenpiteitä varten käytettävissä olevia varoja edellyttäen, että seuraavat edellytykset täyttyvät:</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a) ennaltaehkäisevien toimenpiteiden rahoitusta pyytävä luottolaitos on velvollinen esittämään suunnitelman, jolla varmistetaan, että luottolaitos täyttää direktiivissä 2013/36/EU ja asetuksessa (EU) N:o 575/2013 säädetyt valvontavaatimukset tai saattaa ne ennalleen niiden edellytysten mukaisesti, jotka on vahvistettu asetuksen (EU) N:o 575/2013 113 artiklan 7 kohdan mukaisesti toimivaltaisen viranomaisen hyväksymiä laitosten suojajärjestelmiä koskevissa lakisääteisissä säännöissä;</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b) laitosten suojajärjestelmä on kuullut toimivaltaista viranomaista tuetulle luottolaitokselle asetetuista ennaltaehkäisevistä toimenpiteistä ja ehdoista;</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c) laitosten suojajärjestelmän käyttämät ennaltaehkäisevät toimenpiteet on sidottu tuetulle luottolaitokselle asetettuihin ehtoihin, joihin kuuluu vähintään luottolaitoksen tehostetumpi riskivalvonta ja laitosten suojajärjestelmän laajennetut tarkistusoikeudet;</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d) laitosten suojajärjestelmän käyttämien ennaltaehkäisevien toimenpiteiden edellytyksenä ovat luottolaitoksen antamat sitoumukset, joilla varmistetaan tallettajien mahdollisuus käyttää suojattuja talletuksia;</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e) vahvistetaan, että järjestelmään kuuluvat luottolaitokset kykenevät suorittamaan ylimääräisiä kannatusmaksuja 11 artiklan 4 kohdan mukaisesti; ja</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f) toimenpiteiden kustannukset eivät ylitä kustannuksia, jotka aiheutuvat asetuksen (EU) N:o 575/2013 113 artiklan 7 kohdassa vahvistetut edellytykset täyttävän laitosten suojajärjestelmän lakisääteisen tai sopimusperusteisen toimeksiannon täyttämisestä.</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2. Jäsenvaltioiden on varmistettava, että laitosten suojajärjestelmillä on käytössään asianmukaiset menettelyt ennaltaehkäisevien toimenpiteiden valintaa ja toteuttamista sekä niihin liittyvien riskien seurantaa varten.</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3. Tällaiset laitosten suojajärjestelmän toteuttamat ennaltaehkäisevät toimenpiteet eivät saa johtaa sen toteamiseen, että luottolaitos on lähellä kaatumista tai todennäköisesti kaatuu direktiivin 2014/59/EU 32 artiklan 1 kohdassa tai asetuksen (EU) 806/2014 18 artiklan 1 kohdassa tarkoitetulla tavalla.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Tunnustaa laitosten suojajärjestelmän erityistehtävän: laitosten suojajärjestelmät käyttävät ennaltaehkäiseviä toimenpiteitä keinona ehkäistä korvausasioita ja siten varmistavat talletussuojaa. Niiden kannalta ehkäisevien toimenpiteiden käyttö on normaali menettelytapa, ei yksi useista mahdollisista työkalupakista valittavista välineistä.</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307</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Joachim Schuster</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rPr>
          <w:rStyle w:val="HideTWBExt"/>
          <w:b w:val="0"/>
          <w:color w:val="auto"/>
        </w:rPr>
      </w:pPr>
      <w:r w:rsidRPr="009E35B2">
        <w:rPr>
          <w:rStyle w:val="HideTWBExt"/>
          <w:b w:val="0"/>
        </w:rPr>
        <w:t>&lt;Article&gt;</w:t>
      </w:r>
      <w:r w:rsidRPr="009E35B2">
        <w:t>1 artikla – 1 kohta – 13 a alakohta (uusi)</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11 f artikla (uusi)</w:t>
      </w:r>
      <w:r w:rsidRPr="009E35B2">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13 a)</w:t>
            </w:r>
            <w:r w:rsidRPr="009E35B2">
              <w:rPr>
                <w:b/>
                <w:i/>
              </w:rPr>
              <w:tab/>
              <w:t>Lisätään 11 f artikla seuraavasti:</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11 f artikla</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Laitosten suojajärjestelmien ennaltaehkäisevät toimenpiteet</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1. Poiketen siitä, mitä 11 artiklan 3 kohdassa ja 11 a–11 e artiklassa säädetään, jäsenvaltiot voivat sallia, että 1 artiklan 2 kohdan c alakohdan soveltamisalaan kuuluva laitosten suojajärjestelmä käyttää käytettävissä olevia varoja toimenpiteisiin luottolaitoksen kaatumisen estämiseksi edellyttäen, että seuraavat edellytykset täyttyvät:</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a) kriisinratkaisuviranomainen ei ole toteuttanut direktiivin 2014/59/EU 32 artiklan mukaisia kriisinratkaisutoimia;</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b) laitosten suojajärjestelmällä on asianmukaiset järjestelmät ja menettelyt vaihtoehtoisten toimenpiteiden valitsemiseksi ja toteuttamiseksi ja niihin liittyvien riskien seuraamiseksi, jotka eivät ylitä laitoksen suojajärjestelmän lakisääteisen tai sopimukseen perustuvan toimeksiannon täyttämisestä aiheutuvia kustannuksia;</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c) näiden toimenpiteiden käyttöön liittyy tuettua luottolaitosta koskevia ehtoja, mukaan lukien tiukempi riskien seuranta ja sitoumukset, jotka koskevat suojattujen talletusten saatavuuden varmistamista;</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d) ennaltaehkäisevien toimenpiteiden rahoitusta pyytävä luottolaitos on velvollinen esittämään suunnitelman, jolla varmistetaan, että luottolaitos täyttää direktiivissä 2013/36/EU ja asetuksessa (EU) N:o 575/2013 säädetyt valvontavaatimukset tai saattaa ne ennalleen niiden edellytysten mukaisesti, jotka on vahvistettu asetuksen (EU) N:o 575/2013 113 artiklan 7 kohdan mukaisesti toimivaltaisen viranomaisen hyväksymiä laitosten suojajärjestelmiä koskevissa lakisääteisissä säännöissä;</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2. Jäsenvaltioiden on varmistettava, että laitosten suojajärjestelmä on kuullut toimivaltaista viranomaista tuetulle luottolaitokselle asetetuista ennaltaehkäisevistä toimenpiteistä ja ehdoista. Niiden on myös tarkistettava, että laitosten suojajärjestelmien seurantajärjestelmät ja päätöksentekomenettelyt täyttävät tämän artiklan edellytykset.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rPr>
          <w:rStyle w:val="HideTWBExt"/>
          <w:color w:val="auto"/>
        </w:rPr>
      </w:pPr>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308</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2014/59/EU</w:t>
      </w:r>
      <w:r w:rsidRPr="009E35B2">
        <w:rPr>
          <w:rStyle w:val="HideTWBExt"/>
        </w:rPr>
        <w:t>&lt;/DocAmend2&gt;</w:t>
      </w:r>
    </w:p>
    <w:p w:rsidR="00E61B38" w:rsidRPr="009E35B2" w:rsidRDefault="00E61B38" w:rsidP="00E61B38">
      <w:r w:rsidRPr="009E35B2">
        <w:rPr>
          <w:rStyle w:val="HideTWBExt"/>
        </w:rPr>
        <w:t>&lt;Article2&gt;</w:t>
      </w:r>
      <w:r w:rsidRPr="009E35B2">
        <w:t>11 f artikla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11 f artikla</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Laitosten suojajärjestelmän ennaltaehkäisevät toimenpiteet</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1. Jos laitos on 1 artiklan 2 kohdan c alakohdan mukaisesti tunnustetun laitosten suojajärjestelmän jäsen, kriisinratkaisuviranomaisen on kuultava laitosten suojajärjestelmää ennen kriisinratkaisutoimenpiteiden toteuttamista ja annettava sille mahdollisuus toteuttaa ennaltaehkäiseviä toimenpiteitä.</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2. Poiketen siitä, mitä 11 a–11 e artiklassa säädetään, jäsenvaltiot voivat sallia, että laitosten suojajärjestelmät käytävät 11 artiklan 3 kohdan b alakohdassa tarkoitettuja ennaltaehkäiseviä toimenpiteitä varten käytettävissä olevia varoja edellyttäen, että seuraavat edellytykset täyttyvät:</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a) laitosten suojajärjestelmä on kuullut toimivaltaista viranomaista tuetulle luottolaitokselle asetetuista ennaltaehkäisevistä toimenpiteistä ja ehdoista;</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b) ennaltaehkäisevien toimenpiteiden rahoitusta pyytävä luottolaitos on velvollinen esittämään suunnitelman, jolla varmistetaan, että luottolaitos täyttää direktiivissä 2013/36/EU ja asetuksessa (EU) N:o 575/2013 säädetyt valvontavaatimukset tai saattaa ne ennalleen niiden edellytysten mukaisesti, jotka on vahvistettu asetuksen (EU) N:o 575/2013 113 artiklan 7 kohdan mukaisesti toimivaltaisen viranomaisen hyväksymiä laitosten suojajärjestelmiä koskevissa lakisääteisissä säännöissä;</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c) laitosten suojajärjestelmän käyttämien ennaltaehkäisevien toimenpiteiden edellytyksenä ovat luottolaitoksen antamat sitoumukset, joilla varmistetaan tallettajien mahdollisuus käyttää suojattuja talletuksia;</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d) laitosten suojajärjestelmän käyttämät ennaltaehkäisevät toimenpiteet on sidottu tuetulle luottolaitokselle asetettuihin ehtoihin, joihin kuuluu vähintään luottolaitoksen tehostetumpi riskivalvonta ja laitosten suojajärjestelmän laajennetut tarkistusoikeudet;</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e) vahvistetaan, että järjestelmään kuuluvat luottolaitokset kykenevät suorittamaan ylimääräisiä kannatusmaksuja 11 artiklan 4 kohdan mukaisesti;</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f) toimenpiteiden kustannukset eivät ylitä kustannuksia, jotka aiheutuvat asetuksen (EU) N:o 575/2013 113 artiklan 7 kohdassa säädetyt kriteerit täyttävän laitosten suojajärjestelmän lakisääteisen tai sopimusperusteisen toimeksiannon täyttämisestä toimivaltaisen viranomaisen asetuksen (EU) N:o 575/2013 113 artiklan 7 kohdan mukaisesti hyväksymien laitosten suojajärjestelmän lakisääteisten sääntöjen ehtojen mukaisesti. Yhteiskunnan ja laitosten suojelujärjestelmän verkoston ulkoiset kustannukset otetaan huomioon.</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3. Jäsenvaltioiden on varmistettava, että laitosten suojajärjestelmillä on käytössään asianmukaiset seurantajärjestelmät ja päätöksentekomenettelyt ennaltaehkäisevien toimenpiteiden valintaa ja toteuttamista sekä niihin liittyvien riskien seurantaa varten.</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4. Tällaiset laitosten suojajärjestelmän toteuttamat ennaltaehkäisevät toimenpiteet eivät saa johtaa sen toteamiseen, että luottolaitos on lähellä kaatumista tai todennäköisesti kaatuu direktiivin 2014/59/EU 32 artiklan 1 kohdassa tai asetuksen (EU) 806/2014 18 artiklan 1 kohdassa tarkoitetulla tavalla.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309</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Irene Tinagli,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 alakohta (uusi)</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12 a artikla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13 a)</w:t>
            </w:r>
            <w:r w:rsidRPr="009E35B2">
              <w:rPr>
                <w:b/>
                <w:i/>
              </w:rPr>
              <w:tab/>
              <w:t>Lisätään 12 a artikla seuraavasti:</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Yhteisen kriisinratkaisurahaston tuki vaihtoehtoisille rahoitusjärjestelyille</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1. Jos talletusten vakuusjärjestelmän toiminta on kriisinratkaisun yhteydessä tarpeen pankkiunionissa, mutta järjestelmän käytettävissä olevat varat eivät riitä sen toimien tavoitteiden saavuttamiseksi, talletusten vakuusjärjestelmä voi pyytää takuun muodossa tukea yhteisestä kriisinratkaisurahastosta.</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2. Talletusten vakuusjärjestelmän pyyntöön on sisällytettävä kaikki asiaankuuluvat tiedot, mukaan lukien seuraavat:</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i) talletusten vakuusjärjestelmän vaje kriisinratkaisuun liittyvää erityistä toimenpidettä varten;</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ii) talletusten vakuusjärjestelmälle muissa vaihtoehtoisissa rahoitusjärjestelyissä tarjotut ehdot;</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iii) pyydetyn tuen odotettu kesto.</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3. Yhteinen kriisinratkaisuneuvosto tekee asetuksen 806/2014 (EU) 79 a artiklan mukaisesti päätöksen, johon sisältyy myös takuusäännökseen sovellettavat ehdot.</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4. Talletusten vakuusjärjestelmälle annettu kriisinratkaisurahaston vakuus on käytettävä vakuutena direktiivin 2014/49/EU 10 artiklan 9 kohdassa tarkoitetuille vaihtoehtoisille rahoitusjärjestelyille, millä varmistetaan markkinoille pääsy suotuisammin ehdoin.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310</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Irene Tinagli</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 alakohta (uusi)</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13 artikla – 1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Nykyinen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13 a)</w:t>
            </w:r>
            <w:r w:rsidRPr="009E35B2">
              <w:rPr>
                <w:b/>
                <w:i/>
              </w:rPr>
              <w:tab/>
              <w:t>korvataan 13 artiklan 1 kohta seuraavasti:</w:t>
            </w:r>
          </w:p>
        </w:tc>
      </w:tr>
      <w:tr w:rsidR="00E61B38" w:rsidRPr="009E35B2" w:rsidTr="0024275D">
        <w:trPr>
          <w:jc w:val="center"/>
        </w:trPr>
        <w:tc>
          <w:tcPr>
            <w:tcW w:w="4876" w:type="dxa"/>
          </w:tcPr>
          <w:p w:rsidR="00E61B38" w:rsidRPr="009E35B2" w:rsidRDefault="00E61B38" w:rsidP="0024275D">
            <w:pPr>
              <w:pStyle w:val="Normal6"/>
            </w:pPr>
            <w:r w:rsidRPr="009E35B2">
              <w:t xml:space="preserve">1. Edellä olevassa 10 artiklassa tarkoitetut talletusten vakuusjärjestelmiin suoritettavat kannatusmaksut perustuvat suojattujen talletusten määrään ja </w:t>
            </w:r>
            <w:r w:rsidRPr="009E35B2">
              <w:rPr>
                <w:b/>
                <w:i/>
              </w:rPr>
              <w:t>kyseiseen jäseneen</w:t>
            </w:r>
            <w:r w:rsidRPr="009E35B2">
              <w:t xml:space="preserve"> kohdistuvan riskin suuruuteen.</w:t>
            </w:r>
          </w:p>
        </w:tc>
        <w:tc>
          <w:tcPr>
            <w:tcW w:w="4876" w:type="dxa"/>
            <w:hideMark/>
          </w:tcPr>
          <w:p w:rsidR="00E61B38" w:rsidRPr="009E35B2" w:rsidRDefault="00E61B38" w:rsidP="0024275D">
            <w:pPr>
              <w:pStyle w:val="Normal6"/>
              <w:rPr>
                <w:szCs w:val="24"/>
              </w:rPr>
            </w:pPr>
            <w:r w:rsidRPr="009E35B2">
              <w:rPr>
                <w:b/>
                <w:i/>
              </w:rPr>
              <w:t>”</w:t>
            </w:r>
            <w:r w:rsidRPr="009E35B2">
              <w:t xml:space="preserve">1. Edellä olevassa 10 artiklassa tarkoitetut talletusten vakuusjärjestelmiin suoritettavat kannatusmaksut perustuvat suojattujen talletusten määrään ja </w:t>
            </w:r>
            <w:r w:rsidRPr="009E35B2">
              <w:rPr>
                <w:b/>
                <w:i/>
              </w:rPr>
              <w:t>yksittäisen talletusten vakuusjärjestelmän jäseneen</w:t>
            </w:r>
            <w:r w:rsidRPr="009E35B2">
              <w:t xml:space="preserve"> kohdistuvan riskin suuruuteen.</w:t>
            </w:r>
          </w:p>
        </w:tc>
      </w:tr>
      <w:tr w:rsidR="00E61B38" w:rsidRPr="009E35B2" w:rsidTr="0024275D">
        <w:trPr>
          <w:jc w:val="center"/>
        </w:trPr>
        <w:tc>
          <w:tcPr>
            <w:tcW w:w="4876" w:type="dxa"/>
          </w:tcPr>
          <w:p w:rsidR="00E61B38" w:rsidRPr="009E35B2" w:rsidRDefault="00E61B38" w:rsidP="0024275D">
            <w:pPr>
              <w:pStyle w:val="Normal6"/>
            </w:pPr>
            <w:r w:rsidRPr="009E35B2">
              <w:t>Jäsenvaltiot voivat tarjota edullisempia kannatusmaksuja kansallisella lainsäädännöllä säädellyillä vähäriskisillä aloilla.</w:t>
            </w:r>
          </w:p>
        </w:tc>
        <w:tc>
          <w:tcPr>
            <w:tcW w:w="4876" w:type="dxa"/>
            <w:hideMark/>
          </w:tcPr>
          <w:p w:rsidR="00E61B38" w:rsidRPr="009E35B2" w:rsidRDefault="00E61B38" w:rsidP="0024275D">
            <w:pPr>
              <w:pStyle w:val="Normal6"/>
              <w:rPr>
                <w:szCs w:val="24"/>
              </w:rPr>
            </w:pPr>
            <w:r w:rsidRPr="009E35B2">
              <w:t xml:space="preserve">Jäsenvaltiot voivat tarjota edullisempia kannatusmaksuja kansallisella lainsäädännöllä säädellyillä </w:t>
            </w:r>
            <w:r w:rsidRPr="009E35B2">
              <w:rPr>
                <w:b/>
                <w:i/>
              </w:rPr>
              <w:t>talletusten vakuusjärjestelmään kuuluvien luottolaitosten</w:t>
            </w:r>
            <w:r w:rsidRPr="009E35B2">
              <w:t xml:space="preserve"> vähäriskisillä aloilla.</w:t>
            </w:r>
          </w:p>
        </w:tc>
      </w:tr>
      <w:tr w:rsidR="00E61B38" w:rsidRPr="009E35B2" w:rsidTr="0024275D">
        <w:trPr>
          <w:jc w:val="center"/>
        </w:trPr>
        <w:tc>
          <w:tcPr>
            <w:tcW w:w="4876" w:type="dxa"/>
          </w:tcPr>
          <w:p w:rsidR="00E61B38" w:rsidRPr="009E35B2" w:rsidRDefault="00E61B38" w:rsidP="0024275D">
            <w:pPr>
              <w:pStyle w:val="Normal6"/>
            </w:pPr>
            <w:r w:rsidRPr="009E35B2">
              <w:t>Jäsenvaltiot voivat päättää, että laitosten suojajärjestelmien jäsenet suorittavat</w:t>
            </w:r>
            <w:r w:rsidRPr="009E35B2">
              <w:rPr>
                <w:b/>
                <w:bCs/>
                <w:i/>
                <w:iCs/>
              </w:rPr>
              <w:t xml:space="preserve"> talletusten vakuusjärjestelmiin</w:t>
            </w:r>
            <w:r w:rsidRPr="009E35B2">
              <w:t xml:space="preserve"> pienempiä kannatusmaksuja.</w:t>
            </w:r>
          </w:p>
        </w:tc>
        <w:tc>
          <w:tcPr>
            <w:tcW w:w="4876" w:type="dxa"/>
            <w:hideMark/>
          </w:tcPr>
          <w:p w:rsidR="00E61B38" w:rsidRPr="009E35B2" w:rsidRDefault="00E61B38" w:rsidP="0024275D">
            <w:pPr>
              <w:pStyle w:val="Normal6"/>
              <w:rPr>
                <w:szCs w:val="24"/>
              </w:rPr>
            </w:pPr>
            <w:r w:rsidRPr="009E35B2">
              <w:t xml:space="preserve">Jäsenvaltiot voivat päättää, että laitosten suojajärjestelmien jäsenet suorittavat pienempiä kannatusmaksuja </w:t>
            </w:r>
            <w:r w:rsidRPr="009E35B2">
              <w:rPr>
                <w:b/>
                <w:i/>
              </w:rPr>
              <w:t>sellaisiin talletusten vakuusjärjestelmiin, joihin he ovat sidoksissa</w:t>
            </w:r>
            <w:r w:rsidRPr="009E35B2">
              <w:t>.</w:t>
            </w:r>
          </w:p>
        </w:tc>
      </w:tr>
      <w:tr w:rsidR="00E61B38" w:rsidRPr="009E35B2" w:rsidTr="0024275D">
        <w:trPr>
          <w:jc w:val="center"/>
        </w:trPr>
        <w:tc>
          <w:tcPr>
            <w:tcW w:w="4876" w:type="dxa"/>
          </w:tcPr>
          <w:p w:rsidR="00E61B38" w:rsidRPr="009E35B2" w:rsidRDefault="00E61B38" w:rsidP="0024275D">
            <w:pPr>
              <w:pStyle w:val="Normal6"/>
            </w:pPr>
            <w:r w:rsidRPr="009E35B2">
              <w:t>Jäsenvaltiot voivat sallia, että keskuslaitokseen ja kaikkiin asetuksen (EU) N:o 575/2013 10 artiklan 1 kohdan mukaan tähän keskuslaitokseen pysyvästi kuuluviin luottolaitoksiin sovelletaan kokonaisuudessaan konsolidoinnin perusteella keskuslaitokselle ja siihen kuuluville laitoksille määriteltyä riskipainotusta.</w:t>
            </w:r>
          </w:p>
        </w:tc>
        <w:tc>
          <w:tcPr>
            <w:tcW w:w="4876" w:type="dxa"/>
            <w:hideMark/>
          </w:tcPr>
          <w:p w:rsidR="00E61B38" w:rsidRPr="009E35B2" w:rsidRDefault="00E61B38" w:rsidP="0024275D">
            <w:pPr>
              <w:pStyle w:val="Normal6"/>
              <w:rPr>
                <w:szCs w:val="24"/>
              </w:rPr>
            </w:pPr>
            <w:r w:rsidRPr="009E35B2">
              <w:t>Jäsenvaltiot voivat sallia, että keskuslaitokseen ja kaikkiin asetuksen (EU) N:o 575/2013 10 artiklan 1 kohdan mukaan tähän keskuslaitokseen pysyvästi kuuluviin luottolaitoksiin sovelletaan kokonaisuudessaan konsolidoinnin perusteella keskuslaitokselle ja siihen kuuluville laitoksille määriteltyä riskipainotusta.</w:t>
            </w:r>
          </w:p>
        </w:tc>
      </w:tr>
      <w:tr w:rsidR="00E61B38" w:rsidRPr="009E35B2" w:rsidTr="0024275D">
        <w:trPr>
          <w:jc w:val="center"/>
        </w:trPr>
        <w:tc>
          <w:tcPr>
            <w:tcW w:w="4876" w:type="dxa"/>
          </w:tcPr>
          <w:p w:rsidR="00E61B38" w:rsidRPr="009E35B2" w:rsidRDefault="00E61B38" w:rsidP="0024275D">
            <w:pPr>
              <w:pStyle w:val="Normal6"/>
            </w:pPr>
            <w:r w:rsidRPr="009E35B2">
              <w:t>Jäsenvaltiot voivat päättää, että luottolaitokset maksavat vähimmäissuuruisen kannatusmaksun niiden suojattujen talletusten määrästä riippumatta.</w:t>
            </w:r>
          </w:p>
        </w:tc>
        <w:tc>
          <w:tcPr>
            <w:tcW w:w="4876" w:type="dxa"/>
            <w:hideMark/>
          </w:tcPr>
          <w:p w:rsidR="00E61B38" w:rsidRPr="009E35B2" w:rsidRDefault="00E61B38" w:rsidP="0024275D">
            <w:pPr>
              <w:pStyle w:val="Normal6"/>
              <w:rPr>
                <w:szCs w:val="24"/>
              </w:rPr>
            </w:pPr>
            <w:r w:rsidRPr="009E35B2">
              <w:t>Jäsenvaltiot voivat päättää, että luottolaitokset maksavat vähimmäissuuruisen kannatusmaksun niiden suojattujen talletusten määrästä riippumatta.</w:t>
            </w:r>
            <w:r w:rsidRPr="009E35B2">
              <w:rPr>
                <w:b/>
                <w:i/>
              </w:rPr>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311</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Marek Belka</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13 a alakohta (uusi)</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13 artikla – 1 kohta – 3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13 a)</w:t>
            </w:r>
            <w:r w:rsidRPr="009E35B2">
              <w:rPr>
                <w:b/>
                <w:i/>
              </w:rPr>
              <w:tab/>
              <w:t>Korvataan 13 artiklan 1 kohdan kolmas alakohta seuraavasti:</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Jäsenvaltiot voivat päättää, että laitosten suojajärjestelmien jäsenet suorittavat pienempiä kannatusmaksuja niihin talletusten vakuusjärjestelmiin, joiden jäseniä he ovat.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Joissakin maissa laitosten suojajärjestelmä on osoittautunut tärkeäksi tekijäksi, joka parantaa osuuspankkisektorin vakautta ja omaisuuserien laatua sekä lisää maksuvalmiutta ja sisäisiä tarkastuksia laitosten suojajärjestelmän jäsenten keskuudessa ilman talletusten vakuusjärjestelmän lisäsuojaa. Näin ollen väite, jonka mukaan laitosten suojajärjestelmät häiritsisivät eurooppalaisen talletussuojajärjestelmän ajatusta, ei ole perusteltu. Näin ollen en kannata tämän tekstin poistamista esittelijän ehdotuksen vastaisesti. Yhden kaikkiin tapauksiin sovellettavan lähestymistavan sijaan olisi omaksuttava vivahteikkaampi lähestymistapa.</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312</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Eero Heinäluoma</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14 alakohta – c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14 artikla – 2 a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2 a.</w:t>
            </w:r>
            <w:r w:rsidRPr="009E35B2">
              <w:tab/>
              <w:t>Jäsenvaltioiden on varmistettava, että vastaanottavan jäsenvaltion talletusten vakuusjärjestelmä voi edellyttäen, että asiasta on sovittu kotijäsenvaltion talletusten vakuusjärjestelmän kanssa, toimia sellaisten luottolaitosten tallettajien yhteyspisteenä, jotka käyttävät direktiivin 2013/36/EU V osaston 3 luvussa tarkoitettua palvelujen tarjoamisen vapautta, ja sille korvataan aiheutuneet kustannukset.</w:t>
            </w:r>
          </w:p>
        </w:tc>
        <w:tc>
          <w:tcPr>
            <w:tcW w:w="4876" w:type="dxa"/>
            <w:hideMark/>
          </w:tcPr>
          <w:p w:rsidR="00E61B38" w:rsidRPr="009E35B2" w:rsidRDefault="00E61B38" w:rsidP="0024275D">
            <w:pPr>
              <w:pStyle w:val="Normal6"/>
              <w:rPr>
                <w:szCs w:val="24"/>
              </w:rPr>
            </w:pPr>
            <w:r w:rsidRPr="009E35B2">
              <w:t>2 a.</w:t>
            </w:r>
            <w:r w:rsidRPr="009E35B2">
              <w:tab/>
              <w:t xml:space="preserve">Jäsenvaltioiden on varmistettava, että vastaanottavan jäsenvaltion talletusten vakuusjärjestelmä voi edellyttäen, että asiasta on sovittu kotijäsenvaltion talletusten vakuusjärjestelmän kanssa, toimia sellaisten luottolaitosten tallettajien yhteyspisteenä, jotka käyttävät direktiivin 2013/36/EU V osaston 3 luvussa tarkoitettua palvelujen tarjoamisen vapautta, ja sille korvataan aiheutuneet kustannukset. </w:t>
            </w:r>
            <w:r w:rsidRPr="009E35B2">
              <w:rPr>
                <w:b/>
                <w:i/>
              </w:rPr>
              <w:t>Kotijäsenvaltion talletusten vakuusjärjestelmän on toimitettava vastaanottavan jäsenvaltion talletusten vakuusjärjestelmälle tiedot tallettajien lukumäärästä, suojattujen talletusten määrästä ja niihin mahdollisesti tehtävistä merkityksellisistä muutoksista.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313</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Irene Tinagli,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14 alakohta – d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14 artikla – 3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3.</w:t>
            </w:r>
            <w:r w:rsidRPr="009E35B2">
              <w:tab/>
              <w:t xml:space="preserve">Jäsenvaltioiden on varmistettava, että jos luottolaitoksen jäsenyys talletusten vakuusjärjestelmässä päättyy ja luottolaitos liittyy toisen jäsenvaltion talletusten vakuusjärjestelmään tai jos jotkin luottolaitoksen toiminnoista siirretään toisen jäsenvaltion talletusten vakuusjärjestelmään, </w:t>
            </w:r>
            <w:r w:rsidRPr="009E35B2">
              <w:rPr>
                <w:b/>
                <w:i/>
              </w:rPr>
              <w:t>alkuperäinen talletusten vakuusjärjestelmää siirtää vastaanottavaan talletusten vakuusjärjestelmään kannatusmaksut, jotka ovat erääntyneet jäsenyyden muutosta edeltävien 12 kuukauden aikana, 10 artiklan 8 kohdan mukaisia ylimääräisiä kannatusmaksuja lukuun ottamatta.”;</w:t>
            </w:r>
          </w:p>
        </w:tc>
        <w:tc>
          <w:tcPr>
            <w:tcW w:w="4876" w:type="dxa"/>
            <w:hideMark/>
          </w:tcPr>
          <w:p w:rsidR="00E61B38" w:rsidRPr="009E35B2" w:rsidRDefault="00E61B38" w:rsidP="0024275D">
            <w:pPr>
              <w:pStyle w:val="Normal6"/>
              <w:rPr>
                <w:szCs w:val="24"/>
              </w:rPr>
            </w:pPr>
            <w:r w:rsidRPr="009E35B2">
              <w:t>3.</w:t>
            </w:r>
            <w:r w:rsidRPr="009E35B2">
              <w:tab/>
              <w:t xml:space="preserve">Jäsenvaltioiden on varmistettava, että jos luottolaitoksen jäsenyys talletusten vakuusjärjestelmässä päättyy ja luottolaitos liittyy toisen jäsenvaltion talletusten vakuusjärjestelmään tai jos jotkin luottolaitoksen toiminnoista siirretään toisen jäsenvaltion talletusten vakuusjärjestelmään, </w:t>
            </w:r>
            <w:r w:rsidRPr="009E35B2">
              <w:rPr>
                <w:b/>
                <w:i/>
              </w:rPr>
              <w:t>alkuperäinen talletusten vakuusjärjestelmä siirtää vastaanottavaan talletusten vakuusjärjestelmään määrän, joka vastaa vastaanottavalle talletusten vakuusjärjestelmälle siirron seurauksena aiheutuvia mahdollisia lisävelkoja, ottaen huomioon siirron vaikutus kummankin talletusten vakuusjärjestelmän rahoitustilanteeseen niiden kattamien riskien osalta.</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EPV laatii teknisten sääntelystandardien luonnokset, joissa täsmennetään siirrettävän määrän laskentamenetelmä.</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EPV toimittaa nämä teknisten sääntelystandardien luonnokset komissiolle viimeistään ... päivänä ...kuuta ... [12 kuukautta tämän muutosdirektiivin voimaantulosta].</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Siirretään komissiolle valta täydentää tätä direktiiviä hyväksymällä toisessa alakohdassa tarkoitetut tekniset sääntelystandardit Euroopan parlamentin ja neuvoston asetuksen (EU) N:o 1093/2010 10–14 artiklan mukaisesti.</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314</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Fabio Massimo Castaldo</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14 alakohta – d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14 artikla – 3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3.</w:t>
            </w:r>
            <w:r w:rsidRPr="009E35B2">
              <w:tab/>
              <w:t xml:space="preserve">Jäsenvaltioiden on varmistettava, että jos luottolaitoksen jäsenyys talletusten vakuusjärjestelmässä päättyy ja luottolaitos liittyy toisen jäsenvaltion talletusten vakuusjärjestelmään tai jos jotkin luottolaitoksen toiminnoista siirretään toisen jäsenvaltion talletusten vakuusjärjestelmään, </w:t>
            </w:r>
            <w:r w:rsidRPr="009E35B2">
              <w:rPr>
                <w:b/>
                <w:i/>
              </w:rPr>
              <w:t>alkuperäinen talletusten vakuusjärjestelmää siirtää vastaanottavaan talletusten vakuusjärjestelmään kannatusmaksut, jotka ovat erääntyneet jäsenyyden muutosta edeltävien 12 kuukauden aikana, 10 artiklan 8 kohdan mukaisia ylimääräisiä kannatusmaksuja lukuun ottamatta.”;</w:t>
            </w:r>
          </w:p>
        </w:tc>
        <w:tc>
          <w:tcPr>
            <w:tcW w:w="4876" w:type="dxa"/>
            <w:hideMark/>
          </w:tcPr>
          <w:p w:rsidR="00E61B38" w:rsidRPr="009E35B2" w:rsidRDefault="00E61B38" w:rsidP="0024275D">
            <w:pPr>
              <w:pStyle w:val="Normal6"/>
              <w:rPr>
                <w:szCs w:val="24"/>
              </w:rPr>
            </w:pPr>
            <w:r w:rsidRPr="009E35B2">
              <w:t>3.</w:t>
            </w:r>
            <w:r w:rsidRPr="009E35B2">
              <w:tab/>
              <w:t xml:space="preserve">Jäsenvaltioiden on varmistettava, että jos luottolaitoksen jäsenyys talletusten vakuusjärjestelmässä päättyy ja luottolaitos liittyy toisen jäsenvaltion talletusten vakuusjärjestelmään tai jos jotkin luottolaitoksen toiminnoista siirretään toisen jäsenvaltion talletusten vakuusjärjestelmään, </w:t>
            </w:r>
            <w:r w:rsidRPr="009E35B2">
              <w:rPr>
                <w:b/>
                <w:i/>
              </w:rPr>
              <w:t>alkuperäinen talletusten vakuusjärjestelmä siirtää vastaanottavaan talletusten vakuusjärjestelmään määrän, joka vastaa vastaanottavalle talletusten vakuusjärjestelmälle siirron seurauksena aiheutuvia mahdollisia lisävelkoja, ottaen huomioon siirron vaikutus kummankin talletusten vakuusjärjestelmän rahoitustilanteeseen niiden kattamien riskien osalta.</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EPV laatii ohjeet, joissa täsmennetään siirrettävän määrän laskentamenetelmä sen varmistamiseksi, että siirrolla on neutraali vaikutus kummankin talletusten vakuusjärjestelmän rahoitustilanteeseen niiden kattamien riskien osalta.</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EPV toimittaa nämä ohjeet komissiolle viimeistään ... päivänä ...kuuta ... [12 kuukautta tämän muutosdirektiivin voimaantulosta].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315</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Gilles Boyer, Stéphanie Yon-Courtin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14 alakohta – d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14 artikla – 3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3.</w:t>
            </w:r>
            <w:r w:rsidRPr="009E35B2">
              <w:tab/>
              <w:t xml:space="preserve">Jäsenvaltioiden on varmistettava, että jos luottolaitoksen jäsenyys talletusten vakuusjärjestelmässä päättyy ja luottolaitos liittyy toisen jäsenvaltion talletusten vakuusjärjestelmään tai jos jotkin luottolaitoksen toiminnoista siirretään toisen jäsenvaltion talletusten vakuusjärjestelmään, alkuperäinen talletusten </w:t>
            </w:r>
            <w:r w:rsidRPr="009E35B2">
              <w:rPr>
                <w:b/>
                <w:i/>
              </w:rPr>
              <w:t>vakuusjärjestelmää</w:t>
            </w:r>
            <w:r w:rsidRPr="009E35B2">
              <w:t xml:space="preserve"> siirtää vastaanottavaan talletusten vakuusjärjestelmään kannatusmaksut</w:t>
            </w:r>
            <w:r w:rsidRPr="009E35B2">
              <w:rPr>
                <w:b/>
                <w:i/>
              </w:rPr>
              <w:t xml:space="preserve">, jotka ovat erääntyneet jäsenyyden muutosta edeltävien 12 kuukauden aikana, </w:t>
            </w:r>
            <w:r w:rsidRPr="009E35B2">
              <w:t xml:space="preserve">10 artiklan 8 kohdan mukaisia ylimääräisiä kannatusmaksuja </w:t>
            </w:r>
            <w:r w:rsidRPr="009E35B2">
              <w:rPr>
                <w:b/>
                <w:i/>
              </w:rPr>
              <w:t>lukuun ottamatta</w:t>
            </w:r>
            <w:r w:rsidRPr="009E35B2">
              <w:t>.”;</w:t>
            </w:r>
          </w:p>
        </w:tc>
        <w:tc>
          <w:tcPr>
            <w:tcW w:w="4876" w:type="dxa"/>
            <w:hideMark/>
          </w:tcPr>
          <w:p w:rsidR="00E61B38" w:rsidRPr="009E35B2" w:rsidRDefault="00E61B38" w:rsidP="0024275D">
            <w:pPr>
              <w:pStyle w:val="Normal6"/>
              <w:rPr>
                <w:szCs w:val="24"/>
              </w:rPr>
            </w:pPr>
            <w:r w:rsidRPr="009E35B2">
              <w:t>3.</w:t>
            </w:r>
            <w:r w:rsidRPr="009E35B2">
              <w:tab/>
              <w:t xml:space="preserve">Jäsenvaltioiden on varmistettava, että jos luottolaitoksen jäsenyys talletusten vakuusjärjestelmässä päättyy ja luottolaitos liittyy toisen jäsenvaltion talletusten vakuusjärjestelmään tai jos jotkin luottolaitoksen toiminnoista siirretään toisen jäsenvaltion talletusten vakuusjärjestelmään, alkuperäinen talletusten </w:t>
            </w:r>
            <w:r w:rsidRPr="009E35B2">
              <w:rPr>
                <w:b/>
                <w:i/>
              </w:rPr>
              <w:t>vakuusjärjestelmä</w:t>
            </w:r>
            <w:r w:rsidRPr="009E35B2">
              <w:t xml:space="preserve"> siirtää vastaanottavaan talletusten vakuusjärjestelmään </w:t>
            </w:r>
            <w:r w:rsidRPr="009E35B2">
              <w:rPr>
                <w:b/>
                <w:i/>
              </w:rPr>
              <w:t xml:space="preserve">asianomaisen luottolaitoksen </w:t>
            </w:r>
            <w:r w:rsidRPr="009E35B2">
              <w:t xml:space="preserve">kannatusmaksut </w:t>
            </w:r>
            <w:r w:rsidRPr="009E35B2">
              <w:rPr>
                <w:b/>
                <w:i/>
              </w:rPr>
              <w:t>lukuun ottamatta</w:t>
            </w:r>
            <w:r w:rsidRPr="009E35B2">
              <w:t xml:space="preserve"> 10 artiklan 8 kohdan mukaisia ylimääräisiä kannatusmaksuja</w:t>
            </w:r>
            <w:r w:rsidRPr="009E35B2">
              <w:rPr>
                <w:b/>
                <w:i/>
              </w:rPr>
              <w:t>, alkuperäisen talletusten vakuusjärjestelmän kirjaamia nettovoittoja ja -tappioita, mukaan lukien aiemmat tukitoimet, sijoitustulot ja odotettavissa olevat perittävät saatavat</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The change of DGS membership transfers all the risk from the original DGS to the new DGS. And there is no rationale for paying twice a contribution for the same risk. Unless this provision is amended, it imposes a significant cost on any crossborder re-organisation, specifically through “branchification”, as pointed out by the SSM President in September 2021.The amount to be transferred should be close to the total amount paid by the related credit institution (with the exception of extraordinary contributions and part of the contributions used for past interventions). Some technical elements regarding the calculation of the amount to be transfered could also be set by EBA guidelines.</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316</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José Manuel García-Margallo y Marfil</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14 alakohta – d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14 artikla – 3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3.</w:t>
            </w:r>
            <w:r w:rsidRPr="009E35B2">
              <w:tab/>
              <w:t xml:space="preserve">Jäsenvaltioiden on varmistettava, että jos luottolaitoksen jäsenyys talletusten vakuusjärjestelmässä päättyy ja luottolaitos liittyy toisen jäsenvaltion talletusten vakuusjärjestelmään tai jos jotkin luottolaitoksen toiminnoista siirretään toisen jäsenvaltion talletusten vakuusjärjestelmään, alkuperäinen talletusten </w:t>
            </w:r>
            <w:r w:rsidRPr="009E35B2">
              <w:rPr>
                <w:b/>
                <w:i/>
              </w:rPr>
              <w:t>vakuusjärjestelmää</w:t>
            </w:r>
            <w:r w:rsidRPr="009E35B2">
              <w:t xml:space="preserve"> siirtää vastaanottavaan talletusten vakuusjärjestelmään kannatusmaksut, </w:t>
            </w:r>
            <w:r w:rsidRPr="009E35B2">
              <w:rPr>
                <w:b/>
                <w:i/>
              </w:rPr>
              <w:t>jotka ovat erääntyneet jäsenyyden muutosta edeltävien 12 kuukauden aikana,</w:t>
            </w:r>
            <w:r w:rsidRPr="009E35B2">
              <w:t xml:space="preserve"> 10 artiklan 8 kohdan mukaisia ylimääräisiä kannatusmaksuja lukuun ottamatta.”;</w:t>
            </w:r>
          </w:p>
        </w:tc>
        <w:tc>
          <w:tcPr>
            <w:tcW w:w="4876" w:type="dxa"/>
            <w:hideMark/>
          </w:tcPr>
          <w:p w:rsidR="00E61B38" w:rsidRPr="009E35B2" w:rsidRDefault="00E61B38" w:rsidP="0024275D">
            <w:pPr>
              <w:pStyle w:val="Normal6"/>
              <w:rPr>
                <w:szCs w:val="24"/>
              </w:rPr>
            </w:pPr>
            <w:r w:rsidRPr="009E35B2">
              <w:t>3.</w:t>
            </w:r>
            <w:r w:rsidRPr="009E35B2">
              <w:tab/>
              <w:t xml:space="preserve">Jäsenvaltioiden on varmistettava, että jos luottolaitoksen jäsenyys talletusten vakuusjärjestelmässä päättyy ja luottolaitos liittyy toisen jäsenvaltion talletusten vakuusjärjestelmään tai jos jotkin luottolaitoksen toiminnoista siirretään toisen jäsenvaltion talletusten vakuusjärjestelmään, alkuperäinen talletusten </w:t>
            </w:r>
            <w:r w:rsidRPr="009E35B2">
              <w:rPr>
                <w:b/>
                <w:i/>
              </w:rPr>
              <w:t>vakuusjärjestelmä</w:t>
            </w:r>
            <w:r w:rsidRPr="009E35B2">
              <w:t xml:space="preserve"> siirtää vastaanottavaan talletusten vakuusjärjestelmään kannatusmaksut </w:t>
            </w:r>
            <w:r w:rsidRPr="009E35B2">
              <w:rPr>
                <w:b/>
                <w:i/>
              </w:rPr>
              <w:t>ja talletusten vakuusjärjestelmän jäsenyyden aikana mahdollisesti sattuneiden korvaustilanteiden suhteellisen nettomäärän</w:t>
            </w:r>
            <w:r w:rsidRPr="009E35B2">
              <w:t>, 10 artiklan 8 kohdan mukaisia ylimääräisiä kannatusmaksuja lukuun ottamatta.”;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317</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José Manuel García-Margallo y Marfil</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14 alakohta – d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14 artikla – 3 b kohta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3 b.</w:t>
            </w:r>
            <w:r w:rsidRPr="009E35B2">
              <w:rPr>
                <w:b/>
                <w:i/>
              </w:rPr>
              <w:tab/>
              <w:t>Edellä olevan 3 kohdan mukaisesti EPV laatii siirrettävien rahoitusosuuksien laskentamenetelmän täsmentämiseksi teknisten sääntelystandardien luonnokset kuuden kuukauden kuluessa tämän asetuksen voimaantulosta.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318</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14 alakohta – e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2014/59/EU</w:t>
      </w:r>
      <w:r w:rsidRPr="009E35B2">
        <w:rPr>
          <w:rStyle w:val="HideTWBExt"/>
        </w:rPr>
        <w:t>&lt;/DocAmend2&gt;</w:t>
      </w:r>
    </w:p>
    <w:p w:rsidR="00E61B38" w:rsidRPr="009E35B2" w:rsidRDefault="00E61B38" w:rsidP="00E61B38">
      <w:r w:rsidRPr="009E35B2">
        <w:rPr>
          <w:rStyle w:val="HideTWBExt"/>
        </w:rPr>
        <w:t>&lt;Article2&gt;</w:t>
      </w:r>
      <w:r w:rsidRPr="009E35B2">
        <w:t>14 artikla – 3 a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3 a.</w:t>
            </w:r>
            <w:r w:rsidRPr="009E35B2">
              <w:tab/>
              <w:t xml:space="preserve">Edellä olevan 3 kohdan soveltamiseksi jäsenvaltioiden on varmistettava, että alkuperäinen talletusten vakuusjärjestelmä siirtää kyseisessä kohdassa tarkoitetun määrän </w:t>
            </w:r>
            <w:r w:rsidRPr="009E35B2">
              <w:rPr>
                <w:b/>
                <w:i/>
              </w:rPr>
              <w:t>yhden</w:t>
            </w:r>
            <w:r w:rsidRPr="009E35B2">
              <w:t xml:space="preserve"> kuukauden kuluessa talletusten vakuusjärjestelmän jäsenyydessä tapahtuneesta muutoksesta.</w:t>
            </w:r>
          </w:p>
        </w:tc>
        <w:tc>
          <w:tcPr>
            <w:tcW w:w="4876" w:type="dxa"/>
            <w:hideMark/>
          </w:tcPr>
          <w:p w:rsidR="00E61B38" w:rsidRPr="009E35B2" w:rsidRDefault="00E61B38" w:rsidP="0024275D">
            <w:pPr>
              <w:pStyle w:val="Normal6"/>
              <w:rPr>
                <w:szCs w:val="24"/>
              </w:rPr>
            </w:pPr>
            <w:r w:rsidRPr="009E35B2">
              <w:t>3 a.</w:t>
            </w:r>
            <w:r w:rsidRPr="009E35B2">
              <w:tab/>
              <w:t xml:space="preserve">Edellä olevan 3 kohdan soveltamiseksi jäsenvaltioiden on varmistettava, että alkuperäinen talletusten vakuusjärjestelmä siirtää kyseisessä kohdassa tarkoitetun määrän </w:t>
            </w:r>
            <w:r w:rsidRPr="009E35B2">
              <w:rPr>
                <w:b/>
                <w:i/>
              </w:rPr>
              <w:t>kolmen</w:t>
            </w:r>
            <w:r w:rsidRPr="009E35B2">
              <w:t xml:space="preserve"> kuukauden kuluessa </w:t>
            </w:r>
            <w:r w:rsidRPr="009E35B2">
              <w:rPr>
                <w:b/>
                <w:i/>
              </w:rPr>
              <w:t xml:space="preserve">siitä, kun talletusten vakuusjärjestelmälle ilmoitetaan </w:t>
            </w:r>
            <w:r w:rsidRPr="009E35B2">
              <w:t>talletusten vakuusjärjestelmän jäsenyydessä tapahtuneesta muutoksesta.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Käytännön näkökulmasta kuukauden jakso on usein liian lyhyt. Koska tietoja ei välttämättä toimiteta samanaikaisesti muutoksen kanssa, määräaikaa ei pitäisi aloittaa ennen kuin talletusten vakuusjärjestelmälle on ilmoitettu asiasta.</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319</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16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15 a artikla – 1 a kohta (uusi)</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tcPr>
          <w:p w:rsidR="00E61B38" w:rsidRPr="009E35B2" w:rsidRDefault="00E61B38" w:rsidP="0024275D">
            <w:pPr>
              <w:pStyle w:val="Normal6"/>
            </w:pPr>
          </w:p>
        </w:tc>
        <w:tc>
          <w:tcPr>
            <w:tcW w:w="4876" w:type="dxa"/>
            <w:hideMark/>
          </w:tcPr>
          <w:p w:rsidR="00E61B38" w:rsidRPr="009E35B2" w:rsidRDefault="00E61B38" w:rsidP="0024275D">
            <w:pPr>
              <w:pStyle w:val="Normal6"/>
              <w:rPr>
                <w:szCs w:val="24"/>
              </w:rPr>
            </w:pPr>
            <w:r w:rsidRPr="009E35B2">
              <w:rPr>
                <w:b/>
                <w:i/>
              </w:rPr>
              <w:t>EPV antaa ohjeet, joissa täsmennetään olosuhteet, joissa nimettyjen viranomaisten olisi hyväksyttävä tallettajien suoja sellaisissa sivukonttoreissa, jotka talletusten vakuusjärjestelmän jäseninä olevat luottolaitokset ovat perustaneet kolmansiin maihin.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320</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Markus Ferber, Herbert Dorfmann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17 alakohta – c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16 artikla – 2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2.</w:t>
            </w:r>
            <w:r w:rsidRPr="009E35B2">
              <w:tab/>
              <w:t xml:space="preserve">Jäsenvaltioiden on varmistettava, että luottolaitokset toimittavat 1 kohdassa tarkoitetun tiedotteen ennen talletusten vastaanottoa koskevan sopimuksen tekoa </w:t>
            </w:r>
            <w:r w:rsidRPr="009E35B2">
              <w:rPr>
                <w:b/>
                <w:i/>
              </w:rPr>
              <w:t>ja sen jälkeen vuosittain. Tallettajien on ilmoitettava saaneensa tiedotteen</w:t>
            </w:r>
            <w:r w:rsidRPr="009E35B2">
              <w:t>.”;</w:t>
            </w:r>
          </w:p>
        </w:tc>
        <w:tc>
          <w:tcPr>
            <w:tcW w:w="4876" w:type="dxa"/>
            <w:hideMark/>
          </w:tcPr>
          <w:p w:rsidR="00E61B38" w:rsidRPr="009E35B2" w:rsidRDefault="00E61B38" w:rsidP="0024275D">
            <w:pPr>
              <w:pStyle w:val="Normal6"/>
              <w:rPr>
                <w:szCs w:val="24"/>
              </w:rPr>
            </w:pPr>
            <w:r w:rsidRPr="009E35B2">
              <w:t>2.</w:t>
            </w:r>
            <w:r w:rsidRPr="009E35B2">
              <w:tab/>
              <w:t>Jäsenvaltioiden on varmistettava, että luottolaitokset toimittavat 1 kohdassa tarkoitetun tiedotteen ennen talletusten vastaanottoa koskevan sopimuksen tekoa.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Vuosittaiset tiedotusvaatimukset ja tallettajan antama ilmoitus tiedotteen vastaanottamisesta vaikuttavat tarpeettoman raskailta.</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321</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17 alakohta – c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2014/59/EU</w:t>
      </w:r>
      <w:r w:rsidRPr="009E35B2">
        <w:rPr>
          <w:rStyle w:val="HideTWBExt"/>
        </w:rPr>
        <w:t>&lt;/DocAmend2&gt;</w:t>
      </w:r>
    </w:p>
    <w:p w:rsidR="00E61B38" w:rsidRPr="009E35B2" w:rsidRDefault="00E61B38" w:rsidP="00E61B38">
      <w:r w:rsidRPr="009E35B2">
        <w:rPr>
          <w:rStyle w:val="HideTWBExt"/>
        </w:rPr>
        <w:t>&lt;Article2&gt;</w:t>
      </w:r>
      <w:r w:rsidRPr="009E35B2">
        <w:t>16 artikla – 2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2.</w:t>
            </w:r>
            <w:r w:rsidRPr="009E35B2">
              <w:tab/>
              <w:t xml:space="preserve">Jäsenvaltioiden on varmistettava, että luottolaitokset toimittavat 1 kohdassa tarkoitetun tiedotteen ennen talletusten vastaanottoa koskevan sopimuksen tekoa </w:t>
            </w:r>
            <w:r w:rsidRPr="009E35B2">
              <w:rPr>
                <w:b/>
                <w:i/>
              </w:rPr>
              <w:t>ja sen jälkeen vuosittain. Tallettajien on ilmoitettava saaneensa tiedotteen</w:t>
            </w:r>
            <w:r w:rsidRPr="009E35B2">
              <w:t>.”;</w:t>
            </w:r>
          </w:p>
        </w:tc>
        <w:tc>
          <w:tcPr>
            <w:tcW w:w="4876" w:type="dxa"/>
            <w:hideMark/>
          </w:tcPr>
          <w:p w:rsidR="00E61B38" w:rsidRPr="009E35B2" w:rsidRDefault="00E61B38" w:rsidP="0024275D">
            <w:pPr>
              <w:pStyle w:val="Normal6"/>
              <w:rPr>
                <w:szCs w:val="24"/>
              </w:rPr>
            </w:pPr>
            <w:r w:rsidRPr="009E35B2">
              <w:t>2.</w:t>
            </w:r>
            <w:r w:rsidRPr="009E35B2">
              <w:tab/>
              <w:t>Jäsenvaltioiden on varmistettava, että luottolaitokset toimittavat 1 kohdassa tarkoitetun tiedotteen ennen talletusten vastaanottoa koskevan sopimuksen tekoa.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Credit Institutions should not be obliged to obtain the acknowledgement of receipt of the information sheet by the depositor. They should also not have to provide the depositor with the information sheet every year. It should suffice that they provide the depositor with the information sheet once before they enter into a contract on deposit-taking.The information sheet does not provide a real benefit to the depositor, its distribution is very expensive and harmful to the environment and it leads to cumbersome user journeys online. In analogous processes, the mailing of the information sheet and the acknowledgement of receipt causes enormous costs (costs for mailing and/or expansion of IT systems as well as corresponding customer information; costs due to closure of corresponding deposit accounts in the event of non-confirmation; at least EUR 5 per customer) without in any way ensuring that the customers read the information sheet.Even if read by the depositor, the information is not of much use to him. In view of the similarity of the statutory deposit protection at all credit institutions, there are no better or worse protection alternatives. There is also no longer any need to apply for compensation; instead, the credit balance must be reimbursed automatically by the compensation scheme. There is even less of a need for depositors to receive this information anew every year. This regularly causes uncertainty and queries – customers ask their bank for an explanation of the letter or even outright demand the payment of the protected amount to themselves.</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322</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17 alakohta – g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2014/59/EU</w:t>
      </w:r>
      <w:r w:rsidRPr="009E35B2">
        <w:rPr>
          <w:rStyle w:val="HideTWBExt"/>
        </w:rPr>
        <w:t>&lt;/DocAmend2&gt;</w:t>
      </w:r>
    </w:p>
    <w:p w:rsidR="00E61B38" w:rsidRPr="009E35B2" w:rsidRDefault="00E61B38" w:rsidP="00E61B38">
      <w:r w:rsidRPr="009E35B2">
        <w:rPr>
          <w:rStyle w:val="HideTWBExt"/>
        </w:rPr>
        <w:t>&lt;Article2&gt;</w:t>
      </w:r>
      <w:r w:rsidRPr="009E35B2">
        <w:t>16 artikla – 7 a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7 a.</w:t>
            </w:r>
            <w:r w:rsidRPr="009E35B2">
              <w:tab/>
              <w:t xml:space="preserve">Jäsenvaltioiden on varmistettava, että </w:t>
            </w:r>
            <w:r w:rsidRPr="009E35B2">
              <w:rPr>
                <w:b/>
                <w:i/>
              </w:rPr>
              <w:t>asianomaiset nimetyt viranomaiset,</w:t>
            </w:r>
            <w:r w:rsidRPr="009E35B2">
              <w:t xml:space="preserve"> talletusten vakuusjärjestelmät </w:t>
            </w:r>
            <w:r w:rsidRPr="009E35B2">
              <w:rPr>
                <w:b/>
                <w:i/>
              </w:rPr>
              <w:t>ja luottolaitokset</w:t>
            </w:r>
            <w:r w:rsidRPr="009E35B2">
              <w:t xml:space="preserve"> ilmoittavat tallettajille, myös julkaisemalla tiedon verkkosivustollaan, että asianomainen hallintoviranomainen on tehnyt 2 artiklan 1 kohdan 8 alakohdan a alakohdassa tarkoitetun määrityksen tai että oikeusviranomainen on antanut 2 artiklan 1 kohdan 8 alakohdan b alakohdassa tarkoitetun päätöksen.</w:t>
            </w:r>
            <w:r w:rsidRPr="009E35B2">
              <w:rPr>
                <w:b/>
                <w:i/>
              </w:rPr>
              <w:t>”;</w:t>
            </w:r>
          </w:p>
        </w:tc>
        <w:tc>
          <w:tcPr>
            <w:tcW w:w="4876" w:type="dxa"/>
            <w:hideMark/>
          </w:tcPr>
          <w:p w:rsidR="00E61B38" w:rsidRPr="009E35B2" w:rsidRDefault="00E61B38" w:rsidP="0024275D">
            <w:pPr>
              <w:pStyle w:val="Normal6"/>
              <w:rPr>
                <w:szCs w:val="24"/>
              </w:rPr>
            </w:pPr>
            <w:r w:rsidRPr="009E35B2">
              <w:t>7 a.</w:t>
            </w:r>
            <w:r w:rsidRPr="009E35B2">
              <w:tab/>
              <w:t>Jäsenvaltioiden on varmistettava, että talletusten vakuusjärjestelmät ilmoittavat tallettajille, myös julkaisemalla tiedon verkkosivustollaan, että asianomainen hallintoviranomainen on tehnyt 2 artiklan 1 kohdan 8 alakohdan a alakohdassa tarkoitetun määrityksen tai että oikeusviranomainen on antanut 2 artiklan 1 kohdan 8 alakohdan b alakohdassa tarkoitetun päätöksen.</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Talletusten vakuusjärjestelmän olisi oltava virallinen tiedon lähde tällaisissa tapauksissa. Kolmen eri viraston antamat tiedot lisäävät tarpeettomasti koordinointityöta tuottamatta lisäarvoa. Päinvastoin, ne voivat johtaa sekaannuksiin tallettajien välillä.</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323</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18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16 a artikla – 3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3.</w:t>
            </w:r>
            <w:r w:rsidRPr="009E35B2">
              <w:tab/>
              <w:t xml:space="preserve">Jäsenvaltioiden on varmistettava, että talletusten vakuusjärjestelmät ilmoittavat kunkin vuoden maaliskuun 31 päivään mennessä EPV:lle kulloisessakin jäsenvaltiossa olevien suojattujen talletusten määrän edellisen vuoden joulukuun 31 päivänä. Talletusten vakuusjärjestelmien on samaan päivään mennessä myös ilmoitettava EPV:lle niiden käytettävissä olevien rahoitusvarojen määrä, mukaan lukien lainattujen varojen osuus, maksusitoumukset ja tavoitetason saavuttamista koskeva aikataulu </w:t>
            </w:r>
            <w:r w:rsidRPr="009E35B2">
              <w:rPr>
                <w:b/>
                <w:i/>
              </w:rPr>
              <w:t>talletusten vakuusjärjestelmän varoja käytettäessä</w:t>
            </w:r>
            <w:r w:rsidRPr="009E35B2">
              <w:t>.</w:t>
            </w:r>
          </w:p>
        </w:tc>
        <w:tc>
          <w:tcPr>
            <w:tcW w:w="4876" w:type="dxa"/>
            <w:hideMark/>
          </w:tcPr>
          <w:p w:rsidR="00E61B38" w:rsidRPr="009E35B2" w:rsidRDefault="00E61B38" w:rsidP="0024275D">
            <w:pPr>
              <w:pStyle w:val="Normal6"/>
              <w:rPr>
                <w:szCs w:val="24"/>
              </w:rPr>
            </w:pPr>
            <w:r w:rsidRPr="009E35B2">
              <w:t>3.</w:t>
            </w:r>
            <w:r w:rsidRPr="009E35B2">
              <w:tab/>
              <w:t>Jäsenvaltioiden on varmistettava, että talletusten vakuusjärjestelmät ilmoittavat kunkin vuoden maaliskuun 31 päivään mennessä EPV:lle</w:t>
            </w:r>
            <w:r w:rsidRPr="009E35B2">
              <w:rPr>
                <w:b/>
                <w:i/>
              </w:rPr>
              <w:t xml:space="preserve"> ja yhteiselle kriisinratkaisuneuvostolle</w:t>
            </w:r>
            <w:r w:rsidRPr="009E35B2">
              <w:t xml:space="preserve"> kulloisessakin jäsenvaltiossa olevien suojattujen talletusten määrän edellisen vuoden joulukuun 31 päivänä. Talletusten vakuusjärjestelmien on samaan päivään mennessä myös ilmoitettava EPV:lle </w:t>
            </w:r>
            <w:r w:rsidRPr="009E35B2">
              <w:rPr>
                <w:b/>
                <w:i/>
              </w:rPr>
              <w:t>ja yhteiselle kriisinratkaisuneuvostolle</w:t>
            </w:r>
            <w:r w:rsidRPr="009E35B2">
              <w:t xml:space="preserve"> niiden käytettävissä olevien rahoitusvarojen määrä, mukaan lukien lainattujen varojen osuus, maksusitoumukset ja tavoitetason saavuttamista koskeva aikataulu </w:t>
            </w:r>
            <w:r w:rsidRPr="009E35B2">
              <w:rPr>
                <w:b/>
                <w:i/>
              </w:rPr>
              <w:t>10 artiklan 2 kohdassa tarkoitetun talletusten vakuusjärjestelmän varojen maksujen suorittamisen jälkeen</w:t>
            </w:r>
            <w:r w:rsidRPr="009E35B2">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324</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18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2014/59/EU</w:t>
      </w:r>
      <w:r w:rsidRPr="009E35B2">
        <w:rPr>
          <w:rStyle w:val="HideTWBExt"/>
        </w:rPr>
        <w:t>&lt;/DocAmend2&gt;</w:t>
      </w:r>
    </w:p>
    <w:p w:rsidR="00E61B38" w:rsidRPr="009E35B2" w:rsidRDefault="00E61B38" w:rsidP="00E61B38">
      <w:r w:rsidRPr="009E35B2">
        <w:rPr>
          <w:rStyle w:val="HideTWBExt"/>
        </w:rPr>
        <w:t>&lt;Article2&gt;</w:t>
      </w:r>
      <w:r w:rsidRPr="009E35B2">
        <w:t>16 a artikla – 3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3.</w:t>
            </w:r>
            <w:r w:rsidRPr="009E35B2">
              <w:tab/>
              <w:t>Jäsenvaltioiden on varmistettava, että talletusten vakuusjärjestelmät ilmoittavat kunkin vuoden maaliskuun 31 päivään mennessä EPV:lle kulloisessakin jäsenvaltiossa olevien suojattujen talletusten määrän edellisen vuoden joulukuun 31 päivänä. Talletusten vakuusjärjestelmien on samaan päivään mennessä myös ilmoitettava EPV:lle niiden käytettävissä olevien rahoitusvarojen määrä</w:t>
            </w:r>
            <w:r w:rsidRPr="009E35B2">
              <w:rPr>
                <w:b/>
                <w:i/>
              </w:rPr>
              <w:t>, mukaan lukien lainattujen varojen osuus, maksusitoumukset</w:t>
            </w:r>
            <w:r w:rsidRPr="009E35B2">
              <w:t xml:space="preserve"> ja tavoitetason saavuttamista koskeva aikataulu talletusten vakuusjärjestelmän varoja käytettäessä.</w:t>
            </w:r>
          </w:p>
        </w:tc>
        <w:tc>
          <w:tcPr>
            <w:tcW w:w="4876" w:type="dxa"/>
            <w:hideMark/>
          </w:tcPr>
          <w:p w:rsidR="00E61B38" w:rsidRPr="009E35B2" w:rsidRDefault="00E61B38" w:rsidP="0024275D">
            <w:pPr>
              <w:pStyle w:val="Normal6"/>
              <w:rPr>
                <w:szCs w:val="24"/>
              </w:rPr>
            </w:pPr>
            <w:r w:rsidRPr="009E35B2">
              <w:t>3.</w:t>
            </w:r>
            <w:r w:rsidRPr="009E35B2">
              <w:tab/>
              <w:t>Jäsenvaltioiden on varmistettava, että talletusten vakuusjärjestelmät ilmoittavat kunkin vuoden maaliskuun 31 päivään mennessä EPV:lle kulloisessakin jäsenvaltiossa olevien suojattujen talletusten määrän edellisen vuoden joulukuun 31 päivänä. Talletusten vakuusjärjestelmien on samaan päivään mennessä myös ilmoitettava EPV:lle niiden käytettävissä olevien rahoitusvarojen määrä ja tavoitetason saavuttamista koskeva aikataulu talletusten vakuusjärjestelmän varoja käytettäessä.</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325</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18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16 a artikla – 4 kohta – 1 alakohta – johdantokappale</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Jäsenvaltioiden on varmistettava, että nimetyt viranomaiset ilmoittavat EPV:lle ilman aiheetonta viivytystä kaikista seuraavista:</w:t>
            </w:r>
          </w:p>
        </w:tc>
        <w:tc>
          <w:tcPr>
            <w:tcW w:w="4876" w:type="dxa"/>
            <w:hideMark/>
          </w:tcPr>
          <w:p w:rsidR="00E61B38" w:rsidRPr="009E35B2" w:rsidRDefault="00E61B38" w:rsidP="0024275D">
            <w:pPr>
              <w:pStyle w:val="Normal6"/>
              <w:rPr>
                <w:szCs w:val="24"/>
              </w:rPr>
            </w:pPr>
            <w:r w:rsidRPr="009E35B2">
              <w:t xml:space="preserve">Jäsenvaltioiden on varmistettava, että nimetyt viranomaiset ilmoittavat EPV:lle </w:t>
            </w:r>
            <w:r w:rsidRPr="009E35B2">
              <w:rPr>
                <w:b/>
                <w:i/>
              </w:rPr>
              <w:t>ja yhteiselle kriisinratkaisuneuvostolle</w:t>
            </w:r>
            <w:r w:rsidRPr="009E35B2">
              <w:t xml:space="preserve"> ilman aiheetonta viivytystä kaikista seuraavista: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326</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18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2014/59/EU</w:t>
      </w:r>
      <w:r w:rsidRPr="009E35B2">
        <w:rPr>
          <w:rStyle w:val="HideTWBExt"/>
        </w:rPr>
        <w:t>&lt;/DocAmend2&gt;</w:t>
      </w:r>
    </w:p>
    <w:p w:rsidR="00E61B38" w:rsidRPr="009E35B2" w:rsidRDefault="00E61B38" w:rsidP="00E61B38">
      <w:r w:rsidRPr="009E35B2">
        <w:rPr>
          <w:rStyle w:val="HideTWBExt"/>
        </w:rPr>
        <w:t>&lt;Article2&gt;</w:t>
      </w:r>
      <w:r w:rsidRPr="009E35B2">
        <w:t>16 a artikla – 4 kohta – b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b)</w:t>
            </w:r>
            <w:r w:rsidRPr="009E35B2">
              <w:tab/>
              <w:t xml:space="preserve">se, onko 11 artiklan 2, 3 ja 5 kohdassa tarkoitettuja toimenpiteitä sovellettu, ja 8 artiklan 1 kohdan ja 11 artiklan 2, 3 ja 5 kohdan mukaisesti käytettyjen varojen määrä </w:t>
            </w:r>
            <w:r w:rsidRPr="009E35B2">
              <w:rPr>
                <w:b/>
                <w:i/>
              </w:rPr>
              <w:t>sekä tarvittaessa ja kun tiedot ovat saatavilla, takaisinperittyjen varojen määrä, talletusten vakuusjärjestelmälle takaisinperinnästä aiheutuneet kustannukset ja takaisinperintämenettelyn kesto;</w:t>
            </w:r>
          </w:p>
        </w:tc>
        <w:tc>
          <w:tcPr>
            <w:tcW w:w="4876" w:type="dxa"/>
            <w:hideMark/>
          </w:tcPr>
          <w:p w:rsidR="00E61B38" w:rsidRPr="009E35B2" w:rsidRDefault="00E61B38" w:rsidP="0024275D">
            <w:pPr>
              <w:pStyle w:val="Normal6"/>
              <w:rPr>
                <w:szCs w:val="24"/>
              </w:rPr>
            </w:pPr>
            <w:r w:rsidRPr="009E35B2">
              <w:t>b)</w:t>
            </w:r>
            <w:r w:rsidRPr="009E35B2">
              <w:tab/>
              <w:t>se, onko 11 artiklan 2, 3 ja 5 kohdassa tarkoitettuja toimenpiteitä sovellettu, ja 8 artiklan 1 kohdan ja 11 artiklan 2, 3 ja 5 kohdan mukaisesti käytettyjen varojen määrä</w:t>
            </w:r>
            <w:r w:rsidRPr="009E35B2">
              <w:rPr>
                <w:b/>
                <w:i/>
              </w:rPr>
              <w:t>.</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327</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18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2014/59/EU</w:t>
      </w:r>
      <w:r w:rsidRPr="009E35B2">
        <w:rPr>
          <w:rStyle w:val="HideTWBExt"/>
        </w:rPr>
        <w:t>&lt;/DocAmend2&gt;</w:t>
      </w:r>
    </w:p>
    <w:p w:rsidR="00E61B38" w:rsidRPr="009E35B2" w:rsidRDefault="00E61B38" w:rsidP="00E61B38">
      <w:r w:rsidRPr="009E35B2">
        <w:rPr>
          <w:rStyle w:val="HideTWBExt"/>
        </w:rPr>
        <w:t>&lt;Article2&gt;</w:t>
      </w:r>
      <w:r w:rsidRPr="009E35B2">
        <w:t>16 a artikla – 4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rPr>
                <w:b/>
                <w:i/>
              </w:rPr>
              <w:t>Ensimmäisessä alakohdassa tarkoitetun ilmoituksen on sisällettävä yhteenveto, jossa kuvaillaan kaikkia seuraavia:</w:t>
            </w:r>
          </w:p>
        </w:tc>
        <w:tc>
          <w:tcPr>
            <w:tcW w:w="4876" w:type="dxa"/>
            <w:hideMark/>
          </w:tcPr>
          <w:p w:rsidR="00E61B38" w:rsidRPr="009E35B2" w:rsidRDefault="00E61B38" w:rsidP="0024275D">
            <w:pPr>
              <w:pStyle w:val="Normal6"/>
              <w:rPr>
                <w:szCs w:val="24"/>
              </w:rPr>
            </w:pPr>
            <w:r w:rsidRPr="009E35B2">
              <w:rPr>
                <w:b/>
                <w:i/>
              </w:rPr>
              <w:t>Poistetaan.</w:t>
            </w:r>
          </w:p>
        </w:tc>
      </w:tr>
      <w:tr w:rsidR="00E61B38" w:rsidRPr="009E35B2" w:rsidTr="0024275D">
        <w:trPr>
          <w:jc w:val="center"/>
        </w:trPr>
        <w:tc>
          <w:tcPr>
            <w:tcW w:w="4876" w:type="dxa"/>
            <w:hideMark/>
          </w:tcPr>
          <w:p w:rsidR="00E61B38" w:rsidRPr="009E35B2" w:rsidRDefault="00E61B38" w:rsidP="0024275D">
            <w:pPr>
              <w:pStyle w:val="Normal6"/>
            </w:pPr>
            <w:r w:rsidRPr="009E35B2">
              <w:rPr>
                <w:b/>
                <w:i/>
              </w:rPr>
              <w:t>a)</w:t>
            </w:r>
            <w:r w:rsidRPr="009E35B2">
              <w:rPr>
                <w:b/>
                <w:i/>
              </w:rPr>
              <w:tab/>
              <w:t>luottolaitoksen alkutilanne;</w:t>
            </w:r>
          </w:p>
        </w:tc>
        <w:tc>
          <w:tcPr>
            <w:tcW w:w="4876" w:type="dxa"/>
          </w:tcPr>
          <w:p w:rsidR="00E61B38" w:rsidRPr="009E35B2" w:rsidRDefault="00E61B38" w:rsidP="0024275D">
            <w:pPr>
              <w:pStyle w:val="Normal6"/>
              <w:rPr>
                <w:szCs w:val="24"/>
              </w:rPr>
            </w:pPr>
          </w:p>
        </w:tc>
      </w:tr>
      <w:tr w:rsidR="00E61B38" w:rsidRPr="009E35B2" w:rsidTr="0024275D">
        <w:trPr>
          <w:jc w:val="center"/>
        </w:trPr>
        <w:tc>
          <w:tcPr>
            <w:tcW w:w="4876" w:type="dxa"/>
            <w:hideMark/>
          </w:tcPr>
          <w:p w:rsidR="00E61B38" w:rsidRPr="009E35B2" w:rsidRDefault="00E61B38" w:rsidP="0024275D">
            <w:pPr>
              <w:pStyle w:val="Normal6"/>
            </w:pPr>
            <w:r w:rsidRPr="009E35B2">
              <w:rPr>
                <w:b/>
                <w:i/>
              </w:rPr>
              <w:t>b)</w:t>
            </w:r>
            <w:r w:rsidRPr="009E35B2">
              <w:rPr>
                <w:b/>
                <w:i/>
              </w:rPr>
              <w:tab/>
              <w:t>toimenpiteet, joihin talletusten vakuusjärjestelmän varoja on käytetty;</w:t>
            </w:r>
          </w:p>
        </w:tc>
        <w:tc>
          <w:tcPr>
            <w:tcW w:w="4876" w:type="dxa"/>
          </w:tcPr>
          <w:p w:rsidR="00E61B38" w:rsidRPr="009E35B2" w:rsidRDefault="00E61B38" w:rsidP="0024275D">
            <w:pPr>
              <w:pStyle w:val="Normal6"/>
              <w:rPr>
                <w:szCs w:val="24"/>
              </w:rPr>
            </w:pPr>
          </w:p>
        </w:tc>
      </w:tr>
      <w:tr w:rsidR="00E61B38" w:rsidRPr="009E35B2" w:rsidTr="0024275D">
        <w:trPr>
          <w:jc w:val="center"/>
        </w:trPr>
        <w:tc>
          <w:tcPr>
            <w:tcW w:w="4876" w:type="dxa"/>
            <w:hideMark/>
          </w:tcPr>
          <w:p w:rsidR="00E61B38" w:rsidRPr="009E35B2" w:rsidRDefault="00E61B38" w:rsidP="0024275D">
            <w:pPr>
              <w:pStyle w:val="Normal6"/>
            </w:pPr>
            <w:r w:rsidRPr="009E35B2">
              <w:rPr>
                <w:b/>
                <w:i/>
              </w:rPr>
              <w:t>c)</w:t>
            </w:r>
            <w:r w:rsidRPr="009E35B2">
              <w:rPr>
                <w:b/>
                <w:i/>
              </w:rPr>
              <w:tab/>
              <w:t>käytettävissä olevien rahoitusvarojen määrä, joka odotetaan käytettävän.</w:t>
            </w:r>
          </w:p>
        </w:tc>
        <w:tc>
          <w:tcPr>
            <w:tcW w:w="4876" w:type="dxa"/>
          </w:tcPr>
          <w:p w:rsidR="00E61B38" w:rsidRPr="009E35B2" w:rsidRDefault="00E61B38" w:rsidP="0024275D">
            <w:pPr>
              <w:pStyle w:val="Normal6"/>
              <w:rPr>
                <w:szCs w:val="24"/>
              </w:rPr>
            </w:pP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328</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Engin Eroglu</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18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2014/59/EU</w:t>
      </w:r>
      <w:r w:rsidRPr="009E35B2">
        <w:rPr>
          <w:rStyle w:val="HideTWBExt"/>
        </w:rPr>
        <w:t>&lt;/DocAmend2&gt;</w:t>
      </w:r>
    </w:p>
    <w:p w:rsidR="00E61B38" w:rsidRPr="009E35B2" w:rsidRDefault="00E61B38" w:rsidP="00E61B38">
      <w:r w:rsidRPr="009E35B2">
        <w:rPr>
          <w:rStyle w:val="HideTWBExt"/>
        </w:rPr>
        <w:t>&lt;Article2&gt;</w:t>
      </w:r>
      <w:r w:rsidRPr="009E35B2">
        <w:t>16 a artikla – 6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6.</w:t>
            </w:r>
            <w:r w:rsidRPr="009E35B2">
              <w:tab/>
              <w:t xml:space="preserve">Jäsenvaltioiden on varmistettava, että talletusten vakuusjärjestelmään kuuluvien luottolaitosten kriisinratkaisuviranomaiset toimittavat </w:t>
            </w:r>
            <w:r w:rsidRPr="009E35B2">
              <w:rPr>
                <w:b/>
                <w:i/>
              </w:rPr>
              <w:t>pyynnöstä</w:t>
            </w:r>
            <w:r w:rsidRPr="009E35B2">
              <w:t xml:space="preserve"> asianomaiselle talletusten vakuusjärjestelmälle direktiivin 2014/59/EU 10 artiklan 7 kohdan a alakohdassa tarkoitetun tiivistelmän kriisinratkaisusuunnitelmien keskeisistä osista</w:t>
            </w:r>
            <w:r w:rsidRPr="009E35B2">
              <w:rPr>
                <w:b/>
                <w:i/>
              </w:rPr>
              <w:t>, jos talletusten vakuusjärjestelmä ja nimetyt viranomaiset tarvitsevat nämä tiedot voidakseen täyttää 11 artiklan 2, 3 ja 5 kohdassa ja 11 e artiklassa tarkoitetut velvoitteet</w:t>
            </w:r>
            <w:r w:rsidRPr="009E35B2">
              <w:t>.</w:t>
            </w:r>
          </w:p>
        </w:tc>
        <w:tc>
          <w:tcPr>
            <w:tcW w:w="4876" w:type="dxa"/>
            <w:hideMark/>
          </w:tcPr>
          <w:p w:rsidR="00E61B38" w:rsidRPr="009E35B2" w:rsidRDefault="00E61B38" w:rsidP="0024275D">
            <w:pPr>
              <w:pStyle w:val="Normal6"/>
              <w:rPr>
                <w:szCs w:val="24"/>
              </w:rPr>
            </w:pPr>
            <w:r w:rsidRPr="009E35B2">
              <w:t>6.</w:t>
            </w:r>
            <w:r w:rsidRPr="009E35B2">
              <w:tab/>
              <w:t xml:space="preserve">Jäsenvaltioiden on varmistettava, että talletusten vakuusjärjestelmään kuuluvien luottolaitosten kriisinratkaisuviranomaiset toimittavat </w:t>
            </w:r>
            <w:r w:rsidRPr="009E35B2">
              <w:rPr>
                <w:b/>
                <w:i/>
              </w:rPr>
              <w:t xml:space="preserve">vuosittain </w:t>
            </w:r>
            <w:r w:rsidRPr="009E35B2">
              <w:t>asianomaiselle talletusten vakuusjärjestelmälle direktiivin 2014/59/EU 10 artiklan 7 kohdan a alakohdassa tarkoitetun tiivistelmän kriisinratkaisusuunnitelmien keskeisistä osista.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pPr>
        <w:pStyle w:val="JustificationTitle"/>
        <w:rPr>
          <w:noProof w:val="0"/>
        </w:rPr>
      </w:pPr>
      <w:r w:rsidRPr="009E35B2">
        <w:rPr>
          <w:rStyle w:val="HideTWBExt"/>
          <w:i w:val="0"/>
        </w:rPr>
        <w:t>&lt;TitreJust&gt;</w:t>
      </w:r>
      <w:r w:rsidRPr="009E35B2">
        <w:t>Perustelu</w:t>
      </w:r>
      <w:r w:rsidRPr="009E35B2">
        <w:rPr>
          <w:rStyle w:val="HideTWBExt"/>
          <w:i w:val="0"/>
        </w:rPr>
        <w:t>&lt;/TitreJust&gt;</w:t>
      </w:r>
    </w:p>
    <w:p w:rsidR="00E61B38" w:rsidRPr="009E35B2" w:rsidRDefault="00E61B38" w:rsidP="00E61B38">
      <w:pPr>
        <w:pStyle w:val="Normal12Italic"/>
        <w:rPr>
          <w:noProof w:val="0"/>
        </w:rPr>
      </w:pPr>
      <w:r w:rsidRPr="009E35B2">
        <w:t>Edellä olevan 6 kohdan osalta olisi täsmennettävä, että kriisinratkaisusuunnitelman tiivistelmää ei olisi toimitettava vain pyynnöstä vaan tarvittavia tietoja olisi vaihdettava jatkuvasti parhaiden käytäntöjen mukaisesti.</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329</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Markus Ferber, Herbert Dorfmann</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1 artikla – 1 kohta – 18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16 a artikla – 6 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6.</w:t>
            </w:r>
            <w:r w:rsidRPr="009E35B2">
              <w:tab/>
              <w:t xml:space="preserve">Jäsenvaltioiden on varmistettava, että talletusten vakuusjärjestelmään kuuluvien luottolaitosten kriisinratkaisuviranomaiset toimittavat </w:t>
            </w:r>
            <w:r w:rsidRPr="009E35B2">
              <w:rPr>
                <w:b/>
                <w:i/>
              </w:rPr>
              <w:t>pyynnöstä</w:t>
            </w:r>
            <w:r w:rsidRPr="009E35B2">
              <w:t xml:space="preserve"> asianomaiselle talletusten vakuusjärjestelmälle direktiivin 2014/59/EU 10 artiklan 7 kohdan a alakohdassa tarkoitetun tiivistelmän kriisinratkaisusuunnitelmien keskeisistä osista</w:t>
            </w:r>
            <w:r w:rsidRPr="009E35B2">
              <w:rPr>
                <w:b/>
                <w:i/>
              </w:rPr>
              <w:t>, jos talletusten vakuusjärjestelmä ja nimetyt viranomaiset tarvitsevat nämä tiedot voidakseen täyttää 11 artiklan 2, 3 ja 5 kohdassa ja 11 e artiklassa tarkoitetut velvoitteet</w:t>
            </w:r>
            <w:r w:rsidRPr="009E35B2">
              <w:t>.</w:t>
            </w:r>
          </w:p>
        </w:tc>
        <w:tc>
          <w:tcPr>
            <w:tcW w:w="4876" w:type="dxa"/>
            <w:hideMark/>
          </w:tcPr>
          <w:p w:rsidR="00E61B38" w:rsidRPr="009E35B2" w:rsidRDefault="00E61B38" w:rsidP="0024275D">
            <w:pPr>
              <w:pStyle w:val="Normal6"/>
              <w:rPr>
                <w:szCs w:val="24"/>
              </w:rPr>
            </w:pPr>
            <w:r w:rsidRPr="009E35B2">
              <w:t>6.</w:t>
            </w:r>
            <w:r w:rsidRPr="009E35B2">
              <w:tab/>
              <w:t xml:space="preserve">Jäsenvaltioiden on varmistettava, että talletusten vakuusjärjestelmään kuuluvien luottolaitosten kriisinratkaisuviranomaiset toimittavat </w:t>
            </w:r>
            <w:r w:rsidRPr="009E35B2">
              <w:rPr>
                <w:b/>
                <w:i/>
              </w:rPr>
              <w:t>kerran vuodessa</w:t>
            </w:r>
            <w:r w:rsidRPr="009E35B2">
              <w:t xml:space="preserve"> asianomaiselle talletusten vakuusjärjestelmälle direktiivin 2014/59/EU 10 artiklan 7 kohdan a alakohdassa tarkoitetun tiivistelmän kriisinratkaisusuunnitelmien keskeisistä osista.</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330</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Irene Tinagli,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2 artikla – 2 kohta</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2.</w:t>
            </w:r>
            <w:r w:rsidRPr="009E35B2">
              <w:tab/>
              <w:t xml:space="preserve">Poiketen siitä, mitä direktiivin 2014/49/EU 11 artiklan 3 kohdassa, sellaisena kuin se on muutettuna tällä direktiivillä, ja 11 a, 11 b, 11 c ja 11 e artiklassa säädetään ennaltaehkäisevien toimenpiteiden osalta, jäsenvaltiot voivat [...] päivään [...]kuuta [...] [julkaisutoimisto: lisätään päivämäärä, joka on </w:t>
            </w:r>
            <w:r w:rsidRPr="009E35B2">
              <w:rPr>
                <w:b/>
                <w:i/>
              </w:rPr>
              <w:t>72</w:t>
            </w:r>
            <w:r w:rsidRPr="009E35B2">
              <w:t> kuukautta tämän direktiivin voimaantulopäivästä] saakka sallia, että 1 artiklan 1 kohdan c alakohdassa tarkoitetut laitosten suojajärjestelmät noudattavat kansallisia säännöksiä, joilla pannaan täytäntöön direktiivin 2014/49/EU 11 artiklan 3 kohta sellaisena kuin sitä sovellettiin [julkaisutoimisto: lisätään tämän direktiivin voimaatulopäivä].</w:t>
            </w:r>
          </w:p>
        </w:tc>
        <w:tc>
          <w:tcPr>
            <w:tcW w:w="4876" w:type="dxa"/>
            <w:hideMark/>
          </w:tcPr>
          <w:p w:rsidR="00E61B38" w:rsidRPr="009E35B2" w:rsidRDefault="00E61B38" w:rsidP="0024275D">
            <w:pPr>
              <w:pStyle w:val="Normal6"/>
              <w:rPr>
                <w:szCs w:val="24"/>
              </w:rPr>
            </w:pPr>
            <w:r w:rsidRPr="009E35B2">
              <w:t>2.</w:t>
            </w:r>
            <w:r w:rsidRPr="009E35B2">
              <w:tab/>
              <w:t xml:space="preserve">Poiketen siitä, mitä direktiivin 2014/49/EU 11 artiklan 3 kohdassa, sellaisena kuin se on muutettuna tällä direktiivillä, ja 11 a, 11 b, 11 c ja 11 e artiklassa säädetään ennaltaehkäisevien toimenpiteiden osalta, jäsenvaltiot voivat [...] päivään [...]kuuta [...] [julkaisutoimisto: lisätään päivämäärä, joka on </w:t>
            </w:r>
            <w:r w:rsidRPr="009E35B2">
              <w:rPr>
                <w:b/>
                <w:i/>
              </w:rPr>
              <w:t>36</w:t>
            </w:r>
            <w:r w:rsidRPr="009E35B2">
              <w:t> kuukautta tämän direktiivin voimaantulopäivästä] saakka sallia, että 1 artiklan 1 kohdan c alakohdassa tarkoitetut laitosten suojajärjestelmät noudattavat kansallisia säännöksiä, joilla pannaan täytäntöön direktiivin 2014/49/EU 11 artiklan 3 kohta sellaisena kuin sitä sovellettiin [julkaisutoimisto: lisätään tämän direktiivin voimaatulopäivä].</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331</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Pedro Marques, Aurore Lalucq, René Repasi, Jonás Fernández</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3 artikla – 1 kohta – 2 alakohta</w:t>
      </w:r>
      <w:r w:rsidRPr="009E35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 xml:space="preserve">Jäsenvaltioiden on sovellettava näitä säännöksiä [...] päivästä [...]kuuta [...] [julkaisutoimisto: lisätään päivämäärä, joka on 24 kuukautta tämän direktiivin voimaantulopäivästä]. Niiden on kuitenkin sovellettava 11 artiklan 3 kohdan, sellaisena kuin se on muutettuna tällä direktiivillä, ja 11 a, 11 b, 11 c ja 11 e artiklan noudattamisen edellyttämiä säännöksiä ennaltaehkäisevien toimenpiteiden osalta [...] päivästä [...]kuuta [...] [julkaisutoimisto: lisätään päivämäärä, joka on </w:t>
            </w:r>
            <w:r w:rsidRPr="009E35B2">
              <w:rPr>
                <w:b/>
                <w:i/>
              </w:rPr>
              <w:t>48</w:t>
            </w:r>
            <w:r w:rsidRPr="009E35B2">
              <w:t> kuukautta tämän direktiivin voimaantulopäivästä].</w:t>
            </w:r>
          </w:p>
        </w:tc>
        <w:tc>
          <w:tcPr>
            <w:tcW w:w="4876" w:type="dxa"/>
            <w:hideMark/>
          </w:tcPr>
          <w:p w:rsidR="00E61B38" w:rsidRPr="009E35B2" w:rsidRDefault="00E61B38" w:rsidP="0024275D">
            <w:pPr>
              <w:pStyle w:val="Normal6"/>
              <w:rPr>
                <w:szCs w:val="24"/>
              </w:rPr>
            </w:pPr>
            <w:r w:rsidRPr="009E35B2">
              <w:t xml:space="preserve">Jäsenvaltioiden on sovellettava näitä säännöksiä [...] päivästä [...]kuuta [...] [julkaisutoimisto: lisätään päivämäärä, joka on 24 kuukautta tämän direktiivin voimaantulopäivästä]. Niiden on kuitenkin sovellettava 11 artiklan 3 kohdan, sellaisena kuin se on muutettuna tällä direktiivillä, ja 11 a, 11 b, 11 c ja 11 e artiklan noudattamisen edellyttämiä säännöksiä ennaltaehkäisevien toimenpiteiden osalta [...] päivästä [...]kuuta [...] [julkaisutoimisto: lisätään päivämäärä, joka on </w:t>
            </w:r>
            <w:r w:rsidRPr="009E35B2">
              <w:rPr>
                <w:b/>
                <w:i/>
              </w:rPr>
              <w:t>36</w:t>
            </w:r>
            <w:r w:rsidRPr="009E35B2">
              <w:t> kuukautta tämän direktiivin voimaantulopäivästä].</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w:t>
      </w:r>
    </w:p>
    <w:p w:rsidR="00E61B38" w:rsidRPr="009E35B2" w:rsidRDefault="00E61B38" w:rsidP="00E61B38">
      <w:pPr>
        <w:pStyle w:val="AMNumberTabs0"/>
        <w:keepNext/>
      </w:pPr>
      <w:r w:rsidRPr="009E35B2">
        <w:rPr>
          <w:rStyle w:val="HideTWBExt"/>
          <w:b w:val="0"/>
        </w:rPr>
        <w:t>&lt;Amend&gt;</w:t>
      </w:r>
      <w:r w:rsidRPr="009E35B2">
        <w:t>Tarkistus</w:t>
      </w:r>
      <w:r w:rsidRPr="009E35B2">
        <w:tab/>
      </w:r>
      <w:r w:rsidRPr="009E35B2">
        <w:tab/>
      </w:r>
      <w:r w:rsidRPr="009E35B2">
        <w:rPr>
          <w:rStyle w:val="HideTWBExt"/>
          <w:b w:val="0"/>
        </w:rPr>
        <w:t>&lt;NumAm&gt;</w:t>
      </w:r>
      <w:r w:rsidRPr="009E35B2">
        <w:t>332</w:t>
      </w:r>
      <w:r w:rsidRPr="009E35B2">
        <w:rPr>
          <w:rStyle w:val="HideTWBExt"/>
          <w:b w:val="0"/>
        </w:rPr>
        <w:t>&lt;/NumAm&gt;</w:t>
      </w:r>
    </w:p>
    <w:p w:rsidR="00E61B38" w:rsidRPr="009E35B2" w:rsidRDefault="00E61B38" w:rsidP="00E61B38">
      <w:pPr>
        <w:pStyle w:val="NormalBold"/>
      </w:pPr>
      <w:r w:rsidRPr="009E35B2">
        <w:rPr>
          <w:rStyle w:val="HideTWBExt"/>
          <w:b w:val="0"/>
        </w:rPr>
        <w:t>&lt;RepeatBlock-By&gt;&lt;Members&gt;</w:t>
      </w:r>
      <w:r w:rsidRPr="009E35B2">
        <w:t>Marco Zanni, Valentino Grant, Antonio Maria Rinaldi</w:t>
      </w:r>
      <w:r w:rsidRPr="009E35B2">
        <w:rPr>
          <w:rStyle w:val="HideTWBExt"/>
          <w:b w:val="0"/>
        </w:rPr>
        <w:t>&lt;/Members&gt;</w:t>
      </w:r>
    </w:p>
    <w:p w:rsidR="00E61B38" w:rsidRPr="009E35B2" w:rsidRDefault="00E61B38" w:rsidP="00E61B38">
      <w:r w:rsidRPr="009E35B2">
        <w:rPr>
          <w:rStyle w:val="HideTWBExt"/>
        </w:rPr>
        <w:t>&lt;/RepeatBlock-By&gt;</w:t>
      </w:r>
    </w:p>
    <w:p w:rsidR="00E61B38" w:rsidRPr="009E35B2" w:rsidRDefault="00E61B38" w:rsidP="00E61B38">
      <w:pPr>
        <w:pStyle w:val="NormalBold"/>
        <w:keepNext/>
      </w:pPr>
      <w:r w:rsidRPr="009E35B2">
        <w:rPr>
          <w:rStyle w:val="HideTWBExt"/>
          <w:b w:val="0"/>
        </w:rPr>
        <w:t>&lt;DocAmend&gt;</w:t>
      </w:r>
      <w:r w:rsidRPr="009E35B2">
        <w:t>Ehdotus direktiiviksi</w:t>
      </w:r>
      <w:r w:rsidRPr="009E35B2">
        <w:rPr>
          <w:rStyle w:val="HideTWBExt"/>
          <w:b w:val="0"/>
        </w:rPr>
        <w:t>&lt;/DocAmend&gt;</w:t>
      </w:r>
    </w:p>
    <w:p w:rsidR="00E61B38" w:rsidRPr="009E35B2" w:rsidRDefault="00E61B38" w:rsidP="00E61B38">
      <w:pPr>
        <w:pStyle w:val="NormalBold"/>
      </w:pPr>
      <w:r w:rsidRPr="009E35B2">
        <w:rPr>
          <w:rStyle w:val="HideTWBExt"/>
          <w:b w:val="0"/>
        </w:rPr>
        <w:t>&lt;Article&gt;</w:t>
      </w:r>
      <w:r w:rsidRPr="009E35B2">
        <w:t>3 artikla – 1 kohta – 2 alakohta</w:t>
      </w:r>
      <w:r w:rsidRPr="009E35B2">
        <w:rPr>
          <w:rStyle w:val="HideTWBExt"/>
          <w:b w:val="0"/>
        </w:rPr>
        <w:t>&lt;/Article&gt;</w:t>
      </w:r>
    </w:p>
    <w:p w:rsidR="00E61B38" w:rsidRPr="009E35B2" w:rsidRDefault="00E61B38" w:rsidP="00E61B38">
      <w:pPr>
        <w:keepNext/>
      </w:pPr>
      <w:r w:rsidRPr="009E35B2">
        <w:rPr>
          <w:rStyle w:val="HideTWBExt"/>
        </w:rPr>
        <w:t>&lt;DocAmend2&gt;</w:t>
      </w:r>
      <w:r w:rsidRPr="009E35B2">
        <w:t>Direktiivi 2014/49/EU</w:t>
      </w:r>
      <w:r w:rsidRPr="009E35B2">
        <w:rPr>
          <w:rStyle w:val="HideTWBExt"/>
        </w:rPr>
        <w:t>&lt;/DocAmend2&gt;</w:t>
      </w:r>
    </w:p>
    <w:p w:rsidR="00E61B38" w:rsidRPr="009E35B2" w:rsidRDefault="00E61B38" w:rsidP="00E61B38">
      <w:r w:rsidRPr="009E35B2">
        <w:rPr>
          <w:rStyle w:val="HideTWBExt"/>
        </w:rPr>
        <w:t>&lt;Article2&gt;</w:t>
      </w:r>
      <w:r w:rsidRPr="009E35B2">
        <w:t>3 artikla – 1 kohta – 2 alakohta</w:t>
      </w:r>
      <w:r w:rsidRPr="009E35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B38" w:rsidRPr="009E35B2" w:rsidTr="0024275D">
        <w:trPr>
          <w:jc w:val="center"/>
        </w:trPr>
        <w:tc>
          <w:tcPr>
            <w:tcW w:w="9752" w:type="dxa"/>
            <w:gridSpan w:val="2"/>
          </w:tcPr>
          <w:p w:rsidR="00E61B38" w:rsidRPr="009E35B2" w:rsidRDefault="00E61B38" w:rsidP="0024275D">
            <w:pPr>
              <w:keepNext/>
            </w:pPr>
          </w:p>
        </w:tc>
      </w:tr>
      <w:tr w:rsidR="00E61B38" w:rsidRPr="009E35B2" w:rsidTr="0024275D">
        <w:trPr>
          <w:jc w:val="center"/>
        </w:trPr>
        <w:tc>
          <w:tcPr>
            <w:tcW w:w="4876" w:type="dxa"/>
            <w:hideMark/>
          </w:tcPr>
          <w:p w:rsidR="00E61B38" w:rsidRPr="009E35B2" w:rsidRDefault="00E61B38" w:rsidP="0024275D">
            <w:pPr>
              <w:pStyle w:val="ColumnHeading"/>
              <w:keepNext/>
            </w:pPr>
            <w:r w:rsidRPr="009E35B2">
              <w:t>Komission teksti</w:t>
            </w:r>
          </w:p>
        </w:tc>
        <w:tc>
          <w:tcPr>
            <w:tcW w:w="4876" w:type="dxa"/>
            <w:hideMark/>
          </w:tcPr>
          <w:p w:rsidR="00E61B38" w:rsidRPr="009E35B2" w:rsidRDefault="00E61B38" w:rsidP="0024275D">
            <w:pPr>
              <w:pStyle w:val="ColumnHeading"/>
              <w:keepNext/>
            </w:pPr>
            <w:r w:rsidRPr="009E35B2">
              <w:t>Tarkistus</w:t>
            </w:r>
          </w:p>
        </w:tc>
      </w:tr>
      <w:tr w:rsidR="00E61B38" w:rsidRPr="009E35B2" w:rsidTr="0024275D">
        <w:trPr>
          <w:jc w:val="center"/>
        </w:trPr>
        <w:tc>
          <w:tcPr>
            <w:tcW w:w="4876" w:type="dxa"/>
            <w:hideMark/>
          </w:tcPr>
          <w:p w:rsidR="00E61B38" w:rsidRPr="009E35B2" w:rsidRDefault="00E61B38" w:rsidP="0024275D">
            <w:pPr>
              <w:pStyle w:val="Normal6"/>
            </w:pPr>
            <w:r w:rsidRPr="009E35B2">
              <w:t xml:space="preserve">Jäsenvaltioiden on sovellettava näitä säännöksiä [...] päivästä [...]kuuta [...] [julkaisutoimisto: lisätään päivämäärä, joka on 24 kuukautta tämän direktiivin voimaantulopäivästä]. Niiden on kuitenkin sovellettava 11 artiklan 3 kohdan, sellaisena kuin se on muutettuna tällä direktiivillä, ja 11 a, 11 b, 11 c ja 11 e artiklan noudattamisen edellyttämiä säännöksiä ennaltaehkäisevien toimenpiteiden osalta [...] päivästä [...]kuuta [...] [julkaisutoimisto: lisätään päivämäärä, joka on </w:t>
            </w:r>
            <w:r w:rsidRPr="009E35B2">
              <w:rPr>
                <w:b/>
                <w:i/>
              </w:rPr>
              <w:t>48</w:t>
            </w:r>
            <w:r w:rsidRPr="009E35B2">
              <w:t> kuukautta tämän direktiivin voimaantulopäivästä].</w:t>
            </w:r>
          </w:p>
        </w:tc>
        <w:tc>
          <w:tcPr>
            <w:tcW w:w="4876" w:type="dxa"/>
            <w:hideMark/>
          </w:tcPr>
          <w:p w:rsidR="00E61B38" w:rsidRPr="009E35B2" w:rsidRDefault="00E61B38" w:rsidP="0024275D">
            <w:pPr>
              <w:pStyle w:val="Normal6"/>
              <w:rPr>
                <w:szCs w:val="24"/>
              </w:rPr>
            </w:pPr>
            <w:r w:rsidRPr="009E35B2">
              <w:t xml:space="preserve">Jäsenvaltioiden on sovellettava näitä säännöksiä [...] päivästä [...]kuuta [...] [julkaisutoimisto: lisätään päivämäärä, joka on 24 kuukautta tämän direktiivin voimaantulopäivästä]. Niiden on kuitenkin sovellettava 11 artiklan 3 kohdan, sellaisena kuin se on muutettuna tällä direktiivillä, ja 11 a, 11 b, 11 c ja 11 e artiklan noudattamisen edellyttämiä säännöksiä ennaltaehkäisevien toimenpiteiden osalta [...] päivästä [...]kuuta [...] [julkaisutoimisto: lisätään päivämäärä, joka on </w:t>
            </w:r>
            <w:r w:rsidRPr="009E35B2">
              <w:rPr>
                <w:b/>
                <w:i/>
              </w:rPr>
              <w:t>36</w:t>
            </w:r>
            <w:r w:rsidRPr="009E35B2">
              <w:t> kuukautta tämän direktiivin voimaantulopäivästä].</w:t>
            </w:r>
          </w:p>
        </w:tc>
      </w:tr>
    </w:tbl>
    <w:p w:rsidR="00E61B38" w:rsidRPr="009E35B2" w:rsidRDefault="00E61B38" w:rsidP="00E61B38">
      <w:pPr>
        <w:pStyle w:val="Olang"/>
      </w:pPr>
      <w:r w:rsidRPr="009E35B2">
        <w:rPr>
          <w:noProof w:val="0"/>
        </w:rPr>
        <w:t xml:space="preserve">Or. </w:t>
      </w:r>
      <w:r w:rsidRPr="009E35B2">
        <w:rPr>
          <w:rStyle w:val="HideTWBExt"/>
          <w:noProof w:val="0"/>
        </w:rPr>
        <w:t>&lt;Original&gt;</w:t>
      </w:r>
      <w:r w:rsidRPr="009E35B2">
        <w:rPr>
          <w:rStyle w:val="HideTWBInt"/>
          <w:rFonts w:eastAsiaTheme="majorEastAsia"/>
          <w:noProof w:val="0"/>
        </w:rPr>
        <w:t>{EN}</w:t>
      </w:r>
      <w:r w:rsidRPr="009E35B2">
        <w:rPr>
          <w:noProof w:val="0"/>
        </w:rPr>
        <w:t>en</w:t>
      </w:r>
      <w:r w:rsidRPr="009E35B2">
        <w:rPr>
          <w:rStyle w:val="HideTWBExt"/>
          <w:noProof w:val="0"/>
        </w:rPr>
        <w:t>&lt;/Original&gt;</w:t>
      </w:r>
    </w:p>
    <w:p w:rsidR="00E61B38" w:rsidRPr="009E35B2" w:rsidRDefault="00E61B38" w:rsidP="00E61B38">
      <w:r w:rsidRPr="009E35B2">
        <w:rPr>
          <w:rStyle w:val="HideTWBExt"/>
        </w:rPr>
        <w:t>&lt;/Amend&gt;&lt;/RepeatBlock-Amend&gt;</w:t>
      </w:r>
    </w:p>
    <w:p w:rsidR="0089475F" w:rsidRPr="009E35B2" w:rsidRDefault="0089475F" w:rsidP="00E61B38"/>
    <w:p w:rsidR="008363E4" w:rsidRPr="009E35B2" w:rsidRDefault="008363E4" w:rsidP="0089475F">
      <w:pPr>
        <w:pStyle w:val="AmNumberTabs"/>
        <w:keepNext/>
      </w:pPr>
    </w:p>
    <w:sectPr w:rsidR="008363E4" w:rsidRPr="009E35B2" w:rsidSect="000749E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275D" w:rsidRPr="002E4A41" w:rsidRDefault="0024275D">
      <w:r w:rsidRPr="002E4A41">
        <w:separator/>
      </w:r>
    </w:p>
  </w:endnote>
  <w:endnote w:type="continuationSeparator" w:id="0">
    <w:p w:rsidR="0024275D" w:rsidRPr="002E4A41" w:rsidRDefault="0024275D">
      <w:r w:rsidRPr="002E4A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275D" w:rsidRPr="009E35B2" w:rsidRDefault="0024275D" w:rsidP="000749E0">
    <w:pPr>
      <w:pStyle w:val="EPFooter"/>
      <w:rPr>
        <w:lang w:val="de-DE"/>
      </w:rPr>
    </w:pPr>
    <w:r w:rsidRPr="009E35B2">
      <w:rPr>
        <w:lang w:val="de-DE"/>
      </w:rPr>
      <w:t>PE</w:t>
    </w:r>
    <w:r w:rsidRPr="009E35B2">
      <w:rPr>
        <w:rStyle w:val="HideTWBExt"/>
        <w:lang w:val="de-DE"/>
      </w:rPr>
      <w:t>&lt;NoPE&gt;</w:t>
    </w:r>
    <w:r w:rsidRPr="009E35B2">
      <w:rPr>
        <w:lang w:val="de-DE"/>
      </w:rPr>
      <w:t>754.693</w:t>
    </w:r>
    <w:r w:rsidRPr="009E35B2">
      <w:rPr>
        <w:rStyle w:val="HideTWBExt"/>
        <w:lang w:val="de-DE"/>
      </w:rPr>
      <w:t>&lt;/NoPE&gt;&lt;Version&gt;</w:t>
    </w:r>
    <w:r w:rsidRPr="009E35B2">
      <w:rPr>
        <w:lang w:val="de-DE"/>
      </w:rPr>
      <w:t>v01-00</w:t>
    </w:r>
    <w:r w:rsidRPr="009E35B2">
      <w:rPr>
        <w:rStyle w:val="HideTWBExt"/>
        <w:lang w:val="de-DE"/>
      </w:rPr>
      <w:t>&lt;/Version&gt;</w:t>
    </w:r>
    <w:r w:rsidRPr="009E35B2">
      <w:rPr>
        <w:lang w:val="de-DE"/>
      </w:rPr>
      <w:tab/>
    </w:r>
    <w:r w:rsidRPr="002E4A41">
      <w:fldChar w:fldCharType="begin"/>
    </w:r>
    <w:r w:rsidRPr="009E35B2">
      <w:rPr>
        <w:lang w:val="de-DE"/>
      </w:rPr>
      <w:instrText xml:space="preserve"> PAGE  \* MERGEFORMAT </w:instrText>
    </w:r>
    <w:r w:rsidRPr="002E4A41">
      <w:fldChar w:fldCharType="separate"/>
    </w:r>
    <w:r w:rsidR="00DB286A">
      <w:rPr>
        <w:noProof/>
        <w:lang w:val="de-DE"/>
      </w:rPr>
      <w:t>2</w:t>
    </w:r>
    <w:r w:rsidRPr="002E4A41">
      <w:fldChar w:fldCharType="end"/>
    </w:r>
    <w:r w:rsidRPr="009E35B2">
      <w:rPr>
        <w:lang w:val="de-DE"/>
      </w:rPr>
      <w:t>/</w:t>
    </w:r>
    <w:r>
      <w:fldChar w:fldCharType="begin"/>
    </w:r>
    <w:r w:rsidRPr="009E35B2">
      <w:rPr>
        <w:lang w:val="de-DE"/>
      </w:rPr>
      <w:instrText xml:space="preserve"> NUMPAGES  \* MERGEFORMAT </w:instrText>
    </w:r>
    <w:r>
      <w:fldChar w:fldCharType="separate"/>
    </w:r>
    <w:r w:rsidR="00DB286A">
      <w:rPr>
        <w:noProof/>
        <w:lang w:val="de-DE"/>
      </w:rPr>
      <w:t>175</w:t>
    </w:r>
    <w:r>
      <w:rPr>
        <w:noProof/>
      </w:rPr>
      <w:fldChar w:fldCharType="end"/>
    </w:r>
    <w:r w:rsidRPr="009E35B2">
      <w:rPr>
        <w:lang w:val="de-DE"/>
      </w:rPr>
      <w:tab/>
    </w:r>
    <w:r w:rsidRPr="009E35B2">
      <w:rPr>
        <w:rStyle w:val="HideTWBExt"/>
        <w:lang w:val="de-DE"/>
      </w:rPr>
      <w:t>&lt;PathFdR&gt;</w:t>
    </w:r>
    <w:r w:rsidRPr="009E35B2">
      <w:rPr>
        <w:lang w:val="de-DE"/>
      </w:rPr>
      <w:t>AM\1287806FI.docx</w:t>
    </w:r>
    <w:r w:rsidRPr="009E35B2">
      <w:rPr>
        <w:rStyle w:val="HideTWBExt"/>
        <w:lang w:val="de-DE"/>
      </w:rPr>
      <w:t>&lt;/PathFdR&gt;</w:t>
    </w:r>
  </w:p>
  <w:p w:rsidR="0024275D" w:rsidRPr="002E4A41" w:rsidRDefault="0024275D" w:rsidP="000749E0">
    <w:pPr>
      <w:pStyle w:val="EPFooter2"/>
    </w:pPr>
    <w:r w:rsidRPr="002E4A41">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275D" w:rsidRPr="009E35B2" w:rsidRDefault="0024275D" w:rsidP="000749E0">
    <w:pPr>
      <w:pStyle w:val="EPFooter"/>
      <w:rPr>
        <w:lang w:val="de-DE"/>
      </w:rPr>
    </w:pPr>
    <w:r w:rsidRPr="009E35B2">
      <w:rPr>
        <w:rStyle w:val="HideTWBExt"/>
        <w:lang w:val="de-DE"/>
      </w:rPr>
      <w:t>&lt;PathFdR&gt;</w:t>
    </w:r>
    <w:r w:rsidRPr="009E35B2">
      <w:rPr>
        <w:lang w:val="de-DE"/>
      </w:rPr>
      <w:t>AM\1287806FI.docx</w:t>
    </w:r>
    <w:r w:rsidRPr="009E35B2">
      <w:rPr>
        <w:rStyle w:val="HideTWBExt"/>
        <w:lang w:val="de-DE"/>
      </w:rPr>
      <w:t>&lt;/PathFdR&gt;</w:t>
    </w:r>
    <w:r w:rsidRPr="009E35B2">
      <w:rPr>
        <w:lang w:val="de-DE"/>
      </w:rPr>
      <w:tab/>
    </w:r>
    <w:r w:rsidRPr="002E4A41">
      <w:fldChar w:fldCharType="begin"/>
    </w:r>
    <w:r w:rsidRPr="009E35B2">
      <w:rPr>
        <w:lang w:val="de-DE"/>
      </w:rPr>
      <w:instrText xml:space="preserve"> PAGE  \* MERGEFORMAT </w:instrText>
    </w:r>
    <w:r w:rsidRPr="002E4A41">
      <w:fldChar w:fldCharType="separate"/>
    </w:r>
    <w:r w:rsidR="00DB286A">
      <w:rPr>
        <w:noProof/>
        <w:lang w:val="de-DE"/>
      </w:rPr>
      <w:t>175</w:t>
    </w:r>
    <w:r w:rsidRPr="002E4A41">
      <w:fldChar w:fldCharType="end"/>
    </w:r>
    <w:r w:rsidRPr="009E35B2">
      <w:rPr>
        <w:lang w:val="de-DE"/>
      </w:rPr>
      <w:t>/</w:t>
    </w:r>
    <w:r>
      <w:fldChar w:fldCharType="begin"/>
    </w:r>
    <w:r w:rsidRPr="009E35B2">
      <w:rPr>
        <w:lang w:val="de-DE"/>
      </w:rPr>
      <w:instrText xml:space="preserve"> NUMPAGES  \* MERGEFORMAT </w:instrText>
    </w:r>
    <w:r>
      <w:fldChar w:fldCharType="separate"/>
    </w:r>
    <w:r w:rsidR="00DB286A">
      <w:rPr>
        <w:noProof/>
        <w:lang w:val="de-DE"/>
      </w:rPr>
      <w:t>175</w:t>
    </w:r>
    <w:r>
      <w:rPr>
        <w:noProof/>
      </w:rPr>
      <w:fldChar w:fldCharType="end"/>
    </w:r>
    <w:r w:rsidRPr="009E35B2">
      <w:rPr>
        <w:lang w:val="de-DE"/>
      </w:rPr>
      <w:tab/>
      <w:t>PE</w:t>
    </w:r>
    <w:r w:rsidRPr="009E35B2">
      <w:rPr>
        <w:rStyle w:val="HideTWBExt"/>
        <w:lang w:val="de-DE"/>
      </w:rPr>
      <w:t>&lt;NoPE&gt;</w:t>
    </w:r>
    <w:r w:rsidRPr="009E35B2">
      <w:rPr>
        <w:lang w:val="de-DE"/>
      </w:rPr>
      <w:t>754.693</w:t>
    </w:r>
    <w:r w:rsidRPr="009E35B2">
      <w:rPr>
        <w:rStyle w:val="HideTWBExt"/>
        <w:lang w:val="de-DE"/>
      </w:rPr>
      <w:t>&lt;/NoPE&gt;&lt;Version&gt;</w:t>
    </w:r>
    <w:r w:rsidRPr="009E35B2">
      <w:rPr>
        <w:lang w:val="de-DE"/>
      </w:rPr>
      <w:t>v01-00</w:t>
    </w:r>
    <w:r w:rsidRPr="009E35B2">
      <w:rPr>
        <w:rStyle w:val="HideTWBExt"/>
        <w:lang w:val="de-DE"/>
      </w:rPr>
      <w:t>&lt;/Version&gt;</w:t>
    </w:r>
  </w:p>
  <w:p w:rsidR="0024275D" w:rsidRPr="002E4A41" w:rsidRDefault="0024275D" w:rsidP="000749E0">
    <w:pPr>
      <w:pStyle w:val="EPFooter2"/>
    </w:pPr>
    <w:r w:rsidRPr="009E35B2">
      <w:rPr>
        <w:lang w:val="de-DE"/>
      </w:rPr>
      <w:tab/>
    </w:r>
    <w:r w:rsidRPr="009E35B2">
      <w:rPr>
        <w:lang w:val="de-DE"/>
      </w:rPr>
      <w:tab/>
    </w:r>
    <w:r w:rsidRPr="002E4A41">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275D" w:rsidRPr="009E35B2" w:rsidRDefault="0024275D" w:rsidP="000749E0">
    <w:pPr>
      <w:pStyle w:val="EPFooter"/>
      <w:rPr>
        <w:lang w:val="de-DE"/>
      </w:rPr>
    </w:pPr>
    <w:r w:rsidRPr="009E35B2">
      <w:rPr>
        <w:rStyle w:val="HideTWBExt"/>
        <w:lang w:val="de-DE"/>
      </w:rPr>
      <w:t>&lt;PathFdR&gt;</w:t>
    </w:r>
    <w:r w:rsidRPr="009E35B2">
      <w:rPr>
        <w:lang w:val="de-DE"/>
      </w:rPr>
      <w:t>AM\1287806FI.docx</w:t>
    </w:r>
    <w:r w:rsidRPr="009E35B2">
      <w:rPr>
        <w:rStyle w:val="HideTWBExt"/>
        <w:lang w:val="de-DE"/>
      </w:rPr>
      <w:t>&lt;/PathFdR&gt;</w:t>
    </w:r>
    <w:r w:rsidRPr="009E35B2">
      <w:rPr>
        <w:lang w:val="de-DE"/>
      </w:rPr>
      <w:tab/>
    </w:r>
    <w:r w:rsidRPr="009E35B2">
      <w:rPr>
        <w:lang w:val="de-DE"/>
      </w:rPr>
      <w:tab/>
      <w:t>PE</w:t>
    </w:r>
    <w:r w:rsidRPr="009E35B2">
      <w:rPr>
        <w:rStyle w:val="HideTWBExt"/>
        <w:lang w:val="de-DE"/>
      </w:rPr>
      <w:t>&lt;NoPE&gt;</w:t>
    </w:r>
    <w:r w:rsidRPr="009E35B2">
      <w:rPr>
        <w:lang w:val="de-DE"/>
      </w:rPr>
      <w:t>754.693</w:t>
    </w:r>
    <w:r w:rsidRPr="009E35B2">
      <w:rPr>
        <w:rStyle w:val="HideTWBExt"/>
        <w:lang w:val="de-DE"/>
      </w:rPr>
      <w:t>&lt;/NoPE&gt;&lt;Version&gt;</w:t>
    </w:r>
    <w:r w:rsidRPr="009E35B2">
      <w:rPr>
        <w:lang w:val="de-DE"/>
      </w:rPr>
      <w:t>v01-00</w:t>
    </w:r>
    <w:r w:rsidRPr="009E35B2">
      <w:rPr>
        <w:rStyle w:val="HideTWBExt"/>
        <w:lang w:val="de-DE"/>
      </w:rPr>
      <w:t>&lt;/Version&gt;</w:t>
    </w:r>
  </w:p>
  <w:p w:rsidR="0024275D" w:rsidRPr="002E4A41" w:rsidRDefault="0024275D" w:rsidP="000749E0">
    <w:pPr>
      <w:pStyle w:val="EPFooter2"/>
    </w:pPr>
    <w:r w:rsidRPr="002E4A41">
      <w:t>FI</w:t>
    </w:r>
    <w:r w:rsidRPr="002E4A41">
      <w:tab/>
    </w:r>
    <w:r w:rsidRPr="002E4A41">
      <w:rPr>
        <w:b w:val="0"/>
        <w:i/>
        <w:color w:val="C0C0C0"/>
        <w:sz w:val="22"/>
      </w:rPr>
      <w:t>Moninaisuudessaan yhtenäinen</w:t>
    </w:r>
    <w:r w:rsidRPr="002E4A41">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275D" w:rsidRPr="002E4A41" w:rsidRDefault="0024275D">
      <w:r w:rsidRPr="002E4A41">
        <w:separator/>
      </w:r>
    </w:p>
  </w:footnote>
  <w:footnote w:type="continuationSeparator" w:id="0">
    <w:p w:rsidR="0024275D" w:rsidRPr="002E4A41" w:rsidRDefault="0024275D">
      <w:r w:rsidRPr="002E4A4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275D" w:rsidRDefault="002427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275D" w:rsidRDefault="002427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275D" w:rsidRDefault="002427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819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2"/>
    <w:docVar w:name="CODEMNU" w:val=" 1"/>
    <w:docVar w:name="COMKEY" w:val="ECON"/>
    <w:docVar w:name="CVA" w:val="1"/>
    <w:docVar w:name="DOCCODMNU" w:val=" 2"/>
    <w:docVar w:name="DOCDT" w:val="27/10/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08475 HideTWBInt;}}{\*\rsidtbl \rsid24658\rsid223860\rsid608475\rsid735077\rsid1718133\rsid2892074_x000d__x000a_\rsid3565327\rsid4666813\rsid6641733\rsid7823322\rsid9636012\rsid10377208\rsid11215221\rsid11549030\rsid12154954\rsid12724612\rsid14382809\rsid14424199\rsid15204470\rsid15285974\rsid15950462\rsid16324206\rsid16662270}{\mmathPr\mmathFont34\mbrkBin0_x000d__x000a_\mbrkBinSub0\msmallFrac0\mdispDef1\mlMargin0\mrMargin0\mdefJc1\mwrapIndent1440\mintLim0\mnaryLim1}{\info{\author BORKOWSKA Elwira}{\operator BORKOWSKA Elwira}{\creatim\yr2023\mo10\dy10\hr15\min18}{\revtim\yr2023\mo10\dy10\hr15\min18}{\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08475\newtblstyruls\nogrowautofit\usenormstyforlist\noindnmbrts\felnbrelev\nocxsptable\indrlsweleven\noafcnsttbl\afelev\utinl\hwelev\spltpgpar\notcvasp\notbrkcnstfrctbl\notvatxbx\krnprsnet\cachedcolbal \nouicompat \fet0_x000d__x000a_{\*\wgrffmtfilter 013f}\nofeaturethrottle1\ilfomacatclnup0{\*\template C:\\Users\\EBORKO~1\\AppData\\Local\\Temp\\Blank1.dotx}{\*\ftnsep \ltrpar \pard\plain \ltrpar\ql \li0\ri0\widctlpar\wrapdefault\aspalpha\aspnum\faauto\adjustright\rin0\lin0\itap0 _x000d__x000a_\rtlch\fcs1 \af0\afs20\alang1025 \ltrch\fcs0 \fs24\lang2057\langfe2057\cgrid\langnp2057\langfenp2057 {\rtlch\fcs1 \af0 \ltrch\fcs0 \insrsid12724612 \chftnsep _x000d__x000a_\par }}{\*\ftnsepc \ltrpar \pard\plain \ltrpar\ql \li0\ri0\widctlpar\wrapdefault\aspalpha\aspnum\faauto\adjustright\rin0\lin0\itap0 \rtlch\fcs1 \af0\afs20\alang1025 \ltrch\fcs0 \fs24\lang2057\langfe2057\cgrid\langnp2057\langfenp2057 {\rtlch\fcs1 \af0 _x000d__x000a_\ltrch\fcs0 \insrsid12724612 \chftnsepc _x000d__x000a_\par }}{\*\aftnsep \ltrpar \pard\plain \ltrpar\ql \li0\ri0\widctlpar\wrapdefault\aspalpha\aspnum\faauto\adjustright\rin0\lin0\itap0 \rtlch\fcs1 \af0\afs20\alang1025 \ltrch\fcs0 \fs24\lang2057\langfe2057\cgrid\langnp2057\langfenp2057 {\rtlch\fcs1 \af0 _x000d__x000a_\ltrch\fcs0 \insrsid12724612 \chftnsep _x000d__x000a_\par }}{\*\aftnsepc \ltrpar \pard\plain \ltrpar\ql \li0\ri0\widctlpar\wrapdefault\aspalpha\aspnum\faauto\adjustright\rin0\lin0\itap0 \rtlch\fcs1 \af0\afs20\alang1025 \ltrch\fcs0 \fs24\lang2057\langfe2057\cgrid\langnp2057\langfenp2057 {\rtlch\fcs1 \af0 _x000d__x000a_\ltrch\fcs0 \insrsid127246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08475\charrsid12845454 {\*\bkmkstart ReplaceBookmark}#}{\rtlch\fcs1 \af1 \ltrch\fcs0 _x000d__x000a_\cs17\v\f1\fs20\cf15\insrsid608475\charrsid12845454 &gt;&gt;&gt;CVAR@@AmendA}{\rtlch\fcs1 \af0 \ltrch\fcs0 \insrsid608475\charrsid1284545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33_x000d__x000a_22527cf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408336 HideTWBExt;}{\*\cs18 \additive \v\f1\fs20\cf15 _x000d__x000a_\spriority0 \styrsid11408336 HideTWBInt;}{\s19\ql \li0\ri0\sa120\nowidctlpar\wrapdefault\aspalpha\aspnum\faauto\adjustright\rin0\lin0\itap0 \rtlch\fcs1 \af0\afs20\alang1025 \ltrch\fcs0 \fs24\lang2057\langfe2057\cgrid\langnp2057\langfenp2057 _x000d__x000a_\sbasedon0 \snext19 \spriority0 \styrsid11408336 Normal6a;}{\s20\ql \li0\ri0\nowidctlpar\wrapdefault\aspalpha\aspnum\faauto\adjustright\rin0\lin0\itap0 \rtlch\fcs1 \af0\afs20\alang1025 \ltrch\fcs0 \b\fs24\lang2057\langfe2057\cgrid\langnp2057\langfenp2057 _x000d__x000a_\sbasedon0 \snext20 \spriority0 \styrsid11408336 NormalBold;}{\s21\qr \li0\ri0\sb240\sa240\nowidctlpar\wrapdefault\aspalpha\aspnum\faauto\adjustright\rin0\lin0\itap0 \rtlch\fcs1 \af0\afs20\alang1025 \ltrch\fcs0 _x000d__x000a_\fs24\lang2057\langfe2057\cgrid\langnp2057\langfenp2057 \sbasedon0 \snext21 \spriority0 \styrsid11408336 AmOrLang;}{\s22\qc \li0\ri0\sa240\nowidctlpar\wrapdefault\aspalpha\aspnum\faauto\adjustright\rin0\lin0\itap0 \rtlch\fcs1 \af0\afs20\alang1025 _x000d__x000a_\ltrch\fcs0 \i\fs24\lang2057\langfe2057\cgrid\langnp2057\langfenp2057 \sbasedon0 \snext22 \spriority0 \styrsid1140833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408336 AmNumberTabs;}}{\*\rsidtbl \rsid24658\rsid223860\rsid735077\rsid1718133\rsid2892074\rsid3565327\rsid4666813\rsid6641733\rsid7823322_x000d__x000a_\rsid9636012\rsid10377208\rsid11215221\rsid11357103\rsid11408336\rsid11549030\rsid12154954\rsid14382809\rsid14424199\rsid15204470\rsid15285974\rsid15950462\rsid16324206\rsid16662270}{\mmathPr\mmathFont34\mbrkBin0\mbrkBinSub0\msmallFrac0\mdispDef1_x000d__x000a_\mlMargin0\mrMargin0\mdefJc1\mwrapIndent1440\mintLim0\mnaryLim1}{\info{\author BORKOWSKA Elwira}{\operator BORKOWSKA Elwira}{\creatim\yr2023\mo10\dy10\hr15\min10}{\revtim\yr2023\mo10\dy10\hr15\min10}{\version1}{\edmins0}{\nofpages1}{\nofwords70}_x000d__x000a_{\nofchars404}{\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08336\newtblstyruls\nogrowautofit\usenormstyforlist\noindnmbrts\felnbrelev\nocxsptable\indrlsweleven\noafcnsttbl\afelev\utinl\hwelev\spltpgpar\notcvasp\notbrkcnstfrctbl\notvatxbx\krnprsnet\cachedcolbal _x000d__x000a_\nouicompat \fet0{\*\wgrffmtfilter 013f}\nofeaturethrottle1\ilfomacatclnup0{\*\template C:\\Users\\EBORKO~1\\AppData\\Local\\Temp\\Blank1.dotx}{\*\ftnsep \ltrpar \pard\plain \ltrpar_x000d__x000a_\ql \li0\ri0\widctlpar\wrapdefault\aspalpha\aspnum\faauto\adjustright\rin0\lin0\itap0 \rtlch\fcs1 \af0\afs20\alang1025 \ltrch\fcs0 \fs24\lang2057\langfe2057\cgrid\langnp2057\langfenp2057 {\rtlch\fcs1 \af0 \ltrch\fcs0 \insrsid11357103 \chftnsep _x000d__x000a_\par }}{\*\ftnsepc \ltrpar \pard\plain \ltrpar\ql \li0\ri0\widctlpar\wrapdefault\aspalpha\aspnum\faauto\adjustright\rin0\lin0\itap0 \rtlch\fcs1 \af0\afs20\alang1025 \ltrch\fcs0 \fs24\lang2057\langfe2057\cgrid\langnp2057\langfenp2057 {\rtlch\fcs1 \af0 _x000d__x000a_\ltrch\fcs0 \insrsid11357103 \chftnsepc _x000d__x000a_\par }}{\*\aftnsep \ltrpar \pard\plain \ltrpar\ql \li0\ri0\widctlpar\wrapdefault\aspalpha\aspnum\faauto\adjustright\rin0\lin0\itap0 \rtlch\fcs1 \af0\afs20\alang1025 \ltrch\fcs0 \fs24\lang2057\langfe2057\cgrid\langnp2057\langfenp2057 {\rtlch\fcs1 \af0 _x000d__x000a_\ltrch\fcs0 \insrsid11357103 \chftnsep _x000d__x000a_\par }}{\*\aftnsepc \ltrpar \pard\plain \ltrpar\ql \li0\ri0\widctlpar\wrapdefault\aspalpha\aspnum\faauto\adjustright\rin0\lin0\itap0 \rtlch\fcs1 \af0\afs20\alang1025 \ltrch\fcs0 \fs24\lang2057\langfe2057\cgrid\langnp2057\langfenp2057 {\rtlch\fcs1 \af0 _x000d__x000a_\ltrch\fcs0 \insrsid1135710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1408336 \rtlch\fcs1 _x000d__x000a_\af0\afs20\alang1025 \ltrch\fcs0 \b\fs24\lang2057\langfe2057\cgrid\langnp2057\langfenp2057 {\rtlch\fcs1 \af0 \ltrch\fcs0 \cs17\b0\v\fs20\cf9\lang1024\langfe1024\loch\af1\hich\af1\dbch\af31501\noproof\insrsid11408336\charrsid12845454 {\*\bkmkstart restartA_x000d__x000a_}\hich\af1\dbch\af31501\loch\f1 &lt;AmendA&gt;}{\rtlch\fcs1 \af0 \ltrch\fcs0 \insrsid11408336\charrsid12845454 Amendment\tab \tab }{\rtlch\fcs1 \af0 \ltrch\fcs0 _x000d__x000a_\cs17\b0\v\fs20\cf9\lang1024\langfe1024\loch\af1\hich\af1\dbch\af31501\noproof\insrsid11408336\charrsid12845454 \hich\af1\dbch\af31501\loch\f1 &lt;NumAmA&gt;}{\rtlch\fcs1 \af0 \ltrch\fcs0 \insrsid11408336\charrsid12845454 #}{\rtlch\fcs1 \af1 \ltrch\fcs0 _x000d__x000a_\cs18\v\f1\fs20\cf15\insrsid11408336\charrsid12845454 ENMIENDA@NRAM@}{\rtlch\fcs1 \af0 \ltrch\fcs0 \insrsid11408336\charrsid12845454 #}{\rtlch\fcs1 \af0 \ltrch\fcs0 _x000d__x000a_\cs17\b0\v\fs20\cf9\lang1024\langfe1024\loch\af1\hich\af1\dbch\af31501\noproof\insrsid11408336\charrsid12845454 \hich\af1\dbch\af31501\loch\f1 &lt;/NumAmA&gt;}{\rtlch\fcs1 \af0 \ltrch\fcs0 \insrsid11408336\charrsid12845454 _x000d__x000a_\par }\pard\plain \ltrpar\s20\ql \li0\ri0\nowidctlpar\wrapdefault\aspalpha\aspnum\faauto\adjustright\rin0\lin0\itap0\pararsid11408336 \rtlch\fcs1 \af0\afs20\alang1025 \ltrch\fcs0 \b\fs24\lang2057\langfe2057\cgrid\langnp2057\langfenp2057 {\rtlch\fcs1 \af0 _x000d__x000a_\ltrch\fcs0 \cs17\b0\v\fs20\cf9\lang1024\langfe1024\loch\af1\hich\af1\dbch\af31501\noproof\insrsid11408336\charrsid12845454 \hich\af1\dbch\af31501\loch\f1 &lt;RepeatBlock-By&gt;}{\rtlch\fcs1 \af0 \ltrch\fcs0 \insrsid11408336\charrsid12845454 #}{\rtlch\fcs1 _x000d__x000a_\af1 \ltrch\fcs0 \cs18\v\f1\fs20\cf15\insrsid11408336\charrsid12845454 (MOD@InsideLoop()}{\rtlch\fcs1 \af0 \ltrch\fcs0 \insrsid11408336\charrsid12845454 ##}{\rtlch\fcs1 \af1 \ltrch\fcs0 \cs18\v\f1\fs20\cf15\insrsid11408336\charrsid12845454 _x000d__x000a_&gt;&gt;&gt;@[ZMEMBERSMSG]@}{\rtlch\fcs1 \af0 \ltrch\fcs0 \insrsid11408336\charrsid12845454 #}{\rtlch\fcs1 \af0 \ltrch\fcs0 \cs17\b0\v\fs20\cf9\lang1024\langfe1024\loch\af1\hich\af1\dbch\af31501\noproof\insrsid11408336\charrsid12845454 _x000d__x000a_\hich\af1\dbch\af31501\loch\f1 &lt;Members&gt;}{\rtlch\fcs1 \af0 \ltrch\fcs0 \insrsid11408336\charrsid12845454 #}{\rtlch\fcs1 \af1 \ltrch\fcs0 \cs18\v\f1\fs20\cf15\insrsid11408336\charrsid12845454 (MOD@InsideLoop(\'a7)}{\rtlch\fcs1 \af0 \ltrch\fcs0 _x000d__x000a_\insrsid11408336\charrsid12845454 #}{\rtlch\fcs1 \af0 \ltrch\fcs0 \cf10\insrsid11408336\charrsid12845454 \u9668\'3f}{\rtlch\fcs1 \af0 \ltrch\fcs0 \insrsid11408336\charrsid12845454 #}{\rtlch\fcs1 \af1 \ltrch\fcs0 _x000d__x000a_\cs18\v\f1\fs20\cf15\insrsid11408336\charrsid12845454 TVTMEMBERS\'a7@MEMBERS@}{\rtlch\fcs1 \af0 \ltrch\fcs0 \insrsid11408336\charrsid12845454 #}{\rtlch\fcs1 \af0 \ltrch\fcs0 \cf10\insrsid11408336\charrsid12845454 \u9658\'3f}{\rtlch\fcs1 \af0 \ltrch\fcs0 _x000d__x000a_\cs17\b0\v\fs20\cf9\lang1024\langfe1024\loch\af1\hich\af1\dbch\af31501\noproof\insrsid11408336\charrsid12845454 \hich\af1\dbch\af31501\loch\f1 &lt;/Members&gt;}{\rtlch\fcs1 \af0 \ltrch\fcs0 \insrsid11408336\charrsid12845454 _x000d__x000a_\par }\pard\plain \ltrpar\ql \li0\ri0\widctlpar\wrapdefault\aspalpha\aspnum\faauto\adjustright\rin0\lin0\itap0\pararsid11408336 \rtlch\fcs1 \af0\afs20\alang1025 \ltrch\fcs0 \fs24\lang2057\langfe2057\cgrid\langnp2057\langfenp2057 {\rtlch\fcs1 \af0 \ltrch\fcs0 _x000d__x000a_\cs17\v\fs20\cf9\lang1024\langfe1024\loch\af1\hich\af1\dbch\af31501\noproof\insrsid11408336\charrsid12845454 \hich\af1\dbch\af31501\loch\f1 &lt;AuNomDe&gt;&lt;OptDel&gt;}{\rtlch\fcs1 \af0 \ltrch\fcs0 \insrsid11408336\charrsid12845454 #}{\rtlch\fcs1 \af1 \ltrch\fcs0 _x000d__x000a_\cs18\v\f1\fs20\cf15\insrsid11408336\charrsid12845454 MNU[ONBEHALFYES][NOTAPP]@CHOICE@}{\rtlch\fcs1 \af0 \ltrch\fcs0 \insrsid11408336\charrsid12845454 #}{\rtlch\fcs1 \af0 \ltrch\fcs0 _x000d__x000a_\cs17\v\fs20\cf9\lang1024\langfe1024\loch\af1\hich\af1\dbch\af31501\noproof\insrsid11408336\charrsid12845454 \hich\af1\dbch\af31501\loch\f1 &lt;/OptDel&gt;&lt;/AuNomDe&gt;}{\rtlch\fcs1 \af0 \ltrch\fcs0 \insrsid11408336\charrsid12845454 _x000d__x000a_\par &lt;&lt;&lt;}{\rtlch\fcs1 \af0 \ltrch\fcs0 \cs17\v\fs20\cf9\lang1024\langfe1024\loch\af1\hich\af1\dbch\af31501\noproof\insrsid11408336\charrsid12845454 \hich\af1\dbch\af31501\loch\f1 &lt;/RepeatBlock-By&gt;}{\rtlch\fcs1 \af0 \ltrch\fcs0 _x000d__x000a_\insrsid11408336\charrsid12845454 _x000d__x000a_\par }\pard\plain \ltrpar\s20\ql \li0\ri0\nowidctlpar\wrapdefault\aspalpha\aspnum\faauto\adjustright\rin0\lin0\itap0\pararsid11408336 \rtlch\fcs1 \af0\afs20\alang1025 \ltrch\fcs0 \b\fs24\lang2057\langfe2057\cgrid\langnp2057\langfenp2057 {\rtlch\fcs1 \af0 _x000d__x000a_\ltrch\fcs0 \cs17\b0\v\fs20\cf9\lang1024\langfe1024\loch\af1\hich\af1\dbch\af31501\noproof\insrsid11408336\charrsid12845454 \hich\af1\dbch\af31501\loch\f1 &lt;DocAmend&gt;}{\rtlch\fcs1 \af0 \ltrch\fcs0 \insrsid11408336\charrsid12845454 _x000d__x000a_Draft legislative resolution}{\rtlch\fcs1 \af0 \ltrch\fcs0 \cs17\b0\v\fs20\cf9\lang1024\langfe1024\loch\af1\hich\af1\dbch\af31501\noproof\insrsid11408336\charrsid12845454 \hich\af1\dbch\af31501\loch\f1 &lt;/DocAmend&gt;}{\rtlch\fcs1 \af0 \ltrch\fcs0 _x000d__x000a_\insrsid11408336\charrsid12845454 _x000d__x000a_\par }{\rtlch\fcs1 \af0 \ltrch\fcs0 \cs17\b0\v\fs20\cf9\lang1024\langfe1024\loch\af1\hich\af1\dbch\af31501\noproof\insrsid11408336\charrsid12845454 \hich\af1\dbch\af31501\loch\f1 &lt;Article&gt;}{\rtlch\fcs1 \af0 \ltrch\fcs0 \cf10\insrsid11408336\charrsid12845454 _x000d__x000a_\u9668\'3f}{\rtlch\fcs1 \af0 \ltrch\fcs0 \insrsid11408336\charrsid12845454 #}{\rtlch\fcs1 \af1 \ltrch\fcs0 \cs18\v\f1\fs20\cf15\insrsid11408336\charrsid12845454 TVTRESPART@RESPART@}{\rtlch\fcs1 \af0 \ltrch\fcs0 \insrsid11408336\charrsid12845454 #}{_x000d__x000a_\rtlch\fcs1 \af0 \ltrch\fcs0 \cf10\insrsid11408336\charrsid12845454 \u9658\'3f}{\rtlch\fcs1 \af0 \ltrch\fcs0 \cs17\b0\v\fs20\cf9\lang1024\langfe1024\loch\af1\hich\af1\dbch\af31501\noproof\insrsid11408336\charrsid12845454 \hich\af1\dbch\af31501\loch\f1 _x000d__x000a_&lt;/Article&gt;}{\rtlch\fcs1 \af0 \ltrch\fcs0 \insrsid11408336\charrsid12845454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408336\charrsid12845454 \cell }\pard\plain \ltrpar\ql \li0\ri0\widctlpar\intbl\wrapdefault\aspalpha\aspnum\faauto\adjustright\rin0\lin0 \rtlch\fcs1 _x000d__x000a_\af0\afs20\alang1025 \ltrch\fcs0 \fs24\lang2057\langfe2057\cgrid\langnp2057\langfenp2057 {\rtlch\fcs1 \af0 \ltrch\fcs0 \insrsid11408336\charrsid12845454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1408336\charrsid12845454 Draft legislative resolution\cell Amendment\cell }\pard\plain \ltrpar\ql \li0\ri0\widctlpar\intbl\wrapdefault\aspalpha\aspnum\faauto\adjustright\rin0\lin0 \rtlch\fcs1 \af0\afs20\alang1025 _x000d__x000a_\ltrch\fcs0 \fs24\lang2057\langfe2057\cgrid\langnp2057\langfenp2057 {\rtlch\fcs1 \af0 \ltrch\fcs0 \insrsid11408336\charrsid12845454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408336\charrsid12845454 ##\cell ##}{\rtlch\fcs1 \af0\afs24 \ltrch\fcs0 \insrsid11408336\charrsid12845454 \cell }\pard\plain \ltrpar\ql \li0\ri0\widctlpar\intbl\wrapdefault\aspalpha\aspnum\faauto\adjustright\rin0\lin0 \rtlch\fcs1 _x000d__x000a_\af0\afs20\alang1025 \ltrch\fcs0 \fs24\lang2057\langfe2057\cgrid\langnp2057\langfenp2057 {\rtlch\fcs1 \af0 \ltrch\fcs0 \insrsid11408336\charrsid12845454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1408336 \rtlch\fcs1 \af0\afs20\alang1025 \ltrch\fcs0 \fs24\lang2057\langfe2057\cgrid\langnp2057\langfenp2057 {\rtlch\fcs1 \af0 \ltrch\fcs0 _x000d__x000a_\insrsid11408336\charrsid12845454 Or. }{\rtlch\fcs1 \af0 \ltrch\fcs0 \cs17\v\fs20\cf9\lang1024\langfe1024\loch\af1\hich\af1\dbch\af31501\noproof\insrsid11408336\charrsid12845454 \hich\af1\dbch\af31501\loch\f1 &lt;Original&gt;}{\rtlch\fcs1 \af0 \ltrch\fcs0 _x000d__x000a_\insrsid11408336\charrsid12845454 #}{\rtlch\fcs1 \af1 \ltrch\fcs0 \cs18\v\f1\fs20\cf15\insrsid11408336\charrsid12845454 KEY(MAIN/LANGMIN)sh@ORLANGMSG@}{\rtlch\fcs1 \af0 \ltrch\fcs0 \insrsid11408336\charrsid12845454 #}{\rtlch\fcs1 \af0 \ltrch\fcs0 _x000d__x000a_\cs17\v\fs20\cf9\lang1024\langfe1024\loch\af1\hich\af1\dbch\af31501\noproof\insrsid11408336\charrsid12845454 \hich\af1\dbch\af31501\loch\f1 &lt;/Original&gt;}{\rtlch\fcs1 \af0 \ltrch\fcs0 \insrsid11408336\charrsid12845454 _x000d__x000a_\par }\pard\plain \ltrpar\ql \li0\ri0\widctlpar\wrapdefault\aspalpha\aspnum\faauto\adjustright\rin0\lin0\itap0\pararsid11408336 \rtlch\fcs1 \af0\afs20\alang1025 \ltrch\fcs0 \fs24\lang2057\langfe2057\cgrid\langnp2057\langfenp2057 {\rtlch\fcs1 \af0 \ltrch\fcs0 _x000d__x000a_\cs17\v\fs20\cf9\lang1024\langfe1024\loch\af1\hich\af1\dbch\af31501\noproof\insrsid11408336\charrsid1284545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8f_x000d__x000a_69237bf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148974 HideTWBExt;}{\*\cs18 \additive \v\f1\fs20\cf15 _x000d__x000a_\spriority0 \styrsid16148974 HideTWBInt;}{\s19\ql \li0\ri0\sa120\nowidctlpar\wrapdefault\aspalpha\aspnum\faauto\adjustright\rin0\lin0\itap0 \rtlch\fcs1 \af0\afs20\alang1025 \ltrch\fcs0 \fs24\lang2057\langfe2057\cgrid\langnp2057\langfenp2057 _x000d__x000a_\sbasedon0 \snext19 \spriority0 \styrsid16148974 Normal6a;}{\s20\ql \li0\ri0\nowidctlpar\wrapdefault\aspalpha\aspnum\faauto\adjustright\rin0\lin0\itap0 \rtlch\fcs1 \af0\afs20\alang1025 \ltrch\fcs0 \b\fs24\lang2057\langfe2057\cgrid\langnp2057\langfenp2057 _x000d__x000a_\sbasedon0 \snext20 \spriority0 \styrsid16148974 NormalBold;}{\s21\ql \li0\ri0\sa240\nowidctlpar\wrapdefault\aspalpha\aspnum\faauto\adjustright\rin0\lin0\itap0 \rtlch\fcs1 \af0\afs20\alang1025 \ltrch\fcs0 _x000d__x000a_\i\fs24\lang2057\langfe2057\cgrid\langnp2057\langfenp2057 \sbasedon0 \snext21 \spriority0 \styrsid16148974 AmJustText;}{\s22\qc \li0\ri0\sb240\sa240\nowidctlpar\wrapdefault\aspalpha\aspnum\faauto\adjustright\rin0\lin0\itap0 \rtlch\fcs1 _x000d__x000a_\af0\afs20\alang1025 \ltrch\fcs0 \i\fs24\lang2057\langfe2057\cgrid\langnp2057\langfenp2057 \sbasedon0 \snext22 \spriority0 \styrsid16148974 AmCrossRef;}{_x000d__x000a_\s23\qc \li0\ri0\sb240\sa240\keepn\nowidctlpar\wrapdefault\aspalpha\aspnum\faauto\adjustright\rin0\lin0\itap0 \rtlch\fcs1 \af0\afs20\alang1025 \ltrch\fcs0 \i\fs24\lang2057\langfe2057\cgrid\langnp2057\langfenp2057 _x000d__x000a_\sbasedon0 \snext21 \spriority0 \styrsid16148974 AmJustTitle;}{\s24\qr \li0\ri0\sb240\sa240\nowidctlpar\wrapdefault\aspalpha\aspnum\faauto\adjustright\rin0\lin0\itap0 \rtlch\fcs1 \af0\afs20\alang1025 \ltrch\fcs0 _x000d__x000a_\fs24\lang2057\langfe2057\cgrid\langnp2057\langfenp2057 \sbasedon0 \snext24 \spriority0 \styrsid16148974 AmOrLang;}{\s25\qc \li0\ri0\sa240\nowidctlpar\wrapdefault\aspalpha\aspnum\faauto\adjustright\rin0\lin0\itap0 \rtlch\fcs1 \af0\afs20\alang1025 _x000d__x000a_\ltrch\fcs0 \i\fs24\lang2057\langfe2057\cgrid\langnp2057\langfenp2057 \sbasedon0 \snext25 \spriority0 \styrsid1614897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148974 AmNumberTabs;}}{\*\rsidtbl \rsid24658\rsid223860\rsid735077\rsid1718133\rsid2892074\rsid3565327\rsid4666813\rsid6641733\rsid7823322_x000d__x000a_\rsid9636012\rsid10377208\rsid11215221\rsid11549030\rsid12154954\rsid14382809\rsid14424199\rsid15204470\rsid15285974\rsid15935084\rsid15950462\rsid16148974\rsid16324206\rsid16662270}{\mmathPr\mmathFont34\mbrkBin0\mbrkBinSub0\msmallFrac0\mdispDef1_x000d__x000a_\mlMargin0\mrMargin0\mdefJc1\mwrapIndent1440\mintLim0\mnaryLim1}{\info{\author BORKOWSKA Elwira}{\operator BORKOWSKA Elwira}{\creatim\yr2023\mo10\dy10\hr15\min10}{\revtim\yr2023\mo10\dy10\hr15\min10}{\version1}{\edmins0}{\nofpages1}{\nofwords131}_x000d__x000a_{\nofchars748}{\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148974\newtblstyruls\nogrowautofit\usenormstyforlist\noindnmbrts\felnbrelev\nocxsptable\indrlsweleven\noafcnsttbl\afelev\utinl\hwelev\spltpgpar\notcvasp\notbrkcnstfrctbl\notvatxbx\krnprsnet\cachedcolbal _x000d__x000a_\nouicompat \fet0{\*\wgrffmtfilter 013f}\nofeaturethrottle1\ilfomacatclnup0{\*\template C:\\Users\\EBORKO~1\\AppData\\Local\\Temp\\Blank1.dotx}{\*\ftnsep \ltrpar \pard\plain \ltrpar_x000d__x000a_\ql \li0\ri0\widctlpar\wrapdefault\aspalpha\aspnum\faauto\adjustright\rin0\lin0\itap0 \rtlch\fcs1 \af0\afs20\alang1025 \ltrch\fcs0 \fs24\lang2057\langfe2057\cgrid\langnp2057\langfenp2057 {\rtlch\fcs1 \af0 \ltrch\fcs0 \insrsid15935084 \chftnsep _x000d__x000a_\par }}{\*\ftnsepc \ltrpar \pard\plain \ltrpar\ql \li0\ri0\widctlpar\wrapdefault\aspalpha\aspnum\faauto\adjustright\rin0\lin0\itap0 \rtlch\fcs1 \af0\afs20\alang1025 \ltrch\fcs0 \fs24\lang2057\langfe2057\cgrid\langnp2057\langfenp2057 {\rtlch\fcs1 \af0 _x000d__x000a_\ltrch\fcs0 \insrsid15935084 \chftnsepc _x000d__x000a_\par }}{\*\aftnsep \ltrpar \pard\plain \ltrpar\ql \li0\ri0\widctlpar\wrapdefault\aspalpha\aspnum\faauto\adjustright\rin0\lin0\itap0 \rtlch\fcs1 \af0\afs20\alang1025 \ltrch\fcs0 \fs24\lang2057\langfe2057\cgrid\langnp2057\langfenp2057 {\rtlch\fcs1 \af0 _x000d__x000a_\ltrch\fcs0 \insrsid15935084 \chftnsep _x000d__x000a_\par }}{\*\aftnsepc \ltrpar \pard\plain \ltrpar\ql \li0\ri0\widctlpar\wrapdefault\aspalpha\aspnum\faauto\adjustright\rin0\lin0\itap0 \rtlch\fcs1 \af0\afs20\alang1025 \ltrch\fcs0 \fs24\lang2057\langfe2057\cgrid\langnp2057\langfenp2057 {\rtlch\fcs1 \af0 _x000d__x000a_\ltrch\fcs0 \insrsid1593508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148974 \rtlch\fcs1 _x000d__x000a_\af0\afs20\alang1025 \ltrch\fcs0 \b\fs24\lang2057\langfe2057\cgrid\langnp2057\langfenp2057 {\rtlch\fcs1 \af0 \ltrch\fcs0 \cs17\b0\v\fs20\cf9\lang1024\langfe1024\loch\af1\hich\af1\dbch\af31501\noproof\insrsid16148974\charrsid12845454 {\*\bkmkstart restartB_x000d__x000a_}\hich\af1\dbch\af31501\loch\f1 &lt;AmendB&gt;}{\rtlch\fcs1 \af0 \ltrch\fcs0 \insrsid16148974\charrsid12845454 Amendment\tab \tab }{\rtlch\fcs1 \af0 \ltrch\fcs0 _x000d__x000a_\cs17\b0\v\fs20\cf9\lang1024\langfe1024\loch\af1\hich\af1\dbch\af31501\noproof\insrsid16148974\charrsid12845454 \hich\af1\dbch\af31501\loch\f1 &lt;NumAmB&gt;}{\rtlch\fcs1 \af0 \ltrch\fcs0 \insrsid16148974\charrsid12845454 #}{\rtlch\fcs1 \af1 \ltrch\fcs0 _x000d__x000a_\cs18\v\f1\fs20\cf15\insrsid16148974\charrsid12845454 ENMIENDA@NRAM@}{\rtlch\fcs1 \af0 \ltrch\fcs0 \insrsid16148974\charrsid12845454 #}{\rtlch\fcs1 \af0 \ltrch\fcs0 _x000d__x000a_\cs17\b0\v\fs20\cf9\lang1024\langfe1024\loch\af1\hich\af1\dbch\af31501\noproof\insrsid16148974\charrsid12845454 \hich\af1\dbch\af31501\loch\f1 &lt;/NumAmB&gt;}{\rtlch\fcs1 \af0 \ltrch\fcs0 \insrsid16148974\charrsid12845454 _x000d__x000a_\par }\pard\plain \ltrpar\s20\ql \li0\ri0\nowidctlpar\wrapdefault\aspalpha\aspnum\faauto\adjustright\rin0\lin0\itap0\pararsid16148974 \rtlch\fcs1 \af0\afs20\alang1025 \ltrch\fcs0 \b\fs24\lang2057\langfe2057\cgrid\langnp2057\langfenp2057 {\rtlch\fcs1 \af0 _x000d__x000a_\ltrch\fcs0 \cs17\b0\v\fs20\cf9\lang1024\langfe1024\loch\af1\hich\af1\dbch\af31501\noproof\insrsid16148974\charrsid12845454 \hich\af1\dbch\af31501\loch\f1 &lt;RepeatBlock-By&gt;}{\rtlch\fcs1 \af0 \ltrch\fcs0 \insrsid16148974\charrsid12845454 #}{\rtlch\fcs1 _x000d__x000a_\af1 \ltrch\fcs0 \cs18\v\f1\fs20\cf15\insrsid16148974\charrsid12845454 (MOD@InsideLoop()}{\rtlch\fcs1 \af0 \ltrch\fcs0 \insrsid16148974\charrsid12845454 ##}{\rtlch\fcs1 \af1 \ltrch\fcs0 \cs18\v\f1\fs20\cf15\insrsid16148974\charrsid12845454 &gt;&gt;&gt;@[ZMEM_x000d__x000a_BERSMSG]@}{\rtlch\fcs1 \af0 \ltrch\fcs0 \insrsid16148974\charrsid12845454 #}{\rtlch\fcs1 \af0 \ltrch\fcs0 \cs17\b0\v\fs20\cf9\lang1024\langfe1024\loch\af1\hich\af1\dbch\af31501\noproof\insrsid16148974\charrsid12845454 \hich\af1\dbch\af31501\loch\f1 _x000d__x000a_&lt;Members&gt;}{\rtlch\fcs1 \af0 \ltrch\fcs0 \insrsid16148974\charrsid12845454 #}{\rtlch\fcs1 \af1 \ltrch\fcs0 \cs18\v\f1\fs20\cf15\insrsid16148974\charrsid12845454 (MOD@InsideLoop(\'a7)}{\rtlch\fcs1 \af0 \ltrch\fcs0 \insrsid16148974\charrsid12845454 #}{_x000d__x000a_\rtlch\fcs1 \af0 \ltrch\fcs0 \cf10\insrsid16148974\charrsid12845454 \u9668\'3f}{\rtlch\fcs1 \af0 \ltrch\fcs0 \insrsid16148974\charrsid12845454 #}{\rtlch\fcs1 \af1 \ltrch\fcs0 \cs18\v\f1\fs20\cf15\insrsid16148974\charrsid12845454 TVTMEMBERS\'a7@MEMBERS@}{_x000d__x000a_\rtlch\fcs1 \af0 \ltrch\fcs0 \insrsid16148974\charrsid12845454 #}{\rtlch\fcs1 \af0 \ltrch\fcs0 \cf10\insrsid16148974\charrsid12845454 \u9658\'3f}{\rtlch\fcs1 \af0 \ltrch\fcs0 _x000d__x000a_\cs17\b0\v\fs20\cf9\lang1024\langfe1024\loch\af1\hich\af1\dbch\af31501\noproof\insrsid16148974\charrsid12845454 \hich\af1\dbch\af31501\loch\f1 &lt;/Members&gt;}{\rtlch\fcs1 \af0 \ltrch\fcs0 \insrsid16148974\charrsid12845454 _x000d__x000a_\par }\pard\plain \ltrpar\ql \li0\ri0\widctlpar\wrapdefault\aspalpha\aspnum\faauto\adjustright\rin0\lin0\itap0\pararsid16148974 \rtlch\fcs1 \af0\afs20\alang1025 \ltrch\fcs0 \fs24\lang2057\langfe2057\cgrid\langnp2057\langfenp2057 {\rtlch\fcs1 \af0 \ltrch\fcs0 _x000d__x000a_\cs17\v\fs20\cf9\lang1024\langfe1024\loch\af1\hich\af1\dbch\af31501\noproof\insrsid16148974\charrsid12845454 \hich\af1\dbch\af31501\loch\f1 &lt;AuNomDe&gt;&lt;OptDel&gt;}{\rtlch\fcs1 \af0 \ltrch\fcs0 \insrsid16148974\charrsid12845454 #}{\rtlch\fcs1 \af1 \ltrch\fcs0 _x000d__x000a_\cs18\v\f1\fs20\cf15\insrsid16148974\charrsid12845454 MNU[ONBEHALFYES][NOTAPP]@CHOICE@}{\rtlch\fcs1 \af0 \ltrch\fcs0 \insrsid16148974\charrsid12845454 #}{\rtlch\fcs1 \af0 \ltrch\fcs0 _x000d__x000a_\cs17\v\fs20\cf9\lang1024\langfe1024\loch\af1\hich\af1\dbch\af31501\noproof\insrsid16148974\charrsid12845454 \hich\af1\dbch\af31501\loch\f1 &lt;/OptDel&gt;&lt;/AuNomDe&gt;}{\rtlch\fcs1 \af0 \ltrch\fcs0 \insrsid16148974\charrsid12845454 _x000d__x000a_\par &lt;&lt;&lt;}{\rtlch\fcs1 \af0 \ltrch\fcs0 \cs17\v\fs20\cf9\lang1024\langfe1024\loch\af1\hich\af1\dbch\af31501\noproof\insrsid16148974\charrsid12845454 \hich\af1\dbch\af31501\loch\f1 &lt;/RepeatBlock-By&gt;}{\rtlch\fcs1 \af0 \ltrch\fcs0 _x000d__x000a_\insrsid16148974\charrsid12845454 _x000d__x000a_\par }\pard\plain \ltrpar\s20\ql \li0\ri0\nowidctlpar\wrapdefault\aspalpha\aspnum\faauto\adjustright\rin0\lin0\itap0\pararsid16148974 \rtlch\fcs1 \af0\afs20\alang1025 \ltrch\fcs0 \b\fs24\lang2057\langfe2057\cgrid\langnp2057\langfenp2057 {\rtlch\fcs1 \af0 _x000d__x000a_\ltrch\fcs0 \cs17\b0\v\fs20\cf9\lang1024\langfe1024\loch\af1\hich\af1\dbch\af31501\noproof\insrsid16148974\charrsid12845454 \hich\af1\dbch\af31501\loch\f1 &lt;DocAmend&gt;}{\rtlch\fcs1 \af0 \ltrch\fcs0 \insrsid16148974\charrsid12845454 #}{\rtlch\fcs1 \af1 _x000d__x000a_\ltrch\fcs0 \cs18\v\f1\fs20\cf15\insrsid16148974\charrsid12845454 MNU[OPTPROPOSALCOD][OPTPROPOSALCNS][OPTPROPOSALNLE]@CHOICE@CODEMNU}{\rtlch\fcs1 \af0 \ltrch\fcs0 \insrsid16148974\charrsid12845454 #}{\rtlch\fcs1 \af0 \ltrch\fcs0 _x000d__x000a_\cs17\b0\v\fs20\cf9\lang1024\langfe1024\loch\af1\hich\af1\dbch\af31501\noproof\insrsid16148974\charrsid12845454 \hich\af1\dbch\af31501\loch\f1 &lt;/DocAmend&gt;}{\rtlch\fcs1 \af0 \ltrch\fcs0 \insrsid16148974\charrsid12845454 _x000d__x000a_\par }\pard \ltrpar\s20\ql \li0\ri0\keepn\nowidctlpar\wrapdefault\aspalpha\aspnum\faauto\adjustright\rin0\lin0\itap0\pararsid16148974 {\rtlch\fcs1 \af0 \ltrch\fcs0 _x000d__x000a_\cs17\b0\v\fs20\cf9\lang1024\langfe1024\loch\af1\hich\af1\dbch\af31501\noproof\insrsid16148974\charrsid12845454 \hich\af1\dbch\af31501\loch\f1 &lt;Article&gt;}{\rtlch\fcs1 \af0 \ltrch\fcs0 \insrsid16148974\charrsid12845454 #}{\rtlch\fcs1 \af1 \ltrch\fcs0 _x000d__x000a_\cs18\v\f1\fs20\cf15\insrsid16148974\charrsid12845454 MNU[AMACTPARTYES][AMACTPARTNO]@CHOICE@AMACTMNU}{\rtlch\fcs1 \af0 \ltrch\fcs0 \insrsid16148974\charrsid12845454 #}{\rtlch\fcs1 \af0 \ltrch\fcs0 _x000d__x000a_\cs17\b0\v\fs20\cf9\lang1024\langfe1024\loch\af1\hich\af1\dbch\af31501\noproof\insrsid16148974\charrsid12845454 \hich\af1\dbch\af31501\loch\f1 &lt;/Article&gt;}{\rtlch\fcs1 \af0 \ltrch\fcs0 \insrsid16148974\charrsid12845454 _x000d__x000a_\par }\pard\plain \ltrpar\ql \li0\ri0\keepn\widctlpar\wrapdefault\aspalpha\aspnum\faauto\adjustright\rin0\lin0\itap0\pararsid16148974 \rtlch\fcs1 \af0\afs20\alang1025 \ltrch\fcs0 \fs24\lang2057\langfe2057\cgrid\langnp2057\langfenp2057 {\rtlch\fcs1 \af0 _x000d__x000a_\ltrch\fcs0 \cs17\v\fs20\cf9\lang1024\langfe1024\loch\af1\hich\af1\dbch\af31501\noproof\insrsid16148974\charrsid12845454 \hich\af1\dbch\af31501\loch\f1 &lt;DocAmend2&gt;&lt;OptDel&gt;}{\rtlch\fcs1 \af0 \ltrch\fcs0 \insrsid16148974\charrsid12845454 #}{\rtlch\fcs1 _x000d__x000a_\af1 \ltrch\fcs0 \cs18\v\f1\fs20\cf15\insrsid16148974\charrsid12845454 MNU[OPTNRACTYES][NOTAPP]@CHOICE@AMACTMNU}{\rtlch\fcs1 \af0 \ltrch\fcs0 \insrsid16148974\charrsid12845454 #}{\rtlch\fcs1 \af0 \ltrch\fcs0 _x000d__x000a_\cs17\v\fs20\cf9\lang1024\langfe1024\loch\af1\hich\af1\dbch\af31501\noproof\insrsid16148974\charrsid12845454 \hich\af1\dbch\af31501\loch\f1 &lt;/OptDel&gt;&lt;/DocAmend2&gt;}{\rtlch\fcs1 \af0 \ltrch\fcs0 \insrsid16148974\charrsid12845454 _x000d__x000a_\par }\pard \ltrpar\ql \li0\ri0\widctlpar\wrapdefault\aspalpha\aspnum\faauto\adjustright\rin0\lin0\itap0\pararsid16148974 {\rtlch\fcs1 \af0 \ltrch\fcs0 _x000d__x000a_\cs17\v\fs20\cf9\lang1024\langfe1024\loch\af1\hich\af1\dbch\af31501\noproof\insrsid16148974\charrsid12845454 \hich\af1\dbch\af31501\loch\f1 &lt;Article2&gt;&lt;OptDel&gt;}{\rtlch\fcs1 \af0 \ltrch\fcs0 \insrsid16148974\charrsid12845454 #}{\rtlch\fcs1 \af1 \ltrch\fcs0 _x000d__x000a_\cs18\v\f1\fs20\cf15\insrsid16148974\charrsid12845454 MNU[OPTACTPARTYES][NOTAPP]@CHOICE@AMACTMNU}{\rtlch\fcs1 \af0 \ltrch\fcs0 \insrsid16148974\charrsid12845454 #}{\rtlch\fcs1 \af0 \ltrch\fcs0 _x000d__x000a_\cs17\v\fs20\cf9\lang1024\langfe1024\loch\af1\hich\af1\dbch\af31501\noproof\insrsid16148974\charrsid12845454 \hich\af1\dbch\af31501\loch\f1 &lt;/OptDel&gt;&lt;/Article2&gt;}{\rtlch\fcs1 \af0 \ltrch\fcs0 \insrsid16148974\charrsid12845454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148974\charrsid12845454 \cell }\pard\plain \ltrpar\ql \li0\ri0\widctlpar\intbl\wrapdefault\aspalpha\aspnum\faauto\adjustright\rin0\lin0 \rtlch\fcs1 _x000d__x000a_\af0\afs20\alang1025 \ltrch\fcs0 \fs24\lang2057\langfe2057\cgrid\langnp2057\langfenp2057 {\rtlch\fcs1 \af0 \ltrch\fcs0 \insrsid16148974\charrsid12845454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6148974\charrsid12845454 #}{\rtlch\fcs1 \af1 \ltrch\fcs0 \cs18\v\f1\fs20\cf15\insrsid16148974\charrsid12845454 MNU[OPTLEFTAMACT][LEFTPROP]@CHOICE@AMACTMNU}{_x000d__x000a_\rtlch\fcs1 \af0 \ltrch\fcs0 \insrsid16148974\charrsid12845454 #\cell Amendment\cell }\pard\plain \ltrpar\ql \li0\ri0\widctlpar\intbl\wrapdefault\aspalpha\aspnum\faauto\adjustright\rin0\lin0 \rtlch\fcs1 \af0\afs20\alang1025 \ltrch\fcs0 _x000d__x000a_\fs24\lang2057\langfe2057\cgrid\langnp2057\langfenp2057 {\rtlch\fcs1 \af0 \ltrch\fcs0 \insrsid16148974\charrsid12845454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6148974\charrsid12845454 ##\cell ##}{\rtlch\fcs1 \af0\afs24 \ltrch\fcs0 \insrsid16148974\charrsid12845454 \cell }\pard\plain \ltrpar\ql \li0\ri0\widctlpar\intbl\wrapdefault\aspalpha\aspnum\faauto\adjustright\rin0\lin0 \rtlch\fcs1 _x000d__x000a_\af0\afs20\alang1025 \ltrch\fcs0 \fs24\lang2057\langfe2057\cgrid\langnp2057\langfenp2057 {\rtlch\fcs1 \af0 \ltrch\fcs0 \insrsid16148974\charrsid12845454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148974 \rtlch\fcs1 \af0\afs20\alang1025 \ltrch\fcs0 \fs24\lang2057\langfe2057\cgrid\langnp2057\langfenp2057 {\rtlch\fcs1 \af0 \ltrch\fcs0 _x000d__x000a_\insrsid16148974\charrsid12845454 Or. }{\rtlch\fcs1 \af0 \ltrch\fcs0 \cs17\v\fs20\cf9\lang1024\langfe1024\loch\af1\hich\af1\dbch\af31501\noproof\insrsid16148974\charrsid12845454 \hich\af1\dbch\af31501\loch\f1 &lt;Original&gt;}{\rtlch\fcs1 \af0 \ltrch\fcs0 _x000d__x000a_\insrsid16148974\charrsid12845454 #}{\rtlch\fcs1 \af1 \ltrch\fcs0 \cs18\v\f1\fs20\cf15\insrsid16148974\charrsid12845454 KEY(MAIN/LANGMIN)sh@ORLANGMSG@}{\rtlch\fcs1 \af0 \ltrch\fcs0 \insrsid16148974\charrsid12845454 #}{\rtlch\fcs1 \af0 \ltrch\fcs0 _x000d__x000a_\cs17\v\fs20\cf9\lang1024\langfe1024\loch\af1\hich\af1\dbch\af31501\noproof\insrsid16148974\charrsid12845454 \hich\af1\dbch\af31501\loch\f1 &lt;/Original&gt;}{\rtlch\fcs1 \af0 \ltrch\fcs0 \insrsid16148974\charrsid12845454 _x000d__x000a_\par }\pard\plain \ltrpar\s22\qc \li0\ri0\sb240\sa240\nowidctlpar\wrapdefault\aspalpha\aspnum\faauto\adjustright\rin0\lin0\itap0\pararsid16148974 \rtlch\fcs1 \af0\afs20\alang1025 \ltrch\fcs0 \i\fs24\lang2057\langfe2057\cgrid\langnp2057\langfenp2057 {_x000d__x000a_\rtlch\fcs1 \af0 \ltrch\fcs0 \cs17\i0\v\fs20\cf9\lang1024\langfe1024\loch\af1\hich\af1\dbch\af31501\noproof\insrsid16148974\charrsid12845454 \hich\af1\dbch\af31501\loch\f1 &lt;OptDel&gt;}{\rtlch\fcs1 \af0 \ltrch\fcs0 \insrsid16148974\charrsid12845454 #}{_x000d__x000a_\rtlch\fcs1 \af1 \ltrch\fcs0 \cs18\v\f1\fs20\cf15\insrsid16148974\charrsid12845454 MNU[CROSSREFNO][CROSSREFYES]@CHOICE@}{\rtlch\fcs1 \af0 \ltrch\fcs0 \insrsid16148974\charrsid12845454 #}{\rtlch\fcs1 \af0 \ltrch\fcs0 _x000d__x000a_\cs17\i0\v\fs20\cf9\lang1024\langfe1024\loch\af1\hich\af1\dbch\af31501\noproof\insrsid16148974\charrsid12845454 \hich\af1\dbch\af31501\loch\f1 &lt;/OptDel&gt;}{\rtlch\fcs1 \af0 \ltrch\fcs0 \insrsid16148974\charrsid12845454 _x000d__x000a_\par }\pard\plain \ltrpar\s23\qc \li0\ri0\sb240\sa240\keepn\nowidctlpar\wrapdefault\aspalpha\aspnum\faauto\adjustright\rin0\lin0\itap0\pararsid16148974 \rtlch\fcs1 \af0\afs20\alang1025 \ltrch\fcs0 \i\fs24\lang2057\langfe2057\cgrid\langnp2057\langfenp2057 {_x000d__x000a_\rtlch\fcs1 \af0 \ltrch\fcs0 \cs17\i0\v\fs20\cf9\lang1024\langfe1024\loch\af1\hich\af1\dbch\af31501\noproof\insrsid16148974\charrsid12845454 \hich\af1\dbch\af31501\loch\f1 &lt;TitreJust&gt;}{\rtlch\fcs1 \af0 \ltrch\fcs0 \insrsid16148974\charrsid12845454 _x000d__x000a_Justification}{\rtlch\fcs1 \af0 \ltrch\fcs0 \cs17\i0\v\fs20\cf9\lang1024\langfe1024\loch\af1\hich\af1\dbch\af31501\noproof\insrsid16148974\charrsid12845454 \hich\af1\dbch\af31501\loch\f1 &lt;/TitreJust&gt;}{\rtlch\fcs1 \af0 \ltrch\fcs0 _x000d__x000a_\insrsid16148974\charrsid12845454 _x000d__x000a_\par }\pard\plain \ltrpar\s21\ql \li0\ri0\sa240\nowidctlpar\wrapdefault\aspalpha\aspnum\faauto\adjustright\rin0\lin0\itap0\pararsid16148974 \rtlch\fcs1 \af0\afs20\alang1025 \ltrch\fcs0 \i\fs24\lang2057\langfe2057\cgrid\langnp2057\langfenp2057 {\rtlch\fcs1 _x000d__x000a_\af0 \ltrch\fcs0 \cs17\i0\v\fs20\cf9\lang1024\langfe1024\loch\af1\hich\af1\dbch\af31501\noproof\insrsid16148974\charrsid12845454 \hich\af1\dbch\af31501\loch\f1 &lt;OptDelPrev&gt;}{\rtlch\fcs1 \af0 \ltrch\fcs0 \insrsid16148974\charrsid12845454 #}{\rtlch\fcs1 _x000d__x000a_\af1 \ltrch\fcs0 \cs18\v\f1\fs20\cf15\insrsid16148974\charrsid12845454 MNU[TEXTJUSTYES][TEXTJUSTNO]@CHOICE@}{\rtlch\fcs1 \af0 \ltrch\fcs0 \insrsid16148974\charrsid12845454 #}{\rtlch\fcs1 \af0 \ltrch\fcs0 _x000d__x000a_\cs17\i0\v\fs20\cf9\lang1024\langfe1024\loch\af1\hich\af1\dbch\af31501\noproof\insrsid16148974\charrsid12845454 \hich\af1\dbch\af31501\loch\f1 &lt;/OptDelPrev&gt;}{\rtlch\fcs1 \af0 \ltrch\fcs0 \insrsid16148974\charrsid12845454 _x000d__x000a_\par }\pard\plain \ltrpar\ql \li0\ri0\widctlpar\wrapdefault\aspalpha\aspnum\faauto\adjustright\rin0\lin0\itap0\pararsid16148974 \rtlch\fcs1 \af0\afs20\alang1025 \ltrch\fcs0 \fs24\lang2057\langfe2057\cgrid\langnp2057\langfenp2057 {\rtlch\fcs1 \af0 \ltrch\fcs0 _x000d__x000a_\cs17\v\fs20\cf9\lang1024\langfe1024\loch\af1\hich\af1\dbch\af31501\noproof\insrsid16148974\charrsid1284545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a9_x000d__x000a_bf247bf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143890 HideTWBExt;}{\*\cs18 \additive \v\f1\fs20\cf15 _x000d__x000a_\spriority0 \styrsid16143890 HideTWBInt;}{\s19\ql \li0\ri0\sa120\nowidctlpar\wrapdefault\aspalpha\aspnum\faauto\adjustright\rin0\lin0\itap0 \rtlch\fcs1 \af0\afs20\alang1025 \ltrch\fcs0 \fs24\lang2057\langfe2057\cgrid\langnp2057\langfenp2057 _x000d__x000a_\sbasedon0 \snext19 \spriority0 \styrsid16143890 Normal6a;}{\s20\ql \li0\ri0\nowidctlpar\wrapdefault\aspalpha\aspnum\faauto\adjustright\rin0\lin0\itap0 \rtlch\fcs1 \af0\afs20\alang1025 \ltrch\fcs0 \b\fs24\lang2057\langfe2057\cgrid\langnp2057\langfenp2057 _x000d__x000a_\sbasedon0 \snext20 \spriority0 \styrsid16143890 NormalBold;}{\s21\ql \li0\ri0\sa240\nowidctlpar\wrapdefault\aspalpha\aspnum\faauto\adjustright\rin0\lin0\itap0 \rtlch\fcs1 \af0\afs20\alang1025 \ltrch\fcs0 _x000d__x000a_\i\fs24\lang2057\langfe2057\cgrid\langnp2057\langfenp2057 \sbasedon0 \snext21 \spriority0 \styrsid16143890 AmJustText;}{\s22\qc \li0\ri0\sb240\sa240\nowidctlpar\wrapdefault\aspalpha\aspnum\faauto\adjustright\rin0\lin0\itap0 \rtlch\fcs1 _x000d__x000a_\af0\afs20\alang1025 \ltrch\fcs0 \i\fs24\lang2057\langfe2057\cgrid\langnp2057\langfenp2057 \sbasedon0 \snext22 \spriority0 \styrsid16143890 AmCrossRef;}{_x000d__x000a_\s23\qc \li0\ri0\sb240\sa240\keepn\nowidctlpar\wrapdefault\aspalpha\aspnum\faauto\adjustright\rin0\lin0\itap0 \rtlch\fcs1 \af0\afs20\alang1025 \ltrch\fcs0 \i\fs24\lang2057\langfe2057\cgrid\langnp2057\langfenp2057 _x000d__x000a_\sbasedon0 \snext21 \spriority0 \styrsid16143890 AmJustTitle;}{\s24\qr \li0\ri0\sb240\sa240\nowidctlpar\wrapdefault\aspalpha\aspnum\faauto\adjustright\rin0\lin0\itap0 \rtlch\fcs1 \af0\afs20\alang1025 \ltrch\fcs0 _x000d__x000a_\fs24\lang2057\langfe2057\cgrid\langnp2057\langfenp2057 \sbasedon0 \snext24 \spriority0 \styrsid16143890 AmOrLang;}{\s25\qc \li0\ri0\sa240\nowidctlpar\wrapdefault\aspalpha\aspnum\faauto\adjustright\rin0\lin0\itap0 \rtlch\fcs1 \af0\afs20\alang1025 _x000d__x000a_\ltrch\fcs0 \i\fs24\lang2057\langfe2057\cgrid\langnp2057\langfenp2057 \sbasedon0 \snext25 \spriority0 \styrsid1614389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143890 AmNumberTabs;}}{\*\rsidtbl \rsid24658\rsid223860\rsid735077\rsid1718133\rsid2892074\rsid3565327\rsid4666813\rsid6641733\rsid7823322_x000d__x000a_\rsid9636012\rsid10377208\rsid11215221\rsid11549030\rsid12154954\rsid14382809\rsid14424199\rsid15149259\rsid15204470\rsid15285974\rsid15950462\rsid16143890\rsid16324206\rsid16662270}{\mmathPr\mmathFont34\mbrkBin0\mbrkBinSub0\msmallFrac0\mdispDef1_x000d__x000a_\mlMargin0\mrMargin0\mdefJc1\mwrapIndent1440\mintLim0\mnaryLim1}{\info{\author BORKOWSKA Elwira}{\operator BORKOWSKA Elwira}{\creatim\yr2023\mo10\dy10\hr15\min18}{\revtim\yr2023\mo10\dy10\hr15\min18}{\version1}{\edmins0}{\nofpages1}{\nofwords130}_x000d__x000a_{\nofchars745}{\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143890\newtblstyruls\nogrowautofit\usenormstyforlist\noindnmbrts\felnbrelev\nocxsptable\indrlsweleven\noafcnsttbl\afelev\utinl\hwelev\spltpgpar\notcvasp\notbrkcnstfrctbl\notvatxbx\krnprsnet\cachedcolbal _x000d__x000a_\nouicompat \fet0{\*\wgrffmtfilter 013f}\nofeaturethrottle1\ilfomacatclnup0{\*\template C:\\Users\\EBORKO~1\\AppData\\Local\\Temp\\Blank1.dotx}{\*\ftnsep \ltrpar \pard\plain \ltrpar_x000d__x000a_\ql \li0\ri0\widctlpar\wrapdefault\aspalpha\aspnum\faauto\adjustright\rin0\lin0\itap0 \rtlch\fcs1 \af0\afs20\alang1025 \ltrch\fcs0 \fs24\lang2057\langfe2057\cgrid\langnp2057\langfenp2057 {\rtlch\fcs1 \af0 \ltrch\fcs0 \insrsid15149259 \chftnsep _x000d__x000a_\par }}{\*\ftnsepc \ltrpar \pard\plain \ltrpar\ql \li0\ri0\widctlpar\wrapdefault\aspalpha\aspnum\faauto\adjustright\rin0\lin0\itap0 \rtlch\fcs1 \af0\afs20\alang1025 \ltrch\fcs0 \fs24\lang2057\langfe2057\cgrid\langnp2057\langfenp2057 {\rtlch\fcs1 \af0 _x000d__x000a_\ltrch\fcs0 \insrsid15149259 \chftnsepc _x000d__x000a_\par }}{\*\aftnsep \ltrpar \pard\plain \ltrpar\ql \li0\ri0\widctlpar\wrapdefault\aspalpha\aspnum\faauto\adjustright\rin0\lin0\itap0 \rtlch\fcs1 \af0\afs20\alang1025 \ltrch\fcs0 \fs24\lang2057\langfe2057\cgrid\langnp2057\langfenp2057 {\rtlch\fcs1 \af0 _x000d__x000a_\ltrch\fcs0 \insrsid15149259 \chftnsep _x000d__x000a_\par }}{\*\aftnsepc \ltrpar \pard\plain \ltrpar\ql \li0\ri0\widctlpar\wrapdefault\aspalpha\aspnum\faauto\adjustright\rin0\lin0\itap0 \rtlch\fcs1 \af0\afs20\alang1025 \ltrch\fcs0 \fs24\lang2057\langfe2057\cgrid\langnp2057\langfenp2057 {\rtlch\fcs1 \af0 _x000d__x000a_\ltrch\fcs0 \insrsid151492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143890 \rtlch\fcs1 _x000d__x000a_\af0\afs20\alang1025 \ltrch\fcs0 \b\fs24\lang2057\langfe2057\cgrid\langnp2057\langfenp2057 {\rtlch\fcs1 \af0 \ltrch\fcs0 \cs17\b0\v\fs20\cf9\lang1024\langfe1024\loch\af1\hich\af1\dbch\af31501\noproof\insrsid16143890\charrsid12845454 {\*\bkmkstart restart}_x000d__x000a_\hich\af1\dbch\af31501\loch\f1 &lt;}{\rtlch\fcs1 \af0 \ltrch\fcs0 \cs17\b0\v\fs20\cf9\lang1024\langfe1024\loch\af1\hich\af1\dbch\af31501\noproof\insrsid16143890 \hich\af1\dbch\af31501\loch\f1 Amend}{\rtlch\fcs1 \af0 \ltrch\fcs0 _x000d__x000a_\cs17\b0\v\fs20\cf9\lang1024\langfe1024\loch\af1\hich\af1\dbch\af31501\noproof\insrsid16143890\charrsid12845454 \hich\af1\dbch\af31501\loch\f1 &gt;}{\rtlch\fcs1 \af0 \ltrch\fcs0 \insrsid16143890\charrsid12845454 Amendment\tab \tab }{\rtlch\fcs1 \af0 _x000d__x000a_\ltrch\fcs0 \cs17\b0\v\fs20\cf9\lang1024\langfe1024\loch\af1\hich\af1\dbch\af31501\noproof\insrsid16143890\charrsid12845454 \hich\af1\dbch\af31501\loch\f1 &lt;}{\rtlch\fcs1 \af0 \ltrch\fcs0 _x000d__x000a_\cs17\b0\v\fs20\cf9\lang1024\langfe1024\loch\af1\hich\af1\dbch\af31501\noproof\insrsid16143890 \hich\af1\dbch\af31501\loch\f1 NumAm&gt;}{\rtlch\fcs1 \af0 \ltrch\fcs0 \insrsid16143890\charrsid12845454 #}{\rtlch\fcs1 \af1 \ltrch\fcs0 _x000d__x000a_\cs18\v\f1\fs20\cf15\insrsid16143890\charrsid12845454 ENMIENDA@NRAM@}{\rtlch\fcs1 \af0 \ltrch\fcs0 \insrsid16143890\charrsid12845454 #}{\rtlch\fcs1 \af0 \ltrch\fcs0 _x000d__x000a_\cs17\b0\v\fs20\cf9\lang1024\langfe1024\loch\af1\hich\af1\dbch\af31501\noproof\insrsid16143890\charrsid12845454 \hich\af1\dbch\af31501\loch\f1 &lt;/}{\rtlch\fcs1 \af0 \ltrch\fcs0 _x000d__x000a_\cs17\b0\v\fs20\cf9\lang1024\langfe1024\loch\af1\hich\af1\dbch\af31501\noproof\insrsid16143890 \hich\af1\dbch\af31501\loch\f1 NumAm&gt;}{\rtlch\fcs1 \af0 \ltrch\fcs0 \insrsid16143890\charrsid12845454 _x000d__x000a_\par }\pard\plain \ltrpar\s20\ql \li0\ri0\nowidctlpar\wrapdefault\aspalpha\aspnum\faauto\adjustright\rin0\lin0\itap0\pararsid16143890 \rtlch\fcs1 \af0\afs20\alang1025 \ltrch\fcs0 \b\fs24\lang2057\langfe2057\cgrid\langnp2057\langfenp2057 {\rtlch\fcs1 \af0 _x000d__x000a_\ltrch\fcs0 \cs17\b0\v\fs20\cf9\lang1024\langfe1024\loch\af1\hich\af1\dbch\af31501\noproof\insrsid16143890\charrsid12845454 \hich\af1\dbch\af31501\loch\f1 &lt;\hich\af1\dbch\af31501\loch\f1 RepeatBlock-By&gt;}{\rtlch\fcs1 \af0 \ltrch\fcs0 _x000d__x000a_\insrsid16143890\charrsid12845454 #}{\rtlch\fcs1 \af1 \ltrch\fcs0 \cs18\v\f1\fs20\cf15\insrsid16143890\charrsid12845454 (MOD@InsideLoop()}{\rtlch\fcs1 \af0 \ltrch\fcs0 \insrsid16143890\charrsid12845454 ##}{\rtlch\fcs1 \af1 \ltrch\fcs0 _x000d__x000a_\cs18\v\f1\fs20\cf15\insrsid16143890\charrsid12845454 &gt;&gt;&gt;@[ZMEMBERSMSG]@}{\rtlch\fcs1 \af0 \ltrch\fcs0 \insrsid16143890\charrsid12845454 #}{\rtlch\fcs1 \af0 \ltrch\fcs0 _x000d__x000a_\cs17\b0\v\fs20\cf9\lang1024\langfe1024\loch\af1\hich\af1\dbch\af31501\noproof\insrsid16143890\charrsid12845454 \hich\af1\dbch\af31501\loch\f1 &lt;Members&gt;}{\rtlch\fcs1 \af0 \ltrch\fcs0 \insrsid16143890\charrsid12845454 #}{\rtlch\fcs1 \af1 \ltrch\fcs0 _x000d__x000a_\cs18\v\f1\fs20\cf15\insrsid16143890\charrsid12845454 (MOD@InsideLoop(\'a7)}{\rtlch\fcs1 \af0 \ltrch\fcs0 \insrsid16143890\charrsid12845454 #}{\rtlch\fcs1 \af0 \ltrch\fcs0 \cf10\insrsid16143890\charrsid15691663 \u9668\'3f}{\rtlch\fcs1 \af0 \ltrch\fcs0 _x000d__x000a_\insrsid16143890\charrsid12845454 #}{\rtlch\fcs1 \af1 \ltrch\fcs0 \cs18\v\f1\fs20\cf15\insrsid16143890\charrsid12845454 TVTMEMBERS\'a7@MEMBERS@}{\rtlch\fcs1 \af0 \ltrch\fcs0 \insrsid16143890\charrsid12845454 #}{\rtlch\fcs1 \af0 \ltrch\fcs0 _x000d__x000a_\cf10\insrsid16143890\charrsid15691663 \u9658\'3f}{\rtlch\fcs1 \af0 \ltrch\fcs0 \cs17\b0\v\fs20\cf9\lang1024\langfe1024\loch\af1\hich\af1\dbch\af31501\noproof\insrsid16143890\charrsid12845454 \hich\af1\dbch\af31501\loch\f1 &lt;/Members&gt;}{\rtlch\fcs1 \af0 _x000d__x000a_\ltrch\fcs0 \insrsid16143890\charrsid12845454 _x000d__x000a_\par }\pard\plain \ltrpar\ql \li0\ri0\widctlpar\wrapdefault\aspalpha\aspnum\faauto\adjustright\rin0\lin0\itap0\pararsid16143890 \rtlch\fcs1 \af0\afs20\alang1025 \ltrch\fcs0 \fs24\lang2057\langfe2057\cgrid\langnp2057\langfenp2057 {\rtlch\fcs1 \af0 \ltrch\fcs0 _x000d__x000a_\cs17\v\fs20\cf9\lang1024\langfe1024\loch\af1\hich\af1\dbch\af31501\noproof\insrsid16143890\charrsid12845454 \hich\af1\dbch\af31501\loch\f1 &lt;AuNomDe&gt;&lt;OptDel&gt;}{\rtlch\fcs1 \af0 \ltrch\fcs0 \insrsid16143890\charrsid12845454 #}{\rtlch\fcs1 \af1 \ltrch\fcs0 _x000d__x000a_\cs18\v\f1\fs20\cf15\insrsid16143890\charrsid12845454 MNU[ONBEHALFYES][NOTAPP]@CHOICE@}{\rtlch\fcs1 \af0 \ltrch\fcs0 \insrsid16143890\charrsid12845454 #}{\rtlch\fcs1 \af0 \ltrch\fcs0 _x000d__x000a_\cs17\v\fs20\cf9\lang1024\langfe1024\loch\af1\hich\af1\dbch\af31501\noproof\insrsid16143890\charrsid12845454 \hich\af1\dbch\af31501\loch\f1 &lt;/OptDel&gt;&lt;/AuNomDe&gt;}{\rtlch\fcs1 \af0 \ltrch\fcs0 \insrsid16143890\charrsid12845454 _x000d__x000a_\par &lt;&lt;&lt;}{\rtlch\fcs1 \af0 \ltrch\fcs0 \cs17\v\fs20\cf9\lang1024\langfe1024\loch\af1\hich\af1\dbch\af31501\noproof\insrsid16143890\charrsid12845454 \hich\af1\dbch\af31501\loch\f1 &lt;/RepeatBlock-By&gt;}{\rtlch\fcs1 \af0 \ltrch\fcs0 _x000d__x000a_\insrsid16143890\charrsid12845454 _x000d__x000a_\par }\pard\plain \ltrpar\s20\ql \li0\ri0\nowidctlpar\wrapdefault\aspalpha\aspnum\faauto\adjustright\rin0\lin0\itap0\pararsid16143890 \rtlch\fcs1 \af0\afs20\alang1025 \ltrch\fcs0 \b\fs24\lang2057\langfe2057\cgrid\langnp2057\langfenp2057 {\rtlch\fcs1 \af0 _x000d__x000a_\ltrch\fcs0 \cs17\b0\v\fs20\cf9\lang1024\langfe1024\loch\af1\hich\af1\dbch\af31501\noproof\insrsid16143890\charrsid12845454 \hich\af1\dbch\af31501\loch\f1 &lt;DocAmend&gt;}{\rtlch\fcs1 \af0 \ltrch\fcs0 \insrsid16143890\charrsid12845454 #}{\rtlch\fcs1 \af1 _x000d__x000a_\ltrch\fcs0 \cs18\v\f1\fs20\cf15\insrsid16143890\charrsid12845454 MNU[OPTPROPOSALCOD][OPTPROPOSALCNS][OPTPROPOSALNLE]@CHOICE@CODEMNU}{\rtlch\fcs1 \af0 \ltrch\fcs0 \insrsid16143890\charrsid12845454 #}{\rtlch\fcs1 \af0 \ltrch\fcs0 _x000d__x000a_\cs17\b0\v\fs20\cf9\lang1024\langfe1024\loch\af1\hich\af1\dbch\af31501\noproof\insrsid16143890\charrsid12845454 \hich\af1\dbch\af31501\loch\f1 &lt;/DocAmend&gt;}{\rtlch\fcs1 \af0 \ltrch\fcs0 \insrsid16143890\charrsid12845454 _x000d__x000a_\par }\pard \ltrpar\s20\ql \li0\ri0\keepn\nowidctlpar\wrapdefault\aspalpha\aspnum\faauto\adjustright\rin0\lin0\itap0\pararsid16143890 {\rtlch\fcs1 \af0 \ltrch\fcs0 _x000d__x000a_\cs17\b0\v\fs20\cf9\lang1024\langfe1024\loch\af1\hich\af1\dbch\af31501\noproof\insrsid16143890\charrsid12845454 \hich\af1\dbch\af31501\loch\f1 &lt;Article&gt;}{\rtlch\fcs1 \af0 \ltrch\fcs0 \insrsid16143890\charrsid12845454 #}{\rtlch\fcs1 \af1 \ltrch\fcs0 _x000d__x000a_\cs18\v\f1\fs20\cf15\insrsid16143890\charrsid12845454 MNU[AMACTPARTYES][AMACTPARTNO]@CHOICE@AMACTMNU}{\rtlch\fcs1 \af0 \ltrch\fcs0 \insrsid16143890\charrsid12845454 #}{\rtlch\fcs1 \af0 \ltrch\fcs0 _x000d__x000a_\cs17\b0\v\fs20\cf9\lang1024\langfe1024\loch\af1\hich\af1\dbch\af31501\noproof\insrsid16143890\charrsid12845454 \hich\af1\dbch\af31501\loch\f1 &lt;/Article&gt;}{\rtlch\fcs1 \af0 \ltrch\fcs0 \insrsid16143890\charrsid12845454 _x000d__x000a_\par }\pard\plain \ltrpar\ql \li0\ri0\keepn\widctlpar\wrapdefault\aspalpha\aspnum\faauto\adjustright\rin0\lin0\itap0\pararsid16143890 \rtlch\fcs1 \af0\afs20\alang1025 \ltrch\fcs0 \fs24\lang2057\langfe2057\cgrid\langnp2057\langfenp2057 {\rtlch\fcs1 \af0 _x000d__x000a_\ltrch\fcs0 \cs17\v\fs20\cf9\lang1024\langfe1024\loch\af1\hich\af1\dbch\af31501\noproof\insrsid16143890\charrsid12845454 \hich\af1\dbch\af31501\loch\f1 &lt;DocAmend2&gt;&lt;OptDel&gt;}{\rtlch\fcs1 \af0 \ltrch\fcs0 \insrsid16143890\charrsid12845454 #}{\rtlch\fcs1 _x000d__x000a_\af1 \ltrch\fcs0 \cs18\v\f1\fs20\cf15\insrsid16143890\charrsid12845454 MNU[OPTNRACTYES][NOTAPP]@CHOICE@AMACTMNU}{\rtlch\fcs1 \af0 \ltrch\fcs0 \insrsid16143890\charrsid12845454 #}{\rtlch\fcs1 \af0 \ltrch\fcs0 _x000d__x000a_\cs17\v\fs20\cf9\lang1024\langfe1024\loch\af1\hich\af1\dbch\af31501\noproof\insrsid16143890\charrsid12845454 \hich\af1\dbch\af31501\loch\f1 &lt;/OptDel&gt;&lt;/DocAmend2&gt;}{\rtlch\fcs1 \af0 \ltrch\fcs0 \insrsid16143890\charrsid12845454 _x000d__x000a_\par }\pard \ltrpar\ql \li0\ri0\widctlpar\wrapdefault\aspalpha\aspnum\faauto\adjustright\rin0\lin0\itap0\pararsid16143890 {\rtlch\fcs1 \af0 \ltrch\fcs0 _x000d__x000a_\cs17\v\fs20\cf9\lang1024\langfe1024\loch\af1\hich\af1\dbch\af31501\noproof\insrsid16143890\charrsid12845454 \hich\af1\dbch\af31501\loch\f1 &lt;Article2&gt;&lt;OptDel&gt;}{\rtlch\fcs1 \af0 \ltrch\fcs0 \insrsid16143890\charrsid12845454 #}{\rtlch\fcs1 \af1 \ltrch\fcs0 _x000d__x000a_\cs18\v\f1\fs20\cf15\insrsid16143890\charrsid12845454 MNU[OPTACTPARTYES][NOTAPP]@CHOICE@AMACTMNU}{\rtlch\fcs1 \af0 \ltrch\fcs0 \insrsid16143890\charrsid12845454 #}{\rtlch\fcs1 \af0 \ltrch\fcs0 _x000d__x000a_\cs17\v\fs20\cf9\lang1024\langfe1024\loch\af1\hich\af1\dbch\af31501\noproof\insrsid16143890\charrsid12845454 \hich\af1\dbch\af31501\loch\f1 &lt;/OptDel&gt;&lt;/Article2&gt;}{\rtlch\fcs1 \af0 \ltrch\fcs0 \insrsid16143890\charrsid12845454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143890\charrsid12845454 \cell }\pard\plain \ltrpar\ql \li0\ri0\widctlpar\intbl\wrapdefault\aspalpha\aspnum\faauto\adjustright\rin0\lin0 \rtlch\fcs1 _x000d__x000a_\af0\afs20\alang1025 \ltrch\fcs0 \fs24\lang2057\langfe2057\cgrid\langnp2057\langfenp2057 {\rtlch\fcs1 \af0 \ltrch\fcs0 \insrsid16143890\charrsid12845454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6143890\charrsid12845454 #}{\rtlch\fcs1 \af1 \ltrch\fcs0 \cs18\v\f1\fs20\cf15\insrsid16143890\charrsid12845454 MNU[OPTLEFTAMACT][LEFTPROP]@CHOICE@AMACTMNU}{_x000d__x000a_\rtlch\fcs1 \af0 \ltrch\fcs0 \insrsid16143890\charrsid12845454 #\cell Amendment\cell }\pard\plain \ltrpar\ql \li0\ri0\widctlpar\intbl\wrapdefault\aspalpha\aspnum\faauto\adjustright\rin0\lin0 \rtlch\fcs1 \af0\afs20\alang1025 \ltrch\fcs0 _x000d__x000a_\fs24\lang2057\langfe2057\cgrid\langnp2057\langfenp2057 {\rtlch\fcs1 \af0 \ltrch\fcs0 \insrsid16143890\charrsid12845454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6143890\charrsid12845454 ##\cell ##}{\rtlch\fcs1 \af0\afs24 \ltrch\fcs0 \insrsid16143890\charrsid12845454 \cell }\pard\plain \ltrpar\ql \li0\ri0\widctlpar\intbl\wrapdefault\aspalpha\aspnum\faauto\adjustright\rin0\lin0 \rtlch\fcs1 _x000d__x000a_\af0\afs20\alang1025 \ltrch\fcs0 \fs24\lang2057\langfe2057\cgrid\langnp2057\langfenp2057 {\rtlch\fcs1 \af0 \ltrch\fcs0 \insrsid16143890\charrsid12845454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143890 \rtlch\fcs1 \af0\afs20\alang1025 \ltrch\fcs0 \fs24\lang2057\langfe2057\cgrid\langnp2057\langfenp2057 {\rtlch\fcs1 \af0 \ltrch\fcs0 _x000d__x000a_\insrsid16143890\charrsid12845454 Or. }{\rtlch\fcs1 \af0 \ltrch\fcs0 \cs17\v\fs20\cf9\lang1024\langfe1024\loch\af1\hich\af1\dbch\af31501\noproof\insrsid16143890\charrsid12845454 \hich\af1\dbch\af31501\loch\f1 &lt;Original&gt;}{\rtlch\fcs1 \af0 \ltrch\fcs0 _x000d__x000a_\insrsid16143890\charrsid12845454 #}{\rtlch\fcs1 \af1 \ltrch\fcs0 \cs18\v\f1\fs20\cf15\insrsid16143890\charrsid12845454 KEY(MAIN/LANGMIN)sh@ORLANGMSG@}{\rtlch\fcs1 \af0 \ltrch\fcs0 \insrsid16143890\charrsid12845454 #}{\rtlch\fcs1 \af0 \ltrch\fcs0 _x000d__x000a_\cs17\v\fs20\cf9\lang1024\langfe1024\loch\af1\hich\af1\dbch\af31501\noproof\insrsid16143890\charrsid12845454 \hich\af1\dbch\af31501\loch\f1 &lt;/Original&gt;}{\rtlch\fcs1 \af0 \ltrch\fcs0 \insrsid16143890\charrsid12845454 _x000d__x000a_\par }\pard\plain \ltrpar\s22\qc \li0\ri0\sb240\sa240\nowidctlpar\wrapdefault\aspalpha\aspnum\faauto\adjustright\rin0\lin0\itap0\pararsid16143890 \rtlch\fcs1 \af0\afs20\alang1025 \ltrch\fcs0 \i\fs24\lang2057\langfe2057\cgrid\langnp2057\langfenp2057 {_x000d__x000a_\rtlch\fcs1 \af0 \ltrch\fcs0 \cs17\i0\v\fs20\cf9\lang1024\langfe1024\loch\af1\hich\af1\dbch\af31501\noproof\insrsid16143890\charrsid12845454 \hich\af1\dbch\af31501\loch\f1 &lt;OptDel&gt;}{\rtlch\fcs1 \af0 \ltrch\fcs0 \insrsid16143890\charrsid12845454 #}{_x000d__x000a_\rtlch\fcs1 \af1 \ltrch\fcs0 \cs18\v\f1\fs20\cf15\insrsid16143890\charrsid12845454 MNU[CROSSREFNO][CROSSREFYES]@CHOICE@}{\rtlch\fcs1 \af0 \ltrch\fcs0 \insrsid16143890\charrsid12845454 #}{\rtlch\fcs1 \af0 \ltrch\fcs0 _x000d__x000a_\cs17\i0\v\fs20\cf9\lang1024\langfe1024\loch\af1\hich\af1\dbch\af31501\noproof\insrsid16143890\charrsid12845454 \hich\af1\dbch\af31501\loch\f1 &lt;/OptDel&gt;}{\rtlch\fcs1 \af0 \ltrch\fcs0 \insrsid16143890\charrsid12845454 _x000d__x000a_\par }\pard\plain \ltrpar\s23\qc \li0\ri0\sb240\sa240\keepn\nowidctlpar\wrapdefault\aspalpha\aspnum\faauto\adjustright\rin0\lin0\itap0\pararsid16143890 \rtlch\fcs1 \af0\afs20\alang1025 \ltrch\fcs0 \i\fs24\lang2057\langfe2057\cgrid\langnp2057\langfenp2057 {_x000d__x000a_\rtlch\fcs1 \af0 \ltrch\fcs0 \cs17\i0\v\fs20\cf9\lang1024\langfe1024\loch\af1\hich\af1\dbch\af31501\noproof\insrsid16143890\charrsid12845454 \hich\af1\dbch\af31501\loch\f1 &lt;TitreJust&gt;}{\rtlch\fcs1 \af0 \ltrch\fcs0 \insrsid16143890\charrsid12845454 _x000d__x000a_Justification}{\rtlch\fcs1 \af0 \ltrch\fcs0 \cs17\i0\v\fs20\cf9\lang1024\langfe1024\loch\af1\hich\af1\dbch\af31501\noproof\insrsid16143890\charrsid12845454 \hich\af1\dbch\af31501\loch\f1 &lt;/TitreJust&gt;}{\rtlch\fcs1 \af0 \ltrch\fcs0 _x000d__x000a_\insrsid16143890\charrsid12845454 _x000d__x000a_\par }\pard\plain \ltrpar\s21\ql \li0\ri0\sa240\nowidctlpar\wrapdefault\aspalpha\aspnum\faauto\adjustright\rin0\lin0\itap0\pararsid16143890 \rtlch\fcs1 \af0\afs20\alang1025 \ltrch\fcs0 \i\fs24\lang2057\langfe2057\cgrid\langnp2057\langfenp2057 {\rtlch\fcs1 _x000d__x000a_\af0 \ltrch\fcs0 \cs17\i0\v\fs20\cf9\lang1024\langfe1024\loch\af1\hich\af1\dbch\af31501\noproof\insrsid16143890\charrsid12845454 \hich\af1\dbch\af31501\loch\f1 &lt;OptDelPrev&gt;}{\rtlch\fcs1 \af0 \ltrch\fcs0 \insrsid16143890\charrsid12845454 #}{\rtlch\fcs1 _x000d__x000a_\af1 \ltrch\fcs0 \cs18\v\f1\fs20\cf15\insrsid16143890\charrsid12845454 MNU[TEXTJUSTYES][TEXTJUSTNO]@CHOICE@}{\rtlch\fcs1 \af0 \ltrch\fcs0 \insrsid16143890\charrsid12845454 #}{\rtlch\fcs1 \af0 \ltrch\fcs0 _x000d__x000a_\cs17\i0\v\fs20\cf9\lang1024\langfe1024\loch\af1\hich\af1\dbch\af31501\noproof\insrsid16143890\charrsid12845454 \hich\af1\dbch\af31501\loch\f1 &lt;/OptDelPrev&gt;}{\rtlch\fcs1 \af0 \ltrch\fcs0 \insrsid16143890\charrsid12845454 _x000d__x000a_\par }\pard\plain \ltrpar\ql \li0\ri0\widctlpar\wrapdefault\aspalpha\aspnum\faauto\adjustright\rin0\lin0\itap0\pararsid16143890 \rtlch\fcs1 \af0\afs20\alang1025 \ltrch\fcs0 \fs24\lang2057\langfe2057\cgrid\langnp2057\langfenp2057 {\rtlch\fcs1 \af0 \ltrch\fcs0 _x000d__x000a_\cs17\v\fs20\cf9\lang1024\langfe1024\loch\af1\hich\af1\dbch\af31501\noproof\insrsid16143890\charrsid12845454 \hich\af1\dbch\af31501\loch\f1 &lt;/}{\rtlch\fcs1 \af0 \ltrch\fcs0 _x000d__x000a_\cs17\v\fs20\cf9\lang1024\langfe1024\loch\af1\hich\af1\dbch\af31501\noproof\insrsid16143890 \hich\af1\dbch\af31501\loch\f1 Amend}{\rtlch\fcs1 \af0 \ltrch\fcs0 _x000d__x000a_\cs17\v\fs20\cf9\lang1024\langfe1024\loch\af1\hich\af1\dbch\af31501\noproof\insrsid16143890\charrsid1284545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9_x000d__x000a_48537cf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7"/>
    <w:docVar w:name="TVTAMPART" w:val="XXX"/>
    <w:docVar w:name="TVTMEMBERS1" w:val="XXX"/>
    <w:docVar w:name="TXTAUTHOR" w:val="Ernest Urtasun"/>
    <w:docVar w:name="TXTLANGUE" w:val="FI"/>
    <w:docVar w:name="TXTLANGUEMIN" w:val="fi"/>
    <w:docVar w:name="TXTNRAM" w:val="1"/>
    <w:docVar w:name="TXTNRC" w:val="0133/2023"/>
    <w:docVar w:name="TXTNRCOM" w:val="(2023)0228"/>
    <w:docVar w:name="TXTNRFIRSTAM" w:val="83"/>
    <w:docVar w:name="TXTNRLASTAM" w:val="332"/>
    <w:docVar w:name="TXTNRPE" w:val="754.693"/>
    <w:docVar w:name="TXTNRPE2" w:val="753.712"/>
    <w:docVar w:name="TXTNRPROC" w:val="2023/115"/>
    <w:docVar w:name="TXTPEorAP" w:val="PE"/>
    <w:docVar w:name="TXTROUTE" w:val="AM\1287806FI.docx"/>
    <w:docVar w:name="TXTTITLE" w:val="XXX"/>
    <w:docVar w:name="TXTVERSION" w:val="01-00"/>
    <w:docVar w:name="TXTVERSION2" w:val="01-00"/>
  </w:docVars>
  <w:rsids>
    <w:rsidRoot w:val="00972B68"/>
    <w:rsid w:val="000111BD"/>
    <w:rsid w:val="00020E2D"/>
    <w:rsid w:val="00073830"/>
    <w:rsid w:val="000749E0"/>
    <w:rsid w:val="00075DBE"/>
    <w:rsid w:val="000A6A35"/>
    <w:rsid w:val="000B0781"/>
    <w:rsid w:val="000D446F"/>
    <w:rsid w:val="000E7234"/>
    <w:rsid w:val="000F2A80"/>
    <w:rsid w:val="000F7815"/>
    <w:rsid w:val="00126BC4"/>
    <w:rsid w:val="00142513"/>
    <w:rsid w:val="00150057"/>
    <w:rsid w:val="001508F0"/>
    <w:rsid w:val="001665A1"/>
    <w:rsid w:val="00166CCB"/>
    <w:rsid w:val="001726F0"/>
    <w:rsid w:val="00176D32"/>
    <w:rsid w:val="001809DD"/>
    <w:rsid w:val="001A4802"/>
    <w:rsid w:val="001B42EA"/>
    <w:rsid w:val="001B4D91"/>
    <w:rsid w:val="001B761C"/>
    <w:rsid w:val="001C2054"/>
    <w:rsid w:val="001C2134"/>
    <w:rsid w:val="001C502E"/>
    <w:rsid w:val="001D13C9"/>
    <w:rsid w:val="001D5CC4"/>
    <w:rsid w:val="001D7A49"/>
    <w:rsid w:val="001F0FDD"/>
    <w:rsid w:val="0020367C"/>
    <w:rsid w:val="0021400C"/>
    <w:rsid w:val="00222325"/>
    <w:rsid w:val="00231EA7"/>
    <w:rsid w:val="00236619"/>
    <w:rsid w:val="0024275D"/>
    <w:rsid w:val="002574CB"/>
    <w:rsid w:val="00280EA6"/>
    <w:rsid w:val="002A1C82"/>
    <w:rsid w:val="002B6A7B"/>
    <w:rsid w:val="002C5761"/>
    <w:rsid w:val="002E3F68"/>
    <w:rsid w:val="002E4311"/>
    <w:rsid w:val="002E4A41"/>
    <w:rsid w:val="003003A7"/>
    <w:rsid w:val="00315664"/>
    <w:rsid w:val="00322475"/>
    <w:rsid w:val="00363AD3"/>
    <w:rsid w:val="003743DE"/>
    <w:rsid w:val="0037660F"/>
    <w:rsid w:val="00384E84"/>
    <w:rsid w:val="0038706C"/>
    <w:rsid w:val="003923F7"/>
    <w:rsid w:val="003A5102"/>
    <w:rsid w:val="003C6E39"/>
    <w:rsid w:val="003D466C"/>
    <w:rsid w:val="003D5A25"/>
    <w:rsid w:val="003D70F2"/>
    <w:rsid w:val="003E08BF"/>
    <w:rsid w:val="003E43AC"/>
    <w:rsid w:val="003E7BF7"/>
    <w:rsid w:val="003F21EB"/>
    <w:rsid w:val="003F3B0C"/>
    <w:rsid w:val="003F6EC9"/>
    <w:rsid w:val="00422BB2"/>
    <w:rsid w:val="004367B3"/>
    <w:rsid w:val="00441413"/>
    <w:rsid w:val="00441D7D"/>
    <w:rsid w:val="0044465A"/>
    <w:rsid w:val="00453544"/>
    <w:rsid w:val="004544E1"/>
    <w:rsid w:val="00461E32"/>
    <w:rsid w:val="00462257"/>
    <w:rsid w:val="00464338"/>
    <w:rsid w:val="00495E20"/>
    <w:rsid w:val="004E0AAC"/>
    <w:rsid w:val="004E1C4C"/>
    <w:rsid w:val="004F03F0"/>
    <w:rsid w:val="004F2903"/>
    <w:rsid w:val="005246D8"/>
    <w:rsid w:val="00547F73"/>
    <w:rsid w:val="00557617"/>
    <w:rsid w:val="00571479"/>
    <w:rsid w:val="005A2384"/>
    <w:rsid w:val="005A7205"/>
    <w:rsid w:val="005A7EB4"/>
    <w:rsid w:val="005B32E3"/>
    <w:rsid w:val="005B405A"/>
    <w:rsid w:val="005E50C2"/>
    <w:rsid w:val="005F7F87"/>
    <w:rsid w:val="00607ABE"/>
    <w:rsid w:val="006337D4"/>
    <w:rsid w:val="00633A58"/>
    <w:rsid w:val="00637384"/>
    <w:rsid w:val="00640826"/>
    <w:rsid w:val="00651B2D"/>
    <w:rsid w:val="0066168A"/>
    <w:rsid w:val="00665DDA"/>
    <w:rsid w:val="00672807"/>
    <w:rsid w:val="006746CD"/>
    <w:rsid w:val="0068454F"/>
    <w:rsid w:val="00687070"/>
    <w:rsid w:val="00695CC1"/>
    <w:rsid w:val="006965BE"/>
    <w:rsid w:val="006A0F03"/>
    <w:rsid w:val="006A2838"/>
    <w:rsid w:val="006B4B58"/>
    <w:rsid w:val="006B6438"/>
    <w:rsid w:val="006D6B15"/>
    <w:rsid w:val="006F3F81"/>
    <w:rsid w:val="006F4B73"/>
    <w:rsid w:val="00702F62"/>
    <w:rsid w:val="007059E9"/>
    <w:rsid w:val="00706049"/>
    <w:rsid w:val="007152AF"/>
    <w:rsid w:val="00736FBA"/>
    <w:rsid w:val="0074160E"/>
    <w:rsid w:val="007659AC"/>
    <w:rsid w:val="00767329"/>
    <w:rsid w:val="00770C57"/>
    <w:rsid w:val="0079060C"/>
    <w:rsid w:val="007A42AB"/>
    <w:rsid w:val="007C71DE"/>
    <w:rsid w:val="008051ED"/>
    <w:rsid w:val="00822C94"/>
    <w:rsid w:val="008363E4"/>
    <w:rsid w:val="00851460"/>
    <w:rsid w:val="00857615"/>
    <w:rsid w:val="0087052C"/>
    <w:rsid w:val="00870CF2"/>
    <w:rsid w:val="00874862"/>
    <w:rsid w:val="00875A9C"/>
    <w:rsid w:val="00887FDC"/>
    <w:rsid w:val="0089475F"/>
    <w:rsid w:val="008B251A"/>
    <w:rsid w:val="008D2FB2"/>
    <w:rsid w:val="008D6D06"/>
    <w:rsid w:val="008F0DDD"/>
    <w:rsid w:val="00900CAE"/>
    <w:rsid w:val="00904AD5"/>
    <w:rsid w:val="00907CCA"/>
    <w:rsid w:val="009154FF"/>
    <w:rsid w:val="00917A85"/>
    <w:rsid w:val="00921933"/>
    <w:rsid w:val="0096366F"/>
    <w:rsid w:val="00966038"/>
    <w:rsid w:val="00972B68"/>
    <w:rsid w:val="009A405E"/>
    <w:rsid w:val="009A65D8"/>
    <w:rsid w:val="009B0305"/>
    <w:rsid w:val="009B1A2C"/>
    <w:rsid w:val="009E35B2"/>
    <w:rsid w:val="009E7180"/>
    <w:rsid w:val="009F230F"/>
    <w:rsid w:val="009F3702"/>
    <w:rsid w:val="009F4C95"/>
    <w:rsid w:val="00A128D4"/>
    <w:rsid w:val="00A13919"/>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E67AC"/>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279F1"/>
    <w:rsid w:val="00C35E35"/>
    <w:rsid w:val="00C41E32"/>
    <w:rsid w:val="00C62B5A"/>
    <w:rsid w:val="00C7002F"/>
    <w:rsid w:val="00C92798"/>
    <w:rsid w:val="00CB34F1"/>
    <w:rsid w:val="00CB7B07"/>
    <w:rsid w:val="00CC3983"/>
    <w:rsid w:val="00CE2055"/>
    <w:rsid w:val="00D00CC7"/>
    <w:rsid w:val="00D100D1"/>
    <w:rsid w:val="00D113B2"/>
    <w:rsid w:val="00D14FCE"/>
    <w:rsid w:val="00D15308"/>
    <w:rsid w:val="00D1583C"/>
    <w:rsid w:val="00D15D1E"/>
    <w:rsid w:val="00D20C0D"/>
    <w:rsid w:val="00D42398"/>
    <w:rsid w:val="00D44842"/>
    <w:rsid w:val="00D677D5"/>
    <w:rsid w:val="00D755F1"/>
    <w:rsid w:val="00D767AC"/>
    <w:rsid w:val="00D82FCC"/>
    <w:rsid w:val="00D87B31"/>
    <w:rsid w:val="00DB286A"/>
    <w:rsid w:val="00DB429F"/>
    <w:rsid w:val="00DB65C2"/>
    <w:rsid w:val="00DC1E96"/>
    <w:rsid w:val="00DC4160"/>
    <w:rsid w:val="00DC6A1B"/>
    <w:rsid w:val="00DE672F"/>
    <w:rsid w:val="00E00B17"/>
    <w:rsid w:val="00E045EF"/>
    <w:rsid w:val="00E06BAA"/>
    <w:rsid w:val="00E15A86"/>
    <w:rsid w:val="00E25DC5"/>
    <w:rsid w:val="00E4469E"/>
    <w:rsid w:val="00E44BB0"/>
    <w:rsid w:val="00E471BE"/>
    <w:rsid w:val="00E57F50"/>
    <w:rsid w:val="00E61B38"/>
    <w:rsid w:val="00E660E2"/>
    <w:rsid w:val="00EA25AE"/>
    <w:rsid w:val="00EB3A71"/>
    <w:rsid w:val="00EE011D"/>
    <w:rsid w:val="00EE3E0D"/>
    <w:rsid w:val="00EF03A3"/>
    <w:rsid w:val="00EF11AD"/>
    <w:rsid w:val="00EF581A"/>
    <w:rsid w:val="00F27170"/>
    <w:rsid w:val="00F459F7"/>
    <w:rsid w:val="00F92B49"/>
    <w:rsid w:val="00FA192C"/>
    <w:rsid w:val="00FC1B08"/>
    <w:rsid w:val="00FC23F0"/>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Footer">
    <w:name w:val="footer"/>
    <w:basedOn w:val="Normal"/>
    <w:link w:val="FooterChar"/>
    <w:semiHidden/>
    <w:rsid w:val="00AE67AC"/>
    <w:pPr>
      <w:tabs>
        <w:tab w:val="center" w:pos="4513"/>
        <w:tab w:val="right" w:pos="9026"/>
      </w:tabs>
    </w:pPr>
  </w:style>
  <w:style w:type="character" w:customStyle="1" w:styleId="FooterChar">
    <w:name w:val="Footer Char"/>
    <w:basedOn w:val="DefaultParagraphFont"/>
    <w:link w:val="Footer"/>
    <w:semiHidden/>
    <w:rsid w:val="00AE67AC"/>
    <w:rPr>
      <w:sz w:val="24"/>
    </w:rPr>
  </w:style>
  <w:style w:type="paragraph" w:customStyle="1" w:styleId="msonormal0">
    <w:name w:val="msonormal"/>
    <w:basedOn w:val="Normal"/>
    <w:rsid w:val="0089475F"/>
    <w:pPr>
      <w:widowControl/>
      <w:spacing w:before="100" w:beforeAutospacing="1" w:after="100" w:afterAutospacing="1"/>
    </w:pPr>
    <w:rPr>
      <w:szCs w:val="24"/>
    </w:rPr>
  </w:style>
  <w:style w:type="character" w:customStyle="1" w:styleId="Normal12Char">
    <w:name w:val="Normal12 Char"/>
    <w:basedOn w:val="DefaultParagraphFont"/>
    <w:link w:val="Normal12"/>
    <w:locked/>
    <w:rsid w:val="0089475F"/>
    <w:rPr>
      <w:noProof/>
      <w:sz w:val="24"/>
    </w:rPr>
  </w:style>
  <w:style w:type="paragraph" w:customStyle="1" w:styleId="Normal12">
    <w:name w:val="Normal12"/>
    <w:basedOn w:val="Normal"/>
    <w:link w:val="Normal12Char"/>
    <w:rsid w:val="0089475F"/>
    <w:pPr>
      <w:spacing w:after="240"/>
    </w:pPr>
    <w:rPr>
      <w:noProof/>
    </w:rPr>
  </w:style>
  <w:style w:type="paragraph" w:customStyle="1" w:styleId="CommitteeAM">
    <w:name w:val="CommitteeAM"/>
    <w:basedOn w:val="Normal"/>
    <w:rsid w:val="0089475F"/>
    <w:pPr>
      <w:spacing w:before="240" w:after="600"/>
      <w:jc w:val="center"/>
    </w:pPr>
    <w:rPr>
      <w:i/>
    </w:rPr>
  </w:style>
  <w:style w:type="paragraph" w:customStyle="1" w:styleId="ZDateAM">
    <w:name w:val="ZDateAM"/>
    <w:basedOn w:val="Normal"/>
    <w:rsid w:val="0089475F"/>
    <w:pPr>
      <w:tabs>
        <w:tab w:val="right" w:pos="9356"/>
      </w:tabs>
      <w:spacing w:after="480"/>
    </w:pPr>
    <w:rPr>
      <w:noProof/>
    </w:rPr>
  </w:style>
  <w:style w:type="paragraph" w:customStyle="1" w:styleId="ProjRap">
    <w:name w:val="ProjRap"/>
    <w:basedOn w:val="Normal"/>
    <w:rsid w:val="0089475F"/>
    <w:pPr>
      <w:tabs>
        <w:tab w:val="right" w:pos="9356"/>
      </w:tabs>
    </w:pPr>
    <w:rPr>
      <w:b/>
      <w:noProof/>
    </w:rPr>
  </w:style>
  <w:style w:type="paragraph" w:customStyle="1" w:styleId="PELeft">
    <w:name w:val="PELeft"/>
    <w:basedOn w:val="Normal"/>
    <w:rsid w:val="0089475F"/>
    <w:pPr>
      <w:spacing w:before="40" w:after="40"/>
    </w:pPr>
    <w:rPr>
      <w:rFonts w:ascii="Arial" w:hAnsi="Arial" w:cs="Arial"/>
      <w:sz w:val="22"/>
      <w:szCs w:val="22"/>
    </w:rPr>
  </w:style>
  <w:style w:type="paragraph" w:customStyle="1" w:styleId="PERight">
    <w:name w:val="PERight"/>
    <w:basedOn w:val="Normal"/>
    <w:next w:val="Normal"/>
    <w:rsid w:val="0089475F"/>
    <w:pPr>
      <w:jc w:val="right"/>
    </w:pPr>
    <w:rPr>
      <w:rFonts w:ascii="Arial" w:hAnsi="Arial" w:cs="Arial"/>
      <w:sz w:val="22"/>
      <w:szCs w:val="22"/>
    </w:rPr>
  </w:style>
  <w:style w:type="character" w:customStyle="1" w:styleId="Normal6Char">
    <w:name w:val="Normal6 Char"/>
    <w:basedOn w:val="DefaultParagraphFont"/>
    <w:link w:val="Normal6"/>
    <w:locked/>
    <w:rsid w:val="0089475F"/>
    <w:rPr>
      <w:sz w:val="24"/>
      <w:lang w:val="fi-FI"/>
    </w:rPr>
  </w:style>
  <w:style w:type="paragraph" w:customStyle="1" w:styleId="Normal6">
    <w:name w:val="Normal6"/>
    <w:basedOn w:val="Normal"/>
    <w:link w:val="Normal6Char"/>
    <w:rsid w:val="0089475F"/>
    <w:pPr>
      <w:spacing w:after="120"/>
    </w:pPr>
  </w:style>
  <w:style w:type="character" w:customStyle="1" w:styleId="NormalBoldChar">
    <w:name w:val="NormalBold Char"/>
    <w:basedOn w:val="DefaultParagraphFont"/>
    <w:link w:val="NormalBold"/>
    <w:locked/>
    <w:rsid w:val="0089475F"/>
    <w:rPr>
      <w:b/>
      <w:sz w:val="24"/>
    </w:rPr>
  </w:style>
  <w:style w:type="paragraph" w:customStyle="1" w:styleId="Normal12Italic">
    <w:name w:val="Normal12Italic"/>
    <w:basedOn w:val="Normal12"/>
    <w:rsid w:val="0089475F"/>
    <w:rPr>
      <w:i/>
    </w:rPr>
  </w:style>
  <w:style w:type="paragraph" w:customStyle="1" w:styleId="JustificationTitle">
    <w:name w:val="JustificationTitle"/>
    <w:basedOn w:val="Normal"/>
    <w:next w:val="Normal12"/>
    <w:rsid w:val="0089475F"/>
    <w:pPr>
      <w:keepNext/>
      <w:spacing w:before="240" w:after="240"/>
      <w:jc w:val="center"/>
    </w:pPr>
    <w:rPr>
      <w:i/>
      <w:noProof/>
    </w:rPr>
  </w:style>
  <w:style w:type="paragraph" w:customStyle="1" w:styleId="Olang">
    <w:name w:val="Olang"/>
    <w:basedOn w:val="Normal"/>
    <w:rsid w:val="0089475F"/>
    <w:pPr>
      <w:spacing w:before="240" w:after="240"/>
      <w:jc w:val="right"/>
    </w:pPr>
    <w:rPr>
      <w:noProof/>
      <w:szCs w:val="24"/>
    </w:rPr>
  </w:style>
  <w:style w:type="paragraph" w:customStyle="1" w:styleId="ColumnHeading">
    <w:name w:val="ColumnHeading"/>
    <w:basedOn w:val="Normal"/>
    <w:rsid w:val="0089475F"/>
    <w:pPr>
      <w:spacing w:after="240"/>
      <w:jc w:val="center"/>
    </w:pPr>
    <w:rPr>
      <w:i/>
    </w:rPr>
  </w:style>
  <w:style w:type="paragraph" w:customStyle="1" w:styleId="AMNumberTabs0">
    <w:name w:val="AMNumberTabs"/>
    <w:basedOn w:val="Normal"/>
    <w:rsid w:val="0089475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9475F"/>
    <w:pPr>
      <w:spacing w:before="240"/>
    </w:pPr>
    <w:rPr>
      <w:b/>
    </w:rPr>
  </w:style>
  <w:style w:type="paragraph" w:customStyle="1" w:styleId="CrossRef">
    <w:name w:val="CrossRef"/>
    <w:basedOn w:val="Normal"/>
    <w:rsid w:val="0089475F"/>
    <w:pPr>
      <w:spacing w:before="240"/>
      <w:jc w:val="center"/>
    </w:pPr>
    <w:rPr>
      <w:i/>
    </w:rPr>
  </w:style>
  <w:style w:type="paragraph" w:customStyle="1" w:styleId="Footer2">
    <w:name w:val="Footer2"/>
    <w:basedOn w:val="Normal12"/>
    <w:rsid w:val="0089475F"/>
    <w:pPr>
      <w:tabs>
        <w:tab w:val="center" w:pos="4535"/>
        <w:tab w:val="right" w:pos="9923"/>
      </w:tabs>
      <w:spacing w:line="480" w:lineRule="auto"/>
      <w:ind w:left="-851"/>
    </w:pPr>
    <w:rPr>
      <w:rFonts w:ascii="Arial" w:cs="Arial"/>
      <w:b/>
      <w:sz w:val="48"/>
    </w:rPr>
  </w:style>
  <w:style w:type="character" w:customStyle="1" w:styleId="Footer2Middle">
    <w:name w:val="Footer2Middle"/>
    <w:rsid w:val="0089475F"/>
    <w:rPr>
      <w:rFonts w:ascii="Arial" w:hAnsi="Arial" w:cs="Arial" w:hint="default"/>
      <w:b w:val="0"/>
      <w:bCs w:val="0"/>
      <w:i/>
      <w:iCs w:val="0"/>
      <w:color w:val="C0C0C0"/>
      <w:sz w:val="22"/>
    </w:rPr>
  </w:style>
  <w:style w:type="paragraph" w:customStyle="1" w:styleId="EntPE">
    <w:name w:val="EntPE"/>
    <w:basedOn w:val="Normal12"/>
    <w:rsid w:val="0089475F"/>
    <w:pPr>
      <w:jc w:val="center"/>
    </w:pPr>
    <w:rPr>
      <w:noProof w:val="0"/>
      <w:sz w:val="56"/>
    </w:rPr>
  </w:style>
  <w:style w:type="character" w:styleId="CommentReference">
    <w:name w:val="annotation reference"/>
    <w:basedOn w:val="DefaultParagraphFont"/>
    <w:rsid w:val="00A13919"/>
    <w:rPr>
      <w:sz w:val="16"/>
      <w:szCs w:val="16"/>
    </w:rPr>
  </w:style>
  <w:style w:type="paragraph" w:styleId="CommentText">
    <w:name w:val="annotation text"/>
    <w:basedOn w:val="Normal"/>
    <w:link w:val="CommentTextChar"/>
    <w:rsid w:val="00A13919"/>
    <w:rPr>
      <w:sz w:val="20"/>
    </w:rPr>
  </w:style>
  <w:style w:type="character" w:customStyle="1" w:styleId="CommentTextChar">
    <w:name w:val="Comment Text Char"/>
    <w:basedOn w:val="DefaultParagraphFont"/>
    <w:link w:val="CommentText"/>
    <w:rsid w:val="00A13919"/>
  </w:style>
  <w:style w:type="paragraph" w:styleId="CommentSubject">
    <w:name w:val="annotation subject"/>
    <w:basedOn w:val="CommentText"/>
    <w:next w:val="CommentText"/>
    <w:link w:val="CommentSubjectChar"/>
    <w:semiHidden/>
    <w:unhideWhenUsed/>
    <w:rsid w:val="00A13919"/>
    <w:rPr>
      <w:b/>
      <w:bCs/>
    </w:rPr>
  </w:style>
  <w:style w:type="character" w:customStyle="1" w:styleId="CommentSubjectChar">
    <w:name w:val="Comment Subject Char"/>
    <w:basedOn w:val="CommentTextChar"/>
    <w:link w:val="CommentSubject"/>
    <w:semiHidden/>
    <w:rsid w:val="00A13919"/>
    <w:rPr>
      <w:b/>
      <w:bCs/>
    </w:rPr>
  </w:style>
  <w:style w:type="paragraph" w:styleId="BalloonText">
    <w:name w:val="Balloon Text"/>
    <w:basedOn w:val="Normal"/>
    <w:link w:val="BalloonTextChar"/>
    <w:semiHidden/>
    <w:unhideWhenUsed/>
    <w:rsid w:val="00A13919"/>
    <w:rPr>
      <w:rFonts w:ascii="Segoe UI" w:hAnsi="Segoe UI" w:cs="Segoe UI"/>
      <w:sz w:val="18"/>
      <w:szCs w:val="18"/>
    </w:rPr>
  </w:style>
  <w:style w:type="character" w:customStyle="1" w:styleId="BalloonTextChar">
    <w:name w:val="Balloon Text Char"/>
    <w:basedOn w:val="DefaultParagraphFont"/>
    <w:link w:val="BalloonText"/>
    <w:semiHidden/>
    <w:rsid w:val="00A13919"/>
    <w:rPr>
      <w:rFonts w:ascii="Segoe UI" w:hAnsi="Segoe UI" w:cs="Segoe UI"/>
      <w:sz w:val="18"/>
      <w:szCs w:val="18"/>
    </w:rPr>
  </w:style>
  <w:style w:type="paragraph" w:styleId="Revision">
    <w:name w:val="Revision"/>
    <w:hidden/>
    <w:uiPriority w:val="99"/>
    <w:semiHidden/>
    <w:rsid w:val="00D20C0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0276D8-0009-44A3-B8AB-A90BB3021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175</Pages>
  <Words>33447</Words>
  <Characters>277859</Characters>
  <Application>Microsoft Office Word</Application>
  <DocSecurity>0</DocSecurity>
  <Lines>9917</Lines>
  <Paragraphs>2874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2023-11-23T14:19:00Z</dcterms:created>
  <dcterms:modified xsi:type="dcterms:W3CDTF">2023-11-23T14:19:00Z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AM_Com_LegReport</vt:lpwstr>
  </property>
  <property fmtid="{D5CDD505-2E9C-101B-9397-08002B2CF9AE}" pid="3" name="&lt;Type&gt;">
    <vt:lpwstr>AM</vt:lpwstr>
  </property>
  <property fmtid="{D5CDD505-2E9C-101B-9397-08002B2CF9AE}" pid="4" name="&lt;Extension&gt;">
    <vt:lpwstr>FI</vt:lpwstr>
  </property>
  <property fmtid="{D5CDD505-2E9C-101B-9397-08002B2CF9AE}" pid="5" name="PE number">
    <vt:lpwstr>754.693</vt:lpwstr>
  </property>
  <property fmtid="{D5CDD505-2E9C-101B-9397-08002B2CF9AE}" pid="6" name="LastEdited with">
    <vt:lpwstr>9.16.1 Build [20230915]</vt:lpwstr>
  </property>
  <property fmtid="{D5CDD505-2E9C-101B-9397-08002B2CF9AE}" pid="7" name="&lt;FdR&gt;">
    <vt:lpwstr>1287806</vt:lpwstr>
  </property>
  <property fmtid="{D5CDD505-2E9C-101B-9397-08002B2CF9AE}" pid="8" name="FooterPath">
    <vt:lpwstr>AM\1287806FI.docx</vt:lpwstr>
  </property>
  <property fmtid="{D5CDD505-2E9C-101B-9397-08002B2CF9AE}" pid="9" name="Bookout">
    <vt:lpwstr>OK - 2023/11/23 15:18</vt:lpwstr>
  </property>
</Properties>
</file>