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5669D" w:rsidRPr="00D33000" w:rsidTr="000760CA">
        <w:trPr>
          <w:trHeight w:hRule="exact" w:val="1418"/>
        </w:trPr>
        <w:tc>
          <w:tcPr>
            <w:tcW w:w="6804" w:type="dxa"/>
            <w:shd w:val="clear" w:color="auto" w:fill="auto"/>
            <w:vAlign w:val="center"/>
          </w:tcPr>
          <w:p w:rsidR="00BE5062" w:rsidRPr="00D33000" w:rsidRDefault="000E7A9E" w:rsidP="000760CA">
            <w:pPr>
              <w:pStyle w:val="EPName"/>
            </w:pPr>
            <w:r w:rsidRPr="00D33000">
              <w:t>Eu</w:t>
            </w:r>
            <w:bookmarkStart w:id="0" w:name="_GoBack"/>
            <w:bookmarkEnd w:id="0"/>
            <w:r w:rsidRPr="00D33000">
              <w:t>ropos Parl</w:t>
            </w:r>
            <w:r w:rsidR="001A1DA8" w:rsidRPr="00D33000">
              <w:t>ament</w:t>
            </w:r>
            <w:r w:rsidRPr="00D33000">
              <w:t>as</w:t>
            </w:r>
          </w:p>
          <w:p w:rsidR="00BE5062" w:rsidRPr="00D33000" w:rsidRDefault="001A1DA8" w:rsidP="00E84D7B">
            <w:pPr>
              <w:pStyle w:val="EPTerm"/>
            </w:pPr>
            <w:r w:rsidRPr="00D33000">
              <w:t>2019-2024</w:t>
            </w:r>
          </w:p>
        </w:tc>
        <w:tc>
          <w:tcPr>
            <w:tcW w:w="2268" w:type="dxa"/>
            <w:shd w:val="clear" w:color="auto" w:fill="auto"/>
          </w:tcPr>
          <w:p w:rsidR="00BE5062" w:rsidRPr="00D33000" w:rsidRDefault="001A1DA8" w:rsidP="000760CA">
            <w:pPr>
              <w:pStyle w:val="EPLogo"/>
            </w:pPr>
            <w:r w:rsidRPr="00D3300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D33000" w:rsidRDefault="000E7234" w:rsidP="000E7234">
      <w:pPr>
        <w:pStyle w:val="LineTop"/>
      </w:pPr>
    </w:p>
    <w:p w:rsidR="000E7234" w:rsidRPr="00D33000" w:rsidRDefault="001A1DA8" w:rsidP="000E7234">
      <w:pPr>
        <w:pStyle w:val="EPBody"/>
      </w:pPr>
      <w:r w:rsidRPr="005D599B">
        <w:rPr>
          <w:rStyle w:val="HideTWBExt"/>
          <w:i w:val="0"/>
          <w:szCs w:val="20"/>
        </w:rPr>
        <w:t>&lt;Commission&gt;</w:t>
      </w:r>
      <w:r w:rsidR="00E84D7B" w:rsidRPr="005D599B">
        <w:rPr>
          <w:rStyle w:val="HideTWBInt"/>
          <w:i w:val="0"/>
          <w:szCs w:val="20"/>
        </w:rPr>
        <w:t>{ECON}</w:t>
      </w:r>
      <w:r w:rsidR="000E7A9E" w:rsidRPr="00D33000">
        <w:t>Ekonomikos ir pinigų politikos komitetas</w:t>
      </w:r>
      <w:r w:rsidRPr="005D599B">
        <w:rPr>
          <w:rStyle w:val="HideTWBExt"/>
          <w:i w:val="0"/>
          <w:szCs w:val="20"/>
        </w:rPr>
        <w:t>&lt;/Commission&gt;</w:t>
      </w:r>
    </w:p>
    <w:p w:rsidR="000E7234" w:rsidRPr="00D33000" w:rsidRDefault="000E7234" w:rsidP="000E7234">
      <w:pPr>
        <w:pStyle w:val="LineBottom"/>
      </w:pPr>
    </w:p>
    <w:p w:rsidR="00B85286" w:rsidRPr="00D33000" w:rsidRDefault="001A1DA8">
      <w:pPr>
        <w:pStyle w:val="CoverReference"/>
      </w:pPr>
      <w:r w:rsidRPr="005D599B">
        <w:rPr>
          <w:rStyle w:val="HideTWBExt"/>
          <w:b w:val="0"/>
        </w:rPr>
        <w:t>&lt;RefProc&gt;</w:t>
      </w:r>
      <w:r w:rsidR="000760CA" w:rsidRPr="00D33000">
        <w:t>2023/0111</w:t>
      </w:r>
      <w:r w:rsidRPr="005D599B">
        <w:rPr>
          <w:rStyle w:val="HideTWBExt"/>
          <w:b w:val="0"/>
        </w:rPr>
        <w:t>&lt;/RefProc&gt;&lt;RefTypeProc&gt;</w:t>
      </w:r>
      <w:r w:rsidR="006C1F4B" w:rsidRPr="00D33000">
        <w:t>(</w:t>
      </w:r>
      <w:r w:rsidR="00E84D7B" w:rsidRPr="00D33000">
        <w:t>COD</w:t>
      </w:r>
      <w:r w:rsidR="006C1F4B" w:rsidRPr="00D33000">
        <w:t>)</w:t>
      </w:r>
      <w:r w:rsidRPr="005D599B">
        <w:rPr>
          <w:rStyle w:val="HideTWBExt"/>
          <w:b w:val="0"/>
        </w:rPr>
        <w:t>&lt;/RefTypeProc&gt;</w:t>
      </w:r>
    </w:p>
    <w:p w:rsidR="00B85286" w:rsidRPr="00D33000" w:rsidRDefault="001A1DA8">
      <w:pPr>
        <w:pStyle w:val="CoverDate"/>
      </w:pPr>
      <w:r w:rsidRPr="005D599B">
        <w:rPr>
          <w:rStyle w:val="HideTWBExt"/>
        </w:rPr>
        <w:t>&lt;Date&gt;</w:t>
      </w:r>
      <w:r w:rsidR="002A0D93" w:rsidRPr="005D599B">
        <w:rPr>
          <w:rStyle w:val="HideTWBInt"/>
        </w:rPr>
        <w:t>{06</w:t>
      </w:r>
      <w:r w:rsidR="00E84D7B" w:rsidRPr="005D599B">
        <w:rPr>
          <w:rStyle w:val="HideTWBInt"/>
        </w:rPr>
        <w:t>/11/2023}</w:t>
      </w:r>
      <w:r w:rsidR="002A0D93" w:rsidRPr="00D33000">
        <w:t>6</w:t>
      </w:r>
      <w:r w:rsidR="00E84D7B" w:rsidRPr="00D33000">
        <w:t>.11.2023</w:t>
      </w:r>
      <w:r w:rsidRPr="005D599B">
        <w:rPr>
          <w:rStyle w:val="HideTWBExt"/>
        </w:rPr>
        <w:t>&lt;/Date&gt;</w:t>
      </w:r>
    </w:p>
    <w:p w:rsidR="009B0305" w:rsidRPr="00D33000" w:rsidRDefault="001A1DA8" w:rsidP="009B0305">
      <w:pPr>
        <w:pStyle w:val="CoverDocType"/>
      </w:pPr>
      <w:r w:rsidRPr="005D599B">
        <w:rPr>
          <w:rStyle w:val="HideTWBExt"/>
          <w:b w:val="0"/>
        </w:rPr>
        <w:t>&lt;TypeAM&gt;</w:t>
      </w:r>
      <w:r w:rsidR="000E7A9E" w:rsidRPr="00D33000">
        <w:t>PAKEITIMAI</w:t>
      </w:r>
      <w:r w:rsidRPr="005D599B">
        <w:rPr>
          <w:rStyle w:val="HideTWBExt"/>
          <w:b w:val="0"/>
        </w:rPr>
        <w:t>&lt;/TypeAM&gt;</w:t>
      </w:r>
    </w:p>
    <w:p w:rsidR="00B85286" w:rsidRPr="00D33000" w:rsidRDefault="001A1DA8" w:rsidP="001C2054">
      <w:pPr>
        <w:pStyle w:val="CoverDocType24a"/>
      </w:pPr>
      <w:r w:rsidRPr="005D599B">
        <w:rPr>
          <w:rStyle w:val="HideTWBExt"/>
          <w:b w:val="0"/>
        </w:rPr>
        <w:t>&lt;RangeAM&gt;</w:t>
      </w:r>
      <w:r w:rsidR="000E7A9E" w:rsidRPr="00D33000">
        <w:t>56</w:t>
      </w:r>
      <w:r w:rsidR="00A924D7" w:rsidRPr="00D33000">
        <w:t xml:space="preserve"> - </w:t>
      </w:r>
      <w:r w:rsidR="00FF5BE1" w:rsidRPr="00D33000">
        <w:t>326</w:t>
      </w:r>
      <w:r w:rsidRPr="005D599B">
        <w:rPr>
          <w:rStyle w:val="HideTWBExt"/>
          <w:b w:val="0"/>
        </w:rPr>
        <w:t>&lt;/RangeAM&gt;</w:t>
      </w:r>
    </w:p>
    <w:p w:rsidR="001C2054" w:rsidRPr="00D33000" w:rsidRDefault="001A1DA8" w:rsidP="00A93F8C">
      <w:pPr>
        <w:pStyle w:val="CoverBold"/>
      </w:pPr>
      <w:r w:rsidRPr="005D599B">
        <w:rPr>
          <w:rStyle w:val="HideTWBExt"/>
          <w:b w:val="0"/>
        </w:rPr>
        <w:t>&lt;TitreType&gt;</w:t>
      </w:r>
      <w:r w:rsidR="000E7A9E" w:rsidRPr="00D33000">
        <w:t>Pranešimo projektas</w:t>
      </w:r>
      <w:r w:rsidRPr="005D599B">
        <w:rPr>
          <w:rStyle w:val="HideTWBExt"/>
          <w:b w:val="0"/>
        </w:rPr>
        <w:t>&lt;/TitreType&gt;</w:t>
      </w:r>
    </w:p>
    <w:p w:rsidR="00B85286" w:rsidRPr="00D33000" w:rsidRDefault="001A1DA8" w:rsidP="00A93F8C">
      <w:pPr>
        <w:pStyle w:val="CoverBold"/>
      </w:pPr>
      <w:r w:rsidRPr="005D599B">
        <w:rPr>
          <w:rStyle w:val="HideTWBExt"/>
          <w:b w:val="0"/>
        </w:rPr>
        <w:t>&lt;Rapporteur&gt;</w:t>
      </w:r>
      <w:r w:rsidR="00E84D7B" w:rsidRPr="00D33000">
        <w:t>Pedro Marques</w:t>
      </w:r>
      <w:r w:rsidRPr="005D599B">
        <w:rPr>
          <w:rStyle w:val="HideTWBExt"/>
          <w:b w:val="0"/>
        </w:rPr>
        <w:t>&lt;/Rapporteur&gt;</w:t>
      </w:r>
    </w:p>
    <w:p w:rsidR="00B85286" w:rsidRPr="00D33000" w:rsidRDefault="001A1DA8">
      <w:pPr>
        <w:pStyle w:val="CoverNormal24a"/>
      </w:pPr>
      <w:r w:rsidRPr="005D599B">
        <w:rPr>
          <w:rStyle w:val="HideTWBExt"/>
        </w:rPr>
        <w:t>&lt;DocRefPE&gt;</w:t>
      </w:r>
      <w:r w:rsidR="006C1F4B" w:rsidRPr="00D33000">
        <w:t>(PE</w:t>
      </w:r>
      <w:r w:rsidR="000760CA" w:rsidRPr="00D33000">
        <w:t>753.695</w:t>
      </w:r>
      <w:r w:rsidR="006C1F4B" w:rsidRPr="00D33000">
        <w:t>v</w:t>
      </w:r>
      <w:r w:rsidR="00E84D7B" w:rsidRPr="00D33000">
        <w:t>01-00</w:t>
      </w:r>
      <w:r w:rsidR="006C1F4B" w:rsidRPr="00D33000">
        <w:t>)</w:t>
      </w:r>
      <w:r w:rsidRPr="005D599B">
        <w:rPr>
          <w:rStyle w:val="HideTWBExt"/>
        </w:rPr>
        <w:t>&lt;/DocRefPE&gt;</w:t>
      </w:r>
    </w:p>
    <w:p w:rsidR="00B85286" w:rsidRPr="00D33000" w:rsidRDefault="001A1DA8">
      <w:pPr>
        <w:pStyle w:val="CoverNormal24a"/>
      </w:pPr>
      <w:r w:rsidRPr="005D599B">
        <w:rPr>
          <w:rStyle w:val="HideTWBExt"/>
        </w:rPr>
        <w:t>&lt;Titre&gt;</w:t>
      </w:r>
      <w:r w:rsidR="000E7A9E" w:rsidRPr="00D33000">
        <w:t>Dėl ankstyvosios intervencijos priemonių, pertvarkymo sąlygų ir pertvarkymo veiksmų finansavimo iš dalies keičiamas Reglamentas (ES) Nr. 806/2014</w:t>
      </w:r>
      <w:r w:rsidRPr="005D599B">
        <w:rPr>
          <w:rStyle w:val="HideTWBExt"/>
        </w:rPr>
        <w:t>&lt;/Titre&gt;</w:t>
      </w:r>
    </w:p>
    <w:p w:rsidR="006337D4" w:rsidRPr="00D33000" w:rsidRDefault="001A1DA8" w:rsidP="006337D4">
      <w:pPr>
        <w:pStyle w:val="CoverNormal"/>
      </w:pPr>
      <w:r w:rsidRPr="005D599B">
        <w:rPr>
          <w:rStyle w:val="HideTWBExt"/>
        </w:rPr>
        <w:t>&lt;DocAmend&gt;</w:t>
      </w:r>
      <w:r w:rsidR="00E84D7B" w:rsidRPr="00D33000">
        <w:t>P</w:t>
      </w:r>
      <w:r w:rsidR="000E7A9E" w:rsidRPr="00D33000">
        <w:t>asiūlymas dėl reglamento</w:t>
      </w:r>
      <w:r w:rsidRPr="005D599B">
        <w:rPr>
          <w:rStyle w:val="HideTWBExt"/>
        </w:rPr>
        <w:t>&lt;/DocAmend&gt;</w:t>
      </w:r>
    </w:p>
    <w:p w:rsidR="00B85286" w:rsidRPr="00D33000" w:rsidRDefault="001A1DA8">
      <w:pPr>
        <w:pStyle w:val="CoverNormal24a"/>
      </w:pPr>
      <w:r w:rsidRPr="005D599B">
        <w:rPr>
          <w:rStyle w:val="HideTWBExt"/>
        </w:rPr>
        <w:t>&lt;DocRef&gt;</w:t>
      </w:r>
      <w:r w:rsidR="006C1F4B" w:rsidRPr="00D33000">
        <w:t>(</w:t>
      </w:r>
      <w:r w:rsidR="00E84D7B" w:rsidRPr="00D33000">
        <w:t>COM</w:t>
      </w:r>
      <w:r w:rsidR="00E14FBF" w:rsidRPr="00D33000">
        <w:t>(2023)0226</w:t>
      </w:r>
      <w:r w:rsidR="006C1F4B" w:rsidRPr="00D33000">
        <w:t xml:space="preserve"> </w:t>
      </w:r>
      <w:r w:rsidR="00E84D7B" w:rsidRPr="00D33000">
        <w:t>–</w:t>
      </w:r>
      <w:r w:rsidR="006C1F4B" w:rsidRPr="00D33000">
        <w:t xml:space="preserve"> </w:t>
      </w:r>
      <w:r w:rsidR="00E14FBF" w:rsidRPr="00D33000">
        <w:t>C9</w:t>
      </w:r>
      <w:r w:rsidR="00E14FBF" w:rsidRPr="00D33000">
        <w:noBreakHyphen/>
        <w:t>0139/2023</w:t>
      </w:r>
      <w:r w:rsidR="006C1F4B" w:rsidRPr="00D33000">
        <w:t xml:space="preserve"> </w:t>
      </w:r>
      <w:r w:rsidR="00E84D7B" w:rsidRPr="00D33000">
        <w:t>–</w:t>
      </w:r>
      <w:r w:rsidR="006C1F4B" w:rsidRPr="00D33000">
        <w:t xml:space="preserve"> </w:t>
      </w:r>
      <w:r w:rsidR="00E14FBF" w:rsidRPr="00D33000">
        <w:t>2023/0111</w:t>
      </w:r>
      <w:r w:rsidR="006C1F4B" w:rsidRPr="00D33000">
        <w:t>(</w:t>
      </w:r>
      <w:r w:rsidR="00E84D7B" w:rsidRPr="00D33000">
        <w:t>COD</w:t>
      </w:r>
      <w:r w:rsidR="006C1F4B" w:rsidRPr="00D33000">
        <w:t>))</w:t>
      </w:r>
      <w:r w:rsidRPr="005D599B">
        <w:rPr>
          <w:rStyle w:val="HideTWBExt"/>
        </w:rPr>
        <w:t>&lt;/DocRef&gt;</w:t>
      </w:r>
    </w:p>
    <w:p w:rsidR="00B85286" w:rsidRPr="00D33000" w:rsidRDefault="001A1DA8" w:rsidP="00E660E2">
      <w:pPr>
        <w:widowControl/>
        <w:tabs>
          <w:tab w:val="center" w:pos="4677"/>
        </w:tabs>
      </w:pPr>
      <w:r w:rsidRPr="00D33000">
        <w:br w:type="page"/>
      </w:r>
      <w:r w:rsidR="006C1F4B" w:rsidRPr="00D33000">
        <w:lastRenderedPageBreak/>
        <w:t>AM_Com_LegReport</w:t>
      </w:r>
    </w:p>
    <w:p w:rsidR="000E7A9E" w:rsidRPr="00D33000" w:rsidRDefault="001A1DA8" w:rsidP="000E7A9E">
      <w:pPr>
        <w:pStyle w:val="AMNumberTabs0"/>
        <w:keepNext/>
        <w:rPr>
          <w:lang w:val="lt-LT"/>
        </w:rPr>
      </w:pPr>
      <w:r w:rsidRPr="00D33000">
        <w:rPr>
          <w:lang w:val="lt-LT"/>
        </w:rPr>
        <w:br w:type="page"/>
      </w:r>
      <w:r w:rsidR="000E7A9E" w:rsidRPr="005D599B">
        <w:rPr>
          <w:rStyle w:val="HideTWBExt"/>
          <w:b w:val="0"/>
          <w:lang w:val="lt-LT"/>
        </w:rPr>
        <w:lastRenderedPageBreak/>
        <w:t>&lt;RepeatBlock-Amend&gt;&lt;Amend&gt;</w:t>
      </w:r>
      <w:r w:rsidR="000E7A9E" w:rsidRPr="00D33000">
        <w:rPr>
          <w:lang w:val="lt-LT"/>
        </w:rPr>
        <w:t>Pakeitimas</w:t>
      </w:r>
      <w:r w:rsidR="000E7A9E" w:rsidRPr="00D33000">
        <w:rPr>
          <w:lang w:val="lt-LT"/>
        </w:rPr>
        <w:tab/>
      </w:r>
      <w:r w:rsidR="000E7A9E" w:rsidRPr="00D33000">
        <w:rPr>
          <w:lang w:val="lt-LT"/>
        </w:rPr>
        <w:tab/>
      </w:r>
      <w:r w:rsidR="000E7A9E" w:rsidRPr="005D599B">
        <w:rPr>
          <w:rStyle w:val="HideTWBExt"/>
          <w:b w:val="0"/>
          <w:lang w:val="lt-LT"/>
        </w:rPr>
        <w:t>&lt;NumAm&gt;</w:t>
      </w:r>
      <w:r w:rsidR="000E7A9E" w:rsidRPr="00D33000">
        <w:rPr>
          <w:lang w:val="lt-LT"/>
        </w:rPr>
        <w:t>56</w:t>
      </w:r>
      <w:r w:rsidR="000E7A9E"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a konstatuojamoji dalis (nauja)</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(1a)</w:t>
            </w:r>
            <w:r w:rsidRPr="00D33000">
              <w:rPr>
                <w:b/>
                <w:i/>
                <w:lang w:val="lt-LT"/>
              </w:rPr>
              <w:tab/>
              <w:t>bendras pertvarkymo mechanizmas (BPeM) kartu su Bendru priežiūros mechanizmu (BPM) ir vis dar trūkstama Europos indėlių garantijų sistema (EIGS) yra vienas iš bankų sąjungos ramsčių. Šiuo metu atliekama Sąjungos krizių valdymo ir indėlių draudimo sistemos peržiūra siekiama sudaryti sąlygas baigti kurti bankų sąjungą ir taip pat sukurti Europos indėlių garantijų sistemą (IGS). Pirmas žingsnis šia kryptimi – sukurti ES kredito liniją, teikiamą iš Bendros pertvarkymo valdybos (BPV) valdomo specialaus fondo išeikvotoms arba beveik išeikvotoms nacionalinėms IGS finansuoti. Šis naujas fondas turėtų būti finansuojamas laipsniškai pervedant dalyvaujančių IGS surinktus bankų įnašus;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5D599B">
        <w:rPr>
          <w:rStyle w:val="HideTWBExt"/>
          <w:b w:val="0"/>
          <w:lang w:val="lt-LT"/>
        </w:rPr>
        <w:t>&lt;NumAm&gt;</w:t>
      </w:r>
      <w:r w:rsidRPr="00D33000">
        <w:rPr>
          <w:lang w:val="lt-LT"/>
        </w:rPr>
        <w:t>57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Lídia Pereira</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a konstatuojamoji dalis (nauja)</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(1a)</w:t>
            </w:r>
            <w:r w:rsidRPr="00D33000">
              <w:rPr>
                <w:b/>
                <w:i/>
                <w:lang w:val="lt-LT"/>
              </w:rPr>
              <w:tab/>
              <w:t xml:space="preserve">bankų sąjunga yra vienas iš pagrindinių ekonominės ir pinigų sąjungos (EPS) ramsčių, o jos plėtra buvo itin svarbi siekiant užtikrinti bankų sektoriaus stabilumą ir atsparumą, be kita ko, pasitelkiant bendrą priežiūros mechanizmą ir bendrą pertvarkymo mechanizmą. Deja, bankų sąjunga dar nebaigta kurti dėl lėto Europos indėlių garantijų sistemos (EIGS) diegimo; </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{PT}</w:t>
      </w:r>
      <w:r w:rsidRPr="00D33000">
        <w:rPr>
          <w:lang w:val="lt-LT"/>
        </w:rPr>
        <w:t>pt</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58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2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(2)</w:t>
            </w:r>
            <w:r w:rsidRPr="00D33000">
              <w:rPr>
                <w:lang w:val="lt-LT"/>
              </w:rPr>
              <w:tab/>
              <w:t xml:space="preserve">praėjus keleriems metams nuo to, kai buvo pradėta įgyvendinti šiuo metu taikoma Sąjungos pertvarkymo sistema, kai kurie iš jos tikslų nėra pasiekti taip, kaip numatyta. Visų pirma, nors įstaigos ir subjektai padarė didelę pažangą, kad galėtų būti sėkmingai pertvarkyti, ir tuo tikslu skyrė daug išteklių, ypač formuodami nuostolių padengimo ir rekapitalizavimo pajėgumus ir užpildydami pertvarkymo finansavimo struktūras, Sąjungos pertvarkymo sistema retai naudojamasi. </w:t>
            </w:r>
            <w:r w:rsidRPr="00D33000">
              <w:rPr>
                <w:b/>
                <w:i/>
                <w:lang w:val="lt-LT"/>
              </w:rPr>
              <w:t>Vietoj to tam tikrų mažesniųjų ir vidutinių įstaigų ir subjektų žlugimas daugiausia sprendžiamas nesuderintomis nacionalinėmis priemonėmis. Vietoj pertvarkymo finansavimo struktūrų naudojami mokesčių mokėtojų pinigai. Atrodo, kad tokia padėtis susidarė dėl netinkamų paskatų. Tos netinkamos paskatos atsiranda dėl Sąjungos pertvarkymo sistemos ir nacionalinių taisyklių sąveikos, kurioje suteikiama didele veiksmų laisve vertinant viešąjį interesą ne visada naudojamasi taip, kad būtų atspindėta, kaip turėtų būti taikoma Sąjungos pertvarkymo sistema. Sąjungos pertvarkymo sistema taip pat mažai naudojamasi dėl rizikos, kad indėliais finansuojamų įstaigų indėlininkai patirtų nuostolių siekiant užtikrinti, kad pertvarkymo atveju šios įstaigos galėtų gauti išorės finansavimą, visų pirma tais atvejais, kai neturi kitų įsipareigojimų, kuriems gali būti taikoma gelbėjimo privačiomis lėšomis priemonė. Galiausiai tai, kad ne pertvarkymo atveju taikomos ne tokios griežtos taisyklės dėl prieigos prie finansavimo negu pertvarkymo atveju, skatina taikyti ne Sąjungos pertvarkymo sistemą, bet kitus sprendimus, kuriuos taikant dažnai naudojami mokesčių mokėtojų pinigai, o ne įstaigos arba subjekto nuosavi ištekliai ar sektoriaus finansuojamos apsaugos priemonės. Dėl tokios padėties kyla susiskaidymo rizika ir rizika, kad įstaigų ir subjektų, visų pirma mažesniųjų ir vidutinių įstaigų ir subjektų, žlugimo valdymo rezultatai bus neoptimalūs, taip pat susidaro finansinių išteklių nenaudojimo alternatyviosios sąnaudos.</w:t>
            </w:r>
            <w:r w:rsidRPr="00D33000">
              <w:rPr>
                <w:lang w:val="lt-LT"/>
              </w:rPr>
              <w:t xml:space="preserve"> Todėl būtina užtikrinti veiksmingesnį ir nuoseklesnį Sąjungos pertvarkymo sistemos taikymą ir užtikrinti, kad ji galėtų būti taikoma visais atvejais, kai tai atitinka viešąjį interesą</w:t>
            </w:r>
            <w:r w:rsidRPr="00D33000">
              <w:rPr>
                <w:b/>
                <w:i/>
                <w:lang w:val="lt-LT"/>
              </w:rPr>
              <w:t>, įskaitant taikymą mažesniosioms ir vidutinėms įstaigoms, kurios visų pirma finansuojamos indėliais ir neturi pakankamai kitų priemonių, kurioms gali būti taikoma gelbėjimo privačiomis lėšomis priemonė</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(2)</w:t>
            </w:r>
            <w:r w:rsidRPr="00D33000">
              <w:rPr>
                <w:lang w:val="lt-LT"/>
              </w:rPr>
              <w:tab/>
              <w:t>praėjus keleriems metams nuo to, kai buvo pradėta įgyvendinti šiuo metu taikoma Sąjungos pertvarkymo sistema, kai kurie iš jos tikslų nėra pasiekti taip, kaip numatyta. Visų pirma, nors įstaigos ir subjektai padarė didelę pažangą, kad galėtų būti sėkmingai pertvarkyti, ir tuo tikslu skyrė daug išteklių, ypač formuodami nuostolių padengimo ir rekapitalizavimo pajėgumus ir užpildydami pertvarkymo finansavimo struktūras, Sąjungos pertvarkymo sistema retai naudojamasi. Todėl būtina užtikrinti veiksmingesnį ir nuoseklesnį Sąjungos pertvarkymo sistemos taikymą ir užtikrinti, kad ji galėtų būti taikoma visais atvejais, kai tai atitinka viešąjį interesą;</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Justification: There is no reason to expand the resolution regime in the way the Commission has proposed. The largely harmonised European deposit guarantee schemes have proven their ability to function, as the payout events from Greensill Bank and the cross-border case of Sberbank have shown. For the majority of institutions, it is already possible to ensure an orderly exit from the market without endangering financial market stability through national insolvency/liquidation proceedings.If, in individual cases, a resolution authority does not make use of its already extensive powers, deficiencies in application in practice do not justify a change of the existing legal framework. Instead, more attention should be paid to the application of the existing legal framework.</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59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Markus Ferber, Herbert Dorfmann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2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(2)</w:t>
            </w:r>
            <w:r w:rsidRPr="00D33000">
              <w:rPr>
                <w:lang w:val="lt-LT"/>
              </w:rPr>
              <w:tab/>
              <w:t xml:space="preserve">praėjus keleriems metams nuo to, kai buvo pradėta įgyvendinti šiuo metu taikoma Sąjungos pertvarkymo sistema, kai kurie iš jos tikslų nėra pasiekti taip, kaip numatyta. Visų pirma, nors įstaigos ir subjektai padarė didelę pažangą, kad galėtų būti sėkmingai pertvarkyti, ir tuo tikslu skyrė daug išteklių, ypač formuodami nuostolių padengimo ir rekapitalizavimo pajėgumus ir užpildydami pertvarkymo finansavimo struktūras, Sąjungos pertvarkymo sistema retai naudojamasi. </w:t>
            </w:r>
            <w:r w:rsidRPr="00D33000">
              <w:rPr>
                <w:b/>
                <w:i/>
                <w:lang w:val="lt-LT"/>
              </w:rPr>
              <w:t>Vietoj to tam tikrų mažesniųjų ir vidutinių įstaigų ir subjektų žlugimas daugiausia sprendžiamas nesuderintomis nacionalinėmis priemonėmis. Vietoj pertvarkymo finansavimo struktūrų naudojami mokesčių mokėtojų pinigai. Atrodo, kad tokia padėtis susidarė dėl netinkamų paskatų. Tos netinkamos paskatos atsiranda dėl Sąjungos pertvarkymo sistemos ir nacionalinių taisyklių sąveikos, kurioje suteikiama didele veiksmų laisve vertinant viešąjį interesą ne visada naudojamasi taip, kad būtų atspindėta, kaip turėtų būti taikoma Sąjungos pertvarkymo sistema. Sąjungos pertvarkymo sistema taip pat mažai naudojamasi dėl rizikos, kad indėliais finansuojamų įstaigų indėlininkai patirtų nuostolių siekiant užtikrinti, kad pertvarkymo atveju šios įstaigos galėtų gauti išorės finansavimą, visų pirma tais atvejais, kai neturi kitų įsipareigojimų, kuriems gali būti taikoma gelbėjimo privačiomis lėšomis priemonė. Galiausiai tai, kad ne pertvarkymo atveju taikomos ne tokios griežtos taisyklės dėl prieigos prie finansavimo negu pertvarkymo atveju, skatina taikyti ne Sąjungos pertvarkymo sistemą, bet kitus sprendimus, kuriuos taikant dažnai naudojami mokesčių mokėtojų pinigai, o ne įstaigos arba subjekto nuosavi ištekliai ar sektoriaus finansuojamos apsaugos priemonės. Dėl tokios padėties kyla susiskaidymo rizika ir rizika, kad įstaigų ir subjektų, visų pirma mažesniųjų ir vidutinių įstaigų ir subjektų, žlugimo valdymo rezultatai bus neoptimalūs, taip pat susidaro finansinių išteklių nenaudojimo alternatyviosios sąnaudos.</w:t>
            </w:r>
            <w:r w:rsidRPr="00D33000">
              <w:rPr>
                <w:lang w:val="lt-LT"/>
              </w:rPr>
              <w:t xml:space="preserve"> Todėl būtina užtikrinti veiksmingesnį ir nuoseklesnį Sąjungos pertvarkymo sistemos taikymą ir užtikrinti, kad ji galėtų būti taikoma visais atvejais, kai tai atitinka viešąjį interesą, įskaitant taikymą mažesniosioms ir vidutinėms įstaigoms, kurios visų pirma finansuojamos indėliais ir neturi pakankamai kitų priemonių, kurioms gali būti taikoma gelbėjimo privačiomis lėšomis priemonė;</w:t>
            </w:r>
          </w:p>
        </w:tc>
        <w:tc>
          <w:tcPr>
            <w:tcW w:w="4876" w:type="dxa"/>
            <w:hideMark/>
          </w:tcPr>
          <w:p w:rsidR="000E7A9E" w:rsidRPr="00D33000" w:rsidRDefault="000E7A9E" w:rsidP="009E0AF6">
            <w:pPr>
              <w:pStyle w:val="Normal6"/>
              <w:rPr>
                <w:szCs w:val="24"/>
                <w:lang w:val="lt-LT"/>
              </w:rPr>
            </w:pPr>
            <w:r w:rsidRPr="00D33000">
              <w:rPr>
                <w:lang w:val="lt-LT"/>
              </w:rPr>
              <w:t>(2)</w:t>
            </w:r>
            <w:r w:rsidRPr="00D33000">
              <w:rPr>
                <w:lang w:val="lt-LT"/>
              </w:rPr>
              <w:tab/>
              <w:t>praėjus keleriems metams nuo to, kai buvo pradėta įgyvendinti šiuo metu taikoma Sąjungos pertvarkymo sistema, kai kurie iš jos tikslų nėra pasiekti taip, kaip numatyta. Visų pirma, nors įstaigos ir subjektai padarė didelę pažangą, kad galėtų būti sėkmingai pertvarkyti, ir tuo tikslu skyrė daug išteklių, ypač formuodami nuostolių padengimo ir rekapitalizavimo pajėgumus ir užpildydami pertvarkymo finansavimo struktūras, Sąjungos pertvarkymo sistema retai naudojamasi. Todėl būtina užtikrinti veiksmingesnį ir nuoseklesnį Sąjungos pertvarkymo sistemos taikymą ir užtikrinti, kad ji galėtų būti taikoma visais atvejais, kai tai atitinka viešąjį interesą, įskaitant taikymą mažesniosioms ir vidutinėms įstaigoms, kurios visų pirma finansuojamos indėliais ir neturi pakankamai kitų priemonių, kurioms gali būti taikoma gelbėjimo privačiomis lėšomis priemonė;</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60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Eero Heinäluoma</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2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(2)</w:t>
            </w:r>
            <w:r w:rsidRPr="00D33000">
              <w:rPr>
                <w:lang w:val="lt-LT"/>
              </w:rPr>
              <w:tab/>
              <w:t xml:space="preserve">praėjus keleriems metams nuo to, kai buvo pradėta įgyvendinti šiuo metu taikoma Sąjungos pertvarkymo sistema, kai kurie iš jos tikslų nėra pasiekti taip, kaip numatyta. Visų pirma, nors įstaigos ir subjektai padarė didelę pažangą, kad galėtų būti sėkmingai pertvarkyti, ir tuo tikslu skyrė daug išteklių, ypač formuodami nuostolių padengimo ir rekapitalizavimo pajėgumus ir užpildydami pertvarkymo finansavimo struktūras, Sąjungos pertvarkymo sistema retai naudojamasi. Vietoj to tam tikrų mažesniųjų ir vidutinių įstaigų ir subjektų žlugimas daugiausia sprendžiamas nesuderintomis nacionalinėmis priemonėmis. Vietoj pertvarkymo finansavimo struktūrų naudojami mokesčių mokėtojų pinigai. Atrodo, kad tokia padėtis susidarė dėl netinkamų paskatų. Tos netinkamos paskatos atsiranda dėl Sąjungos pertvarkymo sistemos ir nacionalinių taisyklių sąveikos, kurioje suteikiama didele veiksmų laisve vertinant viešąjį interesą ne visada naudojamasi taip, kad būtų atspindėta, kaip turėtų būti taikoma Sąjungos pertvarkymo sistema. </w:t>
            </w:r>
            <w:r w:rsidRPr="00D33000">
              <w:rPr>
                <w:b/>
                <w:i/>
                <w:lang w:val="lt-LT"/>
              </w:rPr>
              <w:t>Sąjungos pertvarkymo sistema taip pat mažai naudojamasi dėl rizikos, kad indėliais finansuojamų įstaigų indėlininkai patirtų nuostolių siekiant užtikrinti, kad pertvarkymo atveju šios įstaigos galėtų gauti išorės finansavimą, visų pirma tais atvejais, kai neturi kitų įsipareigojimų, kuriems gali būti taikoma gelbėjimo privačiomis lėšomis priemonė.</w:t>
            </w:r>
            <w:r w:rsidRPr="00D33000">
              <w:rPr>
                <w:lang w:val="lt-LT"/>
              </w:rPr>
              <w:t xml:space="preserve"> Galiausiai tai, kad ne pertvarkymo atveju taikomos ne tokios griežtos taisyklės dėl prieigos prie finansavimo negu pertvarkymo atveju, skatina taikyti ne Sąjungos pertvarkymo sistemą, bet kitus sprendimus, kuriuos taikant dažnai naudojami mokesčių mokėtojų pinigai, o ne įstaigos arba subjekto nuosavi ištekliai ar sektoriaus finansuojamos apsaugos priemonės. Dėl tokios padėties kyla susiskaidymo rizika ir rizika, kad įstaigų ir subjektų, visų pirma mažesniųjų ir vidutinių įstaigų ir subjektų, žlugimo valdymo rezultatai bus neoptimalūs, taip pat susidaro finansinių išteklių nenaudojimo alternatyviosios sąnaudos. Todėl būtina užtikrinti veiksmingesnį ir nuoseklesnį Sąjungos pertvarkymo sistemos taikymą ir užtikrinti, kad ji galėtų būti taikoma visais atvejais, kai tai atitinka viešąjį interesą, įskaitant taikymą mažesniosioms ir vidutinėms įstaigoms</w:t>
            </w:r>
            <w:r w:rsidRPr="00D33000">
              <w:rPr>
                <w:b/>
                <w:i/>
                <w:lang w:val="lt-LT"/>
              </w:rPr>
              <w:t>, kurios visų pirma finansuojamos indėliais ir neturi pakankamai kitų priemonių, kurioms gali būti taikoma gelbėjimo privačiomis lėšomis priemonė</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(2)</w:t>
            </w:r>
            <w:r w:rsidRPr="00D33000">
              <w:rPr>
                <w:lang w:val="lt-LT"/>
              </w:rPr>
              <w:tab/>
              <w:t>praėjus keleriems metams nuo to, kai buvo pradėta įgyvendinti šiuo metu taikoma Sąjungos pertvarkymo sistema, kai kurie iš jos tikslų nėra pasiekti taip, kaip numatyta. Visų pirma, nors įstaigos ir subjektai padarė didelę pažangą, kad galėtų būti sėkmingai pertvarkyti, ir tuo tikslu skyrė daug išteklių, ypač formuodami nuostolių padengimo ir rekapitalizavimo pajėgumus ir užpildydami pertvarkymo finansavimo struktūras, Sąjungos pertvarkymo sistema retai naudojamasi. Vietoj to tam tikrų mažesniųjų ir vidutinių įstaigų ir subjektų žlugimas daugiausia sprendžiamas nesuderintomis nacionalinėmis priemonėmis. Vietoj pertvarkymo finansavimo struktūrų naudojami mokesčių mokėtojų pinigai. Atrodo, kad tokia padėtis susidarė dėl netinkamų paskatų. Tos netinkamos paskatos atsiranda dėl Sąjungos pertvarkymo sistemos ir nacionalinių taisyklių sąveikos, kurioje suteikiama didele veiksmų laisve vertinant viešąjį interesą ne visada naudojamasi taip, kad būtų atspindėta, kaip turėtų būti taikoma Sąjungos pertvarkymo sistema. Galiausiai tai, kad ne pertvarkymo atveju taikomos ne tokios griežtos taisyklės dėl prieigos prie finansavimo negu pertvarkymo atveju, skatina taikyti ne Sąjungos pertvarkymo sistemą, bet kitus sprendimus, kuriuos taikant dažnai naudojami mokesčių mokėtojų pinigai, o ne įstaigos arba subjekto nuosavi ištekliai ar sektoriaus finansuojamos apsaugos priemonės. Dėl tokios padėties kyla susiskaidymo rizika ir rizika, kad įstaigų ir subjektų, visų pirma mažesniųjų ir vidutinių įstaigų ir subjektų, žlugimo valdymo rezultatai bus neoptimalūs, taip pat susidaro finansinių išteklių nenaudojimo alternatyviosios sąnaudos. Todėl būtina užtikrinti veiksmingesnį ir nuoseklesnį Sąjungos pertvarkymo sistemos taikymą ir užtikrinti, kad ji galėtų būti taikoma visais atvejais, kai tai atitinka viešąjį interesą, įskaitant taikymą mažesniosioms ir vidutinėms įstaigoms;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61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Luděk Niedermayer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2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(2)</w:t>
            </w:r>
            <w:r w:rsidRPr="00D33000">
              <w:rPr>
                <w:lang w:val="lt-LT"/>
              </w:rPr>
              <w:tab/>
              <w:t>praėjus keleriems metams nuo to, kai buvo pradėta įgyvendinti šiuo metu taikoma Sąjungos pertvarkymo sistema, kai kurie iš jos tikslų nėra pasiekti taip, kaip numatyta. Visų pirma, nors įstaigos ir subjektai padarė didelę pažangą, kad galėtų būti sėkmingai pertvarkyti, ir tuo tikslu skyrė daug išteklių, ypač formuodami nuostolių padengimo ir rekapitalizavimo pajėgumus ir užpildydami pertvarkymo finansavimo struktūras, Sąjungos pertvarkymo sistema retai naudojamasi. Vietoj to tam tikrų mažesniųjų ir vidutinių įstaigų ir subjektų žlugimas daugiausia sprendžiamas nesuderintomis nacionalinėmis priemonėmis. Vietoj pertvarkymo finansavimo struktūrų naudojami mokesčių mokėtojų pinigai. Atrodo, kad tokia padėtis susidarė dėl netinkamų paskatų. Tos netinkamos paskatos atsiranda dėl Sąjungos pertvarkymo sistemos ir nacionalinių taisyklių sąveikos, kurioje suteikiama didele veiksmų laisve vertinant viešąjį interesą ne visada naudojamasi taip, kad būtų atspindėta, kaip turėtų būti taikoma Sąjungos pertvarkymo sistema. Sąjungos pertvarkymo sistema taip pat mažai naudojamasi dėl rizikos, kad indėliais finansuojamų įstaigų indėlininkai patirtų nuostolių siekiant užtikrinti, kad pertvarkymo atveju šios įstaigos galėtų gauti išorės finansavimą, visų pirma tais atvejais, kai neturi kitų įsipareigojimų, kuriems gali būti taikoma gelbėjimo privačiomis lėšomis priemonė. Galiausiai tai, kad ne pertvarkymo atveju taikomos ne tokios griežtos taisyklės dėl prieigos prie finansavimo negu pertvarkymo atveju, skatina taikyti ne Sąjungos pertvarkymo sistemą, bet kitus sprendimus, kuriuos taikant dažnai naudojami mokesčių mokėtojų pinigai, o ne įstaigos arba subjekto nuosavi ištekliai ar sektoriaus finansuojamos apsaugos priemonės. Dėl tokios padėties kyla susiskaidymo rizika ir rizika, kad įstaigų ir subjektų, visų pirma mažesniųjų ir vidutinių įstaigų ir subjektų, žlugimo valdymo rezultatai bus neoptimalūs, taip pat susidaro finansinių išteklių nenaudojimo alternatyviosios sąnaudos. Todėl būtina užtikrinti veiksmingesnį ir nuoseklesnį Sąjungos pertvarkymo sistemos taikymą ir užtikrinti, kad ji galėtų būti taikoma visais atvejais, kai tai atitinka viešąjį interesą, įskaitant taikymą mažesniosioms ir vidutinėms įstaigoms, kurios visų pirma finansuojamos indėliais ir neturi pakankamai kitų priemonių, kurioms gali būti taikoma gelbėjimo privačiomis lėšomis priemonė;</w:t>
            </w:r>
          </w:p>
        </w:tc>
        <w:tc>
          <w:tcPr>
            <w:tcW w:w="4876" w:type="dxa"/>
            <w:hideMark/>
          </w:tcPr>
          <w:p w:rsidR="000E7A9E" w:rsidRPr="00D33000" w:rsidRDefault="000E7A9E" w:rsidP="009E0AF6">
            <w:pPr>
              <w:pStyle w:val="Normal6"/>
              <w:rPr>
                <w:szCs w:val="24"/>
                <w:lang w:val="lt-LT"/>
              </w:rPr>
            </w:pPr>
            <w:r w:rsidRPr="00D33000">
              <w:rPr>
                <w:lang w:val="lt-LT"/>
              </w:rPr>
              <w:t>(2)</w:t>
            </w:r>
            <w:r w:rsidRPr="00D33000">
              <w:rPr>
                <w:lang w:val="lt-LT"/>
              </w:rPr>
              <w:tab/>
              <w:t>praėjus keleriems metams nuo to, kai buvo pradėta įgyvendinti šiuo metu taikoma Sąjungos pertvarkymo sistema, kai kurie iš jos tikslų nėra pasiekti taip, kaip numatyta. Visų pirma, nors įstaigos ir subjektai padarė didelę pažangą, kad galėtų būti sėkmingai pertvarkyti, ir tuo tikslu skyrė daug išteklių, ypač formuodami nuostolių padengimo ir rekapitalizavimo pajėgumus ir užpildydami pertvarkymo finansavimo struktūras, Sąjungos pertvarkymo sistema retai naudojamasi. Vietoj to tam tikrų mažesniųjų ir vidutinių įstaigų ir subjektų žlugimas daugiausia sprendžiamas nesuderintomis nacionalinėmis priemonėmis. Vietoj pertvarkymo finansavimo struktūrų naudojami mokesčių mokėtojų pinigai. Atrodo, kad tokia padėtis susidarė dėl netinkamų paskatų. Tos netinkamos paskatos atsiranda dėl Sąjungos pertvarkymo sistemos ir nacionalinių taisyklių sąveikos, kurioje suteikiama didele veiksmų laisve vertinant viešąjį interesą ne visada naudojamasi taip, kad būtų atspindėta, kaip turėtų būti taikoma Sąjungos pertvarkymo sistema. Sąjungos pertvarkymo sistema taip pat mažai naudojamasi dėl rizikos, kad indėliais finansuojamų įstaigų indėlininkai patirtų nuostolių siekiant užtikrinti, kad pertvarkymo atveju šios įstaigos galėtų gauti išorės finansavimą, visų pirma tais atvejais, kai neturi kitų įsipareigojimų, kuriems gali būti taikoma gelbėjimo privačiomis lėšomis priemonė. Galiausiai tai, kad ne pertvarkymo atveju taikomos ne tokios griežtos taisyklės dėl prieigos prie finansavimo negu pertvarkymo atveju, skatina taikyti ne Sąjungos pertvarkymo sistemą, bet kitus sprendimus, kuriuos taikant dažnai naudojami mokesčių mokėtojų pinigai, o ne įstaigos arba subjekto nuosavi ištekliai ar sektoriaus finansuojamos apsaugos priemonės. Dėl tokios padėties kyla susiskaidymo rizika ir rizika, kad įstaigų ir subjektų, visų pirma mažesniųjų ir vidutinių įstaigų ir subjektų, žlugimo valdymo rezultatai bus neoptimalūs, taip pat susidaro finansinių išteklių nenaudojimo alternatyviosios sąnaudos. Todėl būtina užtikrinti veiksmingesnį ir nuoseklesnį Sąjungos pertvarkymo sistemos taikymą ir užtikrinti, kad ji galėtų būti taikoma visais atvejais, kai tai atitinka viešąjį interesą, įskaitant taikymą mažesniosioms ir vidutinėms įstaigoms, kurios visų pirma finansuojamos indėliais ir neturi pakankamai kitų priemonių, kurioms gali būti taikoma gelbėjimo privačiomis lėšomis priemonė</w:t>
            </w:r>
            <w:r w:rsidRPr="00D33000">
              <w:rPr>
                <w:b/>
                <w:i/>
                <w:lang w:val="lt-LT"/>
              </w:rPr>
              <w:t>, išskyrus indėlius</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62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Fabio Massimo Castaldo</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2 a konstatuojamoji dalis (nauja)</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(2a)</w:t>
            </w:r>
            <w:r w:rsidRPr="00D33000">
              <w:rPr>
                <w:b/>
                <w:i/>
                <w:lang w:val="lt-LT"/>
              </w:rPr>
              <w:tab/>
              <w:t>dabartine teisės aktų peržiūra siekiama sustiprinti tvarkingo bankų ar investicinių įmonių pertvarkymo, kuriuo užtikrinama didesnė indėlininkų apsauga, sąlygas. Ja tvirtai palaikomas apdraustųjų indėlių draudimas, kartu gerinamas pertvarkymo politikos priemonių rinkinys, taip sudarant sąlygas sklandesnėms alternatyvoms, kuriomis indėlininkams suteikiamos papildomos apsaugos priemonės ir finansinis stabilumas;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63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Roberts Zīle</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2 a konstatuojamoji dalis (nauja)</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(2a)</w:t>
            </w:r>
            <w:r w:rsidRPr="00D33000">
              <w:rPr>
                <w:b/>
                <w:i/>
                <w:lang w:val="lt-LT"/>
              </w:rPr>
              <w:tab/>
              <w:t>dabartine teisės aktų peržiūra siekiama sustiprinti tvarkingo bankų ar investicinių įmonių pertvarkymo, kuriuo užtikrinama didesnė indėlininkų apsauga, sąlygas. Ja tvirtai palaikomas apdraustųjų indėlių draudimas, kartu sustiprinamas pertvarkymo politikos priemonių rinkinys, taip sudarant sąlygas sklandesnėms alternatyvoms, kuriomis indėlininkams suteikiamos papildomos apsaugos priemonės ir finansinis stabilumas;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64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4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(4)</w:t>
            </w:r>
            <w:r w:rsidRPr="00D33000">
              <w:rPr>
                <w:lang w:val="lt-LT"/>
              </w:rPr>
              <w:tab/>
              <w:t>pertvarkymo planavimo darbo, reikalingo patronuojamųjų įmonių, kurios nėra laikomos pertvarkytinais subjektais, atveju, intensyvumas ir išsamumo lygis priklauso nuo atitinkamų įstaigų ir subjektų dydžio ir rizikos pobūdžio, ypatingos svarbos funkcijų buvimo ir grupės pertvarkymo strategijos. Todėl Bendra pertvarkymo valdyba (toliau – Valdyba) turėtų turėti galimybę atsižvelgti į tuos veiksnius nustatydama priemones, kurių reikia imtis tokių patronuojamųjų įmonių atžvilgiu, ir, kai tinkama, taikyti supaprastintą metodą;</w:t>
            </w:r>
          </w:p>
        </w:tc>
        <w:tc>
          <w:tcPr>
            <w:tcW w:w="4876" w:type="dxa"/>
            <w:hideMark/>
          </w:tcPr>
          <w:p w:rsidR="000E7A9E" w:rsidRPr="00D33000" w:rsidRDefault="000E7A9E" w:rsidP="009E0AF6">
            <w:pPr>
              <w:pStyle w:val="Normal6"/>
              <w:rPr>
                <w:szCs w:val="24"/>
                <w:lang w:val="lt-LT"/>
              </w:rPr>
            </w:pPr>
            <w:r w:rsidRPr="00D33000">
              <w:rPr>
                <w:lang w:val="lt-LT"/>
              </w:rPr>
              <w:t>(4)</w:t>
            </w:r>
            <w:r w:rsidRPr="00D33000">
              <w:rPr>
                <w:lang w:val="lt-LT"/>
              </w:rPr>
              <w:tab/>
              <w:t xml:space="preserve">pertvarkymo planavimo darbo, reikalingo patronuojamųjų įmonių, kurios nėra laikomos pertvarkytinais subjektais, atveju, intensyvumas ir išsamumo lygis priklauso nuo atitinkamų įstaigų ir subjektų dydžio ir rizikos pobūdžio, ypatingos svarbos funkcijų buvimo ir grupės pertvarkymo strategijos. Todėl Bendra pertvarkymo valdyba (toliau – Valdyba) turėtų turėti galimybę atsižvelgti į tuos veiksnius nustatydama priemones, kurių reikia imtis tokių patronuojamųjų įmonių atžvilgiu, ir, kai tinkama, </w:t>
            </w:r>
            <w:r w:rsidRPr="00D33000">
              <w:rPr>
                <w:b/>
                <w:i/>
                <w:lang w:val="lt-LT"/>
              </w:rPr>
              <w:t>pasitarusi su atitinkama nacionaline institucija, nuspręsti</w:t>
            </w:r>
            <w:r w:rsidRPr="00D33000">
              <w:rPr>
                <w:lang w:val="lt-LT"/>
              </w:rPr>
              <w:t xml:space="preserve"> taikyti supaprastintą metodą</w:t>
            </w:r>
            <w:r w:rsidRPr="00D33000">
              <w:rPr>
                <w:b/>
                <w:i/>
                <w:lang w:val="lt-LT"/>
              </w:rPr>
              <w:t>, jei taikant supaprastintą metodą jokiomis aplinkybėmis nesumažėja reikalaujami standartai</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65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Roberts Zīle</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4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(4)</w:t>
            </w:r>
            <w:r w:rsidRPr="00D33000">
              <w:rPr>
                <w:lang w:val="lt-LT"/>
              </w:rPr>
              <w:tab/>
              <w:t>pertvarkymo planavimo darbo, reikalingo patronuojamųjų įmonių, kurios nėra laikomos pertvarkytinais subjektais, atveju, intensyvumas ir išsamumo lygis priklauso nuo atitinkamų įstaigų ir subjektų dydžio ir rizikos pobūdžio, ypatingos svarbos funkcijų buvimo ir grupės pertvarkymo strategijos. Todėl Bendra pertvarkymo valdyba (toliau – Valdyba) turėtų turėti galimybę atsižvelgti į tuos veiksnius nustatydama priemones, kurių reikia imtis tokių patronuojamųjų įmonių atžvilgiu, ir, kai tinkama, taikyti supaprastintą metodą;</w:t>
            </w:r>
          </w:p>
        </w:tc>
        <w:tc>
          <w:tcPr>
            <w:tcW w:w="4876" w:type="dxa"/>
            <w:hideMark/>
          </w:tcPr>
          <w:p w:rsidR="000E7A9E" w:rsidRPr="00D33000" w:rsidRDefault="000E7A9E" w:rsidP="009E0AF6">
            <w:pPr>
              <w:pStyle w:val="Normal6"/>
              <w:rPr>
                <w:szCs w:val="24"/>
                <w:lang w:val="lt-LT"/>
              </w:rPr>
            </w:pPr>
            <w:r w:rsidRPr="00D33000">
              <w:rPr>
                <w:lang w:val="lt-LT"/>
              </w:rPr>
              <w:t>(4)</w:t>
            </w:r>
            <w:r w:rsidRPr="00D33000">
              <w:rPr>
                <w:lang w:val="lt-LT"/>
              </w:rPr>
              <w:tab/>
              <w:t>pertvarkymo planavimo darbo, reikalingo patronuojamųjų įmonių, kurios nėra laikomos pertvarkytinais subjektais, atveju, intensyvumas ir išsamumo lygis priklauso nuo atitinkamų įstaigų ir subjektų dydžio ir rizikos pobūdžio, ypatingos svarbos funkcijų buvimo ir grupės pertvarkymo strategijos. Todėl Bendra pertvarkymo valdyba (toliau – Valdyba) turėtų turėti galimybę atsižvelgti į tuos veiksnius nustatydama priemones, kurių reikia imtis tokių patronuojamųjų įmonių atžvilgiu, ir, kai tinkama, taikyti supaprastintą metodą</w:t>
            </w:r>
            <w:r w:rsidRPr="00D33000">
              <w:rPr>
                <w:b/>
                <w:i/>
                <w:lang w:val="lt-LT"/>
              </w:rPr>
              <w:t>, jei taikant supaprastintą metodą jokiomis aplinkybėmis nesumažėja reikalaujami standartai</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66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9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(9)</w:t>
            </w:r>
            <w:r w:rsidRPr="00D33000">
              <w:rPr>
                <w:lang w:val="lt-LT"/>
              </w:rPr>
              <w:tab/>
              <w:t>MREL nustatymo taisyklėse daugiausia dėmesio skiriama tinkamo MREL lygio nustatymui, darant prielaidą, kad pasirinkta pertvarkymo strategija būtų gelbėjimo privačiomis lėšomis priemonės taikymas. Tačiau pagal Reglamentą (ES) Nr. 806/2014 Valdybai leidžiama naudoti kitas pertvarkymo priemones, t. y. tas, kurias taikant pertvarkomos įstaigos verslas perduodamas privačiam pirkėjui arba laikinai įstaigai. Todėl reikėtų patikslinti, kad tuo atveju, kai pertvarkymo plane numatoma naudoti verslo pardavimo priemonę arba laikinos įstaigos sukūrimo priemonę ir pertvarkytinas subjektas pasitrauks iš rinkos, Valdyba turėtų nustatyti atitinkamam pertvarkytinam subjektui taikomo MREL lygį remdamasi tų pertvarkymo priemonių ypatumais ir skirtingais nuostolių padengimo ir rekapitalizavimo poreikiais, susijusiais su tomis priemonėmis;</w:t>
            </w:r>
          </w:p>
        </w:tc>
        <w:tc>
          <w:tcPr>
            <w:tcW w:w="4876" w:type="dxa"/>
            <w:hideMark/>
          </w:tcPr>
          <w:p w:rsidR="000E7A9E" w:rsidRPr="00D33000" w:rsidRDefault="000E7A9E" w:rsidP="009E0AF6">
            <w:pPr>
              <w:pStyle w:val="Normal6"/>
              <w:rPr>
                <w:szCs w:val="24"/>
                <w:lang w:val="lt-LT"/>
              </w:rPr>
            </w:pPr>
            <w:r w:rsidRPr="00D33000">
              <w:rPr>
                <w:lang w:val="lt-LT"/>
              </w:rPr>
              <w:t>(9)</w:t>
            </w:r>
            <w:r w:rsidRPr="00D33000">
              <w:rPr>
                <w:lang w:val="lt-LT"/>
              </w:rPr>
              <w:tab/>
              <w:t>MREL nustatymo taisyklėse daugiausia dėmesio skiriama tinkamo MREL lygio nustatymui, darant prielaidą, kad pasirinkta pertvarkymo strategija būtų gelbėjimo privačiomis lėšomis priemonės taikymas. Tačiau pagal Reglamentą (ES) Nr. 806/2014 Valdybai leidžiama naudoti kitas pertvarkymo priemones, t. y. tas, kurias taikant pertvarkomos įstaigos verslas perduodamas privačiam pirkėjui arba laikinai įstaigai</w:t>
            </w:r>
            <w:r w:rsidRPr="00D33000">
              <w:rPr>
                <w:b/>
                <w:i/>
                <w:lang w:val="lt-LT"/>
              </w:rPr>
              <w:t>, kaip atskirą priemonę arba kartu su kitomis priemonėmis, įskaitant gelbėjimą privačiomis lėšomis</w:t>
            </w:r>
            <w:r w:rsidRPr="00D33000">
              <w:rPr>
                <w:lang w:val="lt-LT"/>
              </w:rPr>
              <w:t xml:space="preserve">. Todėl reikėtų </w:t>
            </w:r>
            <w:r w:rsidRPr="00D33000">
              <w:rPr>
                <w:b/>
                <w:i/>
                <w:lang w:val="lt-LT"/>
              </w:rPr>
              <w:t>papildomai</w:t>
            </w:r>
            <w:r w:rsidRPr="00D33000">
              <w:rPr>
                <w:lang w:val="lt-LT"/>
              </w:rPr>
              <w:t xml:space="preserve"> patikslinti, kad tuo atveju, kai pertvarkymo plane numatoma naudoti </w:t>
            </w:r>
            <w:r w:rsidRPr="00D33000">
              <w:rPr>
                <w:b/>
                <w:i/>
                <w:lang w:val="lt-LT"/>
              </w:rPr>
              <w:t>priemonių derinį,</w:t>
            </w:r>
            <w:r w:rsidRPr="00D33000">
              <w:rPr>
                <w:lang w:val="lt-LT"/>
              </w:rPr>
              <w:t xml:space="preserve"> verslo pardavimo priemonę arba laikinos įstaigos sukūrimo priemonę ir pertvarkytinas subjektas pasitrauks iš rinkos, Valdyba </w:t>
            </w:r>
            <w:r w:rsidRPr="00D33000">
              <w:rPr>
                <w:b/>
                <w:i/>
                <w:lang w:val="lt-LT"/>
              </w:rPr>
              <w:t>visada</w:t>
            </w:r>
            <w:r w:rsidRPr="00D33000">
              <w:rPr>
                <w:lang w:val="lt-LT"/>
              </w:rPr>
              <w:t xml:space="preserve"> turėtų nustatyti atitinkamam pertvarkytinam subjektui taikomo MREL lygį remdamasi tų pertvarkymo priemonių ypatumais ir skirtingais nuostolių padengimo ir rekapitalizavimo poreikiais, susijusiais su tomis priemonėmis</w:t>
            </w:r>
            <w:r w:rsidRPr="00D33000">
              <w:rPr>
                <w:b/>
                <w:i/>
                <w:lang w:val="lt-LT"/>
              </w:rPr>
              <w:t>, atsižvelgdama į dydžio ir sudėtingumo sumažėjimą, kurį lemia gaivinimo galimybių įgyvendinimas rengiantis pertvarkymui ir pertvarkymo veiksmai</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MREL tikslinio rodiklio pritaikymo prie pageidaujamos pertvarkymo strategijos ypatumų principas turi būti įgyvendinamas horizontaliai visoms priemonėms ir priemonių deriniui.</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67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10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(10)</w:t>
            </w:r>
            <w:r w:rsidRPr="00D33000">
              <w:rPr>
                <w:lang w:val="lt-LT"/>
              </w:rPr>
              <w:tab/>
              <w:t>pertvarkytinų subjektų MREL lygis yra nuostolių, tikėtinų vykdant pertvarkymą, sumos ir rekapitalizavimo sumos suma, kuria pertvarkytinam subjektui sudaromos sąlygos toliau laikytis veiklos leidimo sąlygų ir vykdyti veiklą tinkamą laikotarpį. Tam tikros pasirinktos pertvarkymo strategijos apima turto, teisių ir įsipareigojimų perdavimą gavėjui ir pasitraukimą iš rinkos, visų pirma verslo pardavimo priemonė. Tokiais atvejais rekapitalizavimo komponento tikslai gali būti taikomi kitokiu mastu negu veikiančio banko gelbėjimo privačiomis lėšomis strategijos atveju, nes Valdyba neprivalės užtikrinti, kad pertvarkytinas subjektas atlikus pertvarkymo veiksmus vėl laikytųsi nuosavų lėšų reikalavimų. Vis dėlto numatoma, kad tokiais atvejais nuostoliai viršys pertvarkytino subjekto nuosavų lėšų reikalavimus. Todėl tikslinga nustatyti, kad tų pertvarkytinų subjektų MREL lygis ir toliau apimtų rekapitalizavimo sumą, kuri koreguojama proporcingai pertvarkymo strategijai;</w:t>
            </w:r>
          </w:p>
        </w:tc>
        <w:tc>
          <w:tcPr>
            <w:tcW w:w="4876" w:type="dxa"/>
            <w:hideMark/>
          </w:tcPr>
          <w:p w:rsidR="000E7A9E" w:rsidRPr="00D33000" w:rsidRDefault="000E7A9E" w:rsidP="009E0AF6">
            <w:pPr>
              <w:pStyle w:val="Normal6"/>
              <w:rPr>
                <w:szCs w:val="24"/>
                <w:lang w:val="lt-LT"/>
              </w:rPr>
            </w:pPr>
            <w:r w:rsidRPr="00D33000">
              <w:rPr>
                <w:lang w:val="lt-LT"/>
              </w:rPr>
              <w:t>(10)</w:t>
            </w:r>
            <w:r w:rsidRPr="00D33000">
              <w:rPr>
                <w:lang w:val="lt-LT"/>
              </w:rPr>
              <w:tab/>
              <w:t>pertvarkytinų subjektų MREL lygis yra nuostolių, tikėtinų vykdant pertvarkymą, sumos ir rekapitalizavimo sumos suma, kuria pertvarkytinam subjektui sudaromos sąlygos toliau laikytis veiklos leidimo sąlygų ir vykdyti veiklą tinkamą laikotarpį. Tam tikros pasirinktos pertvarkymo strategijos apima turto, teisių ir įsipareigojimų perdavimą gavėjui ir pasitraukimą iš rinkos, visų pirma verslo pardavimo priemonė. Tokiais atvejais rekapitalizavimo komponento tikslai gali būti taikomi kitokiu mastu negu veikiančio banko gelbėjimo privačiomis lėšomis strategijos atveju, nes Valdyba neprivalės užtikrinti, kad pertvarkytinas subjektas atlikus pertvarkymo veiksmus vėl laikytųsi nuosavų lėšų reikalavimų</w:t>
            </w:r>
            <w:r w:rsidRPr="00D33000">
              <w:rPr>
                <w:b/>
                <w:i/>
                <w:lang w:val="lt-LT"/>
              </w:rPr>
              <w:t>, nors įgijėjas gali prašyti, kad sandoris būtų neutralus kapitalui</w:t>
            </w:r>
            <w:r w:rsidRPr="00D33000">
              <w:rPr>
                <w:lang w:val="lt-LT"/>
              </w:rPr>
              <w:t xml:space="preserve">. Vis dėlto numatoma, kad tokiais atvejais nuostoliai viršys pertvarkytino subjekto nuosavų lėšų reikalavimus. Todėl tikslinga nustatyti, kad tų pertvarkytinų subjektų MREL lygis ir toliau apimtų rekapitalizavimo sumą, kuri koreguojama proporcingai pertvarkymo strategijai </w:t>
            </w:r>
            <w:r w:rsidRPr="00D33000">
              <w:rPr>
                <w:b/>
                <w:i/>
                <w:lang w:val="lt-LT"/>
              </w:rPr>
              <w:t>ir kuriai taikoma tinkama apatinė riba</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MREL tikslinis koregavimas, susijęs su pertvarkymo priemone pasitraukiant iš rinkos, turi būti pakankamai apdairus ir patikimas.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68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10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(10)</w:t>
            </w:r>
            <w:r w:rsidRPr="00D33000">
              <w:rPr>
                <w:lang w:val="lt-LT"/>
              </w:rPr>
              <w:tab/>
              <w:t xml:space="preserve">pertvarkytinų subjektų MREL lygis yra nuostolių, tikėtinų vykdant pertvarkymą, sumos ir rekapitalizavimo sumos suma, kuria pertvarkytinam subjektui sudaromos sąlygos toliau laikytis veiklos leidimo sąlygų ir vykdyti veiklą tinkamą laikotarpį. Tam tikros pasirinktos pertvarkymo strategijos apima turto, teisių ir įsipareigojimų perdavimą gavėjui ir pasitraukimą iš rinkos, visų pirma verslo pardavimo priemonė. Tokiais atvejais rekapitalizavimo komponento tikslai gali būti taikomi kitokiu mastu negu veikiančio banko gelbėjimo privačiomis lėšomis strategijos atveju, nes Valdyba neprivalės užtikrinti, kad pertvarkytinas subjektas atlikus pertvarkymo veiksmus vėl laikytųsi nuosavų lėšų reikalavimų. </w:t>
            </w:r>
            <w:r w:rsidRPr="00D33000">
              <w:rPr>
                <w:b/>
                <w:i/>
                <w:lang w:val="lt-LT"/>
              </w:rPr>
              <w:t>Vis dėlto numatoma, kad tokiais atvejais nuostoliai viršys pertvarkytino subjekto nuosavų lėšų reikalavimus.</w:t>
            </w:r>
            <w:r w:rsidRPr="00D33000">
              <w:rPr>
                <w:lang w:val="lt-LT"/>
              </w:rPr>
              <w:t xml:space="preserve"> Todėl tikslinga nustatyti, kad tų pertvarkytinų subjektų MREL lygis ir toliau apimtų rekapitalizavimo sumą, kuri koreguojama proporcingai pertvarkymo strategijai;</w:t>
            </w:r>
          </w:p>
        </w:tc>
        <w:tc>
          <w:tcPr>
            <w:tcW w:w="4876" w:type="dxa"/>
            <w:hideMark/>
          </w:tcPr>
          <w:p w:rsidR="000E7A9E" w:rsidRPr="00D33000" w:rsidRDefault="000E7A9E" w:rsidP="009E0AF6">
            <w:pPr>
              <w:pStyle w:val="Normal6"/>
              <w:rPr>
                <w:szCs w:val="24"/>
                <w:lang w:val="lt-LT"/>
              </w:rPr>
            </w:pPr>
            <w:r w:rsidRPr="00D33000">
              <w:rPr>
                <w:lang w:val="lt-LT"/>
              </w:rPr>
              <w:t>(10)</w:t>
            </w:r>
            <w:r w:rsidRPr="00D33000">
              <w:rPr>
                <w:lang w:val="lt-LT"/>
              </w:rPr>
              <w:tab/>
              <w:t>pertvarkytinų subjektų MREL lygis yra nuostolių, tikėtinų vykdant pertvarkymą, sumos ir rekapitalizavimo sumos suma, kuria pertvarkytinam subjektui sudaromos sąlygos toliau laikytis veiklos leidimo sąlygų ir vykdyti veiklą tinkamą laikotarpį. Tam tikros pasirinktos pertvarkymo strategijos apima turto, teisių ir įsipareigojimų perdavimą gavėjui ir pasitraukimą iš rinkos, visų pirma verslo pardavimo priemonė. Tokiais atvejais rekapitalizavimo komponento tikslai gali būti taikomi kitokiu mastu negu veikiančio banko gelbėjimo privačiomis lėšomis strategijos atveju, nes Valdyba neprivalės užtikrinti, kad pertvarkytinas subjektas atlikus pertvarkymo veiksmus vėl laikytųsi nuosavų lėšų reikalavimų. Todėl tikslinga nustatyti, kad tų pertvarkytinų subjektų MREL lygis ir toliau apimtų rekapitalizavimo sumą, kuri koreguojama proporcingai pertvarkymo strategijai;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69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Eero Heinäluoma</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10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(10)</w:t>
            </w:r>
            <w:r w:rsidRPr="00D33000">
              <w:rPr>
                <w:lang w:val="lt-LT"/>
              </w:rPr>
              <w:tab/>
              <w:t xml:space="preserve">pertvarkytinų subjektų MREL lygis yra nuostolių, tikėtinų vykdant pertvarkymą, sumos ir rekapitalizavimo sumos suma, kuria pertvarkytinam subjektui sudaromos sąlygos toliau laikytis veiklos leidimo sąlygų ir vykdyti veiklą tinkamą laikotarpį. Tam tikros pasirinktos pertvarkymo strategijos apima turto, teisių ir įsipareigojimų perdavimą gavėjui ir pasitraukimą iš rinkos, visų pirma verslo pardavimo priemonė. Tokiais atvejais rekapitalizavimo komponento tikslai gali būti taikomi kitokiu mastu negu veikiančio banko gelbėjimo privačiomis lėšomis strategijos atveju, nes Valdyba neprivalės užtikrinti, kad pertvarkytinas subjektas atlikus pertvarkymo veiksmus vėl laikytųsi nuosavų lėšų reikalavimų. Vis dėlto numatoma, kad tokiais atvejais nuostoliai viršys pertvarkytino subjekto nuosavų lėšų reikalavimus. Todėl tikslinga nustatyti, kad tų pertvarkytinų subjektų MREL lygis ir toliau apimtų rekapitalizavimo sumą, kuri koreguojama </w:t>
            </w:r>
            <w:r w:rsidRPr="00D33000">
              <w:rPr>
                <w:b/>
                <w:i/>
                <w:lang w:val="lt-LT"/>
              </w:rPr>
              <w:t>proporcingai</w:t>
            </w:r>
            <w:r w:rsidRPr="00D33000">
              <w:rPr>
                <w:lang w:val="lt-LT"/>
              </w:rPr>
              <w:t xml:space="preserve"> pertvarkymo </w:t>
            </w:r>
            <w:r w:rsidRPr="00D33000">
              <w:rPr>
                <w:b/>
                <w:i/>
                <w:lang w:val="lt-LT"/>
              </w:rPr>
              <w:t>strategijai</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(10)</w:t>
            </w:r>
            <w:r w:rsidRPr="00D33000">
              <w:rPr>
                <w:lang w:val="lt-LT"/>
              </w:rPr>
              <w:tab/>
              <w:t xml:space="preserve">pertvarkytinų subjektų MREL lygis yra nuostolių, tikėtinų vykdant pertvarkymą, sumos ir rekapitalizavimo sumos suma, kuria pertvarkytinam subjektui sudaromos sąlygos toliau laikytis veiklos leidimo sąlygų ir vykdyti veiklą tinkamą laikotarpį. Tam tikros pasirinktos pertvarkymo strategijos apima turto, teisių ir įsipareigojimų perdavimą gavėjui ir pasitraukimą iš rinkos, visų pirma verslo pardavimo priemonė. Tokiais atvejais rekapitalizavimo komponento tikslai gali būti taikomi kitokiu mastu negu veikiančio banko gelbėjimo privačiomis lėšomis strategijos atveju, nes Valdyba neprivalės užtikrinti, kad pertvarkytinas subjektas atlikus pertvarkymo veiksmus vėl laikytųsi nuosavų lėšų reikalavimų. Vis dėlto numatoma, kad tokiais atvejais nuostoliai viršys pertvarkytino subjekto nuosavų lėšų reikalavimus. Todėl tikslinga nustatyti, kad tų pertvarkytinų subjektų MREL lygis ir toliau apimtų rekapitalizavimo sumą, kuri koreguojama </w:t>
            </w:r>
            <w:r w:rsidRPr="00D33000">
              <w:rPr>
                <w:b/>
                <w:i/>
                <w:lang w:val="lt-LT"/>
              </w:rPr>
              <w:t>taip, kad būtų remiama</w:t>
            </w:r>
            <w:r w:rsidRPr="00D33000">
              <w:rPr>
                <w:lang w:val="lt-LT"/>
              </w:rPr>
              <w:t xml:space="preserve"> pertvarkymo </w:t>
            </w:r>
            <w:r w:rsidRPr="00D33000">
              <w:rPr>
                <w:b/>
                <w:i/>
                <w:lang w:val="lt-LT"/>
              </w:rPr>
              <w:t>strategija</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70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Irene Tinagli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11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(11)</w:t>
            </w:r>
            <w:r w:rsidRPr="00D33000">
              <w:rPr>
                <w:lang w:val="lt-LT"/>
              </w:rPr>
              <w:tab/>
              <w:t>kai pertvarkymo strategijoje numatyta naudoti kitas pertvarkymo priemones nei gelbėjimas privačiomis lėšomis, atitinkamo subjekto rekapitalizavimo poreikiai po pertvarkymo paprastai bus mažesni nei veikiančio banko gelbėjimo privačiomis lėšomis atveju. Tokiu atveju MREL kalibravimas turėtų atspindėti tą aspektą vertinant rekapitalizavimo reikalavimą. Todėl koreguodama pertvarkytiniems subjektams, kurių pertvarkymo plane numatyta verslo pardavimo priemonė arba laikinos įstaigos sukūrimo priemonė ir jų pasitraukimas iš rinkos, taikomo MREL lygį Valdyba turėtų atsižvelgti į tų priemonių ypatybes, įskaitant tikėtiną perdavimo privačiam pirkėjui arba laikinai įstaigai mastą, perduotinų priemonių rūšis, tikėtiną tų priemonių vertę bei paklausą rinkoje ir pasirinktos pertvarkymo strategijos struktūrą, įskaitant papildomą turto atskyrimo priemonės naudojimą</w:t>
            </w:r>
            <w:r w:rsidRPr="00D33000">
              <w:rPr>
                <w:b/>
                <w:bCs/>
                <w:i/>
                <w:iCs/>
                <w:lang w:val="lt-LT"/>
              </w:rPr>
              <w:t>.</w:t>
            </w:r>
            <w:r w:rsidRPr="00D33000">
              <w:rPr>
                <w:lang w:val="lt-LT"/>
              </w:rPr>
              <w:t xml:space="preserve"> </w:t>
            </w:r>
            <w:r w:rsidRPr="00D33000">
              <w:rPr>
                <w:b/>
                <w:i/>
                <w:lang w:val="lt-LT"/>
              </w:rPr>
              <w:t xml:space="preserve">Kadangi pertvarkymo institucija dėl bet kokio galimo indėlių garantijų sistemos lėšų panaudojimo pertvarkymui turi nuspręsti kiekvienu konkrečiu atveju ir kadangi tokio sprendimo negalima užtikrintai priimti </w:t>
            </w:r>
            <w:r w:rsidRPr="00D33000">
              <w:rPr>
                <w:b/>
                <w:lang w:val="lt-LT"/>
              </w:rPr>
              <w:t>ex ante</w:t>
            </w:r>
            <w:r w:rsidRPr="00D33000">
              <w:rPr>
                <w:b/>
                <w:i/>
                <w:lang w:val="lt-LT"/>
              </w:rPr>
              <w:t>, kalibruodama MREL lygį Valdyba neturėtų atsižvelgti į galimą indėlių garantijų sistemos įnašą pertvarkymo atveju</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(11)</w:t>
            </w:r>
            <w:r w:rsidRPr="00D33000">
              <w:rPr>
                <w:lang w:val="lt-LT"/>
              </w:rPr>
              <w:tab/>
              <w:t>kai pertvarkymo strategijoje numatyta naudoti kitas pertvarkymo priemones nei gelbėjimas privačiomis lėšomis, atitinkamo subjekto rekapitalizavimo poreikiai po pertvarkymo paprastai bus mažesni nei veikiančio banko gelbėjimo privačiomis lėšomis atveju. Tokiu atveju MREL kalibravimas turėtų atspindėti tą aspektą vertinant rekapitalizavimo reikalavimą. Todėl koreguodama pertvarkytiniems subjektams, kurių pertvarkymo plane numatyta verslo pardavimo priemonė arba laikinos įstaigos sukūrimo priemonė ir jų pasitraukimas iš rinkos, taikomo MREL lygį Valdyba turėtų atsižvelgti į tų priemonių ypatybes, įskaitant tikėtiną perdavimo privačiam pirkėjui arba laikinai įstaigai mastą, perduotinų priemonių rūšis, tikėtiną tų priemonių vertę bei paklausą rinkoje ir pasirinktos pertvarkymo strategijos struktūrą, įskaitant papildomą turto atskyrimo priemonės naudojimą;</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71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11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(11)</w:t>
            </w:r>
            <w:r w:rsidRPr="00D33000">
              <w:rPr>
                <w:lang w:val="lt-LT"/>
              </w:rPr>
              <w:tab/>
              <w:t xml:space="preserve">kai pertvarkymo strategijoje numatyta naudoti kitas pertvarkymo priemones nei gelbėjimas privačiomis lėšomis, atitinkamo subjekto rekapitalizavimo poreikiai po pertvarkymo paprastai bus mažesni nei veikiančio banko gelbėjimo privačiomis lėšomis atveju. Tokiu atveju MREL kalibravimas turėtų atspindėti tą aspektą vertinant rekapitalizavimo reikalavimą. Todėl koreguodama pertvarkytiniems subjektams, kurių pertvarkymo plane numatyta verslo pardavimo priemonė arba laikinos įstaigos sukūrimo priemonė </w:t>
            </w:r>
            <w:r w:rsidRPr="00D33000">
              <w:rPr>
                <w:b/>
                <w:i/>
                <w:lang w:val="lt-LT"/>
              </w:rPr>
              <w:t>ir</w:t>
            </w:r>
            <w:r w:rsidRPr="00D33000">
              <w:rPr>
                <w:lang w:val="lt-LT"/>
              </w:rPr>
              <w:t xml:space="preserve"> jų pasitraukimas iš rinkos, taikomo MREL lygį Valdyba turėtų atsižvelgti į tų priemonių ypatybes, įskaitant tikėtiną perdavimo privačiam pirkėjui arba laikinai įstaigai mastą, perduotinų priemonių rūšis, tikėtiną tų priemonių vertę bei paklausą rinkoje ir pasirinktos pertvarkymo strategijos struktūrą, įskaitant papildomą turto atskyrimo priemonės naudojimą</w:t>
            </w:r>
            <w:r w:rsidRPr="00D33000">
              <w:rPr>
                <w:b/>
                <w:bCs/>
                <w:i/>
                <w:iCs/>
                <w:lang w:val="lt-LT"/>
              </w:rPr>
              <w:t>.</w:t>
            </w:r>
            <w:r w:rsidRPr="00D33000">
              <w:rPr>
                <w:lang w:val="lt-LT"/>
              </w:rPr>
              <w:t xml:space="preserve"> </w:t>
            </w:r>
            <w:r w:rsidRPr="00D33000">
              <w:rPr>
                <w:b/>
                <w:i/>
                <w:lang w:val="lt-LT"/>
              </w:rPr>
              <w:t>Kadangi pertvarkymo institucija dėl bet kokio galimo indėlių garantijų sistemos lėšų panaudojimo pertvarkymui turi nuspręsti kiekvienu konkrečiu atveju ir kadangi tokio sprendimo negalima užtikrintai priimti</w:t>
            </w:r>
            <w:r w:rsidRPr="00D33000">
              <w:rPr>
                <w:b/>
                <w:lang w:val="lt-LT"/>
              </w:rPr>
              <w:t xml:space="preserve"> ex ante</w:t>
            </w:r>
            <w:r w:rsidRPr="00D33000">
              <w:rPr>
                <w:b/>
                <w:i/>
                <w:lang w:val="lt-LT"/>
              </w:rPr>
              <w:t>, kalibruodama MREL lygį Valdyba neturėtų atsižvelgti į galimą indėlių garantijų sistemos įnašą pertvarkymo atveju</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(11)</w:t>
            </w:r>
            <w:r w:rsidRPr="00D33000">
              <w:rPr>
                <w:lang w:val="lt-LT"/>
              </w:rPr>
              <w:tab/>
              <w:t xml:space="preserve">kai pertvarkymo strategijoje numatyta naudoti kitas pertvarkymo priemones nei gelbėjimas privačiomis lėšomis, atitinkamo subjekto rekapitalizavimo poreikiai po pertvarkymo paprastai bus mažesni nei veikiančio banko gelbėjimo privačiomis lėšomis atveju. Tokiu atveju MREL kalibravimas turėtų atspindėti tą aspektą vertinant rekapitalizavimo reikalavimą. Todėl koreguodama pertvarkytiniems subjektams, kurių pertvarkymo plane numatyta verslo pardavimo priemonė arba laikinos įstaigos sukūrimo priemonė </w:t>
            </w:r>
            <w:r w:rsidRPr="00D33000">
              <w:rPr>
                <w:b/>
                <w:i/>
                <w:lang w:val="lt-LT"/>
              </w:rPr>
              <w:t>(pasirinktinai –</w:t>
            </w:r>
            <w:r w:rsidRPr="00D33000">
              <w:rPr>
                <w:lang w:val="lt-LT"/>
              </w:rPr>
              <w:t xml:space="preserve"> jų pasitraukimas iš rinkos</w:t>
            </w:r>
            <w:r w:rsidRPr="00D33000">
              <w:rPr>
                <w:b/>
                <w:i/>
                <w:lang w:val="lt-LT"/>
              </w:rPr>
              <w:t>)</w:t>
            </w:r>
            <w:r w:rsidRPr="00D33000">
              <w:rPr>
                <w:lang w:val="lt-LT"/>
              </w:rPr>
              <w:t xml:space="preserve"> taikomo MREL lygį Valdyba turėtų atsižvelgti į tų priemonių ypatybes, įskaitant tikėtiną perdavimo privačiam pirkėjui arba laikinai įstaigai mastą, perduotinų priemonių rūšis, tikėtiną tų priemonių vertę bei paklausą rinkoje ir pasirinktos pertvarkymo strategijos struktūrą, įskaitant papildomą turto atskyrimo priemonės naudojimą;</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72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Roberts Zīle</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11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(11)</w:t>
            </w:r>
            <w:r w:rsidRPr="00D33000">
              <w:rPr>
                <w:lang w:val="lt-LT"/>
              </w:rPr>
              <w:tab/>
              <w:t xml:space="preserve">kai pertvarkymo strategijoje numatyta naudoti kitas pertvarkymo priemones nei gelbėjimas privačiomis lėšomis, atitinkamo subjekto rekapitalizavimo poreikiai po pertvarkymo paprastai bus mažesni nei veikiančio banko gelbėjimo privačiomis lėšomis atveju. Tokiu atveju MREL kalibravimas turėtų atspindėti tą aspektą vertinant rekapitalizavimo reikalavimą. Todėl koreguodama pertvarkytiniems subjektams, kurių pertvarkymo plane numatyta verslo pardavimo priemonė arba laikinos įstaigos sukūrimo priemonė ir jų pasitraukimas iš rinkos, taikomo MREL lygį Valdyba turėtų atsižvelgti į tų priemonių ypatybes, įskaitant tikėtiną perdavimo privačiam pirkėjui arba laikinai įstaigai mastą, perduotinų priemonių rūšis, tikėtiną tų priemonių vertę bei paklausą rinkoje ir pasirinktos pertvarkymo strategijos struktūrą, įskaitant papildomą turto atskyrimo priemonės naudojimą. Kadangi pertvarkymo institucija dėl bet kokio galimo indėlių garantijų sistemos lėšų panaudojimo pertvarkymui turi nuspręsti kiekvienu konkrečiu atveju ir kadangi tokio sprendimo negalima užtikrintai priimti </w:t>
            </w:r>
            <w:r w:rsidRPr="00D33000">
              <w:rPr>
                <w:i/>
                <w:iCs/>
                <w:lang w:val="lt-LT"/>
              </w:rPr>
              <w:t>ex ante</w:t>
            </w:r>
            <w:r w:rsidRPr="00D33000">
              <w:rPr>
                <w:lang w:val="lt-LT"/>
              </w:rPr>
              <w:t>, kalibruodama MREL lygį Valdyba neturėtų atsižvelgti į galimą indėlių garantijų sistemos įnašą pertvarkymo atveju;</w:t>
            </w:r>
          </w:p>
        </w:tc>
        <w:tc>
          <w:tcPr>
            <w:tcW w:w="4876" w:type="dxa"/>
            <w:hideMark/>
          </w:tcPr>
          <w:p w:rsidR="000E7A9E" w:rsidRPr="00D33000" w:rsidRDefault="000E7A9E" w:rsidP="009E0AF6">
            <w:pPr>
              <w:pStyle w:val="Normal6"/>
              <w:rPr>
                <w:szCs w:val="24"/>
                <w:lang w:val="lt-LT"/>
              </w:rPr>
            </w:pPr>
            <w:r w:rsidRPr="00D33000">
              <w:rPr>
                <w:lang w:val="lt-LT"/>
              </w:rPr>
              <w:t>(11)</w:t>
            </w:r>
            <w:r w:rsidRPr="00D33000">
              <w:rPr>
                <w:lang w:val="lt-LT"/>
              </w:rPr>
              <w:tab/>
              <w:t xml:space="preserve">kai pertvarkymo strategijoje numatyta naudoti kitas pertvarkymo priemones nei gelbėjimas privačiomis lėšomis, atitinkamo subjekto rekapitalizavimo poreikiai po pertvarkymo paprastai bus mažesni nei veikiančio banko gelbėjimo privačiomis lėšomis atveju. Tokiu atveju MREL kalibravimas turėtų atspindėti tą aspektą vertinant rekapitalizavimo reikalavimą. Todėl koreguodama pertvarkytiniems subjektams, kurių pertvarkymo plane numatyta verslo pardavimo priemonė arba laikinos įstaigos sukūrimo priemonė ir jų pasitraukimas iš rinkos, taikomo MREL lygį Valdyba turėtų atsižvelgti į tų priemonių ypatybes, įskaitant tikėtiną perdavimo privačiam pirkėjui arba laikinai įstaigai mastą, perduotinų priemonių rūšis, tikėtiną tų priemonių vertę bei paklausą rinkoje ir pasirinktos pertvarkymo strategijos struktūrą, įskaitant papildomą turto atskyrimo priemonės naudojimą. Kadangi pertvarkymo institucija dėl bet kokio galimo indėlių garantijų sistemos lėšų panaudojimo pertvarkymui turi nuspręsti kiekvienu konkrečiu atveju ir kadangi tokio sprendimo negalima užtikrintai priimti </w:t>
            </w:r>
            <w:r w:rsidRPr="00D33000">
              <w:rPr>
                <w:i/>
                <w:iCs/>
                <w:lang w:val="lt-LT"/>
              </w:rPr>
              <w:t>ex ante</w:t>
            </w:r>
            <w:r w:rsidRPr="00D33000">
              <w:rPr>
                <w:lang w:val="lt-LT"/>
              </w:rPr>
              <w:t>, kalibruodama MREL lygį Valdyba neturėtų atsižvelgti į galimą indėlių garantijų sistemos įnašą pertvarkymo atveju</w:t>
            </w:r>
            <w:r w:rsidRPr="00D33000">
              <w:rPr>
                <w:b/>
                <w:bCs/>
                <w:i/>
                <w:iCs/>
                <w:lang w:val="lt-LT"/>
              </w:rPr>
              <w:t>.</w:t>
            </w:r>
            <w:r w:rsidRPr="00D33000">
              <w:rPr>
                <w:lang w:val="lt-LT"/>
              </w:rPr>
              <w:t xml:space="preserve"> </w:t>
            </w:r>
            <w:r w:rsidRPr="00D33000">
              <w:rPr>
                <w:b/>
                <w:i/>
                <w:lang w:val="lt-LT"/>
              </w:rPr>
              <w:t>Taikant tą metodą taip pat sumažinama neatsakingo elgesio rizikos tikimybė, nes užtikrinama, kad subjektai iš anksto nedarys prielaidos, jog atitinkamos indėlių garantijų sistemos lėšos bus naudojamos 8 % visų įsipareigojimų ir nuosavų lėšų tikslui pasiekti</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73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Fabio Massimo Castaldo</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11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(11)</w:t>
            </w:r>
            <w:r w:rsidRPr="00D33000">
              <w:rPr>
                <w:lang w:val="lt-LT"/>
              </w:rPr>
              <w:tab/>
              <w:t xml:space="preserve">kai pertvarkymo strategijoje numatyta naudoti kitas pertvarkymo priemones nei gelbėjimas privačiomis lėšomis, atitinkamo subjekto rekapitalizavimo poreikiai po pertvarkymo paprastai bus mažesni nei veikiančio banko gelbėjimo privačiomis lėšomis atveju. Tokiu atveju MREL kalibravimas turėtų atspindėti tą aspektą vertinant rekapitalizavimo reikalavimą. Todėl koreguodama pertvarkytiniems subjektams, kurių pertvarkymo plane numatyta verslo pardavimo priemonė arba laikinos įstaigos sukūrimo priemonė ir jų pasitraukimas iš rinkos, taikomo MREL lygį Valdyba turėtų atsižvelgti į tų priemonių ypatybes, įskaitant tikėtiną perdavimo privačiam pirkėjui arba laikinai įstaigai mastą, perduotinų priemonių rūšis, tikėtiną tų priemonių vertę bei paklausą rinkoje ir pasirinktos pertvarkymo strategijos struktūrą, įskaitant papildomą turto atskyrimo priemonės naudojimą. Kadangi pertvarkymo institucija dėl bet kokio galimo indėlių garantijų sistemos lėšų panaudojimo pertvarkymui turi nuspręsti kiekvienu konkrečiu atveju ir kadangi tokio sprendimo negalima užtikrintai priimti </w:t>
            </w:r>
            <w:r w:rsidRPr="00D33000">
              <w:rPr>
                <w:i/>
                <w:iCs/>
                <w:lang w:val="lt-LT"/>
              </w:rPr>
              <w:t>ex ante</w:t>
            </w:r>
            <w:r w:rsidRPr="00D33000">
              <w:rPr>
                <w:lang w:val="lt-LT"/>
              </w:rPr>
              <w:t xml:space="preserve">, kalibruodama MREL lygį Valdyba </w:t>
            </w:r>
            <w:r w:rsidRPr="00D33000">
              <w:rPr>
                <w:b/>
                <w:i/>
                <w:lang w:val="lt-LT"/>
              </w:rPr>
              <w:t>neturėtų</w:t>
            </w:r>
            <w:r w:rsidRPr="00D33000">
              <w:rPr>
                <w:lang w:val="lt-LT"/>
              </w:rPr>
              <w:t xml:space="preserve"> atsižvelgti į galimą indėlių garantijų sistemos įnašą pertvarkymo atveju;</w:t>
            </w:r>
          </w:p>
        </w:tc>
        <w:tc>
          <w:tcPr>
            <w:tcW w:w="4876" w:type="dxa"/>
            <w:hideMark/>
          </w:tcPr>
          <w:p w:rsidR="000E7A9E" w:rsidRPr="00D33000" w:rsidRDefault="000E7A9E" w:rsidP="009E0AF6">
            <w:pPr>
              <w:pStyle w:val="Normal6"/>
              <w:rPr>
                <w:szCs w:val="24"/>
                <w:lang w:val="lt-LT"/>
              </w:rPr>
            </w:pPr>
            <w:r w:rsidRPr="00D33000">
              <w:rPr>
                <w:lang w:val="lt-LT"/>
              </w:rPr>
              <w:t>(11)</w:t>
            </w:r>
            <w:r w:rsidRPr="00D33000">
              <w:rPr>
                <w:lang w:val="lt-LT"/>
              </w:rPr>
              <w:tab/>
              <w:t>kai pertvarkymo strategijoje numatyta naudoti kitas pertvarkymo priemones nei gelbėjimas privačiomis lėšomis, atitinkamo subjekto rekapitalizavimo poreikiai po pertvarkymo paprastai bus mažesni nei veikiančio banko gelbėjimo privačiomis lėšomis atveju. Tokiu atveju MREL kalibravimas turėtų atspindėti tą aspektą vertinant rekapitalizavimo reikalavimą. Todėl koreguodama pertvarkytiniems subjektams, kurių pertvarkymo plane numatyta verslo pardavimo priemonė arba laikinos įstaigos sukūrimo priemonė ir</w:t>
            </w:r>
            <w:r w:rsidRPr="00D33000">
              <w:rPr>
                <w:b/>
                <w:i/>
                <w:lang w:val="lt-LT"/>
              </w:rPr>
              <w:t>, pasirinktinai,</w:t>
            </w:r>
            <w:r w:rsidRPr="00D33000">
              <w:rPr>
                <w:lang w:val="lt-LT"/>
              </w:rPr>
              <w:t xml:space="preserve"> jų pasitraukimas iš rinkos, taikomo MREL lygį Valdyba turėtų atsižvelgti į tų priemonių ypatybes, įskaitant tikėtiną perdavimo privačiam pirkėjui arba laikinai įstaigai mastą, perduotinų priemonių rūšis, tikėtiną tų priemonių vertę bei paklausą rinkoje ir pasirinktos pertvarkymo strategijos struktūrą, įskaitant papildomą turto atskyrimo priemonės naudojimą. Kadangi pertvarkymo institucija dėl bet kokio galimo indėlių garantijų sistemos lėšų panaudojimo pertvarkymui turi nuspręsti kiekvienu konkrečiu atveju ir kadangi tokio sprendimo negalima užtikrintai priimti </w:t>
            </w:r>
            <w:r w:rsidRPr="00D33000">
              <w:rPr>
                <w:i/>
                <w:iCs/>
                <w:lang w:val="lt-LT"/>
              </w:rPr>
              <w:t>ex ante</w:t>
            </w:r>
            <w:r w:rsidRPr="00D33000">
              <w:rPr>
                <w:lang w:val="lt-LT"/>
              </w:rPr>
              <w:t xml:space="preserve">, kalibruodama MREL lygį Valdyba </w:t>
            </w:r>
            <w:r w:rsidRPr="00D33000">
              <w:rPr>
                <w:b/>
                <w:i/>
                <w:lang w:val="lt-LT"/>
              </w:rPr>
              <w:t>neturi</w:t>
            </w:r>
            <w:r w:rsidRPr="00D33000">
              <w:rPr>
                <w:lang w:val="lt-LT"/>
              </w:rPr>
              <w:t xml:space="preserve"> atsižvelgti į galimą indėlių garantijų sistemos įnašą pertvarkymo atveju</w:t>
            </w:r>
            <w:r w:rsidRPr="00D33000">
              <w:rPr>
                <w:b/>
                <w:i/>
                <w:lang w:val="lt-LT"/>
              </w:rPr>
              <w:t>.</w:t>
            </w:r>
            <w:r w:rsidRPr="00D33000">
              <w:rPr>
                <w:lang w:val="lt-LT"/>
              </w:rPr>
              <w:t xml:space="preserve"> </w:t>
            </w:r>
            <w:r w:rsidRPr="00D33000">
              <w:rPr>
                <w:b/>
                <w:i/>
                <w:lang w:val="lt-LT"/>
              </w:rPr>
              <w:t>Toks požiūris taip pat sumažina neatsakingo elgesio tikimybę</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74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11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(11)</w:t>
            </w:r>
            <w:r w:rsidRPr="00D33000">
              <w:rPr>
                <w:lang w:val="lt-LT"/>
              </w:rPr>
              <w:tab/>
              <w:t>kai pertvarkymo strategijoje numatyta naudoti kitas pertvarkymo priemones nei gelbėjimas privačiomis lėšomis, atitinkamo subjekto rekapitalizavimo poreikiai po pertvarkymo paprastai bus mažesni nei veikiančio banko gelbėjimo privačiomis lėšomis atveju. Tokiu atveju MREL kalibravimas turėtų atspindėti tą aspektą vertinant rekapitalizavimo reikalavimą. Todėl koreguodama pertvarkytiniems subjektams</w:t>
            </w:r>
            <w:r w:rsidRPr="00D33000">
              <w:rPr>
                <w:b/>
                <w:i/>
                <w:lang w:val="lt-LT"/>
              </w:rPr>
              <w:t>, kurių pertvarkymo plane numatyta verslo pardavimo priemonė arba laikinos įstaigos sukūrimo priemonė ir jų pasitraukimas iš rinkos,</w:t>
            </w:r>
            <w:r w:rsidRPr="00D33000">
              <w:rPr>
                <w:lang w:val="lt-LT"/>
              </w:rPr>
              <w:t xml:space="preserve"> taikomo MREL lygį Valdyba turėtų atsižvelgti į tų priemonių ypatybes, įskaitant tikėtiną perdavimo privačiam pirkėjui arba laikinai įstaigai mastą, perduotinų priemonių rūšis, tikėtiną tų priemonių vertę bei paklausą rinkoje ir pasirinktos pertvarkymo strategijos struktūrą, įskaitant papildomą turto atskyrimo priemonės naudojimą. Kadangi pertvarkymo institucija dėl bet kokio galimo indėlių garantijų sistemos lėšų panaudojimo pertvarkymui turi nuspręsti kiekvienu konkrečiu atveju ir kadangi tokio sprendimo negalima užtikrintai priimti </w:t>
            </w:r>
            <w:r w:rsidRPr="00D33000">
              <w:rPr>
                <w:i/>
                <w:iCs/>
                <w:lang w:val="lt-LT"/>
              </w:rPr>
              <w:t>ex ante</w:t>
            </w:r>
            <w:r w:rsidRPr="00D33000">
              <w:rPr>
                <w:lang w:val="lt-LT"/>
              </w:rPr>
              <w:t>, kalibruodama MREL lygį Valdyba neturėtų atsižvelgti į galimą indėlių garantijų sistemos įnašą pertvarkymo atveju;</w:t>
            </w:r>
          </w:p>
        </w:tc>
        <w:tc>
          <w:tcPr>
            <w:tcW w:w="4876" w:type="dxa"/>
            <w:hideMark/>
          </w:tcPr>
          <w:p w:rsidR="000E7A9E" w:rsidRPr="00D33000" w:rsidRDefault="000E7A9E" w:rsidP="009E0AF6">
            <w:pPr>
              <w:pStyle w:val="Normal6"/>
              <w:rPr>
                <w:szCs w:val="24"/>
                <w:lang w:val="lt-LT"/>
              </w:rPr>
            </w:pPr>
            <w:r w:rsidRPr="00D33000">
              <w:rPr>
                <w:lang w:val="lt-LT"/>
              </w:rPr>
              <w:t>(11)</w:t>
            </w:r>
            <w:r w:rsidRPr="00D33000">
              <w:rPr>
                <w:lang w:val="lt-LT"/>
              </w:rPr>
              <w:tab/>
              <w:t xml:space="preserve">kai pertvarkymo strategijoje numatyta naudoti kitas pertvarkymo priemones nei gelbėjimas privačiomis lėšomis </w:t>
            </w:r>
            <w:r w:rsidRPr="00D33000">
              <w:rPr>
                <w:b/>
                <w:i/>
                <w:lang w:val="lt-LT"/>
              </w:rPr>
              <w:t>arba kartu su gelbėjimu privačiomis lėšomis</w:t>
            </w:r>
            <w:r w:rsidRPr="00D33000">
              <w:rPr>
                <w:lang w:val="lt-LT"/>
              </w:rPr>
              <w:t xml:space="preserve">, atitinkamo subjekto rekapitalizavimo poreikiai po pertvarkymo paprastai bus mažesni nei </w:t>
            </w:r>
            <w:r w:rsidRPr="00D33000">
              <w:rPr>
                <w:b/>
                <w:i/>
                <w:lang w:val="lt-LT"/>
              </w:rPr>
              <w:t>vienintelio</w:t>
            </w:r>
            <w:r w:rsidRPr="00D33000">
              <w:rPr>
                <w:lang w:val="lt-LT"/>
              </w:rPr>
              <w:t xml:space="preserve"> veikiančio banko gelbėjimo privačiomis lėšomis </w:t>
            </w:r>
            <w:r w:rsidRPr="00D33000">
              <w:rPr>
                <w:b/>
                <w:i/>
                <w:lang w:val="lt-LT"/>
              </w:rPr>
              <w:t>strategijos</w:t>
            </w:r>
            <w:r w:rsidRPr="00D33000">
              <w:rPr>
                <w:lang w:val="lt-LT"/>
              </w:rPr>
              <w:t xml:space="preserve"> atveju. Tokiu atveju MREL kalibravimas turėtų atspindėti tą aspektą vertinant rekapitalizavimo reikalavimą. Todėl koreguodama </w:t>
            </w:r>
            <w:r w:rsidRPr="00D33000">
              <w:rPr>
                <w:b/>
                <w:i/>
                <w:lang w:val="lt-LT"/>
              </w:rPr>
              <w:t>tokiems</w:t>
            </w:r>
            <w:r w:rsidRPr="00D33000">
              <w:rPr>
                <w:lang w:val="lt-LT"/>
              </w:rPr>
              <w:t xml:space="preserve"> pertvarkytiniems subjektams taikomo MREL lygį Valdyba turėtų atsižvelgti į tų priemonių ypatybes, įskaitant tikėtiną perdavimo privačiam pirkėjui arba laikinai įstaigai mastą, perduotinų priemonių rūšis, tikėtiną tų priemonių vertę bei paklausą rinkoje ir pasirinktos pertvarkymo strategijos struktūrą, įskaitant papildomą turto atskyrimo priemonės </w:t>
            </w:r>
            <w:r w:rsidRPr="00D33000">
              <w:rPr>
                <w:b/>
                <w:i/>
                <w:lang w:val="lt-LT"/>
              </w:rPr>
              <w:t>ar bet kurios kitos priemonės</w:t>
            </w:r>
            <w:r w:rsidRPr="00D33000">
              <w:rPr>
                <w:lang w:val="lt-LT"/>
              </w:rPr>
              <w:t xml:space="preserve"> naudojimą. </w:t>
            </w:r>
            <w:r w:rsidRPr="00D33000">
              <w:rPr>
                <w:b/>
                <w:i/>
                <w:lang w:val="lt-LT"/>
              </w:rPr>
              <w:t>Perkėlimo priemonės su pasitraukimu iš rinkos atveju,</w:t>
            </w:r>
            <w:r w:rsidRPr="00D33000">
              <w:rPr>
                <w:lang w:val="lt-LT"/>
              </w:rPr>
              <w:t xml:space="preserve"> kadangi pertvarkymo institucija dėl bet kokio galimo indėlių garantijų sistemos lėšų panaudojimo pertvarkymui turi nuspręsti kiekvienu konkrečiu atveju ir kadangi tokio sprendimo negalima užtikrintai priimti </w:t>
            </w:r>
            <w:r w:rsidRPr="00D33000">
              <w:rPr>
                <w:i/>
                <w:iCs/>
                <w:lang w:val="lt-LT"/>
              </w:rPr>
              <w:t>ex ante</w:t>
            </w:r>
            <w:r w:rsidRPr="00D33000">
              <w:rPr>
                <w:lang w:val="lt-LT"/>
              </w:rPr>
              <w:t>, kalibruodama MREL lygį Valdyba neturėtų atsižvelgti į galimą indėlių garantijų sistemos įnašą pertvarkymo atveju;</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MREL tikslinio rodiklio pritaikymo prie pageidaujamos pertvarkymo strategijos ypatumų principas turi būti įgyvendinamas horizontaliai visoms priemonėms ir priemonių deriniui.</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75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Irene Tinagli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12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(12)</w:t>
            </w:r>
            <w:r w:rsidRPr="00D33000">
              <w:rPr>
                <w:b/>
                <w:i/>
                <w:lang w:val="lt-LT"/>
              </w:rPr>
              <w:tab/>
              <w:t>būtina užtikrinti vienodas paskatas sutelkti pakankamas MREL sumas įstaigų ir subjektų, kuriems perdavimo strategijos būtų taikomos tiek pertvarkymo, tiek ne pertvarkymo procese, atveju. Todėl nustatant MREL lygį įstaigoms ir subjektams, kuriems gali būti taikomos priemonės, susijusios su nacionalinėmis bankroto procedūromis pagal Europos Parlamento ir Tarybos direktyvos 2014/49/ES 11 straipsnio 5 dalį</w:t>
            </w:r>
            <w:r w:rsidRPr="00D33000">
              <w:rPr>
                <w:b/>
                <w:i/>
                <w:vertAlign w:val="superscript"/>
                <w:lang w:val="lt-LT"/>
              </w:rPr>
              <w:t>32</w:t>
            </w:r>
            <w:r w:rsidRPr="00D33000">
              <w:rPr>
                <w:b/>
                <w:i/>
                <w:lang w:val="lt-LT"/>
              </w:rPr>
              <w:t>, 32 turėtų būti laikomasi tų pačių taisyklių, kurios taikomos MREL nustatant pertvarkytiniems subjektams, kurių pasirinktoje pertvarkymo strategijoje numatytas verslo pardavimas arba perdavimas laikinai įstaigai ir jų pasitraukimas iš rinkos;</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__________________</w:t>
            </w:r>
          </w:p>
        </w:tc>
        <w:tc>
          <w:tcPr>
            <w:tcW w:w="4876" w:type="dxa"/>
          </w:tcPr>
          <w:p w:rsidR="000E7A9E" w:rsidRPr="00D33000" w:rsidRDefault="000E7A9E" w:rsidP="009E0AF6">
            <w:pPr>
              <w:pStyle w:val="Normal6"/>
              <w:rPr>
                <w:szCs w:val="24"/>
                <w:lang w:val="lt-LT"/>
              </w:rPr>
            </w:pP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vertAlign w:val="superscript"/>
                <w:lang w:val="lt-LT"/>
              </w:rPr>
              <w:t>32</w:t>
            </w:r>
            <w:r w:rsidRPr="00D33000">
              <w:rPr>
                <w:lang w:val="lt-LT"/>
              </w:rPr>
              <w:t xml:space="preserve"> </w:t>
            </w:r>
            <w:r w:rsidRPr="00D33000">
              <w:rPr>
                <w:b/>
                <w:i/>
                <w:lang w:val="lt-LT"/>
              </w:rPr>
              <w:t>2014 m. balandžio 16 d. Europos Parlamento ir Europos Tarybos direktyva 2014/49/ES dėl indėlių garantijų sistemų (OL L 173, 2014 6 12, p. 149).</w:t>
            </w:r>
          </w:p>
        </w:tc>
        <w:tc>
          <w:tcPr>
            <w:tcW w:w="4876" w:type="dxa"/>
          </w:tcPr>
          <w:p w:rsidR="000E7A9E" w:rsidRPr="00D33000" w:rsidRDefault="000E7A9E" w:rsidP="009E0AF6">
            <w:pPr>
              <w:pStyle w:val="Normal6"/>
              <w:rPr>
                <w:szCs w:val="24"/>
                <w:lang w:val="lt-LT"/>
              </w:rPr>
            </w:pP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76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Roberts Zīle</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14 a konstatuojamoji dalis (nauja)</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(14a)</w:t>
            </w:r>
            <w:r w:rsidRPr="00D33000">
              <w:rPr>
                <w:b/>
                <w:i/>
                <w:lang w:val="lt-LT"/>
              </w:rPr>
              <w:tab/>
              <w:t>kai Valdyba prašo informacijos, kuri yra būtina pertvarkymo planams atnaujinti, galimam subjektui pertvarkyti arba vertinimui atlikti, ECB arba atitinkamos nacionalinės kompetentingos institucijos turėtų Valdybai pateikti visą jų turimą informaciją. Jei ECB arba atitinkamos nacionalinės kompetentingos institucijos aktualios informacijos dar neturi, Valdyba ir ECB arba atitinkamos nacionalinės kompetentingos institucijos turėtų bendradarbiauti ir koordinuoti veiksmus, kad gautų informaciją, kuri, Valdybos nuomone, yra būtina. Vykdydamos tokį bendradarbiavimą institucijos turėtų surinkti reikiamą informaciją, deramai atsižvelgdamos į proporcingumo principą;</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77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Fabio Massimo Castaldo</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17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(17)</w:t>
            </w:r>
            <w:r w:rsidRPr="00D33000">
              <w:rPr>
                <w:lang w:val="lt-LT"/>
              </w:rPr>
              <w:tab/>
              <w:t xml:space="preserve">pertvarkymo sistema turėtų būti taikoma </w:t>
            </w:r>
            <w:r w:rsidRPr="00D33000">
              <w:rPr>
                <w:b/>
                <w:i/>
                <w:lang w:val="lt-LT"/>
              </w:rPr>
              <w:t>potencialiai</w:t>
            </w:r>
            <w:r w:rsidRPr="00D33000">
              <w:rPr>
                <w:lang w:val="lt-LT"/>
              </w:rPr>
              <w:t xml:space="preserve"> bet </w:t>
            </w:r>
            <w:r w:rsidRPr="00D33000">
              <w:rPr>
                <w:b/>
                <w:i/>
                <w:lang w:val="lt-LT"/>
              </w:rPr>
              <w:t>kuriai įstaigai</w:t>
            </w:r>
            <w:r w:rsidRPr="00D33000">
              <w:rPr>
                <w:lang w:val="lt-LT"/>
              </w:rPr>
              <w:t xml:space="preserve"> ar </w:t>
            </w:r>
            <w:r w:rsidRPr="00D33000">
              <w:rPr>
                <w:b/>
                <w:i/>
                <w:lang w:val="lt-LT"/>
              </w:rPr>
              <w:t>subjektui</w:t>
            </w:r>
            <w:r w:rsidRPr="00D33000">
              <w:rPr>
                <w:lang w:val="lt-LT"/>
              </w:rPr>
              <w:t xml:space="preserve">, </w:t>
            </w:r>
            <w:r w:rsidRPr="00D33000">
              <w:rPr>
                <w:b/>
                <w:i/>
                <w:lang w:val="lt-LT"/>
              </w:rPr>
              <w:t>neatsižvelgiant į jų dydį ir verslo modelį</w:t>
            </w:r>
            <w:r w:rsidRPr="00D33000">
              <w:rPr>
                <w:lang w:val="lt-LT"/>
              </w:rPr>
              <w:t xml:space="preserve">, </w:t>
            </w:r>
            <w:r w:rsidRPr="00D33000">
              <w:rPr>
                <w:b/>
                <w:i/>
                <w:lang w:val="lt-LT"/>
              </w:rPr>
              <w:t>jei</w:t>
            </w:r>
            <w:r w:rsidRPr="00D33000">
              <w:rPr>
                <w:lang w:val="lt-LT"/>
              </w:rPr>
              <w:t xml:space="preserve"> pagal nacionalinę teisę turimos priemonės yra netinkamos jų žlugimui valdyti. Siekiant užtikrinti tokį rezultatą, reikėtų nustatyti kriterijus, pagal kuriuos žlungančiai įstaigai arba subjektui būtų taikomas viešojo intereso vertinimas;</w:t>
            </w:r>
          </w:p>
        </w:tc>
        <w:tc>
          <w:tcPr>
            <w:tcW w:w="4876" w:type="dxa"/>
            <w:hideMark/>
          </w:tcPr>
          <w:p w:rsidR="000E7A9E" w:rsidRPr="00D33000" w:rsidRDefault="000E7A9E" w:rsidP="009E0AF6">
            <w:pPr>
              <w:pStyle w:val="Normal6"/>
              <w:rPr>
                <w:szCs w:val="24"/>
                <w:lang w:val="lt-LT"/>
              </w:rPr>
            </w:pPr>
            <w:r w:rsidRPr="00D33000">
              <w:rPr>
                <w:lang w:val="lt-LT"/>
              </w:rPr>
              <w:t>(17)</w:t>
            </w:r>
            <w:r w:rsidRPr="00D33000">
              <w:rPr>
                <w:lang w:val="lt-LT"/>
              </w:rPr>
              <w:tab/>
              <w:t xml:space="preserve">pertvarkymo sistema turėtų būti taikoma bet </w:t>
            </w:r>
            <w:r w:rsidRPr="00D33000">
              <w:rPr>
                <w:b/>
                <w:i/>
                <w:lang w:val="lt-LT"/>
              </w:rPr>
              <w:t>kurios įstaigos</w:t>
            </w:r>
            <w:r w:rsidRPr="00D33000">
              <w:rPr>
                <w:lang w:val="lt-LT"/>
              </w:rPr>
              <w:t xml:space="preserve"> ar </w:t>
            </w:r>
            <w:r w:rsidRPr="00D33000">
              <w:rPr>
                <w:b/>
                <w:i/>
                <w:lang w:val="lt-LT"/>
              </w:rPr>
              <w:t>subjekto</w:t>
            </w:r>
            <w:r w:rsidRPr="00D33000">
              <w:rPr>
                <w:lang w:val="lt-LT"/>
              </w:rPr>
              <w:t xml:space="preserve">, </w:t>
            </w:r>
            <w:r w:rsidRPr="00D33000">
              <w:rPr>
                <w:b/>
                <w:i/>
                <w:lang w:val="lt-LT"/>
              </w:rPr>
              <w:t>turinčio teigiamą viešojo intereso vertinimą, žlugimo procesui valdyti</w:t>
            </w:r>
            <w:r w:rsidRPr="00D33000">
              <w:rPr>
                <w:lang w:val="lt-LT"/>
              </w:rPr>
              <w:t xml:space="preserve">, </w:t>
            </w:r>
            <w:r w:rsidRPr="00D33000">
              <w:rPr>
                <w:b/>
                <w:i/>
                <w:lang w:val="lt-LT"/>
              </w:rPr>
              <w:t>t. y., kai</w:t>
            </w:r>
            <w:r w:rsidRPr="00D33000">
              <w:rPr>
                <w:lang w:val="lt-LT"/>
              </w:rPr>
              <w:t xml:space="preserve"> pagal nacionalinę teisę turimos priemonės tam yra netinkamos jų žlugimui valdyti. Siekiant užtikrinti tokį rezultatą, reikėtų nustatyti kriterijus, pagal kuriuos </w:t>
            </w:r>
            <w:r w:rsidRPr="00D33000">
              <w:rPr>
                <w:b/>
                <w:i/>
                <w:lang w:val="lt-LT"/>
              </w:rPr>
              <w:t>bet kuriai</w:t>
            </w:r>
            <w:r w:rsidRPr="00D33000">
              <w:rPr>
                <w:lang w:val="lt-LT"/>
              </w:rPr>
              <w:t xml:space="preserve"> žlungančiai įstaigai arba subjektui būtų taikomas viešojo intereso vertinimas;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78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17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(17)</w:t>
            </w:r>
            <w:r w:rsidRPr="00D33000">
              <w:rPr>
                <w:lang w:val="lt-LT"/>
              </w:rPr>
              <w:tab/>
              <w:t xml:space="preserve">pertvarkymo sistema turėtų būti taikoma </w:t>
            </w:r>
            <w:r w:rsidRPr="00D33000">
              <w:rPr>
                <w:b/>
                <w:i/>
                <w:lang w:val="lt-LT"/>
              </w:rPr>
              <w:t>potencialiai</w:t>
            </w:r>
            <w:r w:rsidRPr="00D33000">
              <w:rPr>
                <w:lang w:val="lt-LT"/>
              </w:rPr>
              <w:t xml:space="preserve"> bet kuriai įstaigai ar subjektui, </w:t>
            </w:r>
            <w:r w:rsidRPr="00D33000">
              <w:rPr>
                <w:b/>
                <w:i/>
                <w:lang w:val="lt-LT"/>
              </w:rPr>
              <w:t>neatsižvelgiant į jų dydį ir verslo modelį</w:t>
            </w:r>
            <w:r w:rsidRPr="00D33000">
              <w:rPr>
                <w:lang w:val="lt-LT"/>
              </w:rPr>
              <w:t xml:space="preserve">, </w:t>
            </w:r>
            <w:r w:rsidRPr="00D33000">
              <w:rPr>
                <w:b/>
                <w:i/>
                <w:lang w:val="lt-LT"/>
              </w:rPr>
              <w:t>jei</w:t>
            </w:r>
            <w:r w:rsidRPr="00D33000">
              <w:rPr>
                <w:lang w:val="lt-LT"/>
              </w:rPr>
              <w:t xml:space="preserve"> pagal nacionalinę teisę turimos priemonės yra netinkamos jų žlugimui valdyti. Siekiant užtikrinti tokį rezultatą, reikėtų nustatyti kriterijus, pagal kuriuos žlungančiai įstaigai arba subjektui būtų taikomas viešojo intereso vertinimas;</w:t>
            </w:r>
          </w:p>
        </w:tc>
        <w:tc>
          <w:tcPr>
            <w:tcW w:w="4876" w:type="dxa"/>
            <w:hideMark/>
          </w:tcPr>
          <w:p w:rsidR="000E7A9E" w:rsidRPr="00D33000" w:rsidRDefault="000E7A9E" w:rsidP="009E0AF6">
            <w:pPr>
              <w:pStyle w:val="Normal6"/>
              <w:rPr>
                <w:szCs w:val="24"/>
                <w:lang w:val="lt-LT"/>
              </w:rPr>
            </w:pPr>
            <w:r w:rsidRPr="00D33000">
              <w:rPr>
                <w:lang w:val="lt-LT"/>
              </w:rPr>
              <w:t>(17)</w:t>
            </w:r>
            <w:r w:rsidRPr="00D33000">
              <w:rPr>
                <w:lang w:val="lt-LT"/>
              </w:rPr>
              <w:tab/>
              <w:t xml:space="preserve">pertvarkymo sistema turėtų būti taikoma bet </w:t>
            </w:r>
            <w:r w:rsidRPr="00D33000">
              <w:rPr>
                <w:b/>
                <w:i/>
                <w:lang w:val="lt-LT"/>
              </w:rPr>
              <w:t>kurios įstaigos</w:t>
            </w:r>
            <w:r w:rsidRPr="00D33000">
              <w:rPr>
                <w:lang w:val="lt-LT"/>
              </w:rPr>
              <w:t xml:space="preserve"> ar </w:t>
            </w:r>
            <w:r w:rsidRPr="00D33000">
              <w:rPr>
                <w:b/>
                <w:i/>
                <w:lang w:val="lt-LT"/>
              </w:rPr>
              <w:t>subjekto</w:t>
            </w:r>
            <w:r w:rsidRPr="00D33000">
              <w:rPr>
                <w:lang w:val="lt-LT"/>
              </w:rPr>
              <w:t xml:space="preserve">, </w:t>
            </w:r>
            <w:r w:rsidRPr="00D33000">
              <w:rPr>
                <w:b/>
                <w:i/>
                <w:lang w:val="lt-LT"/>
              </w:rPr>
              <w:t>turinčio teigiamą viešojo intereso vertinimą, žlugimo procesui valdyti</w:t>
            </w:r>
            <w:r w:rsidRPr="00D33000">
              <w:rPr>
                <w:lang w:val="lt-LT"/>
              </w:rPr>
              <w:t xml:space="preserve">, </w:t>
            </w:r>
            <w:r w:rsidRPr="00D33000">
              <w:rPr>
                <w:b/>
                <w:i/>
                <w:lang w:val="lt-LT"/>
              </w:rPr>
              <w:t>t. y., kai</w:t>
            </w:r>
            <w:r w:rsidRPr="00D33000">
              <w:rPr>
                <w:lang w:val="lt-LT"/>
              </w:rPr>
              <w:t xml:space="preserve"> pagal nacionalinę teisę turimos priemonės tam yra netinkamos jų žlugimui valdyti. Siekiant užtikrinti tokį rezultatą, reikėtų nustatyti kriterijus, pagal kuriuos </w:t>
            </w:r>
            <w:r w:rsidRPr="00D33000">
              <w:rPr>
                <w:b/>
                <w:i/>
                <w:lang w:val="lt-LT"/>
              </w:rPr>
              <w:t>bet kuriai</w:t>
            </w:r>
            <w:r w:rsidRPr="00D33000">
              <w:rPr>
                <w:lang w:val="lt-LT"/>
              </w:rPr>
              <w:t xml:space="preserve"> žlungančiai įstaigai arba subjektui būtų taikomas viešojo intereso vertinimas;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79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Markus Ferber, Herbert Dorfmann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17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(17)</w:t>
            </w:r>
            <w:r w:rsidRPr="00D33000">
              <w:rPr>
                <w:lang w:val="lt-LT"/>
              </w:rPr>
              <w:tab/>
              <w:t>pertvarkymo sistema turėtų būti taikoma potencialiai bet kuriai įstaigai ar subjektui</w:t>
            </w:r>
            <w:r w:rsidRPr="00D33000">
              <w:rPr>
                <w:b/>
                <w:i/>
                <w:lang w:val="lt-LT"/>
              </w:rPr>
              <w:t>, neatsižvelgiant į jų dydį ir verslo modelį</w:t>
            </w:r>
            <w:r w:rsidRPr="00D33000">
              <w:rPr>
                <w:lang w:val="lt-LT"/>
              </w:rPr>
              <w:t>, jei pagal nacionalinę teisę turimos priemonės yra netinkamos jų žlugimui valdyti. Siekiant užtikrinti tokį rezultatą, reikėtų nustatyti kriterijus, pagal kuriuos žlungančiai įstaigai arba subjektui būtų taikomas viešojo intereso vertinimas;</w:t>
            </w:r>
          </w:p>
        </w:tc>
        <w:tc>
          <w:tcPr>
            <w:tcW w:w="4876" w:type="dxa"/>
            <w:hideMark/>
          </w:tcPr>
          <w:p w:rsidR="000E7A9E" w:rsidRPr="00D33000" w:rsidRDefault="000E7A9E" w:rsidP="009E0AF6">
            <w:pPr>
              <w:pStyle w:val="Normal6"/>
              <w:rPr>
                <w:szCs w:val="24"/>
                <w:lang w:val="lt-LT"/>
              </w:rPr>
            </w:pPr>
            <w:r w:rsidRPr="00D33000">
              <w:rPr>
                <w:lang w:val="lt-LT"/>
              </w:rPr>
              <w:t>(17)</w:t>
            </w:r>
            <w:r w:rsidRPr="00D33000">
              <w:rPr>
                <w:lang w:val="lt-LT"/>
              </w:rPr>
              <w:tab/>
              <w:t>pertvarkymo sistema turėtų būti taikoma potencialiai bet kuriai įstaigai ar subjektui, jei pagal nacionalinę teisę turimos priemonės yra netinkamos jų žlugimui valdyti. Siekiant užtikrinti tokį rezultatą, reikėtų nustatyti kriterijus, pagal kuriuos žlungančiai įstaigai arba subjektui būtų taikomas viešojo intereso vertinimas;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80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Roberts Zīle</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17 a konstatuojamoji dalis (nauja)</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(17a)</w:t>
            </w:r>
            <w:r w:rsidRPr="00D33000">
              <w:rPr>
                <w:b/>
                <w:i/>
                <w:lang w:val="lt-LT"/>
              </w:rPr>
              <w:tab/>
              <w:t>pertvarkymo sistema turėtų būti taikoma bet kurios įstaigos ar subjekto, turinčio teigiamą viešojo intereso vertinimą, žlugimo procesui valdyti, jei pagal nacionalinę teisę turimos priemonės tam yra netinkamos. Siekiant užtikrinti tokį rezultatą, reikėtų nustatyti kriterijus, pagal kuriuos bet kuriai žlungančiai įstaigai arba subjektui būtų taikomas viešojo intereso vertinimas;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81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Markus Ferber, Herbert Dorfmann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18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(18)</w:t>
            </w:r>
            <w:r w:rsidRPr="00D33000">
              <w:rPr>
                <w:b/>
                <w:i/>
                <w:lang w:val="lt-LT"/>
              </w:rPr>
              <w:tab/>
              <w:t>vertinant, ar įstaigos arba subjekto pertvarkymas atitinka viešąjį interesą, turėtų būti atsižvelgiama į tai, kad indėlininkai yra geriau apsaugoti, kai indėlių garantijų sistemos lėšos naudojamos veiksmingiau ir kuo labiau sumažinama galimybė tų lėšų netekti. Todėl, atliekant viešojo intereso vertinimą, turėtų būti laikoma, kad pertvarkymo tikslas, t. y. apsaugoti indėlininkus, yra geriau pasiekiamas pertvarkymo atveju, jei pasirinkus nemokumą indėlių garantijų sistema patirtų didesnių išlaidų;</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82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Irene Tinagli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18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(18)</w:t>
            </w:r>
            <w:r w:rsidRPr="00D33000">
              <w:rPr>
                <w:b/>
                <w:i/>
                <w:lang w:val="lt-LT"/>
              </w:rPr>
              <w:tab/>
              <w:t>vertinant, ar įstaigos arba subjekto pertvarkymas atitinka viešąjį interesą, turėtų būti atsižvelgiama į tai, kad indėlininkai yra geriau apsaugoti, kai indėlių garantijų sistemos lėšos naudojamos veiksmingiau ir kuo labiau sumažinama galimybė tų lėšų netekti. Todėl, atliekant viešojo intereso vertinimą, turėtų būti laikoma, kad pertvarkymo tikslas, t. y. apsaugoti indėlininkus, yra geriau pasiekiamas pertvarkymo atveju, jei pasirinkus nemokumą indėlių garantijų sistema patirtų didesnių išlaidų;</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83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18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(18)</w:t>
            </w:r>
            <w:r w:rsidRPr="00D33000">
              <w:rPr>
                <w:lang w:val="lt-LT"/>
              </w:rPr>
              <w:tab/>
              <w:t xml:space="preserve">vertinant, ar įstaigos arba subjekto pertvarkymas atitinka viešąjį interesą, turėtų būti atsižvelgiama į tai, kad indėlininkai yra geriau apsaugoti, kai indėlių garantijų sistemos lėšos naudojamos veiksmingiau </w:t>
            </w:r>
            <w:r w:rsidRPr="00D33000">
              <w:rPr>
                <w:b/>
                <w:i/>
                <w:lang w:val="lt-LT"/>
              </w:rPr>
              <w:t>ir kuo labiau sumažinama galimybė tų lėšų netekti. Todėl, atliekant viešojo intereso vertinimą, turėtų būti laikoma, kad pertvarkymo tikslas, t. y. apsaugoti indėlininkus, yra geriau pasiekiamas pertvarkymo atveju, jei pasirinkus nemokumą indėlių garantijų sistema patirtų didesnių išlaidų</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(18)</w:t>
            </w:r>
            <w:r w:rsidRPr="00D33000">
              <w:rPr>
                <w:lang w:val="lt-LT"/>
              </w:rPr>
              <w:tab/>
              <w:t xml:space="preserve">vertinant, ar įstaigos arba subjekto pertvarkymas atitinka viešąjį interesą, </w:t>
            </w:r>
            <w:r w:rsidRPr="00D33000">
              <w:rPr>
                <w:b/>
                <w:i/>
                <w:lang w:val="lt-LT"/>
              </w:rPr>
              <w:t>be kitų veiksnių,</w:t>
            </w:r>
            <w:r w:rsidRPr="00D33000">
              <w:rPr>
                <w:lang w:val="lt-LT"/>
              </w:rPr>
              <w:t xml:space="preserve"> turėtų būti atsižvelgiama į tai, kad</w:t>
            </w:r>
            <w:r w:rsidRPr="00D33000">
              <w:rPr>
                <w:b/>
                <w:i/>
                <w:lang w:val="lt-LT"/>
              </w:rPr>
              <w:t>, atlikus holistinį vertinimą,</w:t>
            </w:r>
            <w:r w:rsidRPr="00D33000">
              <w:rPr>
                <w:lang w:val="lt-LT"/>
              </w:rPr>
              <w:t xml:space="preserve"> indėlininkai yra geriau apsaugoti, kai indėlių garantijų sistemos lėšos naudojamos veiksmingiau;</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84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Joachim Schuster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18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(18)</w:t>
            </w:r>
            <w:r w:rsidRPr="00D33000">
              <w:rPr>
                <w:lang w:val="lt-LT"/>
              </w:rPr>
              <w:tab/>
              <w:t xml:space="preserve">vertinant, ar įstaigos arba subjekto pertvarkymas atitinka viešąjį interesą, turėtų būti atsižvelgiama į tai, kad indėlininkai yra geriau apsaugoti, kai indėlių garantijų sistemos lėšos naudojamos veiksmingiau </w:t>
            </w:r>
            <w:r w:rsidRPr="00D33000">
              <w:rPr>
                <w:b/>
                <w:i/>
                <w:lang w:val="lt-LT"/>
              </w:rPr>
              <w:t>ir kuo labiau sumažinama galimybė tų lėšų netekti</w:t>
            </w:r>
            <w:r w:rsidRPr="00D33000">
              <w:rPr>
                <w:lang w:val="lt-LT"/>
              </w:rPr>
              <w:t xml:space="preserve">. Todėl, atliekant viešojo intereso vertinimą, </w:t>
            </w:r>
            <w:r w:rsidRPr="00D33000">
              <w:rPr>
                <w:b/>
                <w:i/>
                <w:lang w:val="lt-LT"/>
              </w:rPr>
              <w:t>turėtų</w:t>
            </w:r>
            <w:r w:rsidRPr="00D33000">
              <w:rPr>
                <w:lang w:val="lt-LT"/>
              </w:rPr>
              <w:t xml:space="preserve"> būti laikoma, kad </w:t>
            </w:r>
            <w:r w:rsidRPr="00D33000">
              <w:rPr>
                <w:b/>
                <w:i/>
                <w:lang w:val="lt-LT"/>
              </w:rPr>
              <w:t>pertvarkymo tikslas, t. y. apsaugoti indėlininkus,</w:t>
            </w:r>
            <w:r w:rsidRPr="00D33000">
              <w:rPr>
                <w:lang w:val="lt-LT"/>
              </w:rPr>
              <w:t xml:space="preserve"> yra geriau </w:t>
            </w:r>
            <w:r w:rsidRPr="00D33000">
              <w:rPr>
                <w:b/>
                <w:i/>
                <w:lang w:val="lt-LT"/>
              </w:rPr>
              <w:t>pasiekiamas</w:t>
            </w:r>
            <w:r w:rsidRPr="00D33000">
              <w:rPr>
                <w:lang w:val="lt-LT"/>
              </w:rPr>
              <w:t xml:space="preserve"> pertvarkymo atveju, jei pasirinkus nemokumą indėlių garantijų sistema patirtų didesnių išlaidų;</w:t>
            </w:r>
          </w:p>
        </w:tc>
        <w:tc>
          <w:tcPr>
            <w:tcW w:w="4876" w:type="dxa"/>
            <w:hideMark/>
          </w:tcPr>
          <w:p w:rsidR="000E7A9E" w:rsidRPr="00D33000" w:rsidRDefault="000E7A9E" w:rsidP="009E0AF6">
            <w:pPr>
              <w:pStyle w:val="Normal6"/>
              <w:rPr>
                <w:szCs w:val="24"/>
                <w:lang w:val="lt-LT"/>
              </w:rPr>
            </w:pPr>
            <w:r w:rsidRPr="00D33000">
              <w:rPr>
                <w:lang w:val="lt-LT"/>
              </w:rPr>
              <w:t>(18)</w:t>
            </w:r>
            <w:r w:rsidRPr="00D33000">
              <w:rPr>
                <w:lang w:val="lt-LT"/>
              </w:rPr>
              <w:tab/>
              <w:t xml:space="preserve">vertinant, ar įstaigos arba subjekto pertvarkymas atitinka viešąjį interesą, turėtų būti atsižvelgiama į tai, kad indėlininkai yra geriau apsaugoti, kai indėlių garantijų sistemos lėšos naudojamos veiksmingiau. Todėl, atliekant viešojo intereso vertinimą, </w:t>
            </w:r>
            <w:r w:rsidRPr="00D33000">
              <w:rPr>
                <w:b/>
                <w:i/>
                <w:lang w:val="lt-LT"/>
              </w:rPr>
              <w:t>gali</w:t>
            </w:r>
            <w:r w:rsidRPr="00D33000">
              <w:rPr>
                <w:lang w:val="lt-LT"/>
              </w:rPr>
              <w:t xml:space="preserve"> būti laikoma, kad </w:t>
            </w:r>
            <w:r w:rsidRPr="00D33000">
              <w:rPr>
                <w:b/>
                <w:i/>
                <w:lang w:val="lt-LT"/>
              </w:rPr>
              <w:t>indėlininkų apsauga</w:t>
            </w:r>
            <w:r w:rsidRPr="00D33000">
              <w:rPr>
                <w:lang w:val="lt-LT"/>
              </w:rPr>
              <w:t xml:space="preserve"> yra geriau </w:t>
            </w:r>
            <w:r w:rsidRPr="00D33000">
              <w:rPr>
                <w:b/>
                <w:i/>
                <w:lang w:val="lt-LT"/>
              </w:rPr>
              <w:t>pasiekiama</w:t>
            </w:r>
            <w:r w:rsidRPr="00D33000">
              <w:rPr>
                <w:lang w:val="lt-LT"/>
              </w:rPr>
              <w:t xml:space="preserve"> pertvarkymo atveju, jei pasirinkus nemokumą indėlių garantijų sistema patirtų didesnių išlaidų;</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85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Fabio Massimo Castaldo</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18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(18)</w:t>
            </w:r>
            <w:r w:rsidRPr="00D33000">
              <w:rPr>
                <w:lang w:val="lt-LT"/>
              </w:rPr>
              <w:tab/>
              <w:t xml:space="preserve">vertinant, ar įstaigos arba subjekto pertvarkymas atitinka viešąjį interesą, turėtų būti atsižvelgiama į tai, kad indėlininkai yra geriau apsaugoti, kai indėlių garantijų sistemos lėšos naudojamos veiksmingiau </w:t>
            </w:r>
            <w:r w:rsidRPr="00D33000">
              <w:rPr>
                <w:b/>
                <w:i/>
                <w:lang w:val="lt-LT"/>
              </w:rPr>
              <w:t>ir kuo labiau sumažinama galimybė tų lėšų netekti</w:t>
            </w:r>
            <w:r w:rsidRPr="00D33000">
              <w:rPr>
                <w:lang w:val="lt-LT"/>
              </w:rPr>
              <w:t xml:space="preserve">. Todėl, atliekant viešojo intereso vertinimą, </w:t>
            </w:r>
            <w:r w:rsidRPr="00D33000">
              <w:rPr>
                <w:b/>
                <w:i/>
                <w:lang w:val="lt-LT"/>
              </w:rPr>
              <w:t>turėtų būti laikoma, kad pertvarkymo tikslas, t. y. apsaugoti indėlininkus, yra</w:t>
            </w:r>
            <w:r w:rsidRPr="00D33000">
              <w:rPr>
                <w:lang w:val="lt-LT"/>
              </w:rPr>
              <w:t xml:space="preserve"> geriau </w:t>
            </w:r>
            <w:r w:rsidRPr="00D33000">
              <w:rPr>
                <w:b/>
                <w:i/>
                <w:lang w:val="lt-LT"/>
              </w:rPr>
              <w:t>pasiekiamas</w:t>
            </w:r>
            <w:r w:rsidRPr="00D33000">
              <w:rPr>
                <w:lang w:val="lt-LT"/>
              </w:rPr>
              <w:t xml:space="preserve"> pertvarkymo atveju, jei pasirinkus nemokumą indėlių garantijų sistema patirtų didesnių išlaidų;</w:t>
            </w:r>
          </w:p>
        </w:tc>
        <w:tc>
          <w:tcPr>
            <w:tcW w:w="4876" w:type="dxa"/>
            <w:hideMark/>
          </w:tcPr>
          <w:p w:rsidR="000E7A9E" w:rsidRPr="00D33000" w:rsidRDefault="000E7A9E" w:rsidP="009E0AF6">
            <w:pPr>
              <w:pStyle w:val="Normal6"/>
              <w:rPr>
                <w:szCs w:val="24"/>
                <w:lang w:val="lt-LT"/>
              </w:rPr>
            </w:pPr>
            <w:r w:rsidRPr="00D33000">
              <w:rPr>
                <w:lang w:val="lt-LT"/>
              </w:rPr>
              <w:t>(18)</w:t>
            </w:r>
            <w:r w:rsidRPr="00D33000">
              <w:rPr>
                <w:lang w:val="lt-LT"/>
              </w:rPr>
              <w:tab/>
              <w:t xml:space="preserve">vertinant, ar įstaigos arba subjekto pertvarkymas atitinka viešąjį interesą, </w:t>
            </w:r>
            <w:r w:rsidRPr="00D33000">
              <w:rPr>
                <w:b/>
                <w:i/>
                <w:lang w:val="lt-LT"/>
              </w:rPr>
              <w:t>be kitų veiksnių,</w:t>
            </w:r>
            <w:r w:rsidRPr="00D33000">
              <w:rPr>
                <w:lang w:val="lt-LT"/>
              </w:rPr>
              <w:t xml:space="preserve"> turėtų būti atsižvelgiama į tai, kad</w:t>
            </w:r>
            <w:r w:rsidRPr="00D33000">
              <w:rPr>
                <w:b/>
                <w:i/>
                <w:lang w:val="lt-LT"/>
              </w:rPr>
              <w:t>, atlikus holistinį vertinimą,</w:t>
            </w:r>
            <w:r w:rsidRPr="00D33000">
              <w:rPr>
                <w:lang w:val="lt-LT"/>
              </w:rPr>
              <w:t xml:space="preserve"> indėlininkai yra geriau apsaugoti, kai indėlių garantijų sistemos lėšos naudojamos veiksmingiau; Todėl, atliekant viešojo intereso vertinimą, </w:t>
            </w:r>
            <w:r w:rsidRPr="00D33000">
              <w:rPr>
                <w:b/>
                <w:i/>
                <w:lang w:val="lt-LT"/>
              </w:rPr>
              <w:t>reikėtų atsižvelgti į tai, kad indėlininkų apsaugą būtų galima</w:t>
            </w:r>
            <w:r w:rsidRPr="00D33000">
              <w:rPr>
                <w:lang w:val="lt-LT"/>
              </w:rPr>
              <w:t xml:space="preserve"> geriau </w:t>
            </w:r>
            <w:r w:rsidRPr="00D33000">
              <w:rPr>
                <w:b/>
                <w:i/>
                <w:lang w:val="lt-LT"/>
              </w:rPr>
              <w:t>pasiekti</w:t>
            </w:r>
            <w:r w:rsidRPr="00D33000">
              <w:rPr>
                <w:lang w:val="lt-LT"/>
              </w:rPr>
              <w:t xml:space="preserve"> pertvarkymo atveju, jei pasirinkus nemokumą indėlių garantijų sistema patirtų didesnių išlaidų;</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86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18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(18)</w:t>
            </w:r>
            <w:r w:rsidRPr="00D33000">
              <w:rPr>
                <w:lang w:val="lt-LT"/>
              </w:rPr>
              <w:tab/>
              <w:t xml:space="preserve">vertinant, ar įstaigos arba subjekto pertvarkymas atitinka viešąjį interesą, turėtų būti atsižvelgiama į tai, kad indėlininkai yra geriau apsaugoti, kai indėlių garantijų sistemos lėšos naudojamos veiksmingiau ir kuo labiau sumažinama galimybė tų lėšų netekti. Todėl, atliekant viešojo intereso vertinimą, turėtų būti laikoma, kad pertvarkymo tikslas, t. y. apsaugoti indėlininkus, yra geriau pasiekiamas pertvarkymo atveju, jei pasirinkus nemokumą </w:t>
            </w:r>
            <w:r w:rsidRPr="00D33000">
              <w:rPr>
                <w:b/>
                <w:i/>
                <w:lang w:val="lt-LT"/>
              </w:rPr>
              <w:t>indėlių garantijų sistema</w:t>
            </w:r>
            <w:r w:rsidRPr="00D33000">
              <w:rPr>
                <w:lang w:val="lt-LT"/>
              </w:rPr>
              <w:t xml:space="preserve"> patirtų didesnių išlaidų;</w:t>
            </w:r>
          </w:p>
        </w:tc>
        <w:tc>
          <w:tcPr>
            <w:tcW w:w="4876" w:type="dxa"/>
            <w:hideMark/>
          </w:tcPr>
          <w:p w:rsidR="000E7A9E" w:rsidRPr="00D33000" w:rsidRDefault="000E7A9E" w:rsidP="009E0AF6">
            <w:pPr>
              <w:pStyle w:val="Normal6"/>
              <w:rPr>
                <w:szCs w:val="24"/>
                <w:lang w:val="lt-LT"/>
              </w:rPr>
            </w:pPr>
            <w:r w:rsidRPr="00D33000">
              <w:rPr>
                <w:lang w:val="lt-LT"/>
              </w:rPr>
              <w:t>(18)</w:t>
            </w:r>
            <w:r w:rsidRPr="00D33000">
              <w:rPr>
                <w:lang w:val="lt-LT"/>
              </w:rPr>
              <w:tab/>
              <w:t xml:space="preserve">vertinant, ar įstaigos arba subjekto pertvarkymas atitinka viešąjį interesą, turėtų būti atsižvelgiama į tai, kad indėlininkai yra geriau apsaugoti, kai indėlių garantijų sistemos </w:t>
            </w:r>
            <w:r w:rsidRPr="00D33000">
              <w:rPr>
                <w:b/>
                <w:i/>
                <w:lang w:val="lt-LT"/>
              </w:rPr>
              <w:t>(IGS)</w:t>
            </w:r>
            <w:r w:rsidRPr="00D33000">
              <w:rPr>
                <w:lang w:val="lt-LT"/>
              </w:rPr>
              <w:t xml:space="preserve"> lėšos naudojamos veiksmingiau ir kuo labiau sumažinama galimybė tų lėšų netekti. Todėl, atliekant viešojo intereso vertinimą, turėtų būti laikoma, kad pertvarkymo tikslas, t. y. apsaugoti </w:t>
            </w:r>
            <w:r w:rsidRPr="00D33000">
              <w:rPr>
                <w:b/>
                <w:i/>
                <w:lang w:val="lt-LT"/>
              </w:rPr>
              <w:t>apdraustuosius</w:t>
            </w:r>
            <w:r w:rsidRPr="00D33000">
              <w:rPr>
                <w:lang w:val="lt-LT"/>
              </w:rPr>
              <w:t xml:space="preserve"> indėlininkus, yra geriau pasiekiamas pertvarkymo atveju, jei pasirinkus nemokumą </w:t>
            </w:r>
            <w:r w:rsidRPr="00D33000">
              <w:rPr>
                <w:b/>
                <w:i/>
                <w:lang w:val="lt-LT"/>
              </w:rPr>
              <w:t>IGS</w:t>
            </w:r>
            <w:r w:rsidRPr="00D33000">
              <w:rPr>
                <w:lang w:val="lt-LT"/>
              </w:rPr>
              <w:t xml:space="preserve"> patirtų didesnių išlaidų;</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Vertinant viešąjį interesą nereikia pripažinti visų rūšių indėlių. Pavyzdžiui, didelėms įmonėms arba, ateityje, vyriausybinėms įstaigoms nereikia jokios apsaugos, kuri joms būtų suteikta kartu su bendru indėlininku. Priešingai, vienalygis traktavimas gali sukelti neatsakingo elgesio riziką indėlininkui. Dėl šių priežasčių specialus visų indėlių traktavimas yra nepagrįstas, todėl turėtų būti grindžiamas apdraustaisiais indėliais.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87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Eero Heinäluoma</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19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(19)</w:t>
            </w:r>
            <w:r w:rsidRPr="00D33000">
              <w:rPr>
                <w:b/>
                <w:i/>
                <w:lang w:val="lt-LT"/>
              </w:rPr>
              <w:tab/>
              <w:t>vertinant, ar įstaigos arba subjekto pertvarkymas atitinka viešąjį interesą, taip pat turėtų būti kuo labiau atsižvelgiama į skirtumą tarp finansavimo, teikiamo taikant sektoriaus finansuojamas apsaugos priemones (pertvarkymo finansavimo struktūras arba indėlių garantijų sistemas), ir finansavimo, kurį valstybės narės teikia iš mokesčių mokėtojų pinigų. Valstybių narių teikiamam finansavimui būdinga didesnė neatsakingo elgesio rizika ir jo atveju rinkos drausmės paskatos yra mažesnės. Todėl, vertindama tikslą kuo labiau sumažinti priklausomybę nuo nepaprastosios viešosios finansinės paramos, Vadyba turėtų pirmenybę teikti finansavimui naudojant pertvarkymo finansavimo struktūras arba indėlių garantijų sistemą, o ne finansavimui, kurį sudaro tokio paties dydžio ištekliai iš valstybių narių biudžetų;</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Valstybės pagalbos požiūriu visa nepaprastoji viešoji finansinė parama yra valstybės pagalba, ji skiriama iš valstybės narės biudžeto arba ne. Skirtingų nepaprastosios viešosios finansinės paramos atvejų atskirti nereikia.</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88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Markus Ferber, Herbert Dorfmann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19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(19)</w:t>
            </w:r>
            <w:r w:rsidRPr="00D33000">
              <w:rPr>
                <w:lang w:val="lt-LT"/>
              </w:rPr>
              <w:tab/>
              <w:t xml:space="preserve">vertinant, ar įstaigos arba subjekto pertvarkymas atitinka viešąjį interesą, taip pat turėtų būti kuo labiau atsižvelgiama į skirtumą tarp finansavimo, teikiamo taikant sektoriaus finansuojamas apsaugos priemones (pertvarkymo finansavimo struktūras arba indėlių garantijų sistemas), ir finansavimo, kurį valstybės narės teikia iš mokesčių mokėtojų pinigų. </w:t>
            </w:r>
            <w:r w:rsidRPr="00D33000">
              <w:rPr>
                <w:b/>
                <w:i/>
                <w:lang w:val="lt-LT"/>
              </w:rPr>
              <w:t>Valstybių narių teikiamam finansavimui būdinga didesnė neatsakingo elgesio rizika ir jo atveju rinkos drausmės paskatos yra mažesnės.</w:t>
            </w:r>
            <w:r w:rsidRPr="00D33000">
              <w:rPr>
                <w:lang w:val="lt-LT"/>
              </w:rPr>
              <w:t xml:space="preserve"> Todėl, vertindama tikslą kuo labiau sumažinti priklausomybę nuo nepaprastosios viešosios finansinės paramos, Vadyba turėtų pirmenybę teikti finansavimui naudojant pertvarkymo finansavimo struktūras arba indėlių garantijų sistemą, o ne finansavimui, kurį sudaro tokio paties dydžio ištekliai iš valstybių narių biudžetų;</w:t>
            </w:r>
          </w:p>
        </w:tc>
        <w:tc>
          <w:tcPr>
            <w:tcW w:w="4876" w:type="dxa"/>
            <w:hideMark/>
          </w:tcPr>
          <w:p w:rsidR="000E7A9E" w:rsidRPr="00D33000" w:rsidRDefault="000E7A9E" w:rsidP="009E0AF6">
            <w:pPr>
              <w:pStyle w:val="Normal6"/>
              <w:rPr>
                <w:szCs w:val="24"/>
                <w:lang w:val="lt-LT"/>
              </w:rPr>
            </w:pPr>
            <w:r w:rsidRPr="00D33000">
              <w:rPr>
                <w:lang w:val="lt-LT"/>
              </w:rPr>
              <w:t>(19)</w:t>
            </w:r>
            <w:r w:rsidRPr="00D33000">
              <w:rPr>
                <w:lang w:val="lt-LT"/>
              </w:rPr>
              <w:tab/>
              <w:t>vertinant, ar įstaigos arba subjekto pertvarkymas atitinka viešąjį interesą, taip pat turėtų būti kuo labiau atsižvelgiama į skirtumą tarp finansavimo, teikiamo taikant sektoriaus finansuojamas apsaugos priemones (pertvarkymo finansavimo struktūras arba indėlių garantijų sistemas), ir finansavimo, kurį valstybės narės teikia iš mokesčių mokėtojų pinigų. Todėl, vertindama tikslą kuo labiau sumažinti priklausomybę nuo nepaprastosios viešosios finansinės paramos, Vadyba turėtų pirmenybę teikti finansavimui naudojant pertvarkymo finansavimo struktūras arba indėlių garantijų sistemą, o ne finansavimui, kurį sudaro tokio paties dydžio ištekliai iš valstybių narių biudžetų</w:t>
            </w:r>
            <w:r w:rsidRPr="00D33000">
              <w:rPr>
                <w:b/>
                <w:bCs/>
                <w:i/>
                <w:iCs/>
                <w:lang w:val="lt-LT"/>
              </w:rPr>
              <w:t>.</w:t>
            </w:r>
            <w:r w:rsidRPr="00D33000">
              <w:rPr>
                <w:lang w:val="lt-LT"/>
              </w:rPr>
              <w:t xml:space="preserve"> </w:t>
            </w:r>
            <w:r w:rsidRPr="00D33000">
              <w:rPr>
                <w:b/>
                <w:i/>
                <w:lang w:val="lt-LT"/>
              </w:rPr>
              <w:t>Tačiau tai neturėtų paskatinti tikėtis, kad naštos pasidalijimo reikalavimai bus sumažinti, nes naštos pasidalijimas su akcininkais ir kreditoriais turėtų išlikti pagrindiniu finansavimo šaltiniu</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89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Fabio Massimo Castaldo</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19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(19)</w:t>
            </w:r>
            <w:r w:rsidRPr="00D33000">
              <w:rPr>
                <w:lang w:val="lt-LT"/>
              </w:rPr>
              <w:tab/>
              <w:t xml:space="preserve">vertinant, ar įstaigos arba subjekto pertvarkymas atitinka viešąjį interesą, taip pat turėtų būti </w:t>
            </w:r>
            <w:r w:rsidRPr="00D33000">
              <w:rPr>
                <w:b/>
                <w:i/>
                <w:lang w:val="lt-LT"/>
              </w:rPr>
              <w:t>kuo labiau</w:t>
            </w:r>
            <w:r w:rsidRPr="00D33000">
              <w:rPr>
                <w:lang w:val="lt-LT"/>
              </w:rPr>
              <w:t xml:space="preserve"> atsižvelgiama </w:t>
            </w:r>
            <w:r w:rsidRPr="00D33000">
              <w:rPr>
                <w:b/>
                <w:i/>
                <w:lang w:val="lt-LT"/>
              </w:rPr>
              <w:t>į skirtumą tarp finansavimo, teikiamo taikant</w:t>
            </w:r>
            <w:r w:rsidRPr="00D33000">
              <w:rPr>
                <w:lang w:val="lt-LT"/>
              </w:rPr>
              <w:t xml:space="preserve"> sektoriaus </w:t>
            </w:r>
            <w:r w:rsidRPr="00D33000">
              <w:rPr>
                <w:b/>
                <w:i/>
                <w:lang w:val="lt-LT"/>
              </w:rPr>
              <w:t>finansuojamas</w:t>
            </w:r>
            <w:r w:rsidRPr="00D33000">
              <w:rPr>
                <w:lang w:val="lt-LT"/>
              </w:rPr>
              <w:t xml:space="preserve"> apsaugos </w:t>
            </w:r>
            <w:r w:rsidRPr="00D33000">
              <w:rPr>
                <w:b/>
                <w:i/>
                <w:lang w:val="lt-LT"/>
              </w:rPr>
              <w:t>priemones</w:t>
            </w:r>
            <w:r w:rsidRPr="00D33000">
              <w:rPr>
                <w:lang w:val="lt-LT"/>
              </w:rPr>
              <w:t xml:space="preserve"> (pertvarkymo finansavimo </w:t>
            </w:r>
            <w:r w:rsidRPr="00D33000">
              <w:rPr>
                <w:b/>
                <w:i/>
                <w:lang w:val="lt-LT"/>
              </w:rPr>
              <w:t>struktūras</w:t>
            </w:r>
            <w:r w:rsidRPr="00D33000">
              <w:rPr>
                <w:lang w:val="lt-LT"/>
              </w:rPr>
              <w:t xml:space="preserve"> arba indėlių garantijų </w:t>
            </w:r>
            <w:r w:rsidRPr="00D33000">
              <w:rPr>
                <w:b/>
                <w:i/>
                <w:lang w:val="lt-LT"/>
              </w:rPr>
              <w:t>sistemas</w:t>
            </w:r>
            <w:r w:rsidRPr="00D33000">
              <w:rPr>
                <w:lang w:val="lt-LT"/>
              </w:rPr>
              <w:t>)</w:t>
            </w:r>
            <w:r w:rsidRPr="00D33000">
              <w:rPr>
                <w:b/>
                <w:i/>
                <w:lang w:val="lt-LT"/>
              </w:rPr>
              <w:t>, ir finansavimo, kurį valstybės narės teikia</w:t>
            </w:r>
            <w:r w:rsidRPr="00D33000">
              <w:rPr>
                <w:lang w:val="lt-LT"/>
              </w:rPr>
              <w:t xml:space="preserve"> iš mokesčių mokėtojų pinigų. Valstybių narių teikiamam finansavimui būdinga didesnė neatsakingo elgesio rizika ir jo atveju rinkos drausmės paskatos yra mažesnės. Todėl, vertindama tikslą kuo labiau sumažinti priklausomybę nuo nepaprastosios viešosios finansinės paramos, Vadyba turėtų pirmenybę teikti finansavimui naudojant pertvarkymo finansavimo struktūras arba indėlių garantijų sistemą, o ne finansavimui, kurį sudaro tokio paties dydžio ištekliai iš valstybių narių biudžetų;</w:t>
            </w:r>
          </w:p>
        </w:tc>
        <w:tc>
          <w:tcPr>
            <w:tcW w:w="4876" w:type="dxa"/>
            <w:hideMark/>
          </w:tcPr>
          <w:p w:rsidR="000E7A9E" w:rsidRPr="00D33000" w:rsidRDefault="000E7A9E" w:rsidP="009E0AF6">
            <w:pPr>
              <w:pStyle w:val="Normal6"/>
              <w:rPr>
                <w:szCs w:val="24"/>
                <w:lang w:val="lt-LT"/>
              </w:rPr>
            </w:pPr>
            <w:r w:rsidRPr="00D33000">
              <w:rPr>
                <w:lang w:val="lt-LT"/>
              </w:rPr>
              <w:t>(19)</w:t>
            </w:r>
            <w:r w:rsidRPr="00D33000">
              <w:rPr>
                <w:lang w:val="lt-LT"/>
              </w:rPr>
              <w:tab/>
              <w:t>vertinant, ar įstaigos arba subjekto pertvarkymas atitinka viešąjį interesą, taip pat turėtų būti atsižvelgiama</w:t>
            </w:r>
            <w:r w:rsidRPr="00D33000">
              <w:rPr>
                <w:b/>
                <w:i/>
                <w:lang w:val="lt-LT"/>
              </w:rPr>
              <w:t>, ar buvo teikiama pirmenybė</w:t>
            </w:r>
            <w:r w:rsidRPr="00D33000">
              <w:rPr>
                <w:lang w:val="lt-LT"/>
              </w:rPr>
              <w:t xml:space="preserve"> sektoriaus </w:t>
            </w:r>
            <w:r w:rsidRPr="00D33000">
              <w:rPr>
                <w:b/>
                <w:i/>
                <w:lang w:val="lt-LT"/>
              </w:rPr>
              <w:t>finansuojamų</w:t>
            </w:r>
            <w:r w:rsidRPr="00D33000">
              <w:rPr>
                <w:lang w:val="lt-LT"/>
              </w:rPr>
              <w:t xml:space="preserve"> apsaugos </w:t>
            </w:r>
            <w:r w:rsidRPr="00D33000">
              <w:rPr>
                <w:b/>
                <w:i/>
                <w:lang w:val="lt-LT"/>
              </w:rPr>
              <w:t>priemonių</w:t>
            </w:r>
            <w:r w:rsidRPr="00D33000">
              <w:rPr>
                <w:lang w:val="lt-LT"/>
              </w:rPr>
              <w:t xml:space="preserve"> (pertvarkymo finansavimo </w:t>
            </w:r>
            <w:r w:rsidRPr="00D33000">
              <w:rPr>
                <w:b/>
                <w:i/>
                <w:lang w:val="lt-LT"/>
              </w:rPr>
              <w:t>struktūrų</w:t>
            </w:r>
            <w:r w:rsidRPr="00D33000">
              <w:rPr>
                <w:lang w:val="lt-LT"/>
              </w:rPr>
              <w:t xml:space="preserve"> arba indėlių garantijų </w:t>
            </w:r>
            <w:r w:rsidRPr="00D33000">
              <w:rPr>
                <w:b/>
                <w:i/>
                <w:lang w:val="lt-LT"/>
              </w:rPr>
              <w:t>sistemų</w:t>
            </w:r>
            <w:r w:rsidRPr="00D33000">
              <w:rPr>
                <w:lang w:val="lt-LT"/>
              </w:rPr>
              <w:t xml:space="preserve">) </w:t>
            </w:r>
            <w:r w:rsidRPr="00D33000">
              <w:rPr>
                <w:b/>
                <w:i/>
                <w:lang w:val="lt-LT"/>
              </w:rPr>
              <w:t>naudojimui užuot valstybei narei teikus finansavimą</w:t>
            </w:r>
            <w:r w:rsidRPr="00D33000">
              <w:rPr>
                <w:lang w:val="lt-LT"/>
              </w:rPr>
              <w:t xml:space="preserve"> iš mokesčių mokėtojų pinigų</w:t>
            </w:r>
            <w:r w:rsidRPr="00D33000">
              <w:rPr>
                <w:b/>
                <w:i/>
                <w:lang w:val="lt-LT"/>
              </w:rPr>
              <w:t>, išskyrus ypatingas sisteminio pobūdžio aplinkybes arba aplinkybes, susijusias su labai dideliais ekonominiais sukrėtimas</w:t>
            </w:r>
            <w:r w:rsidRPr="00D33000">
              <w:rPr>
                <w:lang w:val="lt-LT"/>
              </w:rPr>
              <w:t>. Valstybių narių teikiamam finansavimui būdinga didesnė neatsakingo elgesio rizika ir jo atveju rinkos drausmės paskatos yra mažesnės. Todėl, vertindama tikslą kuo labiau sumažinti priklausomybę nuo nepaprastosios viešosios finansinės paramos, Vadyba turėtų pirmenybę teikti finansavimui naudojant pertvarkymo finansavimo struktūras arba indėlių garantijų sistemą, o ne finansavimui, kurį sudaro tokio paties dydžio ištekliai iš valstybių narių biudžetų;</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90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19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(19)</w:t>
            </w:r>
            <w:r w:rsidRPr="00D33000">
              <w:rPr>
                <w:lang w:val="lt-LT"/>
              </w:rPr>
              <w:tab/>
              <w:t xml:space="preserve">vertinant, ar įstaigos arba subjekto pertvarkymas atitinka viešąjį interesą, taip pat turėtų būti </w:t>
            </w:r>
            <w:r w:rsidRPr="00D33000">
              <w:rPr>
                <w:b/>
                <w:i/>
                <w:lang w:val="lt-LT"/>
              </w:rPr>
              <w:t>kuo labiau</w:t>
            </w:r>
            <w:r w:rsidRPr="00D33000">
              <w:rPr>
                <w:lang w:val="lt-LT"/>
              </w:rPr>
              <w:t xml:space="preserve"> atsižvelgiama </w:t>
            </w:r>
            <w:r w:rsidRPr="00D33000">
              <w:rPr>
                <w:b/>
                <w:i/>
                <w:lang w:val="lt-LT"/>
              </w:rPr>
              <w:t>į skirtumą tarp finansavimo, teikiamo taikant</w:t>
            </w:r>
            <w:r w:rsidRPr="00D33000">
              <w:rPr>
                <w:lang w:val="lt-LT"/>
              </w:rPr>
              <w:t xml:space="preserve"> sektoriaus </w:t>
            </w:r>
            <w:r w:rsidRPr="00D33000">
              <w:rPr>
                <w:b/>
                <w:i/>
                <w:lang w:val="lt-LT"/>
              </w:rPr>
              <w:t>finansuojamas</w:t>
            </w:r>
            <w:r w:rsidRPr="00D33000">
              <w:rPr>
                <w:lang w:val="lt-LT"/>
              </w:rPr>
              <w:t xml:space="preserve"> apsaugos </w:t>
            </w:r>
            <w:r w:rsidRPr="00D33000">
              <w:rPr>
                <w:b/>
                <w:i/>
                <w:lang w:val="lt-LT"/>
              </w:rPr>
              <w:t>priemones</w:t>
            </w:r>
            <w:r w:rsidRPr="00D33000">
              <w:rPr>
                <w:lang w:val="lt-LT"/>
              </w:rPr>
              <w:t xml:space="preserve"> (pertvarkymo finansavimo </w:t>
            </w:r>
            <w:r w:rsidRPr="00D33000">
              <w:rPr>
                <w:b/>
                <w:i/>
                <w:lang w:val="lt-LT"/>
              </w:rPr>
              <w:t>struktūras</w:t>
            </w:r>
            <w:r w:rsidRPr="00D33000">
              <w:rPr>
                <w:lang w:val="lt-LT"/>
              </w:rPr>
              <w:t xml:space="preserve"> arba indėlių garantijų </w:t>
            </w:r>
            <w:r w:rsidRPr="00D33000">
              <w:rPr>
                <w:b/>
                <w:i/>
                <w:lang w:val="lt-LT"/>
              </w:rPr>
              <w:t>sistemas</w:t>
            </w:r>
            <w:r w:rsidRPr="00D33000">
              <w:rPr>
                <w:lang w:val="lt-LT"/>
              </w:rPr>
              <w:t>)</w:t>
            </w:r>
            <w:r w:rsidRPr="00D33000">
              <w:rPr>
                <w:b/>
                <w:i/>
                <w:lang w:val="lt-LT"/>
              </w:rPr>
              <w:t>, ir finansavimo, kurį valstybės narės teikia</w:t>
            </w:r>
            <w:r w:rsidRPr="00D33000">
              <w:rPr>
                <w:lang w:val="lt-LT"/>
              </w:rPr>
              <w:t xml:space="preserve"> iš mokesčių mokėtojų pinigų. Valstybių narių teikiamam finansavimui būdinga didesnė neatsakingo elgesio rizika ir jo atveju rinkos drausmės paskatos yra mažesnės. Todėl, vertindama tikslą kuo labiau sumažinti priklausomybę nuo nepaprastosios viešosios finansinės paramos, Vadyba turėtų pirmenybę teikti finansavimui naudojant pertvarkymo finansavimo struktūras arba indėlių garantijų sistemą, o ne finansavimui, kurį sudaro tokio paties dydžio ištekliai iš valstybių narių biudžetų;</w:t>
            </w:r>
          </w:p>
        </w:tc>
        <w:tc>
          <w:tcPr>
            <w:tcW w:w="4876" w:type="dxa"/>
            <w:hideMark/>
          </w:tcPr>
          <w:p w:rsidR="000E7A9E" w:rsidRPr="00D33000" w:rsidRDefault="000E7A9E" w:rsidP="009E0AF6">
            <w:pPr>
              <w:pStyle w:val="Normal6"/>
              <w:rPr>
                <w:szCs w:val="24"/>
                <w:lang w:val="lt-LT"/>
              </w:rPr>
            </w:pPr>
            <w:r w:rsidRPr="00D33000">
              <w:rPr>
                <w:lang w:val="lt-LT"/>
              </w:rPr>
              <w:t>(19)</w:t>
            </w:r>
            <w:r w:rsidRPr="00D33000">
              <w:rPr>
                <w:lang w:val="lt-LT"/>
              </w:rPr>
              <w:tab/>
              <w:t>vertinant, ar įstaigos arba subjekto pertvarkymas atitinka viešąjį interesą, taip pat turėtų būti atsižvelgiama</w:t>
            </w:r>
            <w:r w:rsidRPr="00D33000">
              <w:rPr>
                <w:b/>
                <w:i/>
                <w:lang w:val="lt-LT"/>
              </w:rPr>
              <w:t>, ar buvo teikiama pirmenybė</w:t>
            </w:r>
            <w:r w:rsidRPr="00D33000">
              <w:rPr>
                <w:lang w:val="lt-LT"/>
              </w:rPr>
              <w:t xml:space="preserve"> sektoriaus </w:t>
            </w:r>
            <w:r w:rsidRPr="00D33000">
              <w:rPr>
                <w:b/>
                <w:i/>
                <w:lang w:val="lt-LT"/>
              </w:rPr>
              <w:t>finansuojamų</w:t>
            </w:r>
            <w:r w:rsidRPr="00D33000">
              <w:rPr>
                <w:lang w:val="lt-LT"/>
              </w:rPr>
              <w:t xml:space="preserve"> apsaugos </w:t>
            </w:r>
            <w:r w:rsidRPr="00D33000">
              <w:rPr>
                <w:b/>
                <w:i/>
                <w:lang w:val="lt-LT"/>
              </w:rPr>
              <w:t>priemonių</w:t>
            </w:r>
            <w:r w:rsidRPr="00D33000">
              <w:rPr>
                <w:lang w:val="lt-LT"/>
              </w:rPr>
              <w:t xml:space="preserve"> (pertvarkymo finansavimo </w:t>
            </w:r>
            <w:r w:rsidRPr="00D33000">
              <w:rPr>
                <w:b/>
                <w:i/>
                <w:lang w:val="lt-LT"/>
              </w:rPr>
              <w:t>struktūrų</w:t>
            </w:r>
            <w:r w:rsidRPr="00D33000">
              <w:rPr>
                <w:lang w:val="lt-LT"/>
              </w:rPr>
              <w:t xml:space="preserve"> arba indėlių garantijų </w:t>
            </w:r>
            <w:r w:rsidRPr="00D33000">
              <w:rPr>
                <w:b/>
                <w:i/>
                <w:lang w:val="lt-LT"/>
              </w:rPr>
              <w:t>sistemų</w:t>
            </w:r>
            <w:r w:rsidRPr="00D33000">
              <w:rPr>
                <w:lang w:val="lt-LT"/>
              </w:rPr>
              <w:t xml:space="preserve">) </w:t>
            </w:r>
            <w:r w:rsidRPr="00D33000">
              <w:rPr>
                <w:b/>
                <w:i/>
                <w:lang w:val="lt-LT"/>
              </w:rPr>
              <w:t>naudojimui užuot valstybei narei teikus finansavimą</w:t>
            </w:r>
            <w:r w:rsidRPr="00D33000">
              <w:rPr>
                <w:lang w:val="lt-LT"/>
              </w:rPr>
              <w:t xml:space="preserve"> iš mokesčių mokėtojų pinigų</w:t>
            </w:r>
            <w:r w:rsidRPr="00D33000">
              <w:rPr>
                <w:b/>
                <w:i/>
                <w:lang w:val="lt-LT"/>
              </w:rPr>
              <w:t>, išskyrus ypatingas sisteminio pobūdžio aplinkybes arba aplinkybes, susijusias su labai dideliais ekonominiais sukrėtimas</w:t>
            </w:r>
            <w:r w:rsidRPr="00D33000">
              <w:rPr>
                <w:lang w:val="lt-LT"/>
              </w:rPr>
              <w:t>. Valstybių narių teikiamam finansavimui būdinga didesnė neatsakingo elgesio rizika ir jo atveju rinkos drausmės paskatos yra mažesnės. Todėl, vertindama tikslą kuo labiau sumažinti priklausomybę nuo nepaprastosios viešosios finansinės paramos, Vadyba turėtų pirmenybę teikti finansavimui naudojant pertvarkymo finansavimo struktūras arba indėlių garantijų sistemą, o ne finansavimui, kurį sudaro tokio paties dydžio ištekliai iš valstybių narių biudžetų;</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91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19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(19)</w:t>
            </w:r>
            <w:r w:rsidRPr="00D33000">
              <w:rPr>
                <w:lang w:val="lt-LT"/>
              </w:rPr>
              <w:tab/>
              <w:t xml:space="preserve">vertinant, ar įstaigos arba subjekto pertvarkymas atitinka viešąjį interesą, taip pat turėtų būti kuo labiau atsižvelgiama į skirtumą tarp finansavimo, teikiamo taikant sektoriaus finansuojamas apsaugos priemones (pertvarkymo finansavimo struktūras arba indėlių garantijų sistemas), ir finansavimo, kurį valstybės narės teikia iš mokesčių mokėtojų pinigų. </w:t>
            </w:r>
            <w:r w:rsidRPr="00D33000">
              <w:rPr>
                <w:b/>
                <w:i/>
                <w:lang w:val="lt-LT"/>
              </w:rPr>
              <w:t>Valstybių narių teikiamam finansavimui būdinga didesnė neatsakingo elgesio rizika ir jo atveju rinkos drausmės paskatos yra mažesnės.</w:t>
            </w:r>
            <w:r w:rsidRPr="00D33000">
              <w:rPr>
                <w:lang w:val="lt-LT"/>
              </w:rPr>
              <w:t xml:space="preserve"> Todėl, vertindama tikslą kuo labiau sumažinti priklausomybę nuo nepaprastosios viešosios finansinės paramos, Vadyba turėtų pirmenybę teikti finansavimui naudojant pertvarkymo finansavimo struktūras arba indėlių garantijų sistemą, o ne finansavimui, kurį sudaro tokio paties dydžio ištekliai iš valstybių narių biudžetų;</w:t>
            </w:r>
          </w:p>
        </w:tc>
        <w:tc>
          <w:tcPr>
            <w:tcW w:w="4876" w:type="dxa"/>
            <w:hideMark/>
          </w:tcPr>
          <w:p w:rsidR="000E7A9E" w:rsidRPr="00D33000" w:rsidRDefault="000E7A9E" w:rsidP="009E0AF6">
            <w:pPr>
              <w:pStyle w:val="Normal6"/>
              <w:rPr>
                <w:szCs w:val="24"/>
                <w:lang w:val="lt-LT"/>
              </w:rPr>
            </w:pPr>
            <w:r w:rsidRPr="00D33000">
              <w:rPr>
                <w:lang w:val="lt-LT"/>
              </w:rPr>
              <w:t>(19)</w:t>
            </w:r>
            <w:r w:rsidRPr="00D33000">
              <w:rPr>
                <w:lang w:val="lt-LT"/>
              </w:rPr>
              <w:tab/>
              <w:t>vertinant, ar įstaigos arba subjekto pertvarkymas atitinka viešąjį interesą, taip pat turėtų būti kuo labiau atsižvelgiama į skirtumą tarp finansavimo, teikiamo taikant sektoriaus finansuojamas apsaugos priemones (pertvarkymo finansavimo struktūras arba indėlių garantijų sistemas), ir finansavimo, kurį valstybės narės teikia iš mokesčių mokėtojų pinigų. Todėl, vertindama tikslą kuo labiau sumažinti priklausomybę nuo nepaprastosios viešosios finansinės paramos, Vadyba turėtų pirmenybę teikti finansavimui naudojant pertvarkymo finansavimo struktūras arba indėlių garantijų sistemą, o ne finansavimui, kurį sudaro tokio paties dydžio ištekliai iš valstybių narių biudžetų</w:t>
            </w:r>
            <w:r w:rsidRPr="00D33000">
              <w:rPr>
                <w:b/>
                <w:bCs/>
                <w:i/>
                <w:iCs/>
                <w:lang w:val="lt-LT"/>
              </w:rPr>
              <w:t>.</w:t>
            </w:r>
            <w:r w:rsidRPr="00D33000">
              <w:rPr>
                <w:lang w:val="lt-LT"/>
              </w:rPr>
              <w:t xml:space="preserve"> </w:t>
            </w:r>
            <w:r w:rsidRPr="00D33000">
              <w:rPr>
                <w:b/>
                <w:i/>
                <w:lang w:val="lt-LT"/>
              </w:rPr>
              <w:t>Vis dėlto pagrindinis finansavimo šaltinis turi išlikti akcininkų ir kreditorių dalijimasis našta</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92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20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(20)</w:t>
            </w:r>
            <w:r w:rsidRPr="00D33000">
              <w:rPr>
                <w:b/>
                <w:i/>
                <w:lang w:val="lt-LT"/>
              </w:rPr>
              <w:tab/>
              <w:t>siekiant užtikrinti, kad pertvarkymo tikslai būtų pasiekti kuo veiksmingiau, viešojo intereso vertinimo rezultatai turėtų būti neigiami tik tuo atveju, jei žlungančios įstaigos arba subjekto likvidavimu iškeliant įprastinę bankroto bylą pertvarkymo tikslai būtų pasiekti veiksmingiau, o ne tokiu pačiu mastu kaip vykdant pertvarkymą;</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93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Irene Tinagli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20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(20)</w:t>
            </w:r>
            <w:r w:rsidRPr="00D33000">
              <w:rPr>
                <w:b/>
                <w:i/>
                <w:lang w:val="lt-LT"/>
              </w:rPr>
              <w:tab/>
              <w:t>siekiant užtikrinti, kad pertvarkymo tikslai būtų pasiekti kuo veiksmingiau, viešojo intereso vertinimo rezultatai turėtų būti neigiami tik tuo atveju, jei žlungančios įstaigos arba subjekto likvidavimu iškeliant įprastinę bankroto bylą pertvarkymo tikslai būtų pasiekti veiksmingiau, o ne tokiu pačiu mastu kaip vykdant pertvarkymą;</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94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20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(20)</w:t>
            </w:r>
            <w:r w:rsidRPr="00D33000">
              <w:rPr>
                <w:lang w:val="lt-LT"/>
              </w:rPr>
              <w:tab/>
              <w:t xml:space="preserve">siekiant užtikrinti, kad pertvarkymo tikslai būtų pasiekti kuo veiksmingiau, viešojo intereso </w:t>
            </w:r>
            <w:r w:rsidRPr="00D33000">
              <w:rPr>
                <w:b/>
                <w:i/>
                <w:lang w:val="lt-LT"/>
              </w:rPr>
              <w:t>vertinimo rezultatai</w:t>
            </w:r>
            <w:r w:rsidRPr="00D33000">
              <w:rPr>
                <w:lang w:val="lt-LT"/>
              </w:rPr>
              <w:t xml:space="preserve"> turėtų būti </w:t>
            </w:r>
            <w:r w:rsidRPr="00D33000">
              <w:rPr>
                <w:b/>
                <w:i/>
                <w:lang w:val="lt-LT"/>
              </w:rPr>
              <w:t>neigiami tik tuo atveju, jei</w:t>
            </w:r>
            <w:r w:rsidRPr="00D33000">
              <w:rPr>
                <w:lang w:val="lt-LT"/>
              </w:rPr>
              <w:t xml:space="preserve"> žlungančios įstaigos arba subjekto likvidavimu iškeliant įprastinę bankroto bylą pertvarkymo tikslai būtų pasiekti </w:t>
            </w:r>
            <w:r w:rsidRPr="00D33000">
              <w:rPr>
                <w:b/>
                <w:i/>
                <w:lang w:val="lt-LT"/>
              </w:rPr>
              <w:t>veiksmingiau, o ne tokiu pačiu mastu</w:t>
            </w:r>
            <w:r w:rsidRPr="00D33000">
              <w:rPr>
                <w:lang w:val="lt-LT"/>
              </w:rPr>
              <w:t xml:space="preserve"> kaip vykdant pertvarkymą;</w:t>
            </w:r>
          </w:p>
        </w:tc>
        <w:tc>
          <w:tcPr>
            <w:tcW w:w="4876" w:type="dxa"/>
            <w:hideMark/>
          </w:tcPr>
          <w:p w:rsidR="000E7A9E" w:rsidRPr="00D33000" w:rsidRDefault="000E7A9E" w:rsidP="009E0AF6">
            <w:pPr>
              <w:pStyle w:val="Normal6"/>
              <w:rPr>
                <w:szCs w:val="24"/>
                <w:lang w:val="lt-LT"/>
              </w:rPr>
            </w:pPr>
            <w:r w:rsidRPr="00D33000">
              <w:rPr>
                <w:lang w:val="lt-LT"/>
              </w:rPr>
              <w:t>(20)</w:t>
            </w:r>
            <w:r w:rsidRPr="00D33000">
              <w:rPr>
                <w:lang w:val="lt-LT"/>
              </w:rPr>
              <w:tab/>
              <w:t xml:space="preserve">siekiant užtikrinti, kad pertvarkymo tikslai būtų pasiekti kuo veiksmingiau, </w:t>
            </w:r>
            <w:r w:rsidRPr="00D33000">
              <w:rPr>
                <w:b/>
                <w:i/>
                <w:lang w:val="lt-LT"/>
              </w:rPr>
              <w:t>atliekant</w:t>
            </w:r>
            <w:r w:rsidRPr="00D33000">
              <w:rPr>
                <w:lang w:val="lt-LT"/>
              </w:rPr>
              <w:t xml:space="preserve"> viešojo intereso </w:t>
            </w:r>
            <w:r w:rsidRPr="00D33000">
              <w:rPr>
                <w:b/>
                <w:i/>
                <w:lang w:val="lt-LT"/>
              </w:rPr>
              <w:t>vertinimą</w:t>
            </w:r>
            <w:r w:rsidRPr="00D33000">
              <w:rPr>
                <w:lang w:val="lt-LT"/>
              </w:rPr>
              <w:t xml:space="preserve"> turėtų būti </w:t>
            </w:r>
            <w:r w:rsidRPr="00D33000">
              <w:rPr>
                <w:b/>
                <w:i/>
                <w:lang w:val="lt-LT"/>
              </w:rPr>
              <w:t>apsvarstyta, ar</w:t>
            </w:r>
            <w:r w:rsidRPr="00D33000">
              <w:rPr>
                <w:lang w:val="lt-LT"/>
              </w:rPr>
              <w:t xml:space="preserve"> žlungančios įstaigos arba subjekto likvidavimu iškeliant įprastinę bankroto bylą pertvarkymo tikslai būtų pasiekti </w:t>
            </w:r>
            <w:r w:rsidRPr="00D33000">
              <w:rPr>
                <w:b/>
                <w:i/>
                <w:lang w:val="lt-LT"/>
              </w:rPr>
              <w:t>taip pat,</w:t>
            </w:r>
            <w:r w:rsidRPr="00D33000">
              <w:rPr>
                <w:lang w:val="lt-LT"/>
              </w:rPr>
              <w:t xml:space="preserve"> kaip vykdant pertvarkymą;</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95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Fabio Massimo Castaldo</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20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(20)</w:t>
            </w:r>
            <w:r w:rsidRPr="00D33000">
              <w:rPr>
                <w:lang w:val="lt-LT"/>
              </w:rPr>
              <w:tab/>
              <w:t xml:space="preserve">siekiant užtikrinti, kad pertvarkymo tikslai būtų pasiekti kuo veiksmingiau, viešojo intereso </w:t>
            </w:r>
            <w:r w:rsidRPr="00D33000">
              <w:rPr>
                <w:b/>
                <w:i/>
                <w:lang w:val="lt-LT"/>
              </w:rPr>
              <w:t>vertinimo rezultatai</w:t>
            </w:r>
            <w:r w:rsidRPr="00D33000">
              <w:rPr>
                <w:lang w:val="lt-LT"/>
              </w:rPr>
              <w:t xml:space="preserve"> turėtų būti </w:t>
            </w:r>
            <w:r w:rsidRPr="00D33000">
              <w:rPr>
                <w:b/>
                <w:i/>
                <w:lang w:val="lt-LT"/>
              </w:rPr>
              <w:t>neigiami tik tuo atveju, jei</w:t>
            </w:r>
            <w:r w:rsidRPr="00D33000">
              <w:rPr>
                <w:lang w:val="lt-LT"/>
              </w:rPr>
              <w:t xml:space="preserve"> žlungančios įstaigos arba subjekto likvidavimu iškeliant įprastinę bankroto bylą pertvarkymo tikslai būtų pasiekti </w:t>
            </w:r>
            <w:r w:rsidRPr="00D33000">
              <w:rPr>
                <w:b/>
                <w:i/>
                <w:lang w:val="lt-LT"/>
              </w:rPr>
              <w:t>veiksmingiau, o ne tokiu pačiu mastu</w:t>
            </w:r>
            <w:r w:rsidRPr="00D33000">
              <w:rPr>
                <w:lang w:val="lt-LT"/>
              </w:rPr>
              <w:t xml:space="preserve"> kaip vykdant pertvarkymą;</w:t>
            </w:r>
          </w:p>
        </w:tc>
        <w:tc>
          <w:tcPr>
            <w:tcW w:w="4876" w:type="dxa"/>
            <w:hideMark/>
          </w:tcPr>
          <w:p w:rsidR="000E7A9E" w:rsidRPr="00D33000" w:rsidRDefault="000E7A9E" w:rsidP="009E0AF6">
            <w:pPr>
              <w:pStyle w:val="Normal6"/>
              <w:rPr>
                <w:szCs w:val="24"/>
                <w:lang w:val="lt-LT"/>
              </w:rPr>
            </w:pPr>
            <w:r w:rsidRPr="00D33000">
              <w:rPr>
                <w:lang w:val="lt-LT"/>
              </w:rPr>
              <w:t>(20)</w:t>
            </w:r>
            <w:r w:rsidRPr="00D33000">
              <w:rPr>
                <w:lang w:val="lt-LT"/>
              </w:rPr>
              <w:tab/>
              <w:t xml:space="preserve">siekiant užtikrinti, kad pertvarkymo tikslai būtų pasiekti kuo veiksmingiau, </w:t>
            </w:r>
            <w:r w:rsidRPr="00D33000">
              <w:rPr>
                <w:b/>
                <w:i/>
                <w:lang w:val="lt-LT"/>
              </w:rPr>
              <w:t>atliekant</w:t>
            </w:r>
            <w:r w:rsidRPr="00D33000">
              <w:rPr>
                <w:lang w:val="lt-LT"/>
              </w:rPr>
              <w:t xml:space="preserve"> viešojo intereso </w:t>
            </w:r>
            <w:r w:rsidRPr="00D33000">
              <w:rPr>
                <w:b/>
                <w:i/>
                <w:lang w:val="lt-LT"/>
              </w:rPr>
              <w:t>vertinimą</w:t>
            </w:r>
            <w:r w:rsidRPr="00D33000">
              <w:rPr>
                <w:lang w:val="lt-LT"/>
              </w:rPr>
              <w:t xml:space="preserve"> turėtų būti </w:t>
            </w:r>
            <w:r w:rsidRPr="00D33000">
              <w:rPr>
                <w:b/>
                <w:i/>
                <w:lang w:val="lt-LT"/>
              </w:rPr>
              <w:t>apsvarstyta, ar</w:t>
            </w:r>
            <w:r w:rsidRPr="00D33000">
              <w:rPr>
                <w:lang w:val="lt-LT"/>
              </w:rPr>
              <w:t xml:space="preserve"> žlungančios įstaigos arba subjekto likvidavimu iškeliant įprastinę bankroto bylą pertvarkymo tikslai būtų pasiekti </w:t>
            </w:r>
            <w:r w:rsidRPr="00D33000">
              <w:rPr>
                <w:b/>
                <w:i/>
                <w:lang w:val="lt-LT"/>
              </w:rPr>
              <w:t>taip pat,</w:t>
            </w:r>
            <w:r w:rsidRPr="00D33000">
              <w:rPr>
                <w:lang w:val="lt-LT"/>
              </w:rPr>
              <w:t xml:space="preserve"> kaip vykdant pertvarkymą;</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96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Joachim Schuster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20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(20)</w:t>
            </w:r>
            <w:r w:rsidRPr="00D33000">
              <w:rPr>
                <w:lang w:val="lt-LT"/>
              </w:rPr>
              <w:tab/>
              <w:t xml:space="preserve">siekiant užtikrinti, kad pertvarkymo tikslai būtų pasiekti kuo veiksmingiau, viešojo intereso </w:t>
            </w:r>
            <w:r w:rsidRPr="00D33000">
              <w:rPr>
                <w:b/>
                <w:i/>
                <w:lang w:val="lt-LT"/>
              </w:rPr>
              <w:t>vertinimo rezultatai</w:t>
            </w:r>
            <w:r w:rsidRPr="00D33000">
              <w:rPr>
                <w:lang w:val="lt-LT"/>
              </w:rPr>
              <w:t xml:space="preserve"> turėtų būti </w:t>
            </w:r>
            <w:r w:rsidRPr="00D33000">
              <w:rPr>
                <w:b/>
                <w:i/>
                <w:lang w:val="lt-LT"/>
              </w:rPr>
              <w:t>neigiami tik tuo atveju, jei</w:t>
            </w:r>
            <w:r w:rsidRPr="00D33000">
              <w:rPr>
                <w:lang w:val="lt-LT"/>
              </w:rPr>
              <w:t xml:space="preserve"> žlungančios įstaigos arba subjekto likvidavimu iškeliant įprastinę bankroto bylą pertvarkymo tikslai būtų pasiekti </w:t>
            </w:r>
            <w:r w:rsidRPr="00D33000">
              <w:rPr>
                <w:b/>
                <w:i/>
                <w:lang w:val="lt-LT"/>
              </w:rPr>
              <w:t>veiksmingiau, o ne tokiu pačiu mastu</w:t>
            </w:r>
            <w:r w:rsidRPr="00D33000">
              <w:rPr>
                <w:lang w:val="lt-LT"/>
              </w:rPr>
              <w:t xml:space="preserve"> kaip vykdant pertvarkymą;</w:t>
            </w:r>
          </w:p>
        </w:tc>
        <w:tc>
          <w:tcPr>
            <w:tcW w:w="4876" w:type="dxa"/>
            <w:hideMark/>
          </w:tcPr>
          <w:p w:rsidR="000E7A9E" w:rsidRPr="00D33000" w:rsidRDefault="000E7A9E" w:rsidP="009E0AF6">
            <w:pPr>
              <w:pStyle w:val="Normal6"/>
              <w:rPr>
                <w:szCs w:val="24"/>
                <w:lang w:val="lt-LT"/>
              </w:rPr>
            </w:pPr>
            <w:r w:rsidRPr="00D33000">
              <w:rPr>
                <w:lang w:val="lt-LT"/>
              </w:rPr>
              <w:t>(20)</w:t>
            </w:r>
            <w:r w:rsidRPr="00D33000">
              <w:rPr>
                <w:lang w:val="lt-LT"/>
              </w:rPr>
              <w:tab/>
              <w:t xml:space="preserve">siekiant užtikrinti, kad pertvarkymo tikslai būtų pasiekti kuo veiksmingiau, </w:t>
            </w:r>
            <w:r w:rsidRPr="00D33000">
              <w:rPr>
                <w:b/>
                <w:i/>
                <w:lang w:val="lt-LT"/>
              </w:rPr>
              <w:t>atliekant</w:t>
            </w:r>
            <w:r w:rsidRPr="00D33000">
              <w:rPr>
                <w:lang w:val="lt-LT"/>
              </w:rPr>
              <w:t xml:space="preserve"> viešojo intereso </w:t>
            </w:r>
            <w:r w:rsidRPr="00D33000">
              <w:rPr>
                <w:b/>
                <w:i/>
                <w:lang w:val="lt-LT"/>
              </w:rPr>
              <w:t>vertinimą</w:t>
            </w:r>
            <w:r w:rsidRPr="00D33000">
              <w:rPr>
                <w:lang w:val="lt-LT"/>
              </w:rPr>
              <w:t xml:space="preserve"> turėtų būti </w:t>
            </w:r>
            <w:r w:rsidRPr="00D33000">
              <w:rPr>
                <w:b/>
                <w:i/>
                <w:lang w:val="lt-LT"/>
              </w:rPr>
              <w:t>apsvarstyta, ar</w:t>
            </w:r>
            <w:r w:rsidRPr="00D33000">
              <w:rPr>
                <w:lang w:val="lt-LT"/>
              </w:rPr>
              <w:t xml:space="preserve"> žlungančios įstaigos arba subjekto likvidavimu iškeliant įprastinę bankroto bylą pertvarkymo tikslai būtų pasiekti </w:t>
            </w:r>
            <w:r w:rsidRPr="00D33000">
              <w:rPr>
                <w:b/>
                <w:i/>
                <w:lang w:val="lt-LT"/>
              </w:rPr>
              <w:t>taip pat,</w:t>
            </w:r>
            <w:r w:rsidRPr="00D33000">
              <w:rPr>
                <w:lang w:val="lt-LT"/>
              </w:rPr>
              <w:t xml:space="preserve"> kaip vykdant pertvarkymą;</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97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Markus Ferber, Herbert Dorfmann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20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(20)</w:t>
            </w:r>
            <w:r w:rsidRPr="00D33000">
              <w:rPr>
                <w:lang w:val="lt-LT"/>
              </w:rPr>
              <w:tab/>
              <w:t xml:space="preserve">siekiant užtikrinti, kad pertvarkymo tikslai būtų pasiekti kuo veiksmingiau, viešojo intereso vertinimo rezultatai turėtų būti neigiami </w:t>
            </w:r>
            <w:r w:rsidRPr="00D33000">
              <w:rPr>
                <w:b/>
                <w:i/>
                <w:lang w:val="lt-LT"/>
              </w:rPr>
              <w:t>tik tuo atveju</w:t>
            </w:r>
            <w:r w:rsidRPr="00D33000">
              <w:rPr>
                <w:lang w:val="lt-LT"/>
              </w:rPr>
              <w:t xml:space="preserve">, jei žlungančios įstaigos arba subjekto likvidavimu iškeliant įprastinę bankroto bylą pertvarkymo tikslai būtų pasiekti </w:t>
            </w:r>
            <w:r w:rsidRPr="00D33000">
              <w:rPr>
                <w:b/>
                <w:i/>
                <w:lang w:val="lt-LT"/>
              </w:rPr>
              <w:t>veiksmingiau, o ne tokiu pačiu mastu</w:t>
            </w:r>
            <w:r w:rsidRPr="00D33000">
              <w:rPr>
                <w:lang w:val="lt-LT"/>
              </w:rPr>
              <w:t xml:space="preserve"> kaip </w:t>
            </w:r>
            <w:r w:rsidRPr="00D33000">
              <w:rPr>
                <w:b/>
                <w:i/>
                <w:lang w:val="lt-LT"/>
              </w:rPr>
              <w:t>vykdant pertvarkymą</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(20)</w:t>
            </w:r>
            <w:r w:rsidRPr="00D33000">
              <w:rPr>
                <w:lang w:val="lt-LT"/>
              </w:rPr>
              <w:tab/>
              <w:t xml:space="preserve">siekiant užtikrinti, kad pertvarkymo tikslai būtų pasiekti kuo veiksmingiau, viešojo intereso vertinimo rezultatai turėtų būti neigiami, jei žlungančios įstaigos arba subjekto likvidavimu iškeliant įprastinę bankroto bylą pertvarkymo tikslai būtų pasiekti </w:t>
            </w:r>
            <w:r w:rsidRPr="00D33000">
              <w:rPr>
                <w:b/>
                <w:i/>
                <w:lang w:val="lt-LT"/>
              </w:rPr>
              <w:t>taip pat,</w:t>
            </w:r>
            <w:r w:rsidRPr="00D33000">
              <w:rPr>
                <w:lang w:val="lt-LT"/>
              </w:rPr>
              <w:t xml:space="preserve"> kaip </w:t>
            </w:r>
            <w:r w:rsidRPr="00D33000">
              <w:rPr>
                <w:b/>
                <w:i/>
                <w:lang w:val="lt-LT"/>
              </w:rPr>
              <w:t>pertvarkymo atveju</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98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21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(21)</w:t>
            </w:r>
            <w:r w:rsidRPr="00D33000">
              <w:rPr>
                <w:lang w:val="lt-LT"/>
              </w:rPr>
              <w:tab/>
              <w:t>atsižvelgiant į patirtį, įgytą įgyvendinant Direktyvą 2014/59/ES, Reglamentą (ES) Nr. 806/2014 ir Direktyvą 2014/49/ES, būtina dar labiau patikslinti sąlygas, kuriomis prevencinio pobūdžio priemonės, kurios laikomos nepaprastąja viešąja finansine parama, gali būti taikomos išimties tvarka. Siekiant kuo labiau sumažinti konkurencijos iškraipymus, atsirandančius dėl indėlių garantijų sistemų pobūdžio skirtumų Sąjungoje, išimties tvarka turėtų būti leidžiama imtis tokių sistemų intervencinių priemonių taikant prevencines priemones, atitinkančias Direktyvoje 2014/49/ES nustatytus reikalavimus ir laikomas nepaprastąja viešąja finansine parama, kai paramą gaunanti įstaiga arba subjektas neatitinka jokių sąlygų, kad galėtų būti laikomi žlungančiais arba galinčiais žlugti. Reikėtų užtikrinti, kad atsargumo priemonių būtų imamasi pakankamai anksti. Šiuo metu ECB savo nuomonę, kad įstaiga arba subjektas yra mokūs, prevencinio rekapitalizavimo tikslais grindžia perspektyviniu ateinančių 12 mėnesių vertinimu, ar įstaiga arba subjektas gali laikytis nuosavų lėšų reikalavimų, nustatytų Reglamente (ES) Nr. 575/2013 arba Reglamente (ES) 2019/2033, ir papildomų nuosavų lėšų reikalavimo, nustatyto Direktyvoje 2013/36/ES arba Direktyvoje (ES) 2019/2034. Ta praktika turėtų būti nustatyta Reglamente (ES) Nr. 806/2014. Be to, priemonės, kuriomis teikiama parama dėl nuvertėjusio turto, įskaitant turto valdymo įmones arba turto garantijų sistemas, gali būti veiksmingos ir efektyvios šalinant galimų finansinių sunkumų, su kuriais susiduria įstaigos ir subjektai, priežastis ir užkertant kelią jų žlugimui, todėl galėtų būti laikomos tinkamomis atsargumo priemonėmis. Todėl reikėtų patikslinti, kad tokios atsargumo priemonės gali būti taikomos kaip nuvertėjusio turto priemonės;</w:t>
            </w:r>
          </w:p>
        </w:tc>
        <w:tc>
          <w:tcPr>
            <w:tcW w:w="4876" w:type="dxa"/>
            <w:hideMark/>
          </w:tcPr>
          <w:p w:rsidR="000E7A9E" w:rsidRPr="00D33000" w:rsidRDefault="000E7A9E" w:rsidP="009E0AF6">
            <w:pPr>
              <w:pStyle w:val="Normal6"/>
              <w:rPr>
                <w:szCs w:val="24"/>
                <w:lang w:val="lt-LT"/>
              </w:rPr>
            </w:pPr>
            <w:r w:rsidRPr="00D33000">
              <w:rPr>
                <w:lang w:val="lt-LT"/>
              </w:rPr>
              <w:t>(21)</w:t>
            </w:r>
            <w:r w:rsidRPr="00D33000">
              <w:rPr>
                <w:lang w:val="lt-LT"/>
              </w:rPr>
              <w:tab/>
              <w:t xml:space="preserve">atsižvelgiant į patirtį, įgytą įgyvendinant Direktyvą 2014/59/ES, Reglamentą (ES) Nr. 806/2014 ir Direktyvą 2014/49/ES, </w:t>
            </w:r>
            <w:r w:rsidRPr="00D33000">
              <w:rPr>
                <w:b/>
                <w:i/>
                <w:lang w:val="lt-LT"/>
              </w:rPr>
              <w:t>ir nedarant poveikio klausimui, ar prevencinė priemonė pirmiausia yra nepaprastoji viešoji finansinė parama,</w:t>
            </w:r>
            <w:r w:rsidRPr="00D33000">
              <w:rPr>
                <w:lang w:val="lt-LT"/>
              </w:rPr>
              <w:t xml:space="preserve"> būtina dar labiau patikslinti sąlygas, kuriomis prevencinio pobūdžio priemonės, kurios laikomos nepaprastąja viešąja finansine parama, gali būti taikomos išimties tvarka. Siekiant kuo labiau sumažinti konkurencijos iškraipymus, atsirandančius dėl indėlių garantijų sistemų pobūdžio skirtumų Sąjungoje, išimties tvarka turėtų būti leidžiama imtis tokių sistemų intervencinių priemonių taikant prevencines priemones, atitinkančias Direktyvoje 2014/49/ES nustatytus reikalavimus ir laikomas nepaprastąja viešąja finansine parama, kai paramą gaunanti įstaiga arba subjektas neatitinka jokių sąlygų, kad galėtų būti laikomi žlungančiais arba galinčiais žlugti. Reikėtų užtikrinti, kad atsargumo priemonių būtų imamasi pakankamai anksti. Šiuo metu ECB savo nuomonę, kad įstaiga arba subjektas yra mokūs, prevencinio rekapitalizavimo tikslais grindžia perspektyviniu ateinančių 12 mėnesių vertinimu, ar įstaiga arba subjektas gali laikytis nuosavų lėšų reikalavimų, nustatytų Reglamente (ES) Nr. 575/2013 arba Reglamente (ES) 2019/2033, ir papildomų nuosavų lėšų reikalavimo, nustatyto Direktyvoje 2013/36/ES arba Direktyvoje (ES) 2019/2034. Ta praktika turėtų būti nustatyta Reglamente (ES) Nr. 806/2014. Be to, priemonės, kuriomis teikiama parama dėl nuvertėjusio turto, įskaitant turto valdymo įmones arba turto garantijų sistemas, gali būti veiksmingos ir efektyvios šalinant galimų finansinių sunkumų, su kuriais susiduria įstaigos ir subjektai, priežastis ir užkertant kelią jų žlugimui, todėl galėtų būti laikomos tinkamomis atsargumo priemonėmis. Todėl reikėtų patikslinti, kad tokios atsargumo priemonės gali būti taikomos kaip nuvertėjusio turto priemonės;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Reikėtų aiškiai nurodyti, kad nė viena iš naujai nustatytų valstybės pagalbos taisyklių, visų pirma BPeMR projekto 18a straipsnis, nėra skirtas atsargumo priemonėms pagal nustatytas valstybės pagalbos priemones klasifikuoti kaip valstybės pagalbą. Todėl reikėtų aiškiai nurodyti, kad šis klausimas lieka nepakitęs.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99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21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(21)</w:t>
            </w:r>
            <w:r w:rsidRPr="00D33000">
              <w:rPr>
                <w:lang w:val="lt-LT"/>
              </w:rPr>
              <w:tab/>
              <w:t xml:space="preserve">atsižvelgiant į patirtį, įgytą įgyvendinant Direktyvą 2014/59/ES, Reglamentą (ES) Nr. 806/2014 ir Direktyvą 2014/49/ES, būtina dar labiau patikslinti sąlygas, kuriomis prevencinio pobūdžio priemonės, kurios laikomos nepaprastąja viešąja finansine parama, gali būti taikomos išimties tvarka. Siekiant kuo labiau sumažinti konkurencijos iškraipymus, atsirandančius dėl indėlių garantijų sistemų pobūdžio skirtumų Sąjungoje, išimties tvarka turėtų būti leidžiama imtis tokių sistemų intervencinių priemonių taikant prevencines priemones, atitinkančias Direktyvoje 2014/49/ES nustatytus reikalavimus ir laikomas nepaprastąja viešąja finansine parama, kai paramą gaunanti įstaiga arba subjektas </w:t>
            </w:r>
            <w:r w:rsidRPr="00D33000">
              <w:rPr>
                <w:b/>
                <w:i/>
                <w:lang w:val="lt-LT"/>
              </w:rPr>
              <w:t>neatitinka jokių sąlygų, kad galėtų būti laikomi</w:t>
            </w:r>
            <w:r w:rsidRPr="00D33000">
              <w:rPr>
                <w:lang w:val="lt-LT"/>
              </w:rPr>
              <w:t xml:space="preserve"> žlungančiais arba galinčiais žlugti. Reikėtų užtikrinti, kad atsargumo priemonių būtų imamasi pakankamai anksti. Šiuo metu ECB savo nuomonę, kad įstaiga arba subjektas yra mokūs, prevencinio rekapitalizavimo tikslais grindžia perspektyviniu ateinančių 12 mėnesių vertinimu, ar įstaiga arba subjektas gali laikytis nuosavų lėšų reikalavimų, nustatytų Reglamente (ES) Nr. 575/2013 arba Reglamente (ES) 2019/2033, ir papildomų nuosavų lėšų reikalavimo, nustatyto Direktyvoje 2013/36/ES arba Direktyvoje (ES) 2019/2034. Ta praktika turėtų būti </w:t>
            </w:r>
            <w:r w:rsidRPr="00D33000">
              <w:rPr>
                <w:b/>
                <w:i/>
                <w:lang w:val="lt-LT"/>
              </w:rPr>
              <w:t>nustatyta</w:t>
            </w:r>
            <w:r w:rsidRPr="00D33000">
              <w:rPr>
                <w:lang w:val="lt-LT"/>
              </w:rPr>
              <w:t xml:space="preserve"> Reglamente (ES) Nr. 806/2014. Be to, priemonės, kuriomis teikiama parama dėl nuvertėjusio turto, įskaitant turto valdymo įmones arba turto garantijų sistemas, gali būti veiksmingos ir efektyvios šalinant galimų finansinių sunkumų, su kuriais susiduria įstaigos ir subjektai, priežastis ir užkertant kelią jų žlugimui, todėl galėtų būti laikomos tinkamomis atsargumo priemonėmis. Todėl reikėtų patikslinti, kad tokios atsargumo priemonės gali būti taikomos kaip nuvertėjusio turto priemonės;</w:t>
            </w:r>
          </w:p>
        </w:tc>
        <w:tc>
          <w:tcPr>
            <w:tcW w:w="4876" w:type="dxa"/>
            <w:hideMark/>
          </w:tcPr>
          <w:p w:rsidR="000E7A9E" w:rsidRPr="00D33000" w:rsidRDefault="000E7A9E" w:rsidP="009E0AF6">
            <w:pPr>
              <w:pStyle w:val="Normal6"/>
              <w:rPr>
                <w:szCs w:val="24"/>
                <w:lang w:val="lt-LT"/>
              </w:rPr>
            </w:pPr>
            <w:r w:rsidRPr="00D33000">
              <w:rPr>
                <w:lang w:val="lt-LT"/>
              </w:rPr>
              <w:t>(21)</w:t>
            </w:r>
            <w:r w:rsidRPr="00D33000">
              <w:rPr>
                <w:lang w:val="lt-LT"/>
              </w:rPr>
              <w:tab/>
              <w:t xml:space="preserve">atsižvelgiant į patirtį, įgytą įgyvendinant Direktyvą 2014/59/ES, Reglamentą (ES) Nr. 806/2014 ir Direktyvą 2014/49/ES, būtina dar labiau patikslinti sąlygas, kuriomis prevencinio pobūdžio priemonės, kurios laikomos nepaprastąja viešąja finansine parama, gali būti taikomos išimties tvarka. Siekiant kuo labiau sumažinti konkurencijos iškraipymus, atsirandančius dėl indėlių garantijų sistemų pobūdžio skirtumų Sąjungoje, išimties tvarka turėtų būti leidžiama imtis tokių sistemų intervencinių priemonių taikant prevencines priemones, atitinkančias Direktyvoje 2014/49/ES nustatytus reikalavimus ir laikomas nepaprastąja viešąja finansine parama, kai paramą gaunanti įstaiga arba subjektas </w:t>
            </w:r>
            <w:r w:rsidRPr="00D33000">
              <w:rPr>
                <w:b/>
                <w:i/>
                <w:lang w:val="lt-LT"/>
              </w:rPr>
              <w:t>nebuvo paskelbti</w:t>
            </w:r>
            <w:r w:rsidRPr="00D33000">
              <w:rPr>
                <w:lang w:val="lt-LT"/>
              </w:rPr>
              <w:t xml:space="preserve"> žlungančiais arba galinčiais žlugti.</w:t>
            </w:r>
            <w:r w:rsidRPr="00D33000">
              <w:rPr>
                <w:b/>
                <w:i/>
                <w:lang w:val="lt-LT"/>
              </w:rPr>
              <w:t xml:space="preserve"> Reikėtų užtikrinti, kad atsargumo priemonių būtų imamasi pakankamai anksti žlungančioms arba galinčioms žlugti įstaigoms.</w:t>
            </w:r>
            <w:r w:rsidRPr="00D33000">
              <w:rPr>
                <w:lang w:val="lt-LT"/>
              </w:rPr>
              <w:t xml:space="preserve"> Reikėtų užtikrinti, kad atsargumo priemonių būtų imamasi pakankamai anksti. Šiuo metu ECB savo nuomonę, kad įstaiga arba subjektas yra mokūs, prevencinio rekapitalizavimo tikslais grindžia perspektyviniu ateinančių 12 mėnesių vertinimu, ar įstaiga arba subjektas gali laikytis nuosavų lėšų reikalavimų, nustatytų Reglamente (ES) Nr. 575/2013 arba Reglamente (ES) 2019/2033, ir papildomų nuosavų lėšų reikalavimo, nustatyto Direktyvoje 2013/36/ES arba Direktyvoje (ES) 2019/2034. Ta praktika turėtų būti </w:t>
            </w:r>
            <w:r w:rsidRPr="00D33000">
              <w:rPr>
                <w:b/>
                <w:i/>
                <w:lang w:val="lt-LT"/>
              </w:rPr>
              <w:t>patikslinta</w:t>
            </w:r>
            <w:r w:rsidRPr="00D33000">
              <w:rPr>
                <w:lang w:val="lt-LT"/>
              </w:rPr>
              <w:t xml:space="preserve"> Reglamente (ES) Nr. 806/2014. Be to, priemonės, kuriomis teikiama parama dėl nuvertėjusio turto, įskaitant turto valdymo įmones arba turto garantijų sistemas, gali būti veiksmingos ir efektyvios šalinant galimų finansinių sunkumų, su kuriais susiduria įstaigos ir subjektai, priežastis ir užkertant kelią jų žlugimui, todėl galėtų būti laikomos tinkamomis atsargumo priemonėmis. Todėl reikėtų patikslinti, kad tokios atsargumo priemonės gali būti taikomos kaip nuvertėjusio turto priemonės;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100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Irene Tinagli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21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(21)</w:t>
            </w:r>
            <w:r w:rsidRPr="00D33000">
              <w:rPr>
                <w:lang w:val="lt-LT"/>
              </w:rPr>
              <w:tab/>
              <w:t xml:space="preserve">atsižvelgiant į patirtį, įgytą įgyvendinant Direktyvą 2014/59/ES, Reglamentą (ES) Nr. 806/2014 ir Direktyvą 2014/49/ES, būtina dar labiau patikslinti sąlygas, kuriomis prevencinio pobūdžio priemonės, kurios laikomos nepaprastąja viešąja finansine parama, gali būti taikomos išimties tvarka. Siekiant kuo labiau sumažinti konkurencijos iškraipymus, atsirandančius dėl indėlių garantijų sistemų pobūdžio skirtumų Sąjungoje, išimties tvarka turėtų būti leidžiama imtis tokių sistemų intervencinių priemonių taikant prevencines priemones, atitinkančias Direktyvoje 2014/49/ES nustatytus reikalavimus ir laikomas nepaprastąja viešąja finansine parama, kai paramą gaunanti įstaiga arba subjektas </w:t>
            </w:r>
            <w:r w:rsidRPr="00D33000">
              <w:rPr>
                <w:b/>
                <w:i/>
                <w:lang w:val="lt-LT"/>
              </w:rPr>
              <w:t>neatitinka jokių sąlygų, kad galėtų būti laikomi</w:t>
            </w:r>
            <w:r w:rsidRPr="00D33000">
              <w:rPr>
                <w:lang w:val="lt-LT"/>
              </w:rPr>
              <w:t xml:space="preserve"> žlungančiais arba galinčiais žlugti. Reikėtų užtikrinti, kad atsargumo priemonių būtų imamasi pakankamai anksti. Šiuo metu ECB savo nuomonę, kad įstaiga arba subjektas yra mokūs, prevencinio rekapitalizavimo tikslais grindžia perspektyviniu ateinančių 12 mėnesių vertinimu, ar įstaiga arba subjektas gali laikytis nuosavų lėšų reikalavimų, nustatytų Reglamente (ES) Nr. 575/2013 arba Reglamente (ES) 2019/2033, ir papildomų nuosavų lėšų reikalavimo, nustatyto Direktyvoje 2013/36/ES arba Direktyvoje (ES) 2019/2034. Ta praktika turėtų būti </w:t>
            </w:r>
            <w:r w:rsidRPr="00D33000">
              <w:rPr>
                <w:b/>
                <w:i/>
                <w:lang w:val="lt-LT"/>
              </w:rPr>
              <w:t>nustatyta</w:t>
            </w:r>
            <w:r w:rsidRPr="00D33000">
              <w:rPr>
                <w:lang w:val="lt-LT"/>
              </w:rPr>
              <w:t xml:space="preserve"> Reglamente (ES) Nr. 806/2014. Be to, priemonės, kuriomis teikiama parama dėl nuvertėjusio turto, įskaitant turto valdymo įmones arba turto garantijų sistemas, gali būti veiksmingos ir efektyvios šalinant galimų finansinių sunkumų, su kuriais susiduria įstaigos ir subjektai, priežastis ir užkertant kelią jų žlugimui, todėl galėtų būti laikomos tinkamomis atsargumo priemonėmis. Todėl reikėtų patikslinti, kad tokios atsargumo priemonės gali būti taikomos kaip nuvertėjusio turto priemonės;</w:t>
            </w:r>
          </w:p>
        </w:tc>
        <w:tc>
          <w:tcPr>
            <w:tcW w:w="4876" w:type="dxa"/>
            <w:hideMark/>
          </w:tcPr>
          <w:p w:rsidR="000E7A9E" w:rsidRPr="00D33000" w:rsidRDefault="000E7A9E" w:rsidP="009E0AF6">
            <w:pPr>
              <w:pStyle w:val="Normal6"/>
              <w:rPr>
                <w:szCs w:val="24"/>
                <w:lang w:val="lt-LT"/>
              </w:rPr>
            </w:pPr>
            <w:r w:rsidRPr="00D33000">
              <w:rPr>
                <w:lang w:val="lt-LT"/>
              </w:rPr>
              <w:t>(21)</w:t>
            </w:r>
            <w:r w:rsidRPr="00D33000">
              <w:rPr>
                <w:lang w:val="lt-LT"/>
              </w:rPr>
              <w:tab/>
              <w:t xml:space="preserve">atsižvelgiant į patirtį, įgytą įgyvendinant Direktyvą 2014/59/ES, Reglamentą (ES) Nr. 806/2014 ir Direktyvą 2014/49/ES, būtina dar labiau patikslinti sąlygas, kuriomis prevencinio pobūdžio priemonės, kurios laikomos nepaprastąja viešąja finansine parama, gali būti taikomos išimties tvarka. Siekiant kuo labiau sumažinti konkurencijos iškraipymus, atsirandančius dėl indėlių garantijų sistemų pobūdžio skirtumų Sąjungoje, išimties tvarka turėtų būti leidžiama imtis tokių sistemų intervencinių priemonių taikant prevencines priemones, atitinkančias Direktyvoje 2014/49/ES nustatytus reikalavimus ir laikomas nepaprastąja viešąja finansine parama, kai paramą gaunanti įstaiga arba subjektas </w:t>
            </w:r>
            <w:r w:rsidRPr="00D33000">
              <w:rPr>
                <w:b/>
                <w:i/>
                <w:lang w:val="lt-LT"/>
              </w:rPr>
              <w:t>nebuvo paskelbti</w:t>
            </w:r>
            <w:r w:rsidRPr="00D33000">
              <w:rPr>
                <w:lang w:val="lt-LT"/>
              </w:rPr>
              <w:t xml:space="preserve"> žlungančiais arba galinčiais žlugti. Reikėtų užtikrinti, kad atsargumo priemonių būtų imamasi pakankamai anksti. Šiuo metu ECB savo nuomonę, kad įstaiga arba subjektas yra mokūs, prevencinio rekapitalizavimo tikslais grindžia perspektyviniu ateinančių 12 mėnesių vertinimu, ar įstaiga arba subjektas gali laikytis nuosavų lėšų reikalavimų, nustatytų Reglamente (ES) Nr. 575/2013 arba Reglamente (ES) 2019/2033, ir papildomų nuosavų lėšų reikalavimo, nustatyto Direktyvoje 2013/36/ES arba Direktyvoje (ES) 2019/2034. Ta praktika turėtų būti </w:t>
            </w:r>
            <w:r w:rsidRPr="00D33000">
              <w:rPr>
                <w:b/>
                <w:i/>
                <w:lang w:val="lt-LT"/>
              </w:rPr>
              <w:t>patikslinta</w:t>
            </w:r>
            <w:r w:rsidRPr="00D33000">
              <w:rPr>
                <w:lang w:val="lt-LT"/>
              </w:rPr>
              <w:t xml:space="preserve"> Reglamente (ES) Nr. 806/2014. Be to, priemonės, kuriomis teikiama parama dėl nuvertėjusio turto, įskaitant turto valdymo įmones arba turto garantijų sistemas, gali būti veiksmingos ir efektyvios šalinant galimų finansinių sunkumų, su kuriais susiduria įstaigos ir subjektai, priežastis ir užkertant kelią jų žlugimui, todėl galėtų būti laikomos tinkamomis atsargumo priemonėmis. Todėl reikėtų patikslinti, kad tokios atsargumo priemonės gali būti taikomos kaip nuvertėjusio turto priemonės;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101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22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(22)</w:t>
            </w:r>
            <w:r w:rsidRPr="00D33000">
              <w:rPr>
                <w:lang w:val="lt-LT"/>
              </w:rPr>
              <w:tab/>
              <w:t>siekiant išlaikyti rinkos drausmę, apsaugoti viešąsias lėšas ir išvengti konkurencijos iškraipymų, atsargumo priemonės turėtų likti išimtimi ir būti taikomos tik tais atvejais, kai rinka labai sutrikdoma, arba siekiant išsaugoti finansinį stabilumą. Be to, atsargumo priemonės neturėtų būti taikomos patirtiems ar galimiems nuostoliams padengti. Patikimiausia priemonė patirtiems arba galimiems nuostoliams nustatyti yra ECB, Europos priežiūros institucijos (Europos bankininkystės institucijos, EBI), įsteigtos Europos Parlamento ir Tarybos reglamentu (ES) Nr. 1093/2010</w:t>
            </w:r>
            <w:r w:rsidRPr="00D33000">
              <w:rPr>
                <w:b/>
                <w:i/>
                <w:vertAlign w:val="superscript"/>
                <w:lang w:val="lt-LT"/>
              </w:rPr>
              <w:t>34</w:t>
            </w:r>
            <w:r w:rsidRPr="00D33000">
              <w:rPr>
                <w:lang w:val="lt-LT"/>
              </w:rPr>
              <w:t>, arba nacionalinių kompetentingų institucijų atliekamas turto kokybės patikrinimas. ECB ir nacionalinės kompetentingos institucijos turėtų pasinaudoti tokiu patikrinimu, kad nustatytų patirtus arba galimus nuostolius, jei toks patikrinimas gali būti atliktas per pagrįstą laikotarpį. Jei tai neįmanoma, ECB ir nacionalinės kompetentingos institucijos turėtų kuo patikimiau nustatyti patirtus arba galimus nuostolius esamomis aplinkybėmis, prireikus remdamiesi patikrinimais vietoje;</w:t>
            </w:r>
          </w:p>
        </w:tc>
        <w:tc>
          <w:tcPr>
            <w:tcW w:w="4876" w:type="dxa"/>
            <w:hideMark/>
          </w:tcPr>
          <w:p w:rsidR="000E7A9E" w:rsidRPr="00D33000" w:rsidRDefault="000E7A9E" w:rsidP="009E0AF6">
            <w:pPr>
              <w:pStyle w:val="Normal6"/>
              <w:rPr>
                <w:szCs w:val="24"/>
                <w:lang w:val="lt-LT"/>
              </w:rPr>
            </w:pPr>
            <w:r w:rsidRPr="00D33000">
              <w:rPr>
                <w:lang w:val="lt-LT"/>
              </w:rPr>
              <w:t>(22)</w:t>
            </w:r>
            <w:r w:rsidRPr="00D33000">
              <w:rPr>
                <w:lang w:val="lt-LT"/>
              </w:rPr>
              <w:tab/>
              <w:t xml:space="preserve">siekiant išlaikyti rinkos drausmę, apsaugoti viešąsias lėšas ir išvengti konkurencijos iškraipymų, atsargumo priemonės turėtų likti išimtimi ir būti taikomos tik tais atvejais, kai rinka labai sutrikdoma, arba siekiant išsaugoti finansinį stabilumą </w:t>
            </w:r>
            <w:r w:rsidRPr="00D33000">
              <w:rPr>
                <w:b/>
                <w:i/>
                <w:lang w:val="lt-LT"/>
              </w:rPr>
              <w:t>ir naudoti tik turimas sektoriaus finansuojamų apsaugos priemonių lėšas</w:t>
            </w:r>
            <w:r w:rsidRPr="00D33000">
              <w:rPr>
                <w:lang w:val="lt-LT"/>
              </w:rPr>
              <w:t xml:space="preserve">. Be to, atsargumo priemonės neturėtų būti taikomos patirtiems ar galimiems nuostoliams padengti. Patikimiausia priemonė patirtiems arba galimiems nuostoliams nustatyti yra ECB, Europos priežiūros institucijos (Europos bankininkystės institucijos, EBI), įsteigtos Europos Parlamento ir Tarybos reglamentu (ES) Nr. 1093/2010, arba nacionalinių kompetentingų institucijų atliekamas turto kokybės patikrinimas. ECB ir nacionalinės kompetentingos institucijos turėtų pasinaudoti tokiu patikrinimu, kad nustatytų patirtus arba galimus nuostolius, jei toks patikrinimas gali būti atliktas per pagrįstą laikotarpį. Jei tai neįmanoma, ECB ir nacionalinės kompetentingos institucijos turėtų kuo patikimiau nustatyti patirtus arba galimus nuostolius esamomis aplinkybėmis, prireikus remdamiesi patikrinimais vietoje; </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__________________</w:t>
            </w:r>
          </w:p>
        </w:tc>
        <w:tc>
          <w:tcPr>
            <w:tcW w:w="4876" w:type="dxa"/>
            <w:hideMark/>
          </w:tcPr>
          <w:p w:rsidR="000E7A9E" w:rsidRPr="00D33000" w:rsidRDefault="000E7A9E" w:rsidP="009E0AF6">
            <w:pPr>
              <w:pStyle w:val="Normal6"/>
              <w:rPr>
                <w:szCs w:val="24"/>
                <w:lang w:val="lt-LT"/>
              </w:rPr>
            </w:pPr>
            <w:r w:rsidRPr="00D33000">
              <w:rPr>
                <w:lang w:val="lt-LT"/>
              </w:rPr>
              <w:t>__________________</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vertAlign w:val="superscript"/>
                <w:lang w:val="lt-LT"/>
              </w:rPr>
              <w:t>34</w:t>
            </w:r>
            <w:r w:rsidRPr="00D33000">
              <w:rPr>
                <w:lang w:val="lt-LT"/>
              </w:rPr>
              <w:t xml:space="preserve"> 2010 m. lapkričio 24 d. Europos Parlamento ir Tarybos reglamentas (ES) Nr. 1093/2010, kuriuo įsteigiama Europos priežiūros institucija (Europos bankininkystės institucija), iš dalies keičiamas Sprendimas Nr. 716/2009/EB ir panaikinamas Komisijos sprendimas 2009/78/EB (OL L 331, 2010 12 15, p. 12).</w:t>
            </w:r>
          </w:p>
        </w:tc>
        <w:tc>
          <w:tcPr>
            <w:tcW w:w="4876" w:type="dxa"/>
            <w:hideMark/>
          </w:tcPr>
          <w:p w:rsidR="000E7A9E" w:rsidRPr="00D33000" w:rsidRDefault="000E7A9E" w:rsidP="009E0AF6">
            <w:pPr>
              <w:pStyle w:val="Normal6"/>
              <w:rPr>
                <w:szCs w:val="24"/>
                <w:lang w:val="lt-LT"/>
              </w:rPr>
            </w:pPr>
            <w:r w:rsidRPr="00D33000">
              <w:rPr>
                <w:vertAlign w:val="superscript"/>
                <w:lang w:val="lt-LT"/>
              </w:rPr>
              <w:t>34</w:t>
            </w:r>
            <w:r w:rsidRPr="00D33000">
              <w:rPr>
                <w:lang w:val="lt-LT"/>
              </w:rPr>
              <w:t xml:space="preserve"> 2010 m. lapkričio 24 d. Europos Parlamento ir Tarybos reglamentas (ES) Nr. 1093/2010, kuriuo įsteigiama Europos priežiūros institucija (Europos bankininkystės institucija), iš dalies keičiamas Sprendimas Nr. 716/2009/EB ir panaikinamas Komisijos sprendimas 2009/78/EB (OL L 331, 2010 12 15, p. 12).</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102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23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(23)</w:t>
            </w:r>
            <w:r w:rsidRPr="00D33000">
              <w:rPr>
                <w:lang w:val="lt-LT"/>
              </w:rPr>
              <w:tab/>
              <w:t xml:space="preserve">prevenciniu rekapitalizavimu siekiama remti gyvybingas įstaigas ir subjektus, kurie, kaip nustatyta, artimiausiu metu gali susidurti su laikinais sunkumais, ir užkirsti kelią tolesniam jų būklės blogėjimui. Siekiant išvengti viešųjų subsidijų teikimo įmonėms, kurios teikiant paramą jau yra nepelningos, atsargumo priemonės, kurias taikant įsigyjamos nuosavų lėšų priemonės arba kitos kapitalo priemonės arba taikomos nuvertėjusio turto priemonės, neturėtų viršyti sumos, būtinos padengti kapitalo trūkumui, nustatytam atliekant testavimą nepalankiausiomis sąlygomis arba lygiavertę veiklą pagal nepalankųjį scenarijų. Siekiant užtikrinti, kad viešasis finansavimas galiausiai būtų nutrauktas, tos atsargumo priemonės taip pat turėtų būti ribotos trukmės ir jose turėtų būti nustatytas aiškus jų nutraukimo tvarkaraštis (pasitraukimo strategija). </w:t>
            </w:r>
            <w:r w:rsidRPr="00D33000">
              <w:rPr>
                <w:b/>
                <w:i/>
                <w:lang w:val="lt-LT"/>
              </w:rPr>
              <w:t>Nuolatinės priemonės, įskaitant bendrą 1 lygio nuosavą kapitalą, turėtų būti naudojamos tik išskirtinėmis aplinkybėmis ir joms turėtų būti taikomos tam tikros kiekybinės ribos, nes dėl jų pobūdžio jas taikant sunku laikytis laikino taikymo sąlygos;</w:t>
            </w:r>
          </w:p>
        </w:tc>
        <w:tc>
          <w:tcPr>
            <w:tcW w:w="4876" w:type="dxa"/>
            <w:hideMark/>
          </w:tcPr>
          <w:p w:rsidR="000E7A9E" w:rsidRPr="00D33000" w:rsidRDefault="000E7A9E" w:rsidP="009E0AF6">
            <w:pPr>
              <w:pStyle w:val="Normal6"/>
              <w:rPr>
                <w:szCs w:val="24"/>
                <w:lang w:val="lt-LT"/>
              </w:rPr>
            </w:pPr>
            <w:r w:rsidRPr="00D33000">
              <w:rPr>
                <w:lang w:val="lt-LT"/>
              </w:rPr>
              <w:t>(23)</w:t>
            </w:r>
            <w:r w:rsidRPr="00D33000">
              <w:rPr>
                <w:lang w:val="lt-LT"/>
              </w:rPr>
              <w:tab/>
              <w:t>prevenciniu rekapitalizavimu siekiama remti gyvybingas įstaigas ir subjektus, kurie, kaip nustatyta, artimiausiu metu gali susidurti su laikinais sunkumais, ir užkirsti kelią tolesniam jų būklės blogėjimui. Siekiant išvengti viešųjų subsidijų teikimo įmonėms, kurios teikiant paramą jau yra nepelningos, atsargumo priemonės, kurias taikant įsigyjamos nuosavų lėšų priemonės arba kitos kapitalo priemonės arba taikomos nuvertėjusio turto priemonės, neturėtų viršyti sumos, būtinos padengti kapitalo trūkumui, nustatytam atliekant testavimą nepalankiausiomis sąlygomis arba lygiavertę veiklą pagal nepalankųjį scenarijų. Siekiant užtikrinti, kad viešasis finansavimas galiausiai būtų nutrauktas, tos atsargumo priemonės taip pat turėtų būti ribotos trukmės ir jose turėtų būti nustatytas aiškus jų nutraukimo tvarkaraštis (pasitraukimo strategija).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103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23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(23)</w:t>
            </w:r>
            <w:r w:rsidRPr="00D33000">
              <w:rPr>
                <w:lang w:val="lt-LT"/>
              </w:rPr>
              <w:tab/>
              <w:t xml:space="preserve">prevenciniu rekapitalizavimu siekiama remti gyvybingas įstaigas ir subjektus, kurie, kaip nustatyta, artimiausiu metu gali susidurti su laikinais sunkumais, ir užkirsti kelią tolesniam jų būklės blogėjimui. Siekiant išvengti </w:t>
            </w:r>
            <w:r w:rsidRPr="00D33000">
              <w:rPr>
                <w:b/>
                <w:i/>
                <w:lang w:val="lt-LT"/>
              </w:rPr>
              <w:t>viešųjų subsidijų</w:t>
            </w:r>
            <w:r w:rsidRPr="00D33000">
              <w:rPr>
                <w:lang w:val="lt-LT"/>
              </w:rPr>
              <w:t xml:space="preserve"> teikimo įmonėms, kurios teikiant paramą jau yra nepelningos, atsargumo priemonės, kurias taikant įsigyjamos nuosavų lėšų priemonės arba kitos kapitalo priemonės arba taikomos nuvertėjusio turto priemonės, neturėtų viršyti sumos, būtinos padengti kapitalo trūkumui, nustatytam atliekant testavimą nepalankiausiomis sąlygomis arba lygiavertę veiklą pagal nepalankųjį scenarijų. Siekiant užtikrinti, kad viešasis finansavimas galiausiai būtų nutrauktas, tos atsargumo priemonės taip pat turėtų būti ribotos trukmės ir jose turėtų būti nustatytas aiškus jų nutraukimo tvarkaraštis (pasitraukimo strategija). Nuolatinės priemonės, įskaitant bendrą 1 lygio nuosavą kapitalą, turėtų būti naudojamos tik išskirtinėmis aplinkybėmis ir joms turėtų būti taikomos tam tikros kiekybinės ribos, nes dėl jų pobūdžio jas taikant sunku laikytis laikino taikymo sąlygos;</w:t>
            </w:r>
          </w:p>
        </w:tc>
        <w:tc>
          <w:tcPr>
            <w:tcW w:w="4876" w:type="dxa"/>
            <w:hideMark/>
          </w:tcPr>
          <w:p w:rsidR="000E7A9E" w:rsidRPr="00D33000" w:rsidRDefault="000E7A9E" w:rsidP="009E0AF6">
            <w:pPr>
              <w:pStyle w:val="Normal6"/>
              <w:rPr>
                <w:szCs w:val="24"/>
                <w:lang w:val="lt-LT"/>
              </w:rPr>
            </w:pPr>
            <w:r w:rsidRPr="00D33000">
              <w:rPr>
                <w:lang w:val="lt-LT"/>
              </w:rPr>
              <w:t>(23)</w:t>
            </w:r>
            <w:r w:rsidRPr="00D33000">
              <w:rPr>
                <w:lang w:val="lt-LT"/>
              </w:rPr>
              <w:tab/>
              <w:t xml:space="preserve">prevenciniu rekapitalizavimu siekiama remti gyvybingas įstaigas ir subjektus, kurie, kaip nustatyta, artimiausiu metu gali susidurti su laikinais sunkumais, ir užkirsti kelią tolesniam jų būklės blogėjimui. Siekiant išvengti </w:t>
            </w:r>
            <w:r w:rsidRPr="00D33000">
              <w:rPr>
                <w:b/>
                <w:i/>
                <w:lang w:val="lt-LT"/>
              </w:rPr>
              <w:t>sektoriaus finansuojamų apsaugos priemonių</w:t>
            </w:r>
            <w:r w:rsidRPr="00D33000">
              <w:rPr>
                <w:lang w:val="lt-LT"/>
              </w:rPr>
              <w:t xml:space="preserve"> teikimo įmonėms, kurios teikiant paramą jau yra nepelningos, atsargumo priemonės, kurias taikant įsigyjamos nuosavų lėšų priemonės arba kitos kapitalo priemonės arba taikomos nuvertėjusio turto priemonės, neturėtų viršyti sumos, būtinos padengti kapitalo trūkumui, nustatytam atliekant testavimą nepalankiausiomis sąlygomis arba lygiavertę veiklą pagal nepalankųjį scenarijų. Siekiant užtikrinti, kad viešasis finansavimas galiausiai būtų nutrauktas, tos atsargumo priemonės taip pat turėtų būti ribotos trukmės ir jose turėtų būti nustatytas aiškus jų nutraukimo tvarkaraštis (pasitraukimo strategija). Nuolatinės priemonės, įskaitant bendrą 1 lygio nuosavą kapitalą, turėtų būti naudojamos tik išskirtinėmis aplinkybėmis ir joms turėtų būti taikomos tam tikros kiekybinės ribos, nes dėl jų pobūdžio jas taikant sunku laikytis laikino taikymo sąlygos;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104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24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(24)</w:t>
            </w:r>
            <w:r w:rsidRPr="00D33000">
              <w:rPr>
                <w:lang w:val="lt-LT"/>
              </w:rPr>
              <w:tab/>
              <w:t>atsargumo priemonės turėtų būti taikomos tik tokiu mastu, kad įstaiga arba subjektas galėtų išlikti mokus nepalankiojo scenarijaus atveju, kaip nustatyta atliekant testavimą nepalankiausiomis sąlygomis arba lygiavertę veiklą. Kai atsargumo priemonės taikomos kaip nuvertėjusio turto priemonės, paramą gaunanti įstaiga arba subjektas turėtų galėti panaudoti tą sumą nuostoliams, susijusiems su perduotu turtu, padengti arba tuo pačiu metu įsigyjant kapitalo priemones, su sąlyga, kad neviršijama bendra nustatyto trūkumo suma. Taip pat būtina užtikrinti, kad tokios atsargumo priemonės, t. y. nuvertėjusio turto priemonės, atitiktų galiojančias valstybės pagalbos taisykles ir geriausią patirtį, kad jomis būtų atkurtas įstaigos arba subjekto ilgalaikis gyvybingumas, valstybės pagalba būtų apribota iki būtino minimumo ir būtų išvengta konkurencijos iškraipymų. Dėl šių priežasčių, kai atitinkamų institucijų taikomos atsargumo priemonės yra nuvertėjusio turto priemonės, tos institucijos turėtų atsižvelgti į konkrečias gaires, įskaitant turto valdymo įmonės steigimo gaires</w:t>
            </w:r>
            <w:r w:rsidRPr="00D33000">
              <w:rPr>
                <w:vertAlign w:val="superscript"/>
                <w:lang w:val="lt-LT"/>
              </w:rPr>
              <w:t>35</w:t>
            </w:r>
            <w:r w:rsidRPr="00D33000">
              <w:rPr>
                <w:lang w:val="lt-LT"/>
              </w:rPr>
              <w:t xml:space="preserve"> ir komunikatą dėl neveiksnių paskolų problemos sprendimo</w:t>
            </w:r>
            <w:r w:rsidRPr="00D33000">
              <w:rPr>
                <w:vertAlign w:val="superscript"/>
                <w:lang w:val="lt-LT"/>
              </w:rPr>
              <w:t>36</w:t>
            </w:r>
            <w:r w:rsidRPr="00D33000">
              <w:rPr>
                <w:lang w:val="lt-LT"/>
              </w:rPr>
              <w:t xml:space="preserve">. Toms atsargumo priemonėms, t. y. nuvertėjusio turto priemonėms, taip pat visada turėtų būti taikoma privalomoji laikino taikymo sąlyga. Tikimasi, kad konkrečiam laikotarpiui suteiktomis valstybės garantijomis, susijusiomis su atitinkamos įstaigos ar subjekto nuvertėjusiu turtu, bus užtikrinama geresnė atitiktis laikinumo sąlygai nei tokio turto perdavimo valstybės remiamam subjektui atveju. </w:t>
            </w:r>
            <w:r w:rsidRPr="00D33000">
              <w:rPr>
                <w:b/>
                <w:i/>
                <w:lang w:val="lt-LT"/>
              </w:rPr>
              <w:t>Siekiant užtikrinti įstaigų ir subjektų, kurie, nepaisant gautos paramos, pasirodė esantys negyvybingi, pasitraukimą iš rinkos, būtina nustatyti, kad dėl to, jog atitinkama įstaiga ar subjektas nesilaiko paramos priemonių sąlygų, nustatytų tokių priemonių suteikimo metu, atitinkama įstaiga arba subjektas turėtų būti laikomi žlungančiais arba galinčiais žlugti;</w:t>
            </w:r>
          </w:p>
        </w:tc>
        <w:tc>
          <w:tcPr>
            <w:tcW w:w="4876" w:type="dxa"/>
            <w:hideMark/>
          </w:tcPr>
          <w:p w:rsidR="000E7A9E" w:rsidRPr="00D33000" w:rsidRDefault="000E7A9E" w:rsidP="009E0AF6">
            <w:pPr>
              <w:pStyle w:val="Normal6"/>
              <w:rPr>
                <w:szCs w:val="24"/>
                <w:lang w:val="lt-LT"/>
              </w:rPr>
            </w:pPr>
            <w:r w:rsidRPr="00D33000">
              <w:rPr>
                <w:lang w:val="lt-LT"/>
              </w:rPr>
              <w:t>(24)</w:t>
            </w:r>
            <w:r w:rsidRPr="00D33000">
              <w:rPr>
                <w:lang w:val="lt-LT"/>
              </w:rPr>
              <w:tab/>
              <w:t>atsargumo priemonės turėtų būti taikomos tik tokiu mastu, kad įstaiga arba subjektas galėtų išlikti mokus nepalankiojo scenarijaus atveju, kaip nustatyta atliekant testavimą nepalankiausiomis sąlygomis arba lygiavertę veiklą. Kai atsargumo priemonės taikomos kaip nuvertėjusio turto priemonės, paramą gaunanti įstaiga arba subjektas turėtų galėti panaudoti tą sumą nuostoliams, susijusiems su perduotu turtu, padengti arba tuo pačiu metu įsigyjant kapitalo priemones, su sąlyga, kad neviršijama bendra nustatyto trūkumo suma. Taip pat būtina užtikrinti, kad tokios atsargumo priemonės, t. y. nuvertėjusio turto priemonės, atitiktų galiojančias valstybės pagalbos taisykles ir geriausią patirtį, kad jomis būtų atkurtas įstaigos arba subjekto ilgalaikis gyvybingumas, valstybės pagalba būtų apribota iki būtino minimumo ir būtų išvengta konkurencijos iškraipymų. Dėl šių priežasčių, kai atitinkamų institucijų taikomos atsargumo priemonės yra nuvertėjusio turto priemonės, tos institucijos turėtų atsižvelgti į konkrečias gaires, įskaitant turto valdymo įmonės steigimo gaires</w:t>
            </w:r>
            <w:r w:rsidRPr="00D33000">
              <w:rPr>
                <w:vertAlign w:val="superscript"/>
                <w:lang w:val="lt-LT"/>
              </w:rPr>
              <w:t>35</w:t>
            </w:r>
            <w:r w:rsidRPr="00D33000">
              <w:rPr>
                <w:lang w:val="lt-LT"/>
              </w:rPr>
              <w:t xml:space="preserve"> ir komunikatą dėl neveiksnių paskolų problemos sprendimo</w:t>
            </w:r>
            <w:r w:rsidRPr="00D33000">
              <w:rPr>
                <w:vertAlign w:val="superscript"/>
                <w:lang w:val="lt-LT"/>
              </w:rPr>
              <w:t>36</w:t>
            </w:r>
            <w:r w:rsidRPr="00D33000">
              <w:rPr>
                <w:lang w:val="lt-LT"/>
              </w:rPr>
              <w:t>. Toms atsargumo priemonėms, t. y. nuvertėjusio turto priemonėms, taip pat visada turėtų būti taikoma privalomoji laikino taikymo sąlyga. Tikimasi, kad konkrečiam laikotarpiui suteiktomis valstybės garantijomis, susijusiomis su atitinkamos įstaigos ar subjekto nuvertėjusiu turtu, bus užtikrinama geresnė atitiktis laikinumo sąlygai nei tokio turto perdavimo valstybės remiamam subjektui atveju.</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__________________</w:t>
            </w:r>
          </w:p>
        </w:tc>
        <w:tc>
          <w:tcPr>
            <w:tcW w:w="4876" w:type="dxa"/>
            <w:hideMark/>
          </w:tcPr>
          <w:p w:rsidR="000E7A9E" w:rsidRPr="00D33000" w:rsidRDefault="000E7A9E" w:rsidP="009E0AF6">
            <w:pPr>
              <w:pStyle w:val="Normal6"/>
              <w:rPr>
                <w:szCs w:val="24"/>
                <w:lang w:val="lt-LT"/>
              </w:rPr>
            </w:pPr>
            <w:r w:rsidRPr="00D33000">
              <w:rPr>
                <w:lang w:val="lt-LT"/>
              </w:rPr>
              <w:t>__________________</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vertAlign w:val="superscript"/>
                <w:lang w:val="lt-LT"/>
              </w:rPr>
              <w:t>35</w:t>
            </w:r>
            <w:r w:rsidRPr="00D33000">
              <w:rPr>
                <w:lang w:val="lt-LT"/>
              </w:rPr>
              <w:t xml:space="preserve"> COM(2018) 133 </w:t>
            </w:r>
            <w:r w:rsidRPr="00D33000">
              <w:rPr>
                <w:i/>
                <w:iCs/>
                <w:lang w:val="lt-LT"/>
              </w:rPr>
              <w:t>final</w:t>
            </w:r>
            <w:r w:rsidRPr="00D33000">
              <w:rPr>
                <w:lang w:val="lt-LT"/>
              </w:rPr>
              <w:t>.</w:t>
            </w:r>
          </w:p>
        </w:tc>
        <w:tc>
          <w:tcPr>
            <w:tcW w:w="4876" w:type="dxa"/>
            <w:hideMark/>
          </w:tcPr>
          <w:p w:rsidR="000E7A9E" w:rsidRPr="00D33000" w:rsidRDefault="000E7A9E" w:rsidP="009E0AF6">
            <w:pPr>
              <w:pStyle w:val="Normal6"/>
              <w:rPr>
                <w:szCs w:val="24"/>
                <w:lang w:val="lt-LT"/>
              </w:rPr>
            </w:pPr>
            <w:r w:rsidRPr="00D33000">
              <w:rPr>
                <w:vertAlign w:val="superscript"/>
                <w:lang w:val="lt-LT"/>
              </w:rPr>
              <w:t>35</w:t>
            </w:r>
            <w:r w:rsidRPr="00D33000">
              <w:rPr>
                <w:lang w:val="lt-LT"/>
              </w:rPr>
              <w:t xml:space="preserve"> COM(2018) 133 </w:t>
            </w:r>
            <w:r w:rsidRPr="00D33000">
              <w:rPr>
                <w:i/>
                <w:iCs/>
                <w:lang w:val="lt-LT"/>
              </w:rPr>
              <w:t>final</w:t>
            </w:r>
            <w:r w:rsidRPr="00D33000">
              <w:rPr>
                <w:lang w:val="lt-LT"/>
              </w:rPr>
              <w:t>.</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vertAlign w:val="superscript"/>
                <w:lang w:val="lt-LT"/>
              </w:rPr>
              <w:t>36</w:t>
            </w:r>
            <w:r w:rsidRPr="00D33000">
              <w:rPr>
                <w:lang w:val="lt-LT"/>
              </w:rPr>
              <w:t xml:space="preserve"> COM(2020) 822 </w:t>
            </w:r>
            <w:r w:rsidRPr="00D33000">
              <w:rPr>
                <w:i/>
                <w:iCs/>
                <w:lang w:val="lt-LT"/>
              </w:rPr>
              <w:t>final</w:t>
            </w:r>
            <w:r w:rsidRPr="00D33000">
              <w:rPr>
                <w:lang w:val="lt-LT"/>
              </w:rPr>
              <w:t>.</w:t>
            </w:r>
          </w:p>
        </w:tc>
        <w:tc>
          <w:tcPr>
            <w:tcW w:w="4876" w:type="dxa"/>
            <w:hideMark/>
          </w:tcPr>
          <w:p w:rsidR="000E7A9E" w:rsidRPr="00D33000" w:rsidRDefault="000E7A9E" w:rsidP="009E0AF6">
            <w:pPr>
              <w:pStyle w:val="Normal6"/>
              <w:rPr>
                <w:szCs w:val="24"/>
                <w:lang w:val="lt-LT"/>
              </w:rPr>
            </w:pPr>
            <w:r w:rsidRPr="00D33000">
              <w:rPr>
                <w:vertAlign w:val="superscript"/>
                <w:lang w:val="lt-LT"/>
              </w:rPr>
              <w:t>36</w:t>
            </w:r>
            <w:r w:rsidRPr="00D33000">
              <w:rPr>
                <w:lang w:val="lt-LT"/>
              </w:rPr>
              <w:t xml:space="preserve"> COM(2020) 822 </w:t>
            </w:r>
            <w:r w:rsidRPr="00D33000">
              <w:rPr>
                <w:i/>
                <w:iCs/>
                <w:lang w:val="lt-LT"/>
              </w:rPr>
              <w:t>final</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105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31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(31)</w:t>
            </w:r>
            <w:r w:rsidRPr="00D33000">
              <w:rPr>
                <w:b/>
                <w:i/>
                <w:lang w:val="lt-LT"/>
              </w:rPr>
              <w:tab/>
              <w:t>tam tikromis aplinkybėmis po to, kai iš Bendro pertvarkymo fondo suteikiamas įnašas, neviršijantis 5 proc. visų įstaigos ar subjekto įsipareigojimų, įskaitant nuosavas lėšas, Valdyba gali naudoti papildomus finansavimo šaltinius jų pertvarkymo veiksmams papildomai remti. Reikėtų aiškiau nurodyti, kokiomis aplinkybėmis iš Bendro pertvarkymo fondo gali būti teikiama papildoma parama, kai visi įsipareigojimai, kuriems suteiktas prioritetas yra mažesnis už prioritetą, suteiktą indėliams, kuriems nėra privalomai ar savo nuožiūra netaikoma gelbėjimo privačiomis lėšomis priemonė, yra visiškai nurašyti arba konvertuoti;</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Šiuo klausimu nereikia peržiūrėti dabartinės sistemos.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106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Eero Heinäluoma</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31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(31)</w:t>
            </w:r>
            <w:r w:rsidRPr="00D33000">
              <w:rPr>
                <w:lang w:val="lt-LT"/>
              </w:rPr>
              <w:tab/>
              <w:t xml:space="preserve">tam tikromis aplinkybėmis po to, kai iš Bendro pertvarkymo fondo suteikiamas įnašas, neviršijantis 5 proc. visų įstaigos ar subjekto įsipareigojimų, įskaitant nuosavas lėšas, Valdyba gali naudoti papildomus finansavimo šaltinius jų pertvarkymo veiksmams papildomai remti. </w:t>
            </w:r>
            <w:r w:rsidRPr="00D33000">
              <w:rPr>
                <w:b/>
                <w:i/>
                <w:lang w:val="lt-LT"/>
              </w:rPr>
              <w:t>Reikėtų aiškiau nurodyti, kokiomis aplinkybėmis iš Bendro pertvarkymo fondo gali būti teikiama papildoma parama, kai visi įsipareigojimai, kuriems suteiktas prioritetas yra mažesnis už prioritetą, suteiktą indėliams, kuriems nėra privalomai ar savo nuožiūra netaikoma gelbėjimo privačiomis lėšomis priemonė, yra visiškai nurašyti arba konvertuoti</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(31)</w:t>
            </w:r>
            <w:r w:rsidRPr="00D33000">
              <w:rPr>
                <w:lang w:val="lt-LT"/>
              </w:rPr>
              <w:tab/>
              <w:t>tam tikromis aplinkybėmis po to, kai iš Bendro pertvarkymo fondo suteikiamas įnašas, neviršijantis 5 proc. visų įstaigos ar subjekto įsipareigojimų, įskaitant nuosavas lėšas, Valdyba gali naudoti papildomus finansavimo šaltinius jų pertvarkymo veiksmams papildomai remti;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107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35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(35)</w:t>
            </w:r>
            <w:r w:rsidRPr="00D33000">
              <w:rPr>
                <w:b/>
                <w:i/>
                <w:lang w:val="lt-LT"/>
              </w:rPr>
              <w:tab/>
              <w:t>siekiant užtikrinti institucinį tęstinumą ir institucinės patirties kaupimą, Valdybos pirmininkui, pirmininko pavaduotojui ir kitiems etatiniams nariams turėtų būti leidžiama eiti savo pareigas dvi kadencijas iš eilės. Todėl jų kadenciją turėtų būti galima pratęsti penkerių metų kadencijai, remiantis Komisijos vertinimu dėl to, kaip jie vykdė savo pareigas per pirmąją kadenciją;</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108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35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(35)</w:t>
            </w:r>
            <w:r w:rsidRPr="00D33000">
              <w:rPr>
                <w:b/>
                <w:i/>
                <w:lang w:val="lt-LT"/>
              </w:rPr>
              <w:tab/>
              <w:t>siekiant užtikrinti institucinį tęstinumą ir institucinės patirties kaupimą, Valdybos pirmininkui, pirmininko pavaduotojui ir kitiems etatiniams nariams turėtų būti leidžiama eiti savo pareigas dvi kadencijas iš eilės. Todėl jų kadenciją turėtų būti galima pratęsti penkerių metų kadencijai, remiantis Komisijos vertinimu dėl to, kaip jie vykdė savo pareigas per pirmąją kadenciją;</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109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Markus Ferber, Herbert Dorfmann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37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(37)</w:t>
            </w:r>
            <w:r w:rsidRPr="00D33000">
              <w:rPr>
                <w:lang w:val="lt-LT"/>
              </w:rPr>
              <w:tab/>
              <w:t>pasibaigus Reglamento (ES) Nr. 806/2014 69 straipsnio 1 dalyje nurodyto Bendro pertvarkymo fondo pradiniam formavimo laikotarpiui</w:t>
            </w:r>
            <w:r w:rsidRPr="00D33000">
              <w:rPr>
                <w:b/>
                <w:i/>
                <w:lang w:val="lt-LT"/>
              </w:rPr>
              <w:t>, jo turimi finansiniai ištekliai gali šiek tiek sumažėti, palyginti su tiksliniu lygiu, visų pirma dėl apdraustųjų indėlių padidėjimo. Todėl</w:t>
            </w:r>
            <w:r w:rsidRPr="00D33000">
              <w:rPr>
                <w:lang w:val="lt-LT"/>
              </w:rPr>
              <w:t xml:space="preserve"> </w:t>
            </w:r>
            <w:r w:rsidRPr="00D33000">
              <w:rPr>
                <w:i/>
                <w:iCs/>
                <w:lang w:val="lt-LT"/>
              </w:rPr>
              <w:t>ex ante</w:t>
            </w:r>
            <w:r w:rsidRPr="00D33000">
              <w:rPr>
                <w:lang w:val="lt-LT"/>
              </w:rPr>
              <w:t xml:space="preserve"> įnašų</w:t>
            </w:r>
            <w:r w:rsidRPr="00D33000">
              <w:rPr>
                <w:b/>
                <w:i/>
                <w:lang w:val="lt-LT"/>
              </w:rPr>
              <w:t xml:space="preserve">, kurių tokiomis aplinkybėmis gali būti pareikalauta, suma gali būti nedidelė. Taigi gali būti, kad kai kuriais metais tų </w:t>
            </w:r>
            <w:r w:rsidRPr="00D33000">
              <w:rPr>
                <w:b/>
                <w:lang w:val="lt-LT"/>
              </w:rPr>
              <w:t>ex ante</w:t>
            </w:r>
            <w:r w:rsidRPr="00D33000">
              <w:rPr>
                <w:b/>
                <w:i/>
                <w:lang w:val="lt-LT"/>
              </w:rPr>
              <w:t xml:space="preserve"> įnašų suma nebebus proporcinga šių įnašų surinkimo išlaidoms.</w:t>
            </w:r>
            <w:r w:rsidRPr="00D33000">
              <w:rPr>
                <w:lang w:val="lt-LT"/>
              </w:rPr>
              <w:t xml:space="preserve"> </w:t>
            </w:r>
            <w:r w:rsidRPr="00D33000">
              <w:rPr>
                <w:b/>
                <w:i/>
                <w:lang w:val="lt-LT"/>
              </w:rPr>
              <w:t xml:space="preserve">Todėl Valdyba turėtų turėti galimybę atidėti </w:t>
            </w:r>
            <w:r w:rsidRPr="00D33000">
              <w:rPr>
                <w:b/>
                <w:lang w:val="lt-LT"/>
              </w:rPr>
              <w:t>ex ante</w:t>
            </w:r>
            <w:r w:rsidRPr="00D33000">
              <w:rPr>
                <w:b/>
                <w:i/>
                <w:lang w:val="lt-LT"/>
              </w:rPr>
              <w:t xml:space="preserve"> įnašų surinkimą vieniems ar daugiau metų, kol surinktina suma pasieks sumą, proporcingą surinkimo proceso išlaidoms, su sąlyga, kad dėl tokio atidėjimo nedaromas reikšmingas poveikis Valdybos gebėjimui naudoti Bendrą pertvarkymo fondą</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(37)</w:t>
            </w:r>
            <w:r w:rsidRPr="00D33000">
              <w:rPr>
                <w:lang w:val="lt-LT"/>
              </w:rPr>
              <w:tab/>
              <w:t xml:space="preserve">pasibaigus Reglamento (ES) Nr. 806/2014 69 straipsnio 1 dalyje nurodyto Bendro pertvarkymo fondo pradiniam formavimo laikotarpiui, </w:t>
            </w:r>
            <w:r w:rsidRPr="00D33000">
              <w:rPr>
                <w:i/>
                <w:iCs/>
                <w:lang w:val="lt-LT"/>
              </w:rPr>
              <w:t>ex ante</w:t>
            </w:r>
            <w:r w:rsidRPr="00D33000">
              <w:rPr>
                <w:lang w:val="lt-LT"/>
              </w:rPr>
              <w:t xml:space="preserve"> įnašų </w:t>
            </w:r>
            <w:r w:rsidRPr="00D33000">
              <w:rPr>
                <w:b/>
                <w:i/>
                <w:lang w:val="lt-LT"/>
              </w:rPr>
              <w:t>rinkimas baigiasi pasiekus tikslinį 1 proc. apdraustųjų indėlių lygį</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110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37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(37)</w:t>
            </w:r>
            <w:r w:rsidRPr="00D33000">
              <w:rPr>
                <w:lang w:val="lt-LT"/>
              </w:rPr>
              <w:tab/>
              <w:t xml:space="preserve">pasibaigus Reglamento (ES) Nr. 806/2014 69 straipsnio 1 dalyje nurodyto Bendro pertvarkymo fondo pradiniam formavimo laikotarpiui, </w:t>
            </w:r>
            <w:r w:rsidRPr="00D33000">
              <w:rPr>
                <w:b/>
                <w:i/>
                <w:lang w:val="lt-LT"/>
              </w:rPr>
              <w:t>jo turimi finansiniai ištekliai gali šiek tiek sumažėti, palyginti su tiksliniu lygiu, visų pirma dėl</w:t>
            </w:r>
            <w:r w:rsidRPr="00D33000">
              <w:rPr>
                <w:lang w:val="lt-LT"/>
              </w:rPr>
              <w:t xml:space="preserve"> apdraustųjų indėlių </w:t>
            </w:r>
            <w:r w:rsidRPr="00D33000">
              <w:rPr>
                <w:b/>
                <w:i/>
                <w:lang w:val="lt-LT"/>
              </w:rPr>
              <w:t xml:space="preserve">padidėjimo. Todėl </w:t>
            </w:r>
            <w:r w:rsidRPr="00D33000">
              <w:rPr>
                <w:b/>
                <w:lang w:val="lt-LT"/>
              </w:rPr>
              <w:t>ex ante</w:t>
            </w:r>
            <w:r w:rsidRPr="00D33000">
              <w:rPr>
                <w:b/>
                <w:i/>
                <w:lang w:val="lt-LT"/>
              </w:rPr>
              <w:t xml:space="preserve"> įnašų, kurių tokiomis aplinkybėmis gali būti pareikalauta, suma gali būti nedidelė. Taigi gali būti, kad kai kuriais metais tų </w:t>
            </w:r>
            <w:r w:rsidRPr="00D33000">
              <w:rPr>
                <w:b/>
                <w:lang w:val="lt-LT"/>
              </w:rPr>
              <w:t>ex ante</w:t>
            </w:r>
            <w:r w:rsidRPr="00D33000">
              <w:rPr>
                <w:b/>
                <w:i/>
                <w:lang w:val="lt-LT"/>
              </w:rPr>
              <w:t xml:space="preserve"> įnašų suma nebebus proporcinga šių įnašų surinkimo išlaidoms.</w:t>
            </w:r>
            <w:r w:rsidRPr="00D33000">
              <w:rPr>
                <w:lang w:val="lt-LT"/>
              </w:rPr>
              <w:t xml:space="preserve"> </w:t>
            </w:r>
            <w:r w:rsidRPr="00D33000">
              <w:rPr>
                <w:b/>
                <w:i/>
                <w:lang w:val="lt-LT"/>
              </w:rPr>
              <w:t xml:space="preserve">Todėl Valdyba turėtų turėti galimybę atidėti </w:t>
            </w:r>
            <w:r w:rsidRPr="00D33000">
              <w:rPr>
                <w:b/>
                <w:lang w:val="lt-LT"/>
              </w:rPr>
              <w:t>ex ante</w:t>
            </w:r>
            <w:r w:rsidRPr="00D33000">
              <w:rPr>
                <w:b/>
                <w:i/>
                <w:lang w:val="lt-LT"/>
              </w:rPr>
              <w:t xml:space="preserve"> įnašų surinkimą vieniems ar daugiau metų, kol surinktina suma pasieks sumą, proporcingą surinkimo proceso išlaidoms, su sąlyga, kad dėl tokio atidėjimo nedaromas reikšmingas poveikis Valdybos gebėjimui naudoti Bendrą pertvarkymo fondą</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(37)</w:t>
            </w:r>
            <w:r w:rsidRPr="00D33000">
              <w:rPr>
                <w:lang w:val="lt-LT"/>
              </w:rPr>
              <w:tab/>
              <w:t>pasibaigus Reglamento (ES) Nr. 806/2014 69 straipsnio 1 dalyje nurodyto Bendro pertvarkymo fondo pradiniam formavimo laikotarpiui,</w:t>
            </w:r>
            <w:r w:rsidRPr="00D33000">
              <w:rPr>
                <w:b/>
                <w:i/>
                <w:lang w:val="lt-LT"/>
              </w:rPr>
              <w:t xml:space="preserve"> reguliarus įnašų rinkimas baigiasi, kai pirmą kartą pasiekiamas tikslinis 1 proc. visų kredito įstaigų, turinčių veiklos leidimą visose valstybėse narėse,</w:t>
            </w:r>
            <w:r w:rsidRPr="00D33000">
              <w:rPr>
                <w:lang w:val="lt-LT"/>
              </w:rPr>
              <w:t xml:space="preserve"> apdraustųjų indėlių </w:t>
            </w:r>
            <w:r w:rsidRPr="00D33000">
              <w:rPr>
                <w:b/>
                <w:i/>
                <w:lang w:val="lt-LT"/>
              </w:rPr>
              <w:t>sumos lygis</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The purpose of this amendment is to clarify that the regular collection of contributions ends when the financial means of the Single Resolution Fund reaches the target level (1 % of the amount of covered deposits of all credit institutions authorised in all of the participating Member States) for the first time at the end of the initial build-up period. The target level is not “dynamic”.With regard to the Single Resolution Fund in particular, it should be noted: The level to be achieved by the end of 2023, around 78 billion euros, is already around 40% higher than the originally envisaged target level, which was previously considered sufficient. This increase has on no account been the result of an increase in the willingness of banks to take more risks – as noted by, among others, the SRB. It is solely due to an increase in covered deposits. By keeping this mandatory contribution in place, the fund would be considerably more overcapitalised than it already is today.</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111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38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(38)</w:t>
            </w:r>
            <w:r w:rsidRPr="00D33000">
              <w:rPr>
                <w:lang w:val="lt-LT"/>
              </w:rPr>
              <w:tab/>
              <w:t xml:space="preserve">viena iš Bendro pertvarkymo fondo turimų finansinių išteklių sudedamųjų dalių yra neatšaukiami mokėjimo įsipareigojimai. Todėl būtina nurodyti aplinkybes, kuriomis tų mokėjimo įsipareigojimų gali būti pareikalauta, ir taikytiną procedūrą, kai įsipareigojimai nutraukiami tuo atveju, jei įstaigai ar subjektui nebetaikoma prievolė mokėti įnašus į Bendrą pertvarkymo fondą. Be to, siekiant užtikrinti didesnį skaidrumą ir tikrumą dėl neatšaukiamų mokėjimo įsipareigojimų dalies visoje surinktinų </w:t>
            </w:r>
            <w:r w:rsidRPr="00D33000">
              <w:rPr>
                <w:i/>
                <w:iCs/>
                <w:lang w:val="lt-LT"/>
              </w:rPr>
              <w:t>ex ante</w:t>
            </w:r>
            <w:r w:rsidRPr="00D33000">
              <w:rPr>
                <w:lang w:val="lt-LT"/>
              </w:rPr>
              <w:t xml:space="preserve"> įnašų sumoje, Valdyba </w:t>
            </w:r>
            <w:r w:rsidRPr="00D33000">
              <w:rPr>
                <w:b/>
                <w:i/>
                <w:lang w:val="lt-LT"/>
              </w:rPr>
              <w:t>tokią dalį turėtų nustatyti kasmet</w:t>
            </w:r>
            <w:r w:rsidRPr="00D33000">
              <w:rPr>
                <w:lang w:val="lt-LT"/>
              </w:rPr>
              <w:t xml:space="preserve">, </w:t>
            </w:r>
            <w:r w:rsidRPr="00D33000">
              <w:rPr>
                <w:b/>
                <w:i/>
                <w:lang w:val="lt-LT"/>
              </w:rPr>
              <w:t>laikydamasi taikytinų apribojimų</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(38)</w:t>
            </w:r>
            <w:r w:rsidRPr="00D33000">
              <w:rPr>
                <w:lang w:val="lt-LT"/>
              </w:rPr>
              <w:tab/>
              <w:t xml:space="preserve">viena iš Bendro pertvarkymo fondo turimų finansinių išteklių sudedamųjų dalių yra neatšaukiami mokėjimo įsipareigojimai. Todėl būtina nurodyti aplinkybes, kuriomis tų mokėjimo įsipareigojimų gali būti pareikalauta, ir taikytiną procedūrą, kai įsipareigojimai nutraukiami tuo atveju, jei įstaigai ar subjektui nebetaikoma prievolė mokėti įnašus į Bendrą pertvarkymo fondą. Be to, siekiant užtikrinti didesnį skaidrumą ir tikrumą dėl neatšaukiamų mokėjimo įsipareigojimų dalies visoje surinktinų </w:t>
            </w:r>
            <w:r w:rsidRPr="00D33000">
              <w:rPr>
                <w:i/>
                <w:iCs/>
                <w:lang w:val="lt-LT"/>
              </w:rPr>
              <w:t>ex ante</w:t>
            </w:r>
            <w:r w:rsidRPr="00D33000">
              <w:rPr>
                <w:lang w:val="lt-LT"/>
              </w:rPr>
              <w:t xml:space="preserve"> įnašų sumoje, Valdyba </w:t>
            </w:r>
            <w:r w:rsidRPr="00D33000">
              <w:rPr>
                <w:b/>
                <w:i/>
                <w:lang w:val="lt-LT"/>
              </w:rPr>
              <w:t>turėtų skirti tokią visos sumos dalį</w:t>
            </w:r>
            <w:r w:rsidRPr="00D33000">
              <w:rPr>
                <w:lang w:val="lt-LT"/>
              </w:rPr>
              <w:t xml:space="preserve">, </w:t>
            </w:r>
            <w:r w:rsidRPr="00D33000">
              <w:rPr>
                <w:b/>
                <w:i/>
                <w:lang w:val="lt-LT"/>
              </w:rPr>
              <w:t>kaip nurodyta Reglamento (ES) Nr. 806/2014 70 straipsnio 3 dalyje</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Europos Komisijos pasiūlymas padidinti neatšaukiamo mokėjimo įsipareigojimo dalį (70 straipsnio 3 dalis) iš esmės yra gera idėja, tačiau sprendimą dėl jos suteikimo ir neatšaukiamo mokėjimo įsipareigojimo dalies dydžio ir toliau sprendžia Valdyba. Siekiant pagerinti planavimo pajėgumus, institucijos visada turėtų turėti galimybę naudoti 50 proc. neatšaukiamo mokėjimo įsipareigojimo.</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112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40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(40)</w:t>
            </w:r>
            <w:r w:rsidRPr="00D33000">
              <w:rPr>
                <w:b/>
                <w:i/>
                <w:lang w:val="lt-LT"/>
              </w:rPr>
              <w:tab/>
              <w:t>Bendras pertvarkymo fondas gali būti naudojamas siekiant padėti taikyti verslo pardavimo priemonę arba laikinos įstaigos sukūrimo priemonę, pagal kurią pertvarkomos įstaigos turtas, teisės ir įsipareigojimai perduodami gavėjui. Tokiu atveju Valdyba gali turėti reikalavimą likusios įstaigos ar subjekto atžvilgiu, kai jie vėliau likviduojami iškeliant įprastinę bankroto bylą. Taip gali atsitikti, kai Bendras pertvarkymo fondas naudojamas nuostoliams, kuriuos kitu atveju kreditoriai būtų patyrę, padengti, be kita ko, teikiant garantijas turtui ir įsipareigojimams arba padengiant perduoto turto ir įsipareigojimų skirtumą. Siekiant užtikrinti, kad likusioje įstaigoje ar subjekte likę akcininkai ir kreditoriai veiksmingai padengtų pertvarkomos įstaigos nuostolius, ir pagerinti lėšų grąžinimo Valdybai galimybę nemokumo atveju, tiems Valdybos reikalavimams likusios įstaigos ar subjekto atžvilgiu ir reikalavimams, atsirandantiems dėl pagrįstų Valdybos faktiškai patirtų išlaidų, nemokumo atveju turėtų būti taikomas toks pat prioritetas kaip ir kiekvienos dalyvaujančios valstybės narės nacionalinių pertvarkymo finansavimo struktūrų reikalavimams taikomas prioritetas, kuris turėtų būti didesnis nei indėliams ir indėlių garantijų sistemoms taikomas prioritetas. Kadangi kompensacijomis, mokamomis akcininkams ir kreditoriams iš Bendro pertvarkymo fondo dėl principo, kad nė vieno kreditoriaus padėtis nėra blogesnė, pažeidimų, siekiama kompensuoti pertvarkymo veiksmų rezultatus, dėl tų kompensacijų Valdyba neturėtų turėti reikalavimų;</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Pasiūlymas pratęsti bendrą finansavimą iš indėlių garantijų fondų (kuris sprendžiamas perduodant BGPD projektą) turi būti atmestas. Ypač kartu su pasiūlymu išplėsti indėlininkų apsaugą neapsaugotiems indėliams, o tai prieštarauja įgaliojimams, tai gali turėti didelį poveikį finansavimo poreikiams ir lemti finansinį indėlių garantijų sistemų išeikvojimą. Todėl visos atitinkamos taisyklės, dėl kurių išeikvojamos IGS lėšos, turėtų būti išbrauktos.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113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40 a konstatuojamoji dalis (nauja)</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(40a)</w:t>
            </w:r>
            <w:r w:rsidRPr="00D33000">
              <w:rPr>
                <w:b/>
                <w:i/>
                <w:lang w:val="lt-LT"/>
              </w:rPr>
              <w:tab/>
              <w:t>turint omenyje tai, kad atliekama kreditorių hierarchijos peržiūra, rinkos sąlygos gali būti ne tokios palankios indėlių garantijų sistemoms, kurios siekia pasinaudoti tokiomis alternatyviomis finansavimo priemonėmis. Todėl, siekiant užkirsti kelią laikinam valstybių narių finansavimui ir užtikrinti, kad tai būtų kraštutinė priemonė, Valdyba turėtų galėti suteikti iš Bendro pertvarkymo fondo finansuojamą kredito liniją arba garantiją indėlių garantijų sistemai, kad jai būtų lengviau patekti į rinkas palankiomis finansavimo sąlygomis. Bendro pertvarkymo fondo parama turėtų būti suteikta, kai indėlių garantijų sistema turi įsikišti į pertvarkymą, tačiau turimų finansinių išteklių nepakanka tokių veiksmų poreikiams patenkinti;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114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Fabio Massimo Castaldo</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40 a konstatuojamoji dalis (nauja)</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(40a)</w:t>
            </w:r>
            <w:r w:rsidRPr="00D33000">
              <w:rPr>
                <w:b/>
                <w:i/>
                <w:lang w:val="lt-LT"/>
              </w:rPr>
              <w:tab/>
              <w:t>turint omenyje tai, kad atliekama kreditorių hierarchijos peržiūra, rinkos sąlygos gali būti ne tokios palankios indėlių garantijų sistemoms, kurios siekia pasinaudoti tokiomis alternatyviomis finansavimo priemonėmis. Todėl, siekiant užkirsti kelią laikinam valstybių narių finansavimui ir užtikrinti, kad tai būtų kraštutinė priemonė, Valdyba turėtų galėti suteikti iš Bendro pertvarkymo fondo finansuojamą kredito liniją arba garantiją indėlių garantijų sistemai, kad jai būtų lengviau patekti į rinkas palankiomis finansavimo sąlygomis. Bendro pertvarkymo fondo parama turėtų būti suteikta, kai indėlių garantijų sistema turi įsikišti į pertvarkymą, tačiau turimų finansinių išteklių nepakanka tokių veiksmų poreikiams patenkinti;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115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Roberts Zīle</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40 a konstatuojamoji dalis (nauja)</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(40a)</w:t>
            </w:r>
            <w:r w:rsidRPr="00D33000">
              <w:rPr>
                <w:b/>
                <w:i/>
                <w:lang w:val="lt-LT"/>
              </w:rPr>
              <w:tab/>
              <w:t>nepaisant to, kad buvo pasiektas susitarimas dėl Europos stabilumo mechanizmo (ESM) Bendro pertvarkymo fondo finansinio stabilumo stiprinimo priemonės, ji dar nėra įgyvendinta. Todėl papildoma Bendro pertvarkymo fondo funkcija teikti garantijas indėlių garantijų sistemoms užtikrina papildomas apsaugos priemones toms sistemoms, pavyzdžiui, patvirtinus ESM Bendro pertvarkymo fondo finansinio stabilumo stiprinimo priemonę;</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116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41 konstatuojamoji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(41)</w:t>
            </w:r>
            <w:r w:rsidRPr="00D33000">
              <w:rPr>
                <w:b/>
                <w:i/>
                <w:lang w:val="lt-LT"/>
              </w:rPr>
              <w:tab/>
              <w:t>kadangi kai kurios Reglamento (ES) Nr. 806/2014 nuostatos dėl vaidmens, kurį indėlių garantijų sistemos gali atlikti pertvarkymo procese, yra panašios į Direktyvos 2014/59/ES nuostatas, tų Direktyvos 2014/59/ES nuostatų pakeitimai, padaryti [Leidinių biuro prašoma įrašyti direktyvos, kuria iš dalies keičiama Direktyva 2014/59/ES, numerį], turėtų būti atspindėti Reglamente (ES) Nr. 806/2014;</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Pasiūlymas pratęsti bendrą finansavimą iš indėlių garantijų fondų (kuris sprendžiamas perduodant BGPD projektą) turi būti atmestas. Ypač kartu su pasiūlymu išplėsti indėlininkų apsaugą neapsaugotiems indėliams, o tai prieštarauja įgaliojimams, tai gali turėti didelį poveikį finansavimo poreikiams ir lemti finansinį indėlių garantijų sistemų išeikvojimą. Todėl visos atitinkamos taisyklės, dėl kurių išeikvojamos IGS lėšos, turėtų būti išbrauktos.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117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41 a konstatuojamoji dalis (nauja)</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(41a)</w:t>
            </w:r>
            <w:r w:rsidRPr="00D33000">
              <w:rPr>
                <w:b/>
                <w:i/>
                <w:lang w:val="lt-LT"/>
              </w:rPr>
              <w:tab/>
              <w:t>kadangi indėlių garantijų sistemoms pavestos papildomos užduotys ir atsakomybė, taip pat atsižvelgiant į tai, kad viena iš tiesioginių šios ES krizių valdymo ir indėlių draudimo sistemos peržiūros pasekmių yra užtikrinti, kad IGS lėšos būtų geriau prieinamos pertvarkymui, padidėja jų visiško ar dalinio išeikvojimo rizika. Todėl atėjo laikas pereiti prie labiau europinio modelio, pagal kurį būtų įsteigtas indėlių draudimo fondas, finansuojamas pervedant lėšas iš nacionalinių IGS ir valdomas Valdybos, kad būtų teikiamos paskolos išeikvotoms arba beveik išsekusioms nacionalinėms IGS. Įnašai į šį fondą turėtų būti apskaičiuojami pagal rizika grindžiamą metodiką. Nacionalinė IGS turėtų iš anksto informuoti Valdybą, ar ji numato, kad jai reikės pasinaudoti IDF siūloma ES kredito linija;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118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41 b konstatuojamoji dalis (nauja)</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(41b)</w:t>
            </w:r>
            <w:r w:rsidRPr="00D33000">
              <w:rPr>
                <w:b/>
                <w:i/>
                <w:lang w:val="lt-LT"/>
              </w:rPr>
              <w:tab/>
              <w:t>praėjus dvejiems metams nuo šio iš dalies keičiančio reglamento įsigaliojimo, Komisija turėtų parengti ataskaitą Europos Parlamentui ir Tarybai, kurioje būtų įvertinta, ar ir kokiomis sąlygomis Indėlių garantijų fondas taip pat padengia nacionalinių IGS patirtus nuostolius.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119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Lídia Pereira</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42 a konstatuojamoji dalis (nauja)</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(42a)</w:t>
            </w:r>
            <w:r w:rsidRPr="00D33000">
              <w:rPr>
                <w:b/>
                <w:i/>
                <w:lang w:val="lt-LT"/>
              </w:rPr>
              <w:tab/>
              <w:t>Fondas turėtų užtikrinti aukštą skaidrumo lygį, kad tinkamai apsaugotų viešąjį interesą, visų pirma tais atvejais, kai viešieji ištekliai naudojami pertvarkymo priemonėms taikyti, ir todėl turėtų stengtis reguliariai skelbti pertvarkymo procesų, kuriems tie ištekliai buvo panaudoti, ataskaitas, kuriose būtų nurodyta visa suma, grąžintos sumos ir būsimų grąžinimų terminai;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{PT}</w:t>
      </w:r>
      <w:r w:rsidRPr="00D33000">
        <w:rPr>
          <w:lang w:val="lt-LT"/>
        </w:rPr>
        <w:t>pt</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120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Pedro Marques, Jonás Fernández, Aurore Lalucq, René Repasi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 punkto -a papunktis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3 straipsnio 1 dalies 24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Dabartinis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w:t>
            </w:r>
            <w:r w:rsidRPr="00D33000">
              <w:rPr>
                <w:b/>
                <w:i/>
                <w:lang w:val="lt-LT"/>
              </w:rPr>
              <w:tab/>
              <w:t>24 punktas pakeičiamas taip:</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24. tarpvalstybinė grupė – grupė, </w:t>
            </w:r>
            <w:r w:rsidRPr="00D33000">
              <w:rPr>
                <w:b/>
                <w:i/>
                <w:lang w:val="lt-LT"/>
              </w:rPr>
              <w:t>kuri turi subjektų, kaip nurodyta</w:t>
            </w:r>
            <w:r w:rsidRPr="00D33000">
              <w:rPr>
                <w:lang w:val="lt-LT"/>
              </w:rPr>
              <w:t xml:space="preserve"> 2 straipsnyje, </w:t>
            </w:r>
            <w:r w:rsidRPr="00D33000">
              <w:rPr>
                <w:b/>
                <w:i/>
                <w:lang w:val="lt-LT"/>
              </w:rPr>
              <w:t>įsteigtų</w:t>
            </w:r>
            <w:r w:rsidRPr="00D33000">
              <w:rPr>
                <w:lang w:val="lt-LT"/>
              </w:rPr>
              <w:t xml:space="preserve"> daugiau negu vienoje dalyvaujančioje valstybėje narėje;</w:t>
            </w:r>
          </w:p>
        </w:tc>
        <w:tc>
          <w:tcPr>
            <w:tcW w:w="4876" w:type="dxa"/>
            <w:hideMark/>
          </w:tcPr>
          <w:p w:rsidR="000E7A9E" w:rsidRPr="00D33000" w:rsidRDefault="000E7A9E" w:rsidP="009E0AF6">
            <w:pPr>
              <w:pStyle w:val="Normal6"/>
              <w:rPr>
                <w:szCs w:val="24"/>
                <w:lang w:val="lt-LT"/>
              </w:rPr>
            </w:pPr>
            <w:r w:rsidRPr="00D33000">
              <w:rPr>
                <w:b/>
                <w:bCs/>
                <w:i/>
                <w:iCs/>
                <w:lang w:val="lt-LT"/>
              </w:rPr>
              <w:t>„</w:t>
            </w:r>
            <w:r w:rsidRPr="00D33000">
              <w:rPr>
                <w:lang w:val="lt-LT"/>
              </w:rPr>
              <w:t xml:space="preserve">24. tarpvalstybinė grupė – grupė, </w:t>
            </w:r>
            <w:r w:rsidRPr="00D33000">
              <w:rPr>
                <w:b/>
                <w:i/>
                <w:lang w:val="lt-LT"/>
              </w:rPr>
              <w:t>kurios patronuojančioji įmonė ir bent viena iš jos patronuojamųjų įmonių yra</w:t>
            </w:r>
            <w:r w:rsidRPr="00D33000">
              <w:rPr>
                <w:lang w:val="lt-LT"/>
              </w:rPr>
              <w:t xml:space="preserve"> 2 straipsnyje </w:t>
            </w:r>
            <w:r w:rsidRPr="00D33000">
              <w:rPr>
                <w:b/>
                <w:i/>
                <w:lang w:val="lt-LT"/>
              </w:rPr>
              <w:t>nurodyti subjektai</w:t>
            </w:r>
            <w:r w:rsidRPr="00D33000">
              <w:rPr>
                <w:lang w:val="lt-LT"/>
              </w:rPr>
              <w:t xml:space="preserve">, </w:t>
            </w:r>
            <w:r w:rsidRPr="00D33000">
              <w:rPr>
                <w:b/>
                <w:i/>
                <w:lang w:val="lt-LT"/>
              </w:rPr>
              <w:t>įsteigti</w:t>
            </w:r>
            <w:r w:rsidRPr="00D33000">
              <w:rPr>
                <w:lang w:val="lt-LT"/>
              </w:rPr>
              <w:t xml:space="preserve"> daugiau negu vienoje dalyvaujančioje valstybėje narėje;</w:t>
            </w:r>
            <w:r w:rsidRPr="00D33000">
              <w:rPr>
                <w:b/>
                <w:bCs/>
                <w:i/>
                <w:iCs/>
                <w:lang w:val="lt-LT"/>
              </w:rPr>
              <w:t>“;</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CrossRef"/>
        <w:rPr>
          <w:lang w:val="lt-LT"/>
        </w:rPr>
      </w:pPr>
      <w:r w:rsidRPr="00D33000">
        <w:rPr>
          <w:lang w:val="lt-LT"/>
        </w:rPr>
        <w:t>(Reglamentas (ES) Nr. 806/2014)</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121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Joachim Schuster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 punkto c a papunktis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3 straipsnio 1 dalies 55 a–55 c punktai (nauji)</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(ca)</w:t>
            </w:r>
            <w:r w:rsidRPr="00D33000">
              <w:rPr>
                <w:b/>
                <w:i/>
                <w:lang w:val="lt-LT"/>
              </w:rPr>
              <w:tab/>
              <w:t>papildoma šiais punktais: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„55a. skatinamąjį finansavimą teikiantis bankas – valstybės narės centrinės, regioninės arba vietos valdžios įsteigta įmonė arba subjektas, kuris teikia skatinamąsias paskolas arba suteikia skatinamąsias garantijas ir kurio pagrindinis tikslas yra ne pelno siekimas ar rinkos dalies padidinimas, o valdžios viešosios politikos tikslų propagavimas, jei pagal valstybės pagalbos taisykles ta valdžia yra įpareigota apsaugoti įmonės ar subjekto ekonominį pagrindą ir išlaikyti jo gyvybingumą viso jų veikimo metu, arba jei valstybės narės centrinė, regioninė arba vietos valdžia yra tiesiogiai ar netiesiogiai garantavusi bent 90 % jų pradinio kapitalo ar finansavimo arba jų teikiamos skatinamosios paskolos.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55b. skatinamoji paskola – ne konkurso tvarka ir nesiekiant pelno skatinamąjį finansavimą teikiančio banko arba per banką tarpininką teikiama paskola, kuria siekiama paskatinti valstybės narės centrinės arba regioninės valdžios institucijų viešosios politikos tikslų įgyvendinimą;</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55c. įstaiga tarpininkė – kredito įstaiga, kuri tarpininkauja teikiant skatinamąsias paskolas, jei ji neteikia jų kaip kredito galutiniam klientui;“;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CrossRef"/>
        <w:rPr>
          <w:lang w:val="lt-LT"/>
        </w:rPr>
      </w:pPr>
      <w:r w:rsidRPr="00D33000">
        <w:rPr>
          <w:lang w:val="lt-LT"/>
        </w:rPr>
        <w:t>(Žr. Deleguotojo reglamento (ES) 2015/63 3 straipsnio 27–29 punktų formuluotes; vietoj Deleguotojo reglamento 3 straipsnio 27 punkte pateiktos apibrėžties vartojama KRR (Reglamentas (ES) Nr. 57572013) 4 straipsnio 1 dalies 19 punkte apibrėžta skatinamojo finansavimo subjekto apibrėžtis.)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122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 punkto c a papunktis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3 straipsnio 1 dalies 55 a punktas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(ca)</w:t>
            </w:r>
            <w:r w:rsidRPr="00D33000">
              <w:rPr>
                <w:b/>
                <w:i/>
                <w:lang w:val="lt-LT"/>
              </w:rPr>
              <w:tab/>
              <w:t>pridedamas šis punktas: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„55a. ypatingos svarbos funkcijos – veikla, paslaugos ar operacijos, kurias nutraukus, tikėtina, vienoje ar daugiau valstybių narių dėl atitinkamos įstaigos arba grupės dydžio, jos kontroliuojamos rinkos dalies, išorės ar vidaus tarpusavio sąsajų, sudėtingumo ar tarpvalstybinės veiklos nacionaliniu ar regioniniu lygmeniu reikšmingai sutriktų itin svarbios realiajai ekonomikai teikiamos paslaugos arba sutriktų finansinis stabilumas, visų pirma atsižvelgiant į tos veiklos, paslaugų ar operacijų pakeičiamumą;“;</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123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Fabio Massimo Castaldo</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5D599B" w:rsidRDefault="000E7A9E" w:rsidP="000E7A9E">
      <w:pPr>
        <w:keepNext/>
        <w:rPr>
          <w:rStyle w:val="HideTWBExt"/>
        </w:rPr>
      </w:pPr>
      <w:r w:rsidRPr="005D599B">
        <w:rPr>
          <w:rStyle w:val="HideTWBExt"/>
        </w:rPr>
        <w:t>&lt;Article&gt;</w:t>
      </w:r>
      <w:r w:rsidRPr="00D33000">
        <w:rPr>
          <w:b/>
        </w:rPr>
        <w:t>1 straipsnio 1 pastraipos 1 punkto c a papunktis (naujas)</w:t>
      </w:r>
      <w:r w:rsidRPr="005D599B">
        <w:rPr>
          <w:rStyle w:val="HideTWBExt"/>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3 straipsnio 1 dalies 55 a punktas (naujas)</w:t>
      </w:r>
      <w:r w:rsidRPr="005D599B">
        <w:rPr>
          <w:rStyle w:val="HideTWBExt"/>
        </w:rPr>
        <w:t>&lt;/Article2&gt;</w:t>
      </w:r>
    </w:p>
    <w:p w:rsidR="000E7A9E" w:rsidRPr="00D33000" w:rsidRDefault="000E7A9E" w:rsidP="000E7A9E">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(ca)</w:t>
            </w:r>
            <w:r w:rsidRPr="00D33000">
              <w:rPr>
                <w:b/>
                <w:i/>
                <w:lang w:val="lt-LT"/>
              </w:rPr>
              <w:tab/>
              <w:t>pridedamas šis punktas: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„55a. ypatingos svarbos funkcijos – veikla, paslaugos ar operacijos, kurias nutraukus, tikėtina, vienoje ar daugiau valstybių narių dėl atitinkamos įstaigos arba grupės dydžio, jos kontroliuojamos rinkos dalies, išorės ar vidaus tarpusavio sąsajų, sudėtingumo ar tarpvalstybinės veiklos nacionaliniu ar regioniniu lygmeniu reikšmingai sutriktų itin svarbios realiajai ekonomikai teikiamos paslaugos arba sutriktų finansinis stabilumas, visų pirma atsižvelgiant į tos veiklos, paslaugų ar operacijų pakeičiamumą;“;</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124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 punkto a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8 straipsnio 2 dalies 1a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„Valdyba gali nurodyti nacionalinėms pertvarkymo institucijoms naudotis Direktyvos 2014/59/ES 10 straipsnio 8 dalyje nurodytais įgaliojimais. Nacionalinės pertvarkymo institucijos Valdybos nurodymus įgyvendina laikydamosi šio reglamento 29 straipsnio.“;</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bookmarkStart w:id="1" w:name="DocEPTmp3"/>
      <w:r w:rsidRPr="005D599B">
        <w:rPr>
          <w:rStyle w:val="HideTWBExt"/>
          <w:b w:val="0"/>
          <w:lang w:val="lt-LT"/>
        </w:rPr>
        <w:t>&lt;</w:t>
      </w:r>
      <w:bookmarkEnd w:id="1"/>
      <w:r w:rsidRPr="005D599B">
        <w:rPr>
          <w:rStyle w:val="HideTWBExt"/>
          <w:b w:val="0"/>
          <w:lang w:val="lt-LT"/>
        </w:rPr>
        <w: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125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 punkto a a papunktis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8 straipsnio 6 dalies 3 pastraipa</w:t>
      </w:r>
      <w:r w:rsidRPr="005D599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Dabartinis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(aa)</w:t>
            </w:r>
            <w:r w:rsidRPr="00D33000">
              <w:rPr>
                <w:b/>
                <w:i/>
                <w:lang w:val="lt-LT"/>
              </w:rPr>
              <w:tab/>
              <w:t>6 dalies trečia pastraipa pakeičiama taip:</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Rengdama ir atnaujindama pertvarkymo planą, Valdyba pagal 10 straipsnį nustato visas esmines sėkmingo pertvarkymo kliūtis ir, </w:t>
            </w:r>
            <w:r w:rsidRPr="00D33000">
              <w:rPr>
                <w:b/>
                <w:i/>
                <w:lang w:val="lt-LT"/>
              </w:rPr>
              <w:t>jei reikia ir jei tai proporcinga</w:t>
            </w:r>
            <w:r w:rsidRPr="00D33000">
              <w:rPr>
                <w:lang w:val="lt-LT"/>
              </w:rPr>
              <w:t>, bendrais bruožais išdėsto atitinkamus veiksmus, kurių imantis būtų galima tas kliūtis pašalinti.</w:t>
            </w:r>
          </w:p>
        </w:tc>
        <w:tc>
          <w:tcPr>
            <w:tcW w:w="4876" w:type="dxa"/>
            <w:hideMark/>
          </w:tcPr>
          <w:p w:rsidR="000E7A9E" w:rsidRPr="00D33000" w:rsidRDefault="000E7A9E" w:rsidP="009E0AF6">
            <w:pPr>
              <w:pStyle w:val="Normal6"/>
              <w:rPr>
                <w:szCs w:val="24"/>
                <w:lang w:val="lt-LT"/>
              </w:rPr>
            </w:pPr>
            <w:r w:rsidRPr="00D33000">
              <w:rPr>
                <w:lang w:val="lt-LT"/>
              </w:rPr>
              <w:t xml:space="preserve">Rengdama ir atnaujindama pertvarkymo planą, Valdyba pagal 10 straipsnį nustato visas esmines sėkmingo pertvarkymo kliūtis ir, </w:t>
            </w:r>
            <w:r w:rsidRPr="00D33000">
              <w:rPr>
                <w:b/>
                <w:i/>
                <w:lang w:val="lt-LT"/>
              </w:rPr>
              <w:t>kai tinkama</w:t>
            </w:r>
            <w:r w:rsidRPr="00D33000">
              <w:rPr>
                <w:lang w:val="lt-LT"/>
              </w:rPr>
              <w:t>, bendrais bruožais išdėsto atitinkamus veiksmus, kurių imantis būtų galima tas kliūtis pašalinti.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CrossRef"/>
        <w:rPr>
          <w:lang w:val="lt-LT"/>
        </w:rPr>
      </w:pPr>
      <w:r w:rsidRPr="00D33000">
        <w:rPr>
          <w:lang w:val="lt-LT"/>
        </w:rPr>
        <w:t>(https://eur-lex.europa.eu/legal-content/LT/TXT/?uri=celex%3A32014R0806)</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126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 punkto a a papunktis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8 straipsnio 6 dalies 5 pastraipos c a punktas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(aa)</w:t>
            </w:r>
            <w:r w:rsidRPr="00D33000">
              <w:rPr>
                <w:b/>
                <w:i/>
                <w:lang w:val="lt-LT"/>
              </w:rPr>
              <w:tab/>
              <w:t>6 dalies penktoje pastraipoje įterpiamas šis punktas: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„ca) bet kokiu indėlių garantijų sistemų naudojimu;“;</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Vidaus resursai turėtų išlikti pirma gynybos linija. Todėl bet koks išorės finansavimas, įskaitant IGS naudojimą pertvarkymo srityje, turėtų būti naudojamas tik neplanuotų išteklių trūkumo atveju, laikantis taikytinų sąlygų. Todėl pertvarkymo planavimas ir MREL kalibravimas neturėtų reikšti, kad pertvarkymui naudojamos IGS lėšos.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127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 punkto a b papunktis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8 straipsnio 7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Dabartinis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b/>
                <w:i/>
                <w:szCs w:val="24"/>
                <w:lang w:val="lt-LT"/>
              </w:rPr>
            </w:pPr>
            <w:r w:rsidRPr="00D33000">
              <w:rPr>
                <w:b/>
                <w:i/>
                <w:szCs w:val="24"/>
                <w:lang w:val="lt-LT"/>
              </w:rPr>
              <w:t>(ab) 7 dalis pakeičiama taip:</w:t>
            </w:r>
          </w:p>
        </w:tc>
      </w:tr>
      <w:tr w:rsidR="000E7A9E" w:rsidRPr="00D33000" w:rsidTr="009E0AF6">
        <w:trPr>
          <w:jc w:val="center"/>
        </w:trPr>
        <w:tc>
          <w:tcPr>
            <w:tcW w:w="4876" w:type="dxa"/>
          </w:tcPr>
          <w:p w:rsidR="000E7A9E" w:rsidRPr="00D33000" w:rsidRDefault="000E7A9E" w:rsidP="009E0AF6">
            <w:pPr>
              <w:pStyle w:val="Normal6"/>
              <w:rPr>
                <w:lang w:val="lt-LT"/>
              </w:rPr>
            </w:pPr>
            <w:r w:rsidRPr="00D33000">
              <w:rPr>
                <w:lang w:val="lt-LT"/>
              </w:rPr>
              <w:t>7. Pertvarkymo plane pateikiama analizė, kaip ir kada įstaiga gali teikti prašymą plane numatytomis sąlygomis dėl centrinio banko priemonių naudojimo, ir nurodomas turtas, kuris, tikėtina, atitiktų užstatui keliamas sąlygas.</w:t>
            </w:r>
          </w:p>
        </w:tc>
        <w:tc>
          <w:tcPr>
            <w:tcW w:w="4876" w:type="dxa"/>
          </w:tcPr>
          <w:p w:rsidR="000E7A9E" w:rsidRPr="00D33000" w:rsidRDefault="000E7A9E" w:rsidP="009E0AF6">
            <w:pPr>
              <w:pStyle w:val="Normal6"/>
              <w:rPr>
                <w:b/>
                <w:i/>
                <w:szCs w:val="24"/>
                <w:lang w:val="lt-LT"/>
              </w:rPr>
            </w:pPr>
            <w:r w:rsidRPr="00D33000">
              <w:rPr>
                <w:lang w:val="lt-LT"/>
              </w:rPr>
              <w:t>7. Pertvarkymo plane pateikiama analizė, kaip ir kada įstaiga gali teikti prašymą plane numatytomis sąlygomis dėl centrinio banko priemonių naudojimo, ir nurodomas turtas, kuris, tikėtina, atitiktų užstatui keliamas sąlygas</w:t>
            </w:r>
            <w:r w:rsidRPr="00D33000">
              <w:rPr>
                <w:b/>
                <w:i/>
                <w:lang w:val="lt-LT"/>
              </w:rPr>
              <w:t>, kartu pateikiant riziką ribojantį jos vidutinės metinės vertės bendros centrinio banko likvidumo tikslais įvertį, deramai atsižvelgiant į atitinkamus vertės sumažinimus</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128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 punkto a c papunktis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8 straipsnio 9 dalis</w:t>
      </w:r>
      <w:r w:rsidRPr="005D599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Dabartinis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(ac) 9 dalis pakeičiama taip:</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szCs w:val="24"/>
                <w:lang w:val="lt-LT"/>
              </w:rPr>
              <w:t>9. Kiekvienos įstaigos pertvarkymo plane turi būti ši informacija (jeigu tinkama ir įmanoma, įvertinta kiekybiškai):</w:t>
            </w:r>
          </w:p>
        </w:tc>
        <w:tc>
          <w:tcPr>
            <w:tcW w:w="4876" w:type="dxa"/>
            <w:hideMark/>
          </w:tcPr>
          <w:p w:rsidR="000E7A9E" w:rsidRPr="00D33000" w:rsidRDefault="000E7A9E" w:rsidP="009E0AF6">
            <w:pPr>
              <w:pStyle w:val="Normal6"/>
              <w:rPr>
                <w:szCs w:val="24"/>
                <w:lang w:val="lt-LT"/>
              </w:rPr>
            </w:pPr>
            <w:r w:rsidRPr="00D33000">
              <w:rPr>
                <w:szCs w:val="24"/>
                <w:lang w:val="lt-LT"/>
              </w:rPr>
              <w:t>9. Kiekvienos įstaigos pertvarkymo plane turi būti ši informacija (jeigu tinkama ir įmanoma, įvertinta kiekybiškai):</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a) svarbiausių plano elementų santrauka;</w:t>
            </w:r>
          </w:p>
        </w:tc>
        <w:tc>
          <w:tcPr>
            <w:tcW w:w="4876" w:type="dxa"/>
            <w:hideMark/>
          </w:tcPr>
          <w:p w:rsidR="000E7A9E" w:rsidRPr="00D33000" w:rsidRDefault="000E7A9E" w:rsidP="009E0AF6">
            <w:pPr>
              <w:pStyle w:val="Normal6"/>
              <w:rPr>
                <w:szCs w:val="24"/>
                <w:lang w:val="lt-LT"/>
              </w:rPr>
            </w:pPr>
            <w:r w:rsidRPr="00D33000">
              <w:rPr>
                <w:lang w:val="lt-LT"/>
              </w:rPr>
              <w:t>a) svarbiausių plano elementų santrauka</w:t>
            </w:r>
            <w:r w:rsidRPr="00D33000">
              <w:rPr>
                <w:b/>
                <w:i/>
                <w:lang w:val="lt-LT"/>
              </w:rPr>
              <w:t>;</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tcPr>
          <w:p w:rsidR="000E7A9E" w:rsidRPr="00D33000" w:rsidRDefault="000E7A9E" w:rsidP="009E0AF6">
            <w:pPr>
              <w:pStyle w:val="Normal6"/>
              <w:rPr>
                <w:b/>
                <w:i/>
                <w:lang w:val="lt-LT"/>
              </w:rPr>
            </w:pPr>
            <w:r w:rsidRPr="00D33000">
              <w:rPr>
                <w:b/>
                <w:i/>
                <w:lang w:val="lt-LT"/>
              </w:rPr>
              <w:t>aa) kai taikytina, išsamus priežasčių, kuriomis remiantis nustatoma, kad įstaiga turi būti laikoma likviduojančiu subjektu, aprašymas</w:t>
            </w:r>
            <w:r w:rsidRPr="00D33000">
              <w:rPr>
                <w:lang w:val="lt-LT"/>
              </w:rPr>
              <w:t>;</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b) esminių pokyčių įstaigoje po paskutinį kartą pateiktos pertvarkymo informacijos santrauka;</w:t>
            </w:r>
          </w:p>
        </w:tc>
        <w:tc>
          <w:tcPr>
            <w:tcW w:w="4876" w:type="dxa"/>
            <w:hideMark/>
          </w:tcPr>
          <w:p w:rsidR="000E7A9E" w:rsidRPr="00D33000" w:rsidRDefault="000E7A9E" w:rsidP="009E0AF6">
            <w:pPr>
              <w:pStyle w:val="Normal6"/>
              <w:rPr>
                <w:szCs w:val="24"/>
                <w:lang w:val="lt-LT"/>
              </w:rPr>
            </w:pPr>
            <w:r w:rsidRPr="00D33000">
              <w:rPr>
                <w:lang w:val="lt-LT"/>
              </w:rPr>
              <w:t>b) esminių pokyčių įstaigoje po paskutinį kartą pateiktos pertvarkymo informacijos santrauka;</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c) paaiškinimas, kaip būtų galima teisiškai ir ekonomiškai atskirti, kiek tai būtina, ypatingos svarbos funkcijas ir pagrindines verslo linijas nuo kitų funkcijų, kad būtų užtikrintas tęstinumas įstaigos žlugimo atveju;</w:t>
            </w:r>
          </w:p>
        </w:tc>
        <w:tc>
          <w:tcPr>
            <w:tcW w:w="4876" w:type="dxa"/>
          </w:tcPr>
          <w:p w:rsidR="000E7A9E" w:rsidRPr="00D33000" w:rsidRDefault="000E7A9E" w:rsidP="009E0AF6">
            <w:pPr>
              <w:pStyle w:val="Normal6"/>
              <w:rPr>
                <w:szCs w:val="24"/>
                <w:lang w:val="lt-LT"/>
              </w:rPr>
            </w:pPr>
            <w:r w:rsidRPr="00D33000">
              <w:rPr>
                <w:lang w:val="lt-LT"/>
              </w:rPr>
              <w:t>c) paaiškinimas, kaip būtų galima teisiškai ir ekonomiškai atskirti, kiek tai būtina, ypatingos svarbos funkcijas ir pagrindines verslo linijas nuo kitų funkcijų, kad būtų užtikrintas tęstinumas įstaigos žlugimo atveju;</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d) numatomas kiekvieno esminio plano aspekto įgyvendinimo laikotarpis;</w:t>
            </w:r>
          </w:p>
        </w:tc>
        <w:tc>
          <w:tcPr>
            <w:tcW w:w="4876" w:type="dxa"/>
          </w:tcPr>
          <w:p w:rsidR="000E7A9E" w:rsidRPr="00D33000" w:rsidRDefault="000E7A9E" w:rsidP="009E0AF6">
            <w:pPr>
              <w:pStyle w:val="Normal6"/>
              <w:rPr>
                <w:szCs w:val="24"/>
                <w:lang w:val="lt-LT"/>
              </w:rPr>
            </w:pPr>
            <w:r w:rsidRPr="00D33000">
              <w:rPr>
                <w:lang w:val="lt-LT"/>
              </w:rPr>
              <w:t xml:space="preserve">d) numatomas kiekvieno esminio plano aspekto įgyvendinimo laikotarpis; </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e) išsamus sėkmingo pertvarkymo galimybės vertinimo pagal 10 straipsnį aprašymas;</w:t>
            </w:r>
          </w:p>
        </w:tc>
        <w:tc>
          <w:tcPr>
            <w:tcW w:w="4876" w:type="dxa"/>
            <w:hideMark/>
          </w:tcPr>
          <w:p w:rsidR="000E7A9E" w:rsidRPr="00D33000" w:rsidRDefault="000E7A9E" w:rsidP="009E0AF6">
            <w:pPr>
              <w:pStyle w:val="Normal6"/>
              <w:rPr>
                <w:szCs w:val="24"/>
                <w:lang w:val="lt-LT"/>
              </w:rPr>
            </w:pPr>
            <w:r w:rsidRPr="00D33000">
              <w:rPr>
                <w:lang w:val="lt-LT"/>
              </w:rPr>
              <w:t xml:space="preserve">e) išsamus sėkmingo pertvarkymo galimybės vertinimo pagal 10 straipsnį aprašymas; </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f) pagal 10 straipsnio 7 dalį reikalaujamų priemonių, kuriomis siekiama įveikti ar pašalinti sėkmingo pertvarkymo kliūtis, nustatytas atlikus vertinimą pagal 10 straipsnį, aprašymas;</w:t>
            </w:r>
          </w:p>
        </w:tc>
        <w:tc>
          <w:tcPr>
            <w:tcW w:w="4876" w:type="dxa"/>
            <w:hideMark/>
          </w:tcPr>
          <w:p w:rsidR="000E7A9E" w:rsidRPr="00D33000" w:rsidRDefault="000E7A9E" w:rsidP="009E0AF6">
            <w:pPr>
              <w:pStyle w:val="Normal6"/>
              <w:rPr>
                <w:szCs w:val="24"/>
                <w:lang w:val="lt-LT"/>
              </w:rPr>
            </w:pPr>
            <w:r w:rsidRPr="00D33000">
              <w:rPr>
                <w:lang w:val="lt-LT"/>
              </w:rPr>
              <w:t xml:space="preserve">f) pagal 10 straipsnio 7 dalį reikalaujamų priemonių, kuriomis siekiama įveikti ar pašalinti sėkmingo pertvarkymo kliūtis, nustatytas atlikus vertinimą pagal 10 straipsnį, aprašymas; </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g) įstaigos ypatingos svarbos funkcijų, pagrindinių verslo linijų ir turto vertės ir paklausos rinkoje nustatymo procesų aprašymas;</w:t>
            </w:r>
          </w:p>
        </w:tc>
        <w:tc>
          <w:tcPr>
            <w:tcW w:w="4876" w:type="dxa"/>
            <w:hideMark/>
          </w:tcPr>
          <w:p w:rsidR="000E7A9E" w:rsidRPr="00D33000" w:rsidRDefault="000E7A9E" w:rsidP="009E0AF6">
            <w:pPr>
              <w:pStyle w:val="Normal6"/>
              <w:rPr>
                <w:szCs w:val="24"/>
                <w:lang w:val="lt-LT"/>
              </w:rPr>
            </w:pPr>
            <w:r w:rsidRPr="00D33000">
              <w:rPr>
                <w:lang w:val="lt-LT"/>
              </w:rPr>
              <w:t xml:space="preserve">g) įstaigos ypatingos svarbos funkcijų, pagrindinių verslo linijų ir turto vertės ir paklausos rinkoje nustatymo procesų aprašymas; </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h) išsamus aprašymas, kaip užtikrinama, kad pagal Direktyvos 2014/59/ES 11 straipsnį reikalaujama informacija būtų atnaujinta ir bet kada prieinama pertvarkymo institucijoms;</w:t>
            </w:r>
          </w:p>
        </w:tc>
        <w:tc>
          <w:tcPr>
            <w:tcW w:w="4876" w:type="dxa"/>
            <w:hideMark/>
          </w:tcPr>
          <w:p w:rsidR="000E7A9E" w:rsidRPr="00D33000" w:rsidRDefault="000E7A9E" w:rsidP="009E0AF6">
            <w:pPr>
              <w:pStyle w:val="Normal6"/>
              <w:rPr>
                <w:szCs w:val="24"/>
                <w:lang w:val="lt-LT"/>
              </w:rPr>
            </w:pPr>
            <w:r w:rsidRPr="00D33000">
              <w:rPr>
                <w:lang w:val="lt-LT"/>
              </w:rPr>
              <w:t xml:space="preserve">h) išsamus aprašymas, kaip užtikrinama, kad pagal Direktyvos 2014/59/ES 11 straipsnį reikalaujama informacija būtų atnaujinta ir bet kada prieinama pertvarkymo institucijoms; </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i) paaiškinimas, kaip būtų galima finansuoti pertvarkymą pagal siūlomas galimybes, nenumatant:</w:t>
            </w:r>
          </w:p>
        </w:tc>
        <w:tc>
          <w:tcPr>
            <w:tcW w:w="4876" w:type="dxa"/>
            <w:hideMark/>
          </w:tcPr>
          <w:p w:rsidR="000E7A9E" w:rsidRPr="00D33000" w:rsidRDefault="000E7A9E" w:rsidP="009E0AF6">
            <w:pPr>
              <w:pStyle w:val="Normal6"/>
              <w:rPr>
                <w:szCs w:val="24"/>
                <w:lang w:val="lt-LT"/>
              </w:rPr>
            </w:pPr>
            <w:r w:rsidRPr="00D33000">
              <w:rPr>
                <w:lang w:val="lt-LT"/>
              </w:rPr>
              <w:t xml:space="preserve">i) paaiškinimas, kaip būtų galima finansuoti pertvarkymą pagal siūlomas galimybes, nenumatant: </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i) nepaprastosios viešosios finansinės paramos, išskyrus pagal 67 straipsnį </w:t>
            </w:r>
            <w:r w:rsidRPr="00D33000">
              <w:rPr>
                <w:b/>
                <w:i/>
                <w:lang w:val="lt-LT"/>
              </w:rPr>
              <w:t>įsteigto Fondo</w:t>
            </w:r>
            <w:r w:rsidRPr="00D33000">
              <w:rPr>
                <w:lang w:val="lt-LT"/>
              </w:rPr>
              <w:t xml:space="preserve"> panaudojimą;</w:t>
            </w:r>
          </w:p>
        </w:tc>
        <w:tc>
          <w:tcPr>
            <w:tcW w:w="4876" w:type="dxa"/>
            <w:hideMark/>
          </w:tcPr>
          <w:p w:rsidR="000E7A9E" w:rsidRPr="00D33000" w:rsidRDefault="000E7A9E" w:rsidP="009E0AF6">
            <w:pPr>
              <w:pStyle w:val="Normal6"/>
              <w:rPr>
                <w:szCs w:val="24"/>
                <w:lang w:val="lt-LT"/>
              </w:rPr>
            </w:pPr>
            <w:r w:rsidRPr="00D33000">
              <w:rPr>
                <w:lang w:val="lt-LT"/>
              </w:rPr>
              <w:t xml:space="preserve">i) nepaprastosios viešosios finansinės paramos </w:t>
            </w:r>
            <w:r w:rsidRPr="00D33000">
              <w:rPr>
                <w:b/>
                <w:i/>
                <w:lang w:val="lt-LT"/>
              </w:rPr>
              <w:t>pertvarkytinam subjektui ar subjektams, įsigyjantiems dalį jo verslo</w:t>
            </w:r>
            <w:r w:rsidRPr="00D33000">
              <w:rPr>
                <w:lang w:val="lt-LT"/>
              </w:rPr>
              <w:t xml:space="preserve">, išskyrus pagal 67 straipsnį </w:t>
            </w:r>
            <w:r w:rsidRPr="00D33000">
              <w:rPr>
                <w:b/>
                <w:i/>
                <w:lang w:val="lt-LT"/>
              </w:rPr>
              <w:t>nustatytų finansavimo struktūrų</w:t>
            </w:r>
            <w:r w:rsidRPr="00D33000">
              <w:rPr>
                <w:lang w:val="lt-LT"/>
              </w:rPr>
              <w:t xml:space="preserve"> panaudojimą; </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ii) skubios centrinio banko pagalbos likvidumui padidinti; arba</w:t>
            </w:r>
          </w:p>
        </w:tc>
        <w:tc>
          <w:tcPr>
            <w:tcW w:w="4876" w:type="dxa"/>
            <w:hideMark/>
          </w:tcPr>
          <w:p w:rsidR="000E7A9E" w:rsidRPr="00D33000" w:rsidRDefault="000E7A9E" w:rsidP="009E0AF6">
            <w:pPr>
              <w:pStyle w:val="Normal6"/>
              <w:rPr>
                <w:szCs w:val="24"/>
                <w:lang w:val="lt-LT"/>
              </w:rPr>
            </w:pPr>
            <w:r w:rsidRPr="00D33000">
              <w:rPr>
                <w:lang w:val="lt-LT"/>
              </w:rPr>
              <w:t xml:space="preserve">ii) skubios centrinio banko pagalbos likvidumui padidinti; arba </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iii) centrinio banko paramos likvidumui padidinti, teikiamos nestandartinėmis užtikrinimo, grąžinimo termino ir palūkanų normų sąlygomis;</w:t>
            </w:r>
          </w:p>
        </w:tc>
        <w:tc>
          <w:tcPr>
            <w:tcW w:w="4876" w:type="dxa"/>
            <w:hideMark/>
          </w:tcPr>
          <w:p w:rsidR="000E7A9E" w:rsidRPr="00D33000" w:rsidRDefault="000E7A9E" w:rsidP="009E0AF6">
            <w:pPr>
              <w:pStyle w:val="Normal6"/>
              <w:rPr>
                <w:szCs w:val="24"/>
                <w:lang w:val="lt-LT"/>
              </w:rPr>
            </w:pPr>
            <w:r w:rsidRPr="00D33000">
              <w:rPr>
                <w:lang w:val="lt-LT"/>
              </w:rPr>
              <w:t xml:space="preserve">iii) centrinio banko paramos likvidumui padidinti, teikiamos nestandartinėmis užtikrinimo, grąžinimo termino ir palūkanų normų sąlygomis; </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j) išsamus įvairių pertvarkymo strategijų, kurias būtų galima taikyti pagal įvairius galimus scenarijus ir taikytinus tvarkaraščius, aprašymas;</w:t>
            </w:r>
          </w:p>
        </w:tc>
        <w:tc>
          <w:tcPr>
            <w:tcW w:w="4876" w:type="dxa"/>
            <w:hideMark/>
          </w:tcPr>
          <w:p w:rsidR="000E7A9E" w:rsidRPr="00D33000" w:rsidRDefault="000E7A9E" w:rsidP="009E0AF6">
            <w:pPr>
              <w:pStyle w:val="Normal6"/>
              <w:rPr>
                <w:szCs w:val="24"/>
                <w:lang w:val="lt-LT"/>
              </w:rPr>
            </w:pPr>
            <w:r w:rsidRPr="00D33000">
              <w:rPr>
                <w:lang w:val="lt-LT"/>
              </w:rPr>
              <w:t xml:space="preserve">j) išsamus įvairių pertvarkymo strategijų, kurias būtų galima taikyti pagal įvairius galimus scenarijus ir taikytinus tvarkaraščius, aprašymas; </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k) ypatingos svarbos tarpusavio priklausomybės ryšių aprašymas;</w:t>
            </w:r>
          </w:p>
        </w:tc>
        <w:tc>
          <w:tcPr>
            <w:tcW w:w="4876" w:type="dxa"/>
            <w:hideMark/>
          </w:tcPr>
          <w:p w:rsidR="000E7A9E" w:rsidRPr="00D33000" w:rsidRDefault="000E7A9E" w:rsidP="009E0AF6">
            <w:pPr>
              <w:pStyle w:val="Normal6"/>
              <w:rPr>
                <w:szCs w:val="24"/>
                <w:lang w:val="lt-LT"/>
              </w:rPr>
            </w:pPr>
            <w:r w:rsidRPr="00D33000">
              <w:rPr>
                <w:lang w:val="lt-LT"/>
              </w:rPr>
              <w:t xml:space="preserve">k) ypatingos svarbos tarpusavio priklausomybės ryšių aprašymas; </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l) galimybių išsaugoti galimybę teikti mokėjimo ir tarpuskaitos paslaugas ir naudotis kita infrastruktūra aprašymas ir klientų pozicijų perkeliamumo įvertinimas;</w:t>
            </w:r>
          </w:p>
        </w:tc>
        <w:tc>
          <w:tcPr>
            <w:tcW w:w="4876" w:type="dxa"/>
            <w:hideMark/>
          </w:tcPr>
          <w:p w:rsidR="000E7A9E" w:rsidRPr="00D33000" w:rsidRDefault="000E7A9E" w:rsidP="009E0AF6">
            <w:pPr>
              <w:pStyle w:val="Normal6"/>
              <w:rPr>
                <w:szCs w:val="24"/>
                <w:lang w:val="lt-LT"/>
              </w:rPr>
            </w:pPr>
            <w:r w:rsidRPr="00D33000">
              <w:rPr>
                <w:lang w:val="lt-LT"/>
              </w:rPr>
              <w:t xml:space="preserve">l) galimybių išsaugoti galimybę teikti mokėjimo ir tarpuskaitos paslaugas ir naudotis kita infrastruktūra aprašymas ir klientų pozicijų perkeliamumo įvertinimas; </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m) plano poveikio įstaigos darbuotojams analizė, įskaitant susijusių sąnaudų įvertinimą, ir numatytų procedūrų, pagal kurias būtų konsultuojamasi su personalu vykdant pertvarkymo procesą, kai taikytina atsižvelgiant į nacionalines dialogo su socialiniais partneriais sistemas, aprašymas;</w:t>
            </w:r>
          </w:p>
        </w:tc>
        <w:tc>
          <w:tcPr>
            <w:tcW w:w="4876" w:type="dxa"/>
            <w:hideMark/>
          </w:tcPr>
          <w:p w:rsidR="000E7A9E" w:rsidRPr="00D33000" w:rsidRDefault="000E7A9E" w:rsidP="009E0AF6">
            <w:pPr>
              <w:pStyle w:val="Normal6"/>
              <w:rPr>
                <w:szCs w:val="24"/>
                <w:lang w:val="lt-LT"/>
              </w:rPr>
            </w:pPr>
            <w:r w:rsidRPr="00D33000">
              <w:rPr>
                <w:lang w:val="lt-LT"/>
              </w:rPr>
              <w:t xml:space="preserve">m) plano poveikio įstaigos darbuotojams analizė, įskaitant susijusių sąnaudų įvertinimą, ir numatytų procedūrų, pagal kurias būtų konsultuojamasi su personalu vykdant pertvarkymo procesą, kai taikytina atsižvelgiant į nacionalines dialogo su socialiniais partneriais sistemas, aprašymas; </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n) informacijos teikimo žiniasklaidai ir visuomenei planas;</w:t>
            </w:r>
          </w:p>
        </w:tc>
        <w:tc>
          <w:tcPr>
            <w:tcW w:w="4876" w:type="dxa"/>
            <w:hideMark/>
          </w:tcPr>
          <w:p w:rsidR="000E7A9E" w:rsidRPr="00D33000" w:rsidRDefault="000E7A9E" w:rsidP="009E0AF6">
            <w:pPr>
              <w:pStyle w:val="Normal6"/>
              <w:rPr>
                <w:szCs w:val="24"/>
                <w:lang w:val="lt-LT"/>
              </w:rPr>
            </w:pPr>
            <w:r w:rsidRPr="00D33000">
              <w:rPr>
                <w:lang w:val="lt-LT"/>
              </w:rPr>
              <w:t xml:space="preserve">n) informacijos teikimo žiniasklaidai ir visuomenei planas; </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o)</w:t>
            </w:r>
            <w:r w:rsidRPr="00D33000">
              <w:rPr>
                <w:b/>
                <w:i/>
                <w:lang w:val="lt-LT"/>
              </w:rPr>
              <w:t>kai taikytina, minimalus nuosavų lėšų ir tinkamų įsipareigojimų reikalavimas pagal 12 straipsnį</w:t>
            </w:r>
            <w:r w:rsidRPr="00D33000">
              <w:rPr>
                <w:lang w:val="lt-LT"/>
              </w:rPr>
              <w:t xml:space="preserve"> ir galutinis terminas, iki kurio šį lygį reikia pasiekti;</w:t>
            </w:r>
          </w:p>
        </w:tc>
        <w:tc>
          <w:tcPr>
            <w:tcW w:w="4876" w:type="dxa"/>
            <w:hideMark/>
          </w:tcPr>
          <w:p w:rsidR="000E7A9E" w:rsidRPr="00D33000" w:rsidRDefault="000E7A9E" w:rsidP="009E0AF6">
            <w:pPr>
              <w:pStyle w:val="Normal6"/>
              <w:rPr>
                <w:szCs w:val="24"/>
                <w:lang w:val="lt-LT"/>
              </w:rPr>
            </w:pPr>
            <w:r w:rsidRPr="00D33000">
              <w:rPr>
                <w:lang w:val="lt-LT"/>
              </w:rPr>
              <w:t xml:space="preserve">o) </w:t>
            </w:r>
            <w:r w:rsidRPr="00D33000">
              <w:rPr>
                <w:b/>
                <w:i/>
                <w:lang w:val="lt-LT"/>
              </w:rPr>
              <w:t>laikantis 12k straipsnio, 12f ir 12g straipsniuose nurodyti reikalavimai</w:t>
            </w:r>
            <w:r w:rsidRPr="00D33000">
              <w:rPr>
                <w:lang w:val="lt-LT"/>
              </w:rPr>
              <w:t xml:space="preserve"> ir galutinis terminas, iki kurio šį lygį reikia pasiekti; </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p) kai </w:t>
            </w:r>
            <w:r w:rsidRPr="00D33000">
              <w:rPr>
                <w:b/>
                <w:i/>
                <w:lang w:val="lt-LT"/>
              </w:rPr>
              <w:t>taikytina, minimalus nuosavų lėšų ir sutartinių gelbėjimo privačiomis lėšomis</w:t>
            </w:r>
            <w:r w:rsidRPr="00D33000">
              <w:rPr>
                <w:lang w:val="lt-LT"/>
              </w:rPr>
              <w:t xml:space="preserve"> priemonių </w:t>
            </w:r>
            <w:r w:rsidRPr="00D33000">
              <w:rPr>
                <w:b/>
                <w:i/>
                <w:lang w:val="lt-LT"/>
              </w:rPr>
              <w:t>reikalavimas</w:t>
            </w:r>
            <w:r w:rsidRPr="00D33000">
              <w:rPr>
                <w:lang w:val="lt-LT"/>
              </w:rPr>
              <w:t xml:space="preserve"> pagal </w:t>
            </w:r>
            <w:r w:rsidRPr="00D33000">
              <w:rPr>
                <w:b/>
                <w:i/>
                <w:lang w:val="lt-LT"/>
              </w:rPr>
              <w:t>12 straipsnį ir galutinis terminas, iki kurio šį lygį reikia pasiekti</w:t>
            </w:r>
            <w:r w:rsidRPr="00D33000">
              <w:rPr>
                <w:lang w:val="lt-LT"/>
              </w:rPr>
              <w:t>;</w:t>
            </w:r>
          </w:p>
        </w:tc>
        <w:tc>
          <w:tcPr>
            <w:tcW w:w="4876" w:type="dxa"/>
            <w:hideMark/>
          </w:tcPr>
          <w:p w:rsidR="000E7A9E" w:rsidRPr="00D33000" w:rsidRDefault="000E7A9E" w:rsidP="009E0AF6">
            <w:pPr>
              <w:pStyle w:val="Normal6"/>
              <w:rPr>
                <w:szCs w:val="24"/>
                <w:lang w:val="lt-LT"/>
              </w:rPr>
            </w:pPr>
            <w:r w:rsidRPr="00D33000">
              <w:rPr>
                <w:b/>
                <w:i/>
                <w:lang w:val="lt-LT"/>
              </w:rPr>
              <w:t>p)</w:t>
            </w:r>
            <w:r w:rsidRPr="00D33000">
              <w:rPr>
                <w:lang w:val="lt-LT"/>
              </w:rPr>
              <w:t xml:space="preserve"> kai </w:t>
            </w:r>
            <w:r w:rsidRPr="00D33000">
              <w:rPr>
                <w:b/>
                <w:i/>
                <w:lang w:val="lt-LT"/>
              </w:rPr>
              <w:t>Valdyba taiko 12c straipsnio 4, 5 arba 7 dalį, pertvarkytinam subjektui taikomas laikymosi tvarkaraštis pagal 12k straipsnį;</w:t>
            </w:r>
            <w:r w:rsidRPr="00D33000">
              <w:rPr>
                <w:lang w:val="lt-LT"/>
              </w:rPr>
              <w:t xml:space="preserve"> </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tcPr>
          <w:p w:rsidR="000E7A9E" w:rsidRPr="00D33000" w:rsidRDefault="000E7A9E" w:rsidP="009E0AF6">
            <w:pPr>
              <w:pStyle w:val="Normal6"/>
              <w:rPr>
                <w:b/>
                <w:i/>
                <w:lang w:val="lt-LT"/>
              </w:rPr>
            </w:pPr>
            <w:r w:rsidRPr="00D33000">
              <w:rPr>
                <w:b/>
                <w:i/>
                <w:lang w:val="lt-LT"/>
              </w:rPr>
              <w:t>pa) išsamus ir visapusiškas MREL reikalavimus atitinkančių</w:t>
            </w:r>
            <w:r w:rsidRPr="00D33000">
              <w:rPr>
                <w:lang w:val="lt-LT"/>
              </w:rPr>
              <w:t xml:space="preserve"> priemonių </w:t>
            </w:r>
            <w:r w:rsidRPr="00D33000">
              <w:rPr>
                <w:b/>
                <w:i/>
                <w:lang w:val="lt-LT"/>
              </w:rPr>
              <w:t>sąrašas, įskaitant tai, ar jų turėtojai atitinka neprofesionaliųjų ar profesionaliųjų investuotojų kriterijus</w:t>
            </w:r>
            <w:r w:rsidRPr="00D33000">
              <w:rPr>
                <w:lang w:val="lt-LT"/>
              </w:rPr>
              <w:t xml:space="preserve"> pagal </w:t>
            </w:r>
            <w:r w:rsidRPr="00D33000">
              <w:rPr>
                <w:b/>
                <w:i/>
                <w:lang w:val="lt-LT"/>
              </w:rPr>
              <w:t>Direktyvą 2014/65/ES;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tcPr>
          <w:p w:rsidR="000E7A9E" w:rsidRPr="00D33000" w:rsidRDefault="000E7A9E" w:rsidP="009E0AF6">
            <w:pPr>
              <w:pStyle w:val="Normal6"/>
              <w:rPr>
                <w:b/>
                <w:i/>
                <w:lang w:val="lt-LT"/>
              </w:rPr>
            </w:pPr>
            <w:r w:rsidRPr="00D33000">
              <w:rPr>
                <w:b/>
                <w:i/>
                <w:lang w:val="lt-LT"/>
              </w:rPr>
              <w:t>pb) išsamus ir kiekybiškai įvertintas apdraustųjų indėlių, mažmeninių indėlių, įmonių indėlių mokėjimo ir atsiskaitymo tikslais ir kitų įmonių indėlių, kaip apibrėžta atitinkamai Direktyvos 2014/59/ES 2 straipsnio 1 dalies 95, 97, 98 ir 98a punktuose, sąrašas</w:t>
            </w:r>
            <w:r w:rsidRPr="00D33000">
              <w:rPr>
                <w:lang w:val="lt-LT"/>
              </w:rPr>
              <w:t>;</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q) pagrindinių operacijų ir sistemų, skirtų nuolatiniam įstaigos veiklos procesų veikimui užtikrinti, aprašas;</w:t>
            </w:r>
          </w:p>
        </w:tc>
        <w:tc>
          <w:tcPr>
            <w:tcW w:w="4876" w:type="dxa"/>
            <w:hideMark/>
          </w:tcPr>
          <w:p w:rsidR="000E7A9E" w:rsidRPr="00D33000" w:rsidRDefault="000E7A9E" w:rsidP="009E0AF6">
            <w:pPr>
              <w:pStyle w:val="Normal6"/>
              <w:rPr>
                <w:szCs w:val="24"/>
                <w:lang w:val="lt-LT"/>
              </w:rPr>
            </w:pPr>
            <w:r w:rsidRPr="00D33000">
              <w:rPr>
                <w:lang w:val="lt-LT"/>
              </w:rPr>
              <w:t>q) pagrindinių operacijų ir sistemų, skirtų nuolatiniam įstaigos veiklos procesų veikimui užtikrinti, aprašas;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r) kai taikytina, įstaigos pareikšta nuomonė dėl pertvarkymo plano.</w:t>
            </w:r>
          </w:p>
        </w:tc>
        <w:tc>
          <w:tcPr>
            <w:tcW w:w="4876" w:type="dxa"/>
            <w:hideMark/>
          </w:tcPr>
          <w:p w:rsidR="000E7A9E" w:rsidRPr="00D33000" w:rsidRDefault="000E7A9E" w:rsidP="009E0AF6">
            <w:pPr>
              <w:pStyle w:val="Normal6"/>
              <w:rPr>
                <w:szCs w:val="24"/>
                <w:lang w:val="lt-LT"/>
              </w:rPr>
            </w:pPr>
            <w:r w:rsidRPr="00D33000">
              <w:rPr>
                <w:lang w:val="lt-LT"/>
              </w:rPr>
              <w:t>r) kai taikytina, įstaigos pareikšta nuomonė dėl pertvarkymo plano.</w:t>
            </w:r>
            <w:r w:rsidRPr="00D33000">
              <w:rPr>
                <w:b/>
                <w:i/>
                <w:lang w:val="lt-LT"/>
              </w:rPr>
              <w:t xml:space="preserve"> </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CrossRef"/>
        <w:rPr>
          <w:lang w:val="lt-LT"/>
        </w:rPr>
      </w:pPr>
      <w:r w:rsidRPr="00D33000">
        <w:rPr>
          <w:lang w:val="lt-LT"/>
        </w:rPr>
        <w:t>(https://eur-lex.europa.eu/legal-content/LT/TXT/?uri=celex%3A32014R0806)</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129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Jonás Fernández</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 punkto a a papunktis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8 straipsnio 9 dalies f a punktas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(aa)</w:t>
            </w:r>
            <w:r w:rsidRPr="00D33000">
              <w:rPr>
                <w:b/>
                <w:i/>
                <w:lang w:val="lt-LT"/>
              </w:rPr>
              <w:tab/>
              <w:t>9 dalis papildoma šiuo punktu:</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„fa) išsamus priežasčių, kuriomis remiantis nustatoma, kad įstaiga turi būti laikoma likviduojančiu subjektu, aprašymas, įskaitant paaiškinimą, kaip pertvarkymo institucija padarė išvadą, kad įstaiga neturi ypatingos svarbos funkcijų;“;</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130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 punkto b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8 straipsnio 10 dalis</w:t>
      </w:r>
      <w:r w:rsidRPr="005D599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r w:rsidRPr="00D33000">
              <w:rPr>
                <w:lang w:val="lt-LT"/>
              </w:rPr>
              <w:t xml:space="preserve">(b) 10 dalis </w:t>
            </w:r>
            <w:r w:rsidRPr="00D33000">
              <w:rPr>
                <w:b/>
                <w:i/>
                <w:lang w:val="lt-LT"/>
              </w:rPr>
              <w:t>papildoma šia pastraipa</w:t>
            </w:r>
            <w:r w:rsidRPr="00D33000">
              <w:rPr>
                <w:lang w:val="lt-LT"/>
              </w:rPr>
              <w:t>:</w:t>
            </w:r>
          </w:p>
        </w:tc>
        <w:tc>
          <w:tcPr>
            <w:tcW w:w="4876" w:type="dxa"/>
          </w:tcPr>
          <w:p w:rsidR="000E7A9E" w:rsidRPr="00D33000" w:rsidRDefault="000E7A9E" w:rsidP="009E0AF6">
            <w:pPr>
              <w:pStyle w:val="Normal6"/>
              <w:rPr>
                <w:b/>
                <w:szCs w:val="24"/>
                <w:lang w:val="lt-LT"/>
              </w:rPr>
            </w:pPr>
            <w:r w:rsidRPr="00D33000">
              <w:rPr>
                <w:szCs w:val="24"/>
                <w:lang w:val="lt-LT"/>
              </w:rPr>
              <w:t>(b)</w:t>
            </w:r>
            <w:r w:rsidRPr="00D33000">
              <w:rPr>
                <w:b/>
                <w:szCs w:val="24"/>
                <w:lang w:val="lt-LT"/>
              </w:rPr>
              <w:t xml:space="preserve"> </w:t>
            </w:r>
            <w:r w:rsidRPr="00D33000">
              <w:rPr>
                <w:szCs w:val="24"/>
                <w:lang w:val="lt-LT"/>
              </w:rPr>
              <w:t xml:space="preserve">10 dalis </w:t>
            </w:r>
            <w:r w:rsidRPr="00D33000">
              <w:rPr>
                <w:b/>
                <w:i/>
                <w:szCs w:val="24"/>
                <w:lang w:val="lt-LT"/>
              </w:rPr>
              <w:t>pakeičiama taip</w:t>
            </w:r>
            <w:r w:rsidRPr="00D33000">
              <w:rPr>
                <w:szCs w:val="24"/>
                <w:lang w:val="lt-LT"/>
              </w:rPr>
              <w:t>:</w:t>
            </w:r>
          </w:p>
        </w:tc>
      </w:tr>
      <w:tr w:rsidR="000E7A9E" w:rsidRPr="00D33000" w:rsidTr="009E0AF6">
        <w:trPr>
          <w:jc w:val="center"/>
        </w:trPr>
        <w:tc>
          <w:tcPr>
            <w:tcW w:w="4876" w:type="dxa"/>
          </w:tcPr>
          <w:p w:rsidR="000E7A9E" w:rsidRPr="00D33000" w:rsidRDefault="000E7A9E" w:rsidP="009E0AF6">
            <w:pPr>
              <w:pStyle w:val="Normal6"/>
              <w:rPr>
                <w:b/>
                <w:i/>
                <w:lang w:val="lt-LT"/>
              </w:rPr>
            </w:pPr>
            <w:r w:rsidRPr="00D33000">
              <w:rPr>
                <w:b/>
                <w:i/>
                <w:sz w:val="23"/>
                <w:szCs w:val="23"/>
                <w:lang w:val="lt-LT"/>
              </w:rPr>
              <w:t>„Nustatydama priemones, kurių reikia imtis pirmos pastraipos b punkte nurodytų patronuojamųjų įmonių, kurios nėra pertvarkytini subjektai, atžvilgiu, Valdyba gali taikyti supaprastintą metodą, jei toks metodas neturėtų neigiamo poveikio sėkmingo grupės pertvarkymo galimybei, atsižvelgiant į patronuojamosios įmonės dydį, jos rizikos pobūdį, ypatingos svarbos funkcijų nebuvimą ir grupės pertvarkymo strategiją.“;</w:t>
            </w:r>
          </w:p>
        </w:tc>
        <w:tc>
          <w:tcPr>
            <w:tcW w:w="4876" w:type="dxa"/>
          </w:tcPr>
          <w:p w:rsidR="000E7A9E" w:rsidRPr="00D33000" w:rsidRDefault="000E7A9E" w:rsidP="009E0AF6">
            <w:pPr>
              <w:pStyle w:val="Normal6"/>
              <w:rPr>
                <w:b/>
                <w:i/>
                <w:szCs w:val="24"/>
                <w:lang w:val="lt-LT"/>
              </w:rPr>
            </w:pPr>
            <w:r w:rsidRPr="00D33000">
              <w:rPr>
                <w:b/>
                <w:i/>
                <w:lang w:val="lt-LT"/>
              </w:rPr>
              <w:t xml:space="preserve">10. Grupės pertvarkymo planai aprėpia visos grupės, kuriai vadovauja dalyvaujančioje valstybėje narėje įsteigta Sąjungos patronuojančioji įmonė, pertvarkymo planą arba vykdant pertvarkymą Sąjungos patronuojančiosios įmonės lygmeniu, arba grupę išskaidant ir pertvarkant patronuojamąsias įmones. Grupės pertvarkymo plane nustatomos priemonės, kurias taikant galima pertvarkyti: </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tcPr>
          <w:p w:rsidR="000E7A9E" w:rsidRPr="00D33000" w:rsidRDefault="000E7A9E" w:rsidP="009E0AF6">
            <w:pPr>
              <w:pStyle w:val="Normal6"/>
              <w:rPr>
                <w:b/>
                <w:i/>
                <w:lang w:val="lt-LT"/>
              </w:rPr>
            </w:pPr>
            <w:r w:rsidRPr="00D33000">
              <w:rPr>
                <w:b/>
                <w:i/>
                <w:lang w:val="lt-LT"/>
              </w:rPr>
              <w:t xml:space="preserve">a) Sąjungos patronuojančiąsias įmones; </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tcPr>
          <w:p w:rsidR="000E7A9E" w:rsidRPr="00D33000" w:rsidRDefault="000E7A9E" w:rsidP="009E0AF6">
            <w:pPr>
              <w:pStyle w:val="Normal6"/>
              <w:rPr>
                <w:b/>
                <w:i/>
                <w:lang w:val="lt-LT"/>
              </w:rPr>
            </w:pPr>
            <w:r w:rsidRPr="00D33000">
              <w:rPr>
                <w:b/>
                <w:i/>
                <w:lang w:val="lt-LT"/>
              </w:rPr>
              <w:t xml:space="preserve">b) grupei priklausančias patronuojamąsias įmones, įsteigtas Sąjungoje; </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tcPr>
          <w:p w:rsidR="000E7A9E" w:rsidRPr="00D33000" w:rsidRDefault="000E7A9E" w:rsidP="009E0AF6">
            <w:pPr>
              <w:pStyle w:val="Normal6"/>
              <w:rPr>
                <w:b/>
                <w:i/>
                <w:lang w:val="lt-LT"/>
              </w:rPr>
            </w:pPr>
            <w:r w:rsidRPr="00D33000">
              <w:rPr>
                <w:b/>
                <w:i/>
                <w:lang w:val="lt-LT"/>
              </w:rPr>
              <w:t xml:space="preserve">c) 2 straipsnio b punkte nurodytus subjektus; ir </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tcPr>
          <w:p w:rsidR="000E7A9E" w:rsidRPr="00D33000" w:rsidRDefault="000E7A9E" w:rsidP="009E0AF6">
            <w:pPr>
              <w:pStyle w:val="Normal6"/>
              <w:rPr>
                <w:b/>
                <w:i/>
                <w:lang w:val="lt-LT"/>
              </w:rPr>
            </w:pPr>
            <w:r w:rsidRPr="00D33000">
              <w:rPr>
                <w:b/>
                <w:i/>
                <w:lang w:val="lt-LT"/>
              </w:rPr>
              <w:t xml:space="preserve">d) taikant 33 straipsnį – grupei priklausančias patronuojamąsias įmones, įsteigtas Sąjungoje. </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tcPr>
          <w:p w:rsidR="000E7A9E" w:rsidRPr="00D33000" w:rsidRDefault="000E7A9E" w:rsidP="009E0AF6">
            <w:pPr>
              <w:pStyle w:val="Normal6"/>
              <w:rPr>
                <w:lang w:val="lt-LT"/>
              </w:rPr>
            </w:pPr>
            <w:r w:rsidRPr="00D33000">
              <w:rPr>
                <w:b/>
                <w:i/>
                <w:lang w:val="lt-LT"/>
              </w:rPr>
              <w:t>Grupės pertvarkymo plane taip pat nustatoma, ar pertvarkytinai grupei priklausantys subjektai, išskyrus pertvarkytiną subjektą, laikomi likviduojančiais subjektais. Nedarant poveikio kitiems veiksniams, kuriuos Valdyba gali laikyti svarbiais, subjektai, kurie atlieka ypatingos svarbos funkcijas ar teikia ypatingos svarbos paslaugas arba yra reikšmingos patronuojamosios įmonės pagal Reglamento (ES) Nr. 575/2013 4 straipsnio 1 dalies 135 punktą, nelaikomi likviduojančiais subjektais.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CrossRef"/>
        <w:rPr>
          <w:lang w:val="lt-LT"/>
        </w:rPr>
      </w:pP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131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 punkto b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8 straipsnio 10 dalies 3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„Nustatydama priemones, kurių reikia imtis pirmos pastraipos b punkte nurodytų patronuojamųjų įmonių, kurios nėra pertvarkytini subjektai, atžvilgiu, Valdyba gali taikyti supaprastintą metodą, jei toks metodas neturėtų neigiamo poveikio sėkmingo grupės pertvarkymo galimybei, atsižvelgiant į patronuojamosios įmonės dydį, jos rizikos pobūdį, ypatingos svarbos funkcijų nebuvimą ir grupės pertvarkymo strategiją.“;</w:t>
            </w:r>
          </w:p>
        </w:tc>
        <w:tc>
          <w:tcPr>
            <w:tcW w:w="4876" w:type="dxa"/>
            <w:hideMark/>
          </w:tcPr>
          <w:p w:rsidR="000E7A9E" w:rsidRPr="00D33000" w:rsidRDefault="000E7A9E" w:rsidP="009E0AF6">
            <w:pPr>
              <w:pStyle w:val="Normal6"/>
              <w:rPr>
                <w:szCs w:val="24"/>
                <w:lang w:val="lt-LT"/>
              </w:rPr>
            </w:pPr>
            <w:r w:rsidRPr="00D33000">
              <w:rPr>
                <w:lang w:val="lt-LT"/>
              </w:rPr>
              <w:t>„Nustatydama priemones, kurių reikia imtis pirmos pastraipos b punkte nurodytų patronuojamųjų įmonių, kurios nėra pertvarkytini subjektai, atžvilgiu, Valdyba</w:t>
            </w:r>
            <w:r w:rsidRPr="00D33000">
              <w:rPr>
                <w:b/>
                <w:i/>
                <w:lang w:val="lt-LT"/>
              </w:rPr>
              <w:t>, pasikonsultavusi su atitinkama nacionaline pertvarkymo institucija,</w:t>
            </w:r>
            <w:r w:rsidRPr="00D33000">
              <w:rPr>
                <w:lang w:val="lt-LT"/>
              </w:rPr>
              <w:t xml:space="preserve"> gali taikyti supaprastintą metodą, jei toks metodas neturėtų neigiamo poveikio sėkmingo grupės pertvarkymo galimybei, atsižvelgiant į patronuojamosios įmonės dydį, jos rizikos pobūdį, ypatingos svarbos funkcijų nebuvimą ir grupės pertvarkymo strategiją.“;</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132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Jonás Fernández</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 punkto b a papunktis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8 straipsnio 11 dalies -a a punktas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(ba)</w:t>
            </w:r>
            <w:r w:rsidRPr="00D33000">
              <w:rPr>
                <w:b/>
                <w:i/>
                <w:lang w:val="lt-LT"/>
              </w:rPr>
              <w:tab/>
              <w:t>11 dalis papildoma šiuo punktu:</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-aa) pateikiamas išsamus priežasčių, kuriomis remiantis nustatoma, kad grupės subjektas turi būti laikomas likviduojančiu subjektu, aprašymas, įskaitant paaiškinimą, kaip pertvarkymo institucija padarė išvadą, kad įstaiga neturi ypatingos svarbos funkcijų, ir kaip buvo atsižvelgta į jos bendros rizikos pozicijos sumos ir veiklos pajamų santykį grupės bendros rizikos pozicijos sumai ir veiklos pajamoms, taip pat grupės subjekto sverto koeficientą grupės kontekste;</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133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 punkto b a papunktis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8 straipsnio 11 dalis</w:t>
      </w:r>
      <w:r w:rsidRPr="005D599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Dabartinis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(ba)</w:t>
            </w:r>
            <w:r w:rsidRPr="00D33000">
              <w:rPr>
                <w:b/>
                <w:i/>
                <w:lang w:val="lt-LT"/>
              </w:rPr>
              <w:tab/>
              <w:t>11 dalis pakeičiama taip:</w:t>
            </w:r>
          </w:p>
        </w:tc>
      </w:tr>
      <w:tr w:rsidR="000E7A9E" w:rsidRPr="00D33000" w:rsidTr="009E0AF6">
        <w:trPr>
          <w:jc w:val="center"/>
        </w:trPr>
        <w:tc>
          <w:tcPr>
            <w:tcW w:w="4876" w:type="dxa"/>
          </w:tcPr>
          <w:p w:rsidR="000E7A9E" w:rsidRPr="00D33000" w:rsidRDefault="000E7A9E" w:rsidP="009E0AF6">
            <w:pPr>
              <w:pStyle w:val="Normal6"/>
              <w:rPr>
                <w:lang w:val="lt-LT"/>
              </w:rPr>
            </w:pPr>
            <w:r w:rsidRPr="00D33000">
              <w:rPr>
                <w:lang w:val="lt-LT"/>
              </w:rPr>
              <w:t>11. Grupės pertvarkymo plane:</w:t>
            </w:r>
          </w:p>
        </w:tc>
        <w:tc>
          <w:tcPr>
            <w:tcW w:w="4876" w:type="dxa"/>
          </w:tcPr>
          <w:p w:rsidR="000E7A9E" w:rsidRPr="00D33000" w:rsidRDefault="000E7A9E" w:rsidP="009E0AF6">
            <w:pPr>
              <w:pStyle w:val="Normal6"/>
              <w:rPr>
                <w:szCs w:val="24"/>
                <w:lang w:val="lt-LT"/>
              </w:rPr>
            </w:pPr>
            <w:r w:rsidRPr="00D33000">
              <w:rPr>
                <w:lang w:val="lt-LT"/>
              </w:rPr>
              <w:t xml:space="preserve">11. Grupės pertvarkymo plane: </w:t>
            </w:r>
          </w:p>
        </w:tc>
      </w:tr>
      <w:tr w:rsidR="000E7A9E" w:rsidRPr="00D33000" w:rsidTr="009E0AF6">
        <w:trPr>
          <w:jc w:val="center"/>
        </w:trPr>
        <w:tc>
          <w:tcPr>
            <w:tcW w:w="4876" w:type="dxa"/>
          </w:tcPr>
          <w:p w:rsidR="000E7A9E" w:rsidRPr="00D33000" w:rsidRDefault="000E7A9E" w:rsidP="009E0AF6">
            <w:pPr>
              <w:pStyle w:val="Normal6"/>
              <w:rPr>
                <w:lang w:val="lt-LT"/>
              </w:rPr>
            </w:pPr>
            <w:r w:rsidRPr="00D33000">
              <w:rPr>
                <w:lang w:val="lt-LT"/>
              </w:rPr>
              <w:t>a) nustatomi pertvarkymo veiksmai, kurių pagal 6 dalyje numatytus scenarijus reikia imtis grupės subjektų atžvilgiu tiek taikant pertvarkymo veiksmus 2 straipsnio b punkte nurodytiems subjektams ir patronuojamosioms įmonėms, tiek koordinuotai taikant pertvarkymo veiksmus patronuojamosioms įmonėms;</w:t>
            </w:r>
          </w:p>
        </w:tc>
        <w:tc>
          <w:tcPr>
            <w:tcW w:w="4876" w:type="dxa"/>
          </w:tcPr>
          <w:p w:rsidR="000E7A9E" w:rsidRPr="00D33000" w:rsidRDefault="000E7A9E" w:rsidP="009E0AF6">
            <w:pPr>
              <w:pStyle w:val="Normal6"/>
              <w:rPr>
                <w:lang w:val="lt-LT"/>
              </w:rPr>
            </w:pPr>
            <w:r w:rsidRPr="00D33000">
              <w:rPr>
                <w:lang w:val="lt-LT"/>
              </w:rPr>
              <w:t xml:space="preserve">a) nustatomi pertvarkymo veiksmai, kurių pagal 6 dalyje numatytus scenarijus reikia imtis grupės subjektų atžvilgiu tiek taikant pertvarkymo veiksmus 2 straipsnio b punkte nurodytiems subjektams ir patronuojamosioms įmonėms, tiek koordinuotai taikant pertvarkymo veiksmus patronuojamosioms įmonėms; </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tcPr>
          <w:p w:rsidR="000E7A9E" w:rsidRPr="00D33000" w:rsidRDefault="000E7A9E" w:rsidP="009E0AF6">
            <w:pPr>
              <w:pStyle w:val="Normal6"/>
              <w:rPr>
                <w:lang w:val="lt-LT"/>
              </w:rPr>
            </w:pPr>
            <w:r w:rsidRPr="00D33000">
              <w:rPr>
                <w:b/>
                <w:i/>
                <w:lang w:val="lt-LT"/>
              </w:rPr>
              <w:t>aa) jei 1 dalyje nurodytą grupę sudaro daugiau nei viena pertvarkytina grupė, nustatomi pertvarkymo veiksmai, kurių turi būti imamasi kiekvienos pertvarkytinos grupės pertvarkytinų subjektų atžvilgiu, ir tų veiksmų poveikis nurodytiesiems abiejuose šiuose punktuose:</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tcPr>
          <w:p w:rsidR="000E7A9E" w:rsidRPr="00D33000" w:rsidRDefault="000E7A9E" w:rsidP="009E0AF6">
            <w:pPr>
              <w:pStyle w:val="Normal6"/>
              <w:rPr>
                <w:b/>
                <w:i/>
                <w:lang w:val="lt-LT"/>
              </w:rPr>
            </w:pPr>
            <w:r w:rsidRPr="00D33000">
              <w:rPr>
                <w:b/>
                <w:i/>
                <w:lang w:val="lt-LT"/>
              </w:rPr>
              <w:t>i) kitiems grupės subjektams, kurie priklauso tai pačiai pertvarkytinai grupei;</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tcPr>
          <w:p w:rsidR="000E7A9E" w:rsidRPr="00D33000" w:rsidRDefault="000E7A9E" w:rsidP="009E0AF6">
            <w:pPr>
              <w:pStyle w:val="Normal6"/>
              <w:rPr>
                <w:b/>
                <w:i/>
                <w:lang w:val="lt-LT"/>
              </w:rPr>
            </w:pPr>
            <w:r w:rsidRPr="00D33000">
              <w:rPr>
                <w:b/>
                <w:i/>
                <w:lang w:val="lt-LT"/>
              </w:rPr>
              <w:t>ii) kitoms pertvarkytinoms grupėms;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tcPr>
          <w:p w:rsidR="000E7A9E" w:rsidRPr="00D33000" w:rsidRDefault="000E7A9E" w:rsidP="009E0AF6">
            <w:pPr>
              <w:pStyle w:val="Normal6"/>
              <w:rPr>
                <w:b/>
                <w:i/>
                <w:lang w:val="lt-LT"/>
              </w:rPr>
            </w:pPr>
            <w:r w:rsidRPr="00D33000">
              <w:rPr>
                <w:b/>
                <w:i/>
                <w:lang w:val="lt-LT"/>
              </w:rPr>
              <w:t>ab) išsamus priežasčių, kuriomis remiantis nustatoma, kad 1 dalies a–d punktuose nurodytas grupės subjektas turi būti laikomas likviduojančiu subjektu, aprašymas;</w:t>
            </w:r>
          </w:p>
        </w:tc>
      </w:tr>
      <w:tr w:rsidR="000E7A9E" w:rsidRPr="00D33000" w:rsidTr="009E0AF6">
        <w:trPr>
          <w:jc w:val="center"/>
        </w:trPr>
        <w:tc>
          <w:tcPr>
            <w:tcW w:w="4876" w:type="dxa"/>
          </w:tcPr>
          <w:p w:rsidR="000E7A9E" w:rsidRPr="00D33000" w:rsidRDefault="000E7A9E" w:rsidP="009E0AF6">
            <w:pPr>
              <w:pStyle w:val="Normal6"/>
              <w:rPr>
                <w:lang w:val="lt-LT"/>
              </w:rPr>
            </w:pPr>
            <w:r w:rsidRPr="00D33000">
              <w:rPr>
                <w:lang w:val="lt-LT"/>
              </w:rPr>
              <w:t>b) nagrinėjama, kiek pertvarkymo priemones ir įgaliojimus būtų galima koordinuotai taikyti ir naudoti Sąjungoje įsteigtų grupės subjektų atžvilgiu, įskaitant priemones, kuriomis lengvinamos sąlygos trečiajam asmeniui nupirkti visą grupę, atskiras kelių grupės subjektų valdomas verslo linijas ar veiklą arba tam tikrus grupės subjektus, ir nustatomos galimos koordinuoto pertvarkymo kliūtys;</w:t>
            </w:r>
          </w:p>
        </w:tc>
        <w:tc>
          <w:tcPr>
            <w:tcW w:w="4876" w:type="dxa"/>
          </w:tcPr>
          <w:p w:rsidR="000E7A9E" w:rsidRPr="00D33000" w:rsidRDefault="000E7A9E" w:rsidP="009E0AF6">
            <w:pPr>
              <w:pStyle w:val="Normal6"/>
              <w:rPr>
                <w:b/>
                <w:i/>
                <w:lang w:val="lt-LT"/>
              </w:rPr>
            </w:pPr>
            <w:r w:rsidRPr="00D33000">
              <w:rPr>
                <w:lang w:val="lt-LT"/>
              </w:rPr>
              <w:t xml:space="preserve">b) nagrinėjama, kiek pertvarkymo priemones ir įgaliojimus būtų galima koordinuotai taikyti ir naudoti Sąjungoje įsteigtų grupės subjektų atžvilgiu, įskaitant priemones, kuriomis lengvinamos sąlygos trečiajam asmeniui nupirkti visą grupę, atskiras kelių grupės subjektų valdomas verslo linijas ar veiklą arba tam tikrus grupės subjektus, ir nustatomos galimos koordinuoto pertvarkymo kliūtys; </w:t>
            </w:r>
          </w:p>
        </w:tc>
      </w:tr>
      <w:tr w:rsidR="000E7A9E" w:rsidRPr="00D33000" w:rsidTr="009E0AF6">
        <w:trPr>
          <w:jc w:val="center"/>
        </w:trPr>
        <w:tc>
          <w:tcPr>
            <w:tcW w:w="4876" w:type="dxa"/>
          </w:tcPr>
          <w:p w:rsidR="000E7A9E" w:rsidRPr="00D33000" w:rsidRDefault="000E7A9E" w:rsidP="009E0AF6">
            <w:pPr>
              <w:pStyle w:val="Normal6"/>
              <w:rPr>
                <w:lang w:val="lt-LT"/>
              </w:rPr>
            </w:pPr>
            <w:r w:rsidRPr="00D33000">
              <w:rPr>
                <w:lang w:val="lt-LT"/>
              </w:rPr>
              <w:t>c) pateikiamas išsamus sėkmingo pertvarkymo galimybių vertinimo pagal 10 straipsnį aprašymas;</w:t>
            </w:r>
          </w:p>
        </w:tc>
        <w:tc>
          <w:tcPr>
            <w:tcW w:w="4876" w:type="dxa"/>
          </w:tcPr>
          <w:p w:rsidR="000E7A9E" w:rsidRPr="00D33000" w:rsidRDefault="000E7A9E" w:rsidP="009E0AF6">
            <w:pPr>
              <w:pStyle w:val="Normal6"/>
              <w:rPr>
                <w:lang w:val="lt-LT"/>
              </w:rPr>
            </w:pPr>
            <w:r w:rsidRPr="00D33000">
              <w:rPr>
                <w:lang w:val="lt-LT"/>
              </w:rPr>
              <w:t>c) pateikiamas išsamus sėkmingo pertvarkymo galimybių vertinimo pagal 10 straipsnį aprašymas;</w:t>
            </w:r>
          </w:p>
        </w:tc>
      </w:tr>
      <w:tr w:rsidR="000E7A9E" w:rsidRPr="00D33000" w:rsidTr="009E0AF6">
        <w:trPr>
          <w:jc w:val="center"/>
        </w:trPr>
        <w:tc>
          <w:tcPr>
            <w:tcW w:w="4876" w:type="dxa"/>
          </w:tcPr>
          <w:p w:rsidR="000E7A9E" w:rsidRPr="00D33000" w:rsidRDefault="000E7A9E" w:rsidP="009E0AF6">
            <w:pPr>
              <w:pStyle w:val="Normal6"/>
              <w:rPr>
                <w:lang w:val="lt-LT"/>
              </w:rPr>
            </w:pPr>
            <w:r w:rsidRPr="00D33000">
              <w:rPr>
                <w:lang w:val="lt-LT"/>
              </w:rPr>
              <w:t>d) kai grupei priklauso trečiosiose valstybėse įsteigti subjektai, numatomos atitinkamos bendradarbiavimo ir koordinavimo su atitinkamomis tų trečiųjų valstybių institucijomis priemonės ir nustatomi pertvarkymo padariniai Sąjungoje;</w:t>
            </w:r>
          </w:p>
        </w:tc>
        <w:tc>
          <w:tcPr>
            <w:tcW w:w="4876" w:type="dxa"/>
          </w:tcPr>
          <w:p w:rsidR="000E7A9E" w:rsidRPr="00D33000" w:rsidRDefault="000E7A9E" w:rsidP="009E0AF6">
            <w:pPr>
              <w:pStyle w:val="Normal6"/>
              <w:rPr>
                <w:lang w:val="lt-LT"/>
              </w:rPr>
            </w:pPr>
            <w:r w:rsidRPr="00D33000">
              <w:rPr>
                <w:lang w:val="lt-LT"/>
              </w:rPr>
              <w:t>d) kai grupei priklauso trečiosiose valstybėse įsteigti subjektai, numatomos atitinkamos bendradarbiavimo ir koordinavimo su atitinkamomis tų trečiųjų valstybių institucijomis priemonės ir nustatomi pertvarkymo padariniai Sąjungoje;</w:t>
            </w:r>
          </w:p>
        </w:tc>
      </w:tr>
      <w:tr w:rsidR="000E7A9E" w:rsidRPr="00D33000" w:rsidTr="009E0AF6">
        <w:trPr>
          <w:jc w:val="center"/>
        </w:trPr>
        <w:tc>
          <w:tcPr>
            <w:tcW w:w="4876" w:type="dxa"/>
          </w:tcPr>
          <w:p w:rsidR="000E7A9E" w:rsidRPr="00D33000" w:rsidRDefault="000E7A9E" w:rsidP="009E0AF6">
            <w:pPr>
              <w:pStyle w:val="Normal6"/>
              <w:rPr>
                <w:lang w:val="lt-LT"/>
              </w:rPr>
            </w:pPr>
            <w:r w:rsidRPr="00D33000">
              <w:rPr>
                <w:lang w:val="lt-LT"/>
              </w:rPr>
              <w:t>e) nurodomos priemonės, įskaitant tam tikrų funkcijų ar verslo linijų teisinį ir ekonominį atskyrimą, kurios yra būtinos grupės pertvarkymui palengvinti, jei tenkinamos pertvarkymo sąlygos;</w:t>
            </w:r>
          </w:p>
        </w:tc>
        <w:tc>
          <w:tcPr>
            <w:tcW w:w="4876" w:type="dxa"/>
          </w:tcPr>
          <w:p w:rsidR="000E7A9E" w:rsidRPr="00D33000" w:rsidRDefault="000E7A9E" w:rsidP="009E0AF6">
            <w:pPr>
              <w:pStyle w:val="Normal6"/>
              <w:rPr>
                <w:lang w:val="lt-LT"/>
              </w:rPr>
            </w:pPr>
            <w:r w:rsidRPr="00D33000">
              <w:rPr>
                <w:lang w:val="lt-LT"/>
              </w:rPr>
              <w:t>e) nurodomos priemonės, įskaitant tam tikrų funkcijų ar verslo linijų teisinį ir ekonominį atskyrimą, kurios yra būtinos grupės pertvarkymui palengvinti, jei tenkinamos pertvarkymo sąlygos;</w:t>
            </w:r>
          </w:p>
        </w:tc>
      </w:tr>
      <w:tr w:rsidR="000E7A9E" w:rsidRPr="00D33000" w:rsidTr="009E0AF6">
        <w:trPr>
          <w:jc w:val="center"/>
        </w:trPr>
        <w:tc>
          <w:tcPr>
            <w:tcW w:w="4876" w:type="dxa"/>
          </w:tcPr>
          <w:p w:rsidR="000E7A9E" w:rsidRPr="00D33000" w:rsidRDefault="000E7A9E" w:rsidP="009E0AF6">
            <w:pPr>
              <w:pStyle w:val="Normal6"/>
              <w:rPr>
                <w:lang w:val="lt-LT"/>
              </w:rPr>
            </w:pPr>
            <w:r w:rsidRPr="00D33000">
              <w:rPr>
                <w:lang w:val="lt-LT"/>
              </w:rPr>
              <w:t>f) numatoma, kaip būtų galima finansuoti grupės pertvarkymo veiksmus ir, jeigu reikėtų panaudoti Fondą ir nedalyvaujančių valstybių narių finansavimo struktūras, įsteigtas pagal Direktyvos 2014/59/ES 100 straipsnį, nustatomi įvairių finansavimo šaltinių iš dalyvaujančių ir nedalyvaujančių valstybių narių atsakomybės už tą finansavimą pasidalijimo principai. Plane nenumatomos galimybės pasinaudoti:</w:t>
            </w:r>
          </w:p>
        </w:tc>
        <w:tc>
          <w:tcPr>
            <w:tcW w:w="4876" w:type="dxa"/>
          </w:tcPr>
          <w:p w:rsidR="000E7A9E" w:rsidRPr="00D33000" w:rsidRDefault="000E7A9E" w:rsidP="009E0AF6">
            <w:pPr>
              <w:pStyle w:val="Normal6"/>
              <w:rPr>
                <w:lang w:val="lt-LT"/>
              </w:rPr>
            </w:pPr>
            <w:r w:rsidRPr="00D33000">
              <w:rPr>
                <w:lang w:val="lt-LT"/>
              </w:rPr>
              <w:t>f) numatoma, kaip būtų galima finansuoti grupės pertvarkymo veiksmus ir, jeigu reikėtų panaudoti Fondą ir nedalyvaujančių valstybių narių finansavimo struktūras, įsteigtas pagal Direktyvos 2014/59/ES 100 straipsnį, nustatomi įvairių finansavimo šaltinių iš dalyvaujančių ir nedalyvaujančių valstybių narių atsakomybės už tą finansavimą pasidalijimo principai. Plane nenumatomos galimybės pasinaudoti:</w:t>
            </w:r>
          </w:p>
        </w:tc>
      </w:tr>
      <w:tr w:rsidR="000E7A9E" w:rsidRPr="00D33000" w:rsidTr="009E0AF6">
        <w:trPr>
          <w:jc w:val="center"/>
        </w:trPr>
        <w:tc>
          <w:tcPr>
            <w:tcW w:w="4876" w:type="dxa"/>
          </w:tcPr>
          <w:p w:rsidR="000E7A9E" w:rsidRPr="00D33000" w:rsidRDefault="000E7A9E" w:rsidP="009E0AF6">
            <w:pPr>
              <w:pStyle w:val="Normal6"/>
              <w:rPr>
                <w:lang w:val="lt-LT"/>
              </w:rPr>
            </w:pPr>
            <w:r w:rsidRPr="00D33000">
              <w:rPr>
                <w:lang w:val="lt-LT"/>
              </w:rPr>
              <w:t>i) nepaprastąja viešąja finansine parama, išskyrus pagal šio reglamento 67 straipsnį įsteigto Fondo panaudojimą, ir nedalyvaujančių valstybių narių finansinėmis struktūromis, įsteigtomis pagal Direktyvos 2014/59/ES 100 straipsnį;</w:t>
            </w:r>
          </w:p>
        </w:tc>
        <w:tc>
          <w:tcPr>
            <w:tcW w:w="4876" w:type="dxa"/>
          </w:tcPr>
          <w:p w:rsidR="000E7A9E" w:rsidRPr="00D33000" w:rsidRDefault="000E7A9E" w:rsidP="009E0AF6">
            <w:pPr>
              <w:pStyle w:val="Normal6"/>
              <w:rPr>
                <w:lang w:val="lt-LT"/>
              </w:rPr>
            </w:pPr>
            <w:r w:rsidRPr="00D33000">
              <w:rPr>
                <w:lang w:val="lt-LT"/>
              </w:rPr>
              <w:t>i) nepaprastąja viešąja finansine parama, išskyrus pagal šio reglamento 67 straipsnį įsteigto Fondo panaudojimą, ir nedalyvaujančių valstybių narių finansinėmis struktūromis, įsteigtomis pagal Direktyvos 2014/59/ES 100 straipsnį;</w:t>
            </w:r>
          </w:p>
        </w:tc>
      </w:tr>
      <w:tr w:rsidR="000E7A9E" w:rsidRPr="00D33000" w:rsidTr="009E0AF6">
        <w:trPr>
          <w:jc w:val="center"/>
        </w:trPr>
        <w:tc>
          <w:tcPr>
            <w:tcW w:w="4876" w:type="dxa"/>
          </w:tcPr>
          <w:p w:rsidR="000E7A9E" w:rsidRPr="00D33000" w:rsidRDefault="000E7A9E" w:rsidP="009E0AF6">
            <w:pPr>
              <w:pStyle w:val="Normal6"/>
              <w:rPr>
                <w:lang w:val="lt-LT"/>
              </w:rPr>
            </w:pPr>
            <w:r w:rsidRPr="00D33000">
              <w:rPr>
                <w:lang w:val="lt-LT"/>
              </w:rPr>
              <w:t>ii) skubios centrinio banko pagalbos likvidumui padidinti; arba</w:t>
            </w:r>
          </w:p>
        </w:tc>
        <w:tc>
          <w:tcPr>
            <w:tcW w:w="4876" w:type="dxa"/>
          </w:tcPr>
          <w:p w:rsidR="000E7A9E" w:rsidRPr="00D33000" w:rsidRDefault="000E7A9E" w:rsidP="009E0AF6">
            <w:pPr>
              <w:pStyle w:val="Normal6"/>
              <w:rPr>
                <w:b/>
                <w:i/>
                <w:lang w:val="lt-LT"/>
              </w:rPr>
            </w:pPr>
            <w:r w:rsidRPr="00D33000">
              <w:rPr>
                <w:lang w:val="lt-LT"/>
              </w:rPr>
              <w:t>ii) skubios centrinio banko pagalbos likvidumui padidinti; arba</w:t>
            </w:r>
          </w:p>
        </w:tc>
      </w:tr>
      <w:tr w:rsidR="000E7A9E" w:rsidRPr="00D33000" w:rsidTr="009E0AF6">
        <w:trPr>
          <w:jc w:val="center"/>
        </w:trPr>
        <w:tc>
          <w:tcPr>
            <w:tcW w:w="4876" w:type="dxa"/>
          </w:tcPr>
          <w:p w:rsidR="000E7A9E" w:rsidRPr="00D33000" w:rsidRDefault="000E7A9E" w:rsidP="009E0AF6">
            <w:pPr>
              <w:pStyle w:val="Normal6"/>
              <w:rPr>
                <w:lang w:val="lt-LT"/>
              </w:rPr>
            </w:pPr>
            <w:r w:rsidRPr="00D33000">
              <w:rPr>
                <w:lang w:val="lt-LT"/>
              </w:rPr>
              <w:t>iii) centrinio banko paramos likvidumui padidinti, teikiamos nestandartinėmis užtikrinimo, grąžinimo termino ir palūkanų normų sąlygomis. Tie principai nustatomi remiantis teisingais ir subalansuotais kriterijais ir visų pirma atsižvelgiant į Direktyvos 2014/59/ES 107 straipsnio 5 dalį ir poveikį finansiniam stabilumui visose atitinkamose valstybėse narėse. Grupės pertvarkymo planas neturi turėti neproporcingo poveikio jokiai valstybei narei.</w:t>
            </w:r>
          </w:p>
        </w:tc>
        <w:tc>
          <w:tcPr>
            <w:tcW w:w="4876" w:type="dxa"/>
          </w:tcPr>
          <w:p w:rsidR="000E7A9E" w:rsidRPr="00D33000" w:rsidRDefault="000E7A9E" w:rsidP="009E0AF6">
            <w:pPr>
              <w:pStyle w:val="Normal6"/>
              <w:rPr>
                <w:lang w:val="lt-LT"/>
              </w:rPr>
            </w:pPr>
            <w:r w:rsidRPr="00D33000">
              <w:rPr>
                <w:lang w:val="lt-LT"/>
              </w:rPr>
              <w:t>iii) centrinio banko paramos likvidumui padidinti, teikiamos nestandartinėmis užtikrinimo, grąžinimo termino ir palūkanų normų sąlygomis. Tie principai nustatomi remiantis teisingais ir subalansuotais kriterijais ir visų pirma atsižvelgiant į Direktyvos 2014/59/ES 107 straipsnio 5 dalį ir poveikį finansiniam stabilumui visose atitinkamose valstybėse narėse. Grupės pertvarkymo planas neturi turėti neproporcingo poveikio jokiai valstybei narei.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CrossRef"/>
        <w:rPr>
          <w:lang w:val="lt-LT"/>
        </w:rPr>
      </w:pPr>
      <w:r w:rsidRPr="00D33000">
        <w:rPr>
          <w:lang w:val="lt-LT"/>
        </w:rPr>
        <w:t>(https://eur-lex.europa.eu/legal-content/LT/TXT/?uri=celex%3A32014R0806)</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134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 punkto c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8 straipsnio 14 dalis</w:t>
      </w:r>
      <w:r w:rsidRPr="005D599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r w:rsidRPr="00D33000">
              <w:rPr>
                <w:lang w:val="lt-LT"/>
              </w:rPr>
              <w:t xml:space="preserve">„14. Valdyba </w:t>
            </w:r>
            <w:r w:rsidRPr="00D33000">
              <w:rPr>
                <w:b/>
                <w:i/>
                <w:lang w:val="lt-LT"/>
              </w:rPr>
              <w:t>nepriima 1 dalyje nurodytų subjektų ir grupių</w:t>
            </w:r>
            <w:r w:rsidRPr="00D33000">
              <w:rPr>
                <w:lang w:val="lt-LT"/>
              </w:rPr>
              <w:t xml:space="preserve"> pertvarkymo </w:t>
            </w:r>
            <w:r w:rsidRPr="00D33000">
              <w:rPr>
                <w:b/>
                <w:i/>
                <w:lang w:val="lt-LT"/>
              </w:rPr>
              <w:t>planų, kai taikoma 22 straipsnio 5 dalis arba kai subjektas ar grupė likviduojami pagal taikytiną nacionalinę teisę pagal Direktyvos 2014/59/ES 32b straipsnį</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 xml:space="preserve">„14. Valdyba </w:t>
            </w:r>
            <w:r w:rsidRPr="00D33000">
              <w:rPr>
                <w:b/>
                <w:i/>
                <w:lang w:val="lt-LT"/>
              </w:rPr>
              <w:t>interneto svetainėje kasmet atskleidžia jos kompetencijai priklausančių įstaigų</w:t>
            </w:r>
            <w:r w:rsidRPr="00D33000">
              <w:rPr>
                <w:lang w:val="lt-LT"/>
              </w:rPr>
              <w:t xml:space="preserve"> pertvarkymo </w:t>
            </w:r>
            <w:r w:rsidRPr="00D33000">
              <w:rPr>
                <w:b/>
                <w:i/>
                <w:lang w:val="lt-LT"/>
              </w:rPr>
              <w:t>planus. Neskelbtina komercinė informacija arba informacija, saugoma teisės aktais nustatytomis konfidencialumo nuostatomis, nuo tokio atskleidimo pašalinama</w:t>
            </w:r>
            <w:r w:rsidRPr="00D33000">
              <w:rPr>
                <w:lang w:val="lt-LT"/>
              </w:rPr>
              <w:t>.“;</w:t>
            </w:r>
          </w:p>
        </w:tc>
      </w:tr>
      <w:tr w:rsidR="000E7A9E" w:rsidRPr="00D33000" w:rsidTr="009E0AF6">
        <w:trPr>
          <w:jc w:val="center"/>
        </w:trPr>
        <w:tc>
          <w:tcPr>
            <w:tcW w:w="4876" w:type="dxa"/>
            <w:hideMark/>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CrossRef"/>
        <w:rPr>
          <w:lang w:val="lt-LT"/>
        </w:rPr>
      </w:pPr>
      <w:r w:rsidRPr="00D33000">
        <w:rPr>
          <w:lang w:val="lt-LT"/>
        </w:rPr>
        <w:t>(https://eur-lex.europa.eu/legal-content/LT/TXT/?uri=celex%3A32014R0806)</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135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5 punkto -a a papunktis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10 straipsnio 4 dalies 1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Dabartinis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(-aa)</w:t>
            </w:r>
            <w:r w:rsidRPr="00D33000">
              <w:rPr>
                <w:b/>
                <w:i/>
                <w:lang w:val="lt-LT"/>
              </w:rPr>
              <w:tab/>
              <w:t>4 dalies pirma pastraipa pakeičiama taip:</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Laikoma, kad grupę galima sėkmingai pertvarkyti, jei Valdyba gali realiai ir patikimai likviduoti grupės subjektus taikydama įprastinę bankroto procedūrą arba juos pertvarkyti, taikydama tos grupės pertvarkytiniems subjektams pertvarkymo priemones ir jų atžvilgiu naudodamasi pertvarkymo įgaliojimais, kiek įmanoma vengdama bet kokių didelių neigiamų pasekmių valstybių narių, kuriose yra įsikūrę grupės subjektai, kitų valstybių narių arba Sąjungos finansų sistemoms, įskaitant platesnį finansinį nestabilumą arba sisteminio pobūdžio įvykius, kad būtų užtikrintas tų grupės subjektų vykdomų ypatingos svarbos funkcijų tęstinumas, kai jas galima laiku lengvai atskirti, arba kitais būdais.</w:t>
            </w:r>
          </w:p>
        </w:tc>
        <w:tc>
          <w:tcPr>
            <w:tcW w:w="4876" w:type="dxa"/>
            <w:hideMark/>
          </w:tcPr>
          <w:p w:rsidR="000E7A9E" w:rsidRPr="00D33000" w:rsidRDefault="000E7A9E" w:rsidP="009E0AF6">
            <w:pPr>
              <w:pStyle w:val="Normal6"/>
              <w:rPr>
                <w:szCs w:val="24"/>
                <w:lang w:val="lt-LT"/>
              </w:rPr>
            </w:pPr>
            <w:r w:rsidRPr="00D33000">
              <w:rPr>
                <w:lang w:val="lt-LT"/>
              </w:rPr>
              <w:t xml:space="preserve">Laikoma, kad grupę galima sėkmingai pertvarkyti, jei Valdyba gali realiai ir patikimai likviduoti grupės subjektus taikydama įprastinę bankroto procedūrą arba juos pertvarkyti, taikydama tos grupės pertvarkytiniems subjektams pertvarkymo priemones ir jų atžvilgiu naudodamasi pertvarkymo įgaliojimais, kiek įmanoma vengdama bet kokių didelių neigiamų pasekmių valstybių narių, kuriose yra įsikūrę grupės subjektai, kitų valstybių narių arba Sąjungos finansų sistemoms, įskaitant platesnį finansinį nestabilumą arba sisteminio pobūdžio įvykius, kad būtų užtikrintas tų grupės subjektų vykdomų ypatingos svarbos funkcijų tęstinumas, kai jas galima laiku lengvai atskirti, arba kitais būdais. </w:t>
            </w:r>
            <w:r w:rsidRPr="00D33000">
              <w:rPr>
                <w:b/>
                <w:i/>
                <w:lang w:val="lt-LT"/>
              </w:rPr>
              <w:t>Siekdama atlikti vertinimą pagal šią pastraipą, Valdyba nustato reikalavimus centrinei įstaigai ir tos centrinės įstaigos nuolat kontroliuojamoms kredito įstaigoms.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CrossRef"/>
        <w:rPr>
          <w:lang w:val="lt-LT"/>
        </w:rPr>
      </w:pPr>
      <w:r w:rsidRPr="00D33000">
        <w:rPr>
          <w:lang w:val="lt-LT"/>
        </w:rPr>
        <w:t>(https://eur-lex.europa.eu/legal-content/LT/TXT/?uri=CELEX%3A02014R0806-20220812)</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136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5 punkto c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10 straipsnio 10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r w:rsidRPr="00D33000">
              <w:rPr>
                <w:lang w:val="lt-LT"/>
              </w:rPr>
              <w:t xml:space="preserve">(c) 10 dalis </w:t>
            </w:r>
            <w:r w:rsidRPr="00D33000">
              <w:rPr>
                <w:b/>
                <w:i/>
                <w:lang w:val="lt-LT"/>
              </w:rPr>
              <w:t>iš dalies keičiama</w:t>
            </w:r>
            <w:r w:rsidRPr="00D33000">
              <w:rPr>
                <w:lang w:val="lt-LT"/>
              </w:rPr>
              <w:t xml:space="preserve"> taip:</w:t>
            </w:r>
          </w:p>
        </w:tc>
        <w:tc>
          <w:tcPr>
            <w:tcW w:w="4876" w:type="dxa"/>
            <w:hideMark/>
          </w:tcPr>
          <w:p w:rsidR="000E7A9E" w:rsidRPr="00D33000" w:rsidRDefault="000E7A9E" w:rsidP="009E0AF6">
            <w:pPr>
              <w:pStyle w:val="Normal6"/>
              <w:rPr>
                <w:szCs w:val="24"/>
                <w:lang w:val="lt-LT"/>
              </w:rPr>
            </w:pPr>
            <w:r w:rsidRPr="00D33000">
              <w:rPr>
                <w:lang w:val="lt-LT"/>
              </w:rPr>
              <w:t xml:space="preserve">(c) 10 dalis </w:t>
            </w:r>
            <w:r w:rsidRPr="00D33000">
              <w:rPr>
                <w:b/>
                <w:i/>
                <w:lang w:val="lt-LT"/>
              </w:rPr>
              <w:t>pakeičiama</w:t>
            </w:r>
            <w:r w:rsidRPr="00D33000">
              <w:rPr>
                <w:lang w:val="lt-LT"/>
              </w:rPr>
              <w:t xml:space="preserve"> taip:</w:t>
            </w:r>
          </w:p>
        </w:tc>
      </w:tr>
      <w:tr w:rsidR="000E7A9E" w:rsidRPr="00D33000" w:rsidTr="009E0AF6">
        <w:trPr>
          <w:jc w:val="center"/>
        </w:trPr>
        <w:tc>
          <w:tcPr>
            <w:tcW w:w="4876" w:type="dxa"/>
          </w:tcPr>
          <w:p w:rsidR="000E7A9E" w:rsidRPr="00D33000" w:rsidRDefault="000E7A9E" w:rsidP="009E0AF6">
            <w:pPr>
              <w:pStyle w:val="Normal6"/>
              <w:rPr>
                <w:b/>
                <w:i/>
                <w:lang w:val="lt-LT"/>
              </w:rPr>
            </w:pPr>
            <w:r w:rsidRPr="00D33000">
              <w:rPr>
                <w:b/>
                <w:i/>
                <w:sz w:val="23"/>
                <w:szCs w:val="23"/>
                <w:lang w:val="lt-LT"/>
              </w:rPr>
              <w:t>i) antroje pastraipoje žodis „įstaigos“ pakeičiamas žodžiais „atitinkamo subjekto“;</w:t>
            </w:r>
          </w:p>
        </w:tc>
        <w:tc>
          <w:tcPr>
            <w:tcW w:w="4876" w:type="dxa"/>
            <w:hideMark/>
          </w:tcPr>
          <w:p w:rsidR="000E7A9E" w:rsidRPr="00D33000" w:rsidRDefault="000E7A9E" w:rsidP="009E0AF6">
            <w:pPr>
              <w:pStyle w:val="Normal6"/>
              <w:rPr>
                <w:b/>
                <w:i/>
                <w:szCs w:val="24"/>
                <w:lang w:val="lt-LT"/>
              </w:rPr>
            </w:pPr>
            <w:r w:rsidRPr="00D33000">
              <w:rPr>
                <w:b/>
                <w:i/>
                <w:lang w:val="lt-LT"/>
              </w:rPr>
              <w:t>„10. Pasikonsultavusi su kompetentingomis institucijomis, Valdyba įvertina, ar 9 dalyje nurodytomis priemonėmis galima veiksmingai įveikti ar pašalinti konkrečias esmines kliūtis. Jei atitinkamo subjekto arba patronuojančiosios įmonės pasiūlytomis priemonėmis neįmanoma veiksmingai sumažinti arba pašalinti sėkmingo pertvarkymo kliūčių, Valdyba, pasikonsultavusi su kompetentingomis institucijomis ir prireikus su paskirta makrolygio rizikos ribojimo institucija, priima sprendimą, kuriame nurodoma, kad pasiūlytomis priemonėmis neįmanoma veiksmingai sumažinti arba pašalinti sėkmingo pertvarkymo kliūčių, ir nurodoma nacionalinėms pertvarkymo institucijoms reikalauti, kad įstaiga, patronuojančioji įmonė arba kuri nors iš atitinkamos grupės patronuojamųjų įmonių imtųsi kurios nors iš 11 dalyje išvardytų priemonių.</w:t>
            </w:r>
          </w:p>
        </w:tc>
      </w:tr>
      <w:tr w:rsidR="000E7A9E" w:rsidRPr="00D33000" w:rsidTr="009E0AF6">
        <w:trPr>
          <w:jc w:val="center"/>
        </w:trPr>
        <w:tc>
          <w:tcPr>
            <w:tcW w:w="4876" w:type="dxa"/>
          </w:tcPr>
          <w:p w:rsidR="000E7A9E" w:rsidRPr="00D33000" w:rsidRDefault="000E7A9E" w:rsidP="009E0AF6">
            <w:pPr>
              <w:pStyle w:val="Normal6"/>
              <w:rPr>
                <w:lang w:val="lt-LT"/>
              </w:rPr>
            </w:pPr>
            <w:r w:rsidRPr="00D33000">
              <w:rPr>
                <w:b/>
                <w:i/>
                <w:sz w:val="23"/>
                <w:szCs w:val="23"/>
                <w:lang w:val="lt-LT"/>
              </w:rPr>
              <w:t>ii) trečioje pastraipoje žodis „įstaigai“ pakeičiamas žodžiu „subjektui“;</w:t>
            </w:r>
          </w:p>
        </w:tc>
        <w:tc>
          <w:tcPr>
            <w:tcW w:w="4876" w:type="dxa"/>
            <w:hideMark/>
          </w:tcPr>
          <w:p w:rsidR="000E7A9E" w:rsidRPr="00D33000" w:rsidRDefault="000E7A9E" w:rsidP="009E0AF6">
            <w:pPr>
              <w:pStyle w:val="Normal6"/>
              <w:rPr>
                <w:b/>
                <w:i/>
                <w:szCs w:val="24"/>
                <w:lang w:val="lt-LT"/>
              </w:rPr>
            </w:pPr>
            <w:r w:rsidRPr="00D33000">
              <w:rPr>
                <w:b/>
                <w:i/>
                <w:lang w:val="lt-LT"/>
              </w:rPr>
              <w:t>Valdyba atsižvelgia į sėkmingo pertvarkymo kliūčių keliamą grėsmę finansiniam stabilumui ir priemonių poveikį įstaigos veiklai, jos stabilumui ir įstaigos gebėjimui prisidėti prie ekonomikos, poveikį finansinių paslaugų vidaus rinkai ir kitų valstybių narių ir visos Sąjungos finansiniam stabilumui.</w:t>
            </w:r>
          </w:p>
        </w:tc>
      </w:tr>
      <w:tr w:rsidR="000E7A9E" w:rsidRPr="00D33000" w:rsidTr="009E0AF6">
        <w:trPr>
          <w:jc w:val="center"/>
        </w:trPr>
        <w:tc>
          <w:tcPr>
            <w:tcW w:w="4876" w:type="dxa"/>
          </w:tcPr>
          <w:p w:rsidR="000E7A9E" w:rsidRPr="00D33000" w:rsidRDefault="000E7A9E" w:rsidP="009E0AF6">
            <w:pPr>
              <w:pStyle w:val="Default"/>
              <w:rPr>
                <w:b/>
                <w:i/>
                <w:color w:val="auto"/>
                <w:sz w:val="23"/>
                <w:szCs w:val="23"/>
                <w:lang w:val="lt-LT"/>
              </w:rPr>
            </w:pPr>
            <w:r w:rsidRPr="00D33000">
              <w:rPr>
                <w:b/>
                <w:i/>
                <w:color w:val="auto"/>
                <w:sz w:val="23"/>
                <w:szCs w:val="23"/>
                <w:lang w:val="lt-LT"/>
              </w:rPr>
              <w:t xml:space="preserve">iii) dalis papildoma šia pastraipa: </w:t>
            </w:r>
          </w:p>
          <w:p w:rsidR="000E7A9E" w:rsidRPr="00D33000" w:rsidRDefault="000E7A9E" w:rsidP="009E0AF6">
            <w:pPr>
              <w:pStyle w:val="Normal6"/>
              <w:rPr>
                <w:lang w:val="lt-LT"/>
              </w:rPr>
            </w:pPr>
            <w:r w:rsidRPr="00D33000">
              <w:rPr>
                <w:b/>
                <w:i/>
                <w:sz w:val="23"/>
                <w:szCs w:val="23"/>
                <w:lang w:val="lt-LT"/>
              </w:rPr>
              <w:t>„Jei atitinkamo subjekto pasiūlytomis priemonėmis veiksmingai sumažinamos arba šalinamos</w:t>
            </w:r>
            <w:r w:rsidRPr="00D33000">
              <w:rPr>
                <w:sz w:val="23"/>
                <w:szCs w:val="23"/>
                <w:lang w:val="lt-LT"/>
              </w:rPr>
              <w:t xml:space="preserve"> sėkmingo pertvarkymo </w:t>
            </w:r>
            <w:r w:rsidRPr="00D33000">
              <w:rPr>
                <w:b/>
                <w:i/>
                <w:sz w:val="23"/>
                <w:szCs w:val="23"/>
                <w:lang w:val="lt-LT"/>
              </w:rPr>
              <w:t>kliūtys, Valdyba, pasikonsultavusi su ECB arba atitinkama nacionaline kompetentinga institucija ir, kai tinkama, su paskirta makrolygio rizikos ribojimo institucija, priima sprendimą. Tame sprendime nurodoma, kad siūlomomis priemonėmis veiksmingai sumažinamos arba šalinamos sėkmingo pertvarkymo kliūtys, ir nurodoma nacionalinėms pertvarkymo institucijoms reikalauti, kad įstaiga, patronuojančioji įmonė arba bet kuri atitinkamos grupės patronuojamoji įmonė įgyvendintų siūlomas priemones</w:t>
            </w:r>
            <w:r w:rsidRPr="00D33000">
              <w:rPr>
                <w:sz w:val="23"/>
                <w:szCs w:val="23"/>
                <w:lang w:val="lt-LT"/>
              </w:rPr>
              <w:t>.“;</w:t>
            </w:r>
          </w:p>
        </w:tc>
        <w:tc>
          <w:tcPr>
            <w:tcW w:w="4876" w:type="dxa"/>
            <w:hideMark/>
          </w:tcPr>
          <w:p w:rsidR="000E7A9E" w:rsidRPr="00D33000" w:rsidRDefault="000E7A9E" w:rsidP="009E0AF6">
            <w:pPr>
              <w:pStyle w:val="Normal6"/>
              <w:rPr>
                <w:b/>
                <w:szCs w:val="24"/>
                <w:lang w:val="lt-LT"/>
              </w:rPr>
            </w:pPr>
            <w:r w:rsidRPr="00D33000">
              <w:rPr>
                <w:b/>
                <w:i/>
                <w:lang w:val="lt-LT"/>
              </w:rPr>
              <w:t>Atitinkamas subjektas turi teisę pademonstruoti, kaip jo pasiūlytos priemonės padėtų pašalinti</w:t>
            </w:r>
            <w:r w:rsidRPr="00D33000">
              <w:rPr>
                <w:lang w:val="lt-LT"/>
              </w:rPr>
              <w:t xml:space="preserve"> sėkmingo pertvarkymo </w:t>
            </w:r>
            <w:r w:rsidRPr="00D33000">
              <w:rPr>
                <w:b/>
                <w:i/>
                <w:lang w:val="lt-LT"/>
              </w:rPr>
              <w:t>kliūtis ir dėl kokių priežasčių Valdybos pasiūlytos priemonės be reikalo trukdo šias kliūtis pašalinti</w:t>
            </w:r>
            <w:r w:rsidRPr="00D33000">
              <w:rPr>
                <w:lang w:val="lt-LT"/>
              </w:rPr>
              <w:t>.“;</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CrossRef"/>
        <w:rPr>
          <w:lang w:val="lt-LT"/>
        </w:rPr>
      </w:pPr>
      <w:r w:rsidRPr="00D33000">
        <w:rPr>
          <w:lang w:val="lt-LT"/>
        </w:rPr>
        <w:t>(https://eur-lex.europa.eu/legal-content/LT/TXT/?uri=CELEX%3A02014R0806-20220812)</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137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6 punkto a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10a straipsnio 1 dalies įžanginė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w:t>
            </w:r>
            <w:r w:rsidRPr="00D33000">
              <w:rPr>
                <w:lang w:val="lt-LT"/>
              </w:rPr>
              <w:tab/>
              <w:t xml:space="preserve">Jei subjektas tenkina jungtinio rezervo reikalavimą, kai jis vertinamas kaip papildantis kiekvieną iš Direktyvos 2013/36/ES 141a straipsnio 1 dalies a, b ir c punktuose nurodytų reikalavimų, tačiau netenkina jungtinio rezervo reikalavimo, kai jis vertinamas kaip papildantis šio reglamento 12d ir 12e straipsniuose nurodytus reikalavimus, apskaičiuojant pagal šio reglamento 12a straipsnio 2 dalies a punktą, Valdyba </w:t>
            </w:r>
            <w:r w:rsidRPr="00D33000">
              <w:rPr>
                <w:b/>
                <w:i/>
                <w:lang w:val="lt-LT"/>
              </w:rPr>
              <w:t>turi įgaliojimus</w:t>
            </w:r>
            <w:r w:rsidRPr="00D33000">
              <w:rPr>
                <w:lang w:val="lt-LT"/>
              </w:rPr>
              <w:t xml:space="preserve"> pagal šio straipsnio 2 ir 3 dalis </w:t>
            </w:r>
            <w:r w:rsidRPr="00D33000">
              <w:rPr>
                <w:b/>
                <w:i/>
                <w:lang w:val="lt-LT"/>
              </w:rPr>
              <w:t>nurodyti nacionalinei pertvarkymo institucijai uždrausti</w:t>
            </w:r>
            <w:r w:rsidRPr="00D33000">
              <w:rPr>
                <w:lang w:val="lt-LT"/>
              </w:rPr>
              <w:t xml:space="preserve"> subjektui paskirstyti didesnę nei didžiausią galimą paskirstyti sumą, susijusią su minimaliu nuosavų lėšų ir tinkamų įsipareigojimų reikalavimu (M-DGPS), apskaičiuotu pagal šio straipsnio 4 dalį, atliekant vieną iš šių veiksmų:“;</w:t>
            </w:r>
          </w:p>
        </w:tc>
        <w:tc>
          <w:tcPr>
            <w:tcW w:w="4876" w:type="dxa"/>
            <w:hideMark/>
          </w:tcPr>
          <w:p w:rsidR="000E7A9E" w:rsidRPr="00D33000" w:rsidRDefault="000E7A9E" w:rsidP="009E0AF6">
            <w:pPr>
              <w:pStyle w:val="Normal6"/>
              <w:rPr>
                <w:szCs w:val="24"/>
                <w:lang w:val="lt-LT"/>
              </w:rPr>
            </w:pPr>
            <w:r w:rsidRPr="00D33000">
              <w:rPr>
                <w:lang w:val="lt-LT"/>
              </w:rPr>
              <w:t>„1.</w:t>
            </w:r>
            <w:r w:rsidRPr="00D33000">
              <w:rPr>
                <w:lang w:val="lt-LT"/>
              </w:rPr>
              <w:tab/>
              <w:t xml:space="preserve">Jei subjektas tenkina jungtinio rezervo reikalavimą, kai jis vertinamas kaip papildantis kiekvieną iš Direktyvos 2013/36/ES 141a straipsnio 1 dalies a, b ir c punktuose nurodytų reikalavimų, tačiau netenkina jungtinio rezervo reikalavimo, kai jis vertinamas kaip papildantis šio reglamento 12d ir 12e straipsniuose nurodytus reikalavimus, apskaičiuojant pagal šio reglamento 12a straipsnio 2 dalies a punktą, </w:t>
            </w:r>
            <w:r w:rsidRPr="00D33000">
              <w:rPr>
                <w:b/>
                <w:i/>
                <w:lang w:val="lt-LT"/>
              </w:rPr>
              <w:t>arba kai subjektas yra tokioje padėtyje, kai jis pažeidžia šio reglamento 12d ir 12e straipsniuose nurodytus reikalavimus, apskaičiuotus pagal 12a straipsnio 2 dalies b punktą,</w:t>
            </w:r>
            <w:r w:rsidRPr="00D33000">
              <w:rPr>
                <w:lang w:val="lt-LT"/>
              </w:rPr>
              <w:t xml:space="preserve"> Valdyba pagal šio straipsnio 2 ir 3 dalis </w:t>
            </w:r>
            <w:r w:rsidRPr="00D33000">
              <w:rPr>
                <w:b/>
                <w:i/>
                <w:lang w:val="lt-LT"/>
              </w:rPr>
              <w:t>uždraudžia</w:t>
            </w:r>
            <w:r w:rsidRPr="00D33000">
              <w:rPr>
                <w:lang w:val="lt-LT"/>
              </w:rPr>
              <w:t xml:space="preserve"> subjektui paskirstyti didesnę nei didžiausią galimą paskirstyti sumą, susijusią su minimaliu nuosavų lėšų ir tinkamų įsipareigojimų reikalavimu (M-DGPS), apskaičiuotu pagal šio straipsnio 4 dalį, atliekant vieną iš šių veiksmų:“;</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138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Joachim Schuster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6 a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 straipsnio 4 a dalis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(6a)</w:t>
            </w:r>
            <w:r w:rsidRPr="00D33000">
              <w:rPr>
                <w:b/>
                <w:i/>
                <w:lang w:val="lt-LT"/>
              </w:rPr>
              <w:tab/>
              <w:t>12 straipsnyje įterpiama ši dalis: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4a. Apskaičiuojant šio straipsnio 4 dalyje ir Direktyvos 2014/59/ES 45 straipsnio 1 dalyje nurodytą minimalų reikalavimą, institucijos, teikiančios skatinamąsias paskolas, atveju neįtraukiami tarpininkaujančios įstaigos įsipareigojimai siuntėjo ar kitam skatinamojo finansavimo bankui ar kitai tarpininkaujančiai įstaigai ir pradinio skatinamojo finansavimo banko įsipareigojimai jo finansavimo šalims, jei šių įsipareigojimų suma atitinka tos įstaigos skatinamąsias paskolas.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CrossRef"/>
        <w:rPr>
          <w:lang w:val="lt-LT"/>
        </w:rPr>
      </w:pPr>
      <w:r w:rsidRPr="00D33000">
        <w:rPr>
          <w:lang w:val="lt-LT"/>
        </w:rPr>
        <w:t>(žr. Reglamento (ES) Nr. 2015/63 5 straipsnio 1 dalies formuluotę)</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139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8 a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12a straipsnio 1 a dalis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(8a)</w:t>
            </w:r>
            <w:r w:rsidRPr="00D33000">
              <w:rPr>
                <w:b/>
                <w:i/>
                <w:lang w:val="lt-LT"/>
              </w:rPr>
              <w:tab/>
              <w:t>12a straipsnyje įterpiama ši dalis: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1a. Pertvarkytinoje grupėje patronuojamosioms įmonėms, kurios yra įstaigos arba subjektai, nurodyti 2 straipsnio 1 dalyje, bet nėra pertvarkytini subjektai, kurių bendras turtas neviršija 5 mlrd. EUR ir kurie nesiekia pertvarkytinos grupės bendros rizikos pozicijos sumos 2 proc. ribos, arba sverto pozicijos, šio straipsnio 1 dalyje nurodytas reikalavimas netaikomas.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1 lygio tekste turėtų būti nustatyta reikšmingumo riba, pagal kurią turi būti svarstomi MREL sprendimai dėl patronuojamųjų įmonių pertvarkytinose grupėse, kuri bus minimali pertvarkymo institucijų MREL politikos riba. Siekiant kalibruoti šią apatinę ribą 1 lygio tekste, turėtų būti naudojama dabartinė MREL politikos riba.</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140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8 b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12b straipsnis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Dabartinis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(8b)</w:t>
            </w:r>
            <w:r w:rsidRPr="00D33000">
              <w:rPr>
                <w:b/>
                <w:i/>
                <w:lang w:val="lt-LT"/>
              </w:rPr>
              <w:tab/>
              <w:t>12b straipsnis pakeičiamas taip:</w:t>
            </w:r>
          </w:p>
        </w:tc>
      </w:tr>
      <w:tr w:rsidR="000E7A9E" w:rsidRPr="00D33000" w:rsidTr="009E0AF6">
        <w:trPr>
          <w:jc w:val="center"/>
        </w:trPr>
        <w:tc>
          <w:tcPr>
            <w:tcW w:w="4876" w:type="dxa"/>
          </w:tcPr>
          <w:p w:rsidR="000E7A9E" w:rsidRPr="00D33000" w:rsidRDefault="000E7A9E" w:rsidP="009E0AF6">
            <w:pPr>
              <w:pStyle w:val="Normal6"/>
              <w:rPr>
                <w:lang w:val="lt-LT"/>
              </w:rPr>
            </w:pPr>
            <w:r w:rsidRPr="00D33000">
              <w:rPr>
                <w:lang w:val="lt-LT"/>
              </w:rPr>
              <w:t>12b straipsnis</w:t>
            </w:r>
          </w:p>
        </w:tc>
        <w:tc>
          <w:tcPr>
            <w:tcW w:w="4876" w:type="dxa"/>
          </w:tcPr>
          <w:p w:rsidR="000E7A9E" w:rsidRPr="00D33000" w:rsidRDefault="000E7A9E" w:rsidP="009E0AF6">
            <w:pPr>
              <w:pStyle w:val="Normal6"/>
              <w:rPr>
                <w:lang w:val="lt-LT"/>
              </w:rPr>
            </w:pPr>
            <w:r w:rsidRPr="00D33000">
              <w:rPr>
                <w:lang w:val="lt-LT"/>
              </w:rPr>
              <w:t>12b straipsnis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Minimalaus nuosavų lėšų ir tinkamų įsipareigojimų reikalavimo taikymo išimtis </w:t>
            </w:r>
          </w:p>
        </w:tc>
        <w:tc>
          <w:tcPr>
            <w:tcW w:w="4876" w:type="dxa"/>
            <w:hideMark/>
          </w:tcPr>
          <w:p w:rsidR="000E7A9E" w:rsidRPr="00D33000" w:rsidRDefault="000E7A9E" w:rsidP="009E0AF6">
            <w:pPr>
              <w:pStyle w:val="Normal6"/>
              <w:rPr>
                <w:szCs w:val="24"/>
                <w:lang w:val="lt-LT"/>
              </w:rPr>
            </w:pPr>
            <w:r w:rsidRPr="00D33000">
              <w:rPr>
                <w:lang w:val="lt-LT"/>
              </w:rPr>
              <w:t>Minimalaus nuosavų lėšų ir tinkamų įsipareigojimų reikalavimo taikymo išimtis</w:t>
            </w:r>
          </w:p>
        </w:tc>
      </w:tr>
      <w:tr w:rsidR="000E7A9E" w:rsidRPr="00D33000" w:rsidTr="009E0AF6">
        <w:trPr>
          <w:jc w:val="center"/>
        </w:trPr>
        <w:tc>
          <w:tcPr>
            <w:tcW w:w="4876" w:type="dxa"/>
          </w:tcPr>
          <w:p w:rsidR="000E7A9E" w:rsidRPr="00D33000" w:rsidRDefault="000E7A9E" w:rsidP="009E0AF6">
            <w:pPr>
              <w:pStyle w:val="Normal6"/>
              <w:rPr>
                <w:lang w:val="lt-LT"/>
              </w:rPr>
            </w:pPr>
            <w:r w:rsidRPr="00D33000">
              <w:rPr>
                <w:b/>
                <w:i/>
                <w:lang w:val="lt-LT"/>
              </w:rPr>
              <w:t>1.</w:t>
            </w:r>
            <w:r w:rsidRPr="00D33000">
              <w:rPr>
                <w:lang w:val="lt-LT"/>
              </w:rPr>
              <w:t xml:space="preserve"> Nepaisant 12a straipsnio, Valdyba 12a straipsnio 1 dalyje nustatyto reikalavimo netaiko padengtomis obligacijomis finansuojamoms </w:t>
            </w:r>
            <w:r w:rsidRPr="00D33000">
              <w:rPr>
                <w:b/>
                <w:i/>
                <w:lang w:val="lt-LT"/>
              </w:rPr>
              <w:t>hipotekos</w:t>
            </w:r>
            <w:r w:rsidRPr="00D33000">
              <w:rPr>
                <w:lang w:val="lt-LT"/>
              </w:rPr>
              <w:t xml:space="preserve"> kredito įstaigoms, kurioms pagal nacionalinę teisę neleidžiama priimti indėlių</w:t>
            </w:r>
            <w:r w:rsidRPr="00D33000">
              <w:rPr>
                <w:b/>
                <w:i/>
                <w:lang w:val="lt-LT"/>
              </w:rPr>
              <w:t>, jei tenkinamos visos šios sąlygos: a) tos įstaigos bus likviduojamos taikant nacionalines bankroto procedūras arba kitas toms įstaigoms nustatytas procedūras, taikomas pagal Direktyvos 2014/59/ES 38, 40 arba 42 straipsnį, ir b) taikant a punkte nurodytas procedūras užtikrinama, kad tų įstaigų kreditoriai, įskaitant atitinkamais atvejais padengtų obligacijų turėtojus, padengtų nuostolius taip, kad būtų pasiekti pertvarkymo tikslai.2. Įstaigos, kurioms netaikomas 12 straipsnio 1 dalyje nustatytas reikalavimas, neįtraukiamos į 12f straipsnio 1 dalyje nurodytą konsoliduotą taikymą</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Nepaisant 12a straipsnio, Valdyba 12a straipsnio 1 dalyje nustatyto reikalavimo netaiko padengtomis obligacijomis finansuojamoms kredito įstaigoms, kurioms pagal nacionalinę teisę neleidžiama priimti indėlių.</w:t>
            </w:r>
          </w:p>
        </w:tc>
      </w:tr>
      <w:tr w:rsidR="000E7A9E" w:rsidRPr="00D33000" w:rsidTr="009E0AF6">
        <w:trPr>
          <w:jc w:val="center"/>
        </w:trPr>
        <w:tc>
          <w:tcPr>
            <w:tcW w:w="4876" w:type="dxa"/>
          </w:tcPr>
          <w:p w:rsidR="000E7A9E" w:rsidRPr="00D33000" w:rsidRDefault="000E7A9E" w:rsidP="009E0AF6">
            <w:pPr>
              <w:pStyle w:val="Normal6"/>
              <w:rPr>
                <w:b/>
                <w:i/>
                <w:lang w:val="lt-LT"/>
              </w:rPr>
            </w:pPr>
            <w:r w:rsidRPr="00D33000">
              <w:rPr>
                <w:b/>
                <w:i/>
                <w:lang w:val="lt-LT"/>
              </w:rPr>
              <w:t>2. Įstaigos, kurioms netaikomas 12 straipsnio 1 dalyje nustatytas reikalavimas, neįtraukiamos į 12f straipsnio 1 dalyje nurodytą konsoliduotą taikymą.</w:t>
            </w:r>
          </w:p>
        </w:tc>
        <w:tc>
          <w:tcPr>
            <w:tcW w:w="4876" w:type="dxa"/>
            <w:hideMark/>
          </w:tcPr>
          <w:p w:rsidR="000E7A9E" w:rsidRPr="00D33000" w:rsidRDefault="000E7A9E" w:rsidP="009E0AF6">
            <w:pPr>
              <w:pStyle w:val="Normal6"/>
              <w:rPr>
                <w:szCs w:val="24"/>
                <w:lang w:val="lt-LT"/>
              </w:rPr>
            </w:pP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CrossRef"/>
        <w:rPr>
          <w:lang w:val="lt-LT"/>
        </w:rPr>
      </w:pPr>
      <w:r w:rsidRPr="00D33000">
        <w:rPr>
          <w:lang w:val="lt-LT"/>
        </w:rPr>
        <w:t>(REGLAMENTAS (ES) Nr. 806/2014)</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Article 45a(2) of BRRD currentlyprovides that credit institutions financed by covered bonds which are notallowed to receive deposits under national law are are exempted from MRELproviding that (i) they would be wound up under NIPs or transfer measures incase of failure and (ii) NIP (or equivalent) for these institutions ensure thatresolution objectives are met. In this case, these institutions shall not bepart of the consolidation referred to in Article 45e(1).These provisions should beimproved in order to better take into account that such institutions arestructurally designed to mainly issue covered bonds, and not MREL eligibleliabilities. The specific guarantees of holders of covered bonds ensure theywould not bear losses in NIPs or in resolution (see Directive (EU) 2019/2162).Therefore, credit institutions financed by covered bonds which are not allowedto receive deposits under national law do not need an additionalloss-absorption capacity based on MREL and should be per se exempted of MREL.In addition, the exclusionof the consolidation perimeter has resulted in unforeseen consequences. In somecases, this exclusion leads to an unwarranted increase of the TREA used in thecalculation of group’s external MREL (and thus an increase in external MREL). Creditinstitutions financed by covered bonds which are not allowed to receivedeposits under national law are simply pass-through vehicles and theirdeconsolidation should not result in a increase of risks.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141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12d straipsnis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(10)</w:t>
            </w:r>
            <w:r w:rsidRPr="00D33000">
              <w:rPr>
                <w:lang w:val="lt-LT"/>
              </w:rPr>
              <w:tab/>
            </w:r>
            <w:r w:rsidRPr="00D33000">
              <w:rPr>
                <w:b/>
                <w:i/>
                <w:lang w:val="lt-LT"/>
              </w:rPr>
              <w:t>12d straipsnio</w:t>
            </w:r>
            <w:r w:rsidRPr="00D33000">
              <w:rPr>
                <w:lang w:val="lt-LT"/>
              </w:rPr>
              <w:t xml:space="preserve"> 3 dalies aštuntoje pastraipoje ir 6 dalies aštuntoje pastraipoje žodžiai „ypatingos svarbos ekonomines funkcijas“ pakeičiami žodžiais „ypatingos svarbos funkcijas“;</w:t>
            </w:r>
          </w:p>
        </w:tc>
        <w:tc>
          <w:tcPr>
            <w:tcW w:w="4876" w:type="dxa"/>
            <w:hideMark/>
          </w:tcPr>
          <w:p w:rsidR="000E7A9E" w:rsidRPr="00D33000" w:rsidRDefault="000E7A9E" w:rsidP="009E0AF6">
            <w:pPr>
              <w:pStyle w:val="Normal6"/>
              <w:rPr>
                <w:szCs w:val="24"/>
                <w:lang w:val="lt-LT"/>
              </w:rPr>
            </w:pPr>
            <w:r w:rsidRPr="00D33000">
              <w:rPr>
                <w:lang w:val="lt-LT"/>
              </w:rPr>
              <w:t>(10)</w:t>
            </w:r>
            <w:r w:rsidRPr="00D33000">
              <w:rPr>
                <w:lang w:val="lt-LT"/>
              </w:rPr>
              <w:tab/>
            </w:r>
            <w:r w:rsidRPr="00D33000">
              <w:rPr>
                <w:b/>
                <w:i/>
                <w:lang w:val="lt-LT"/>
              </w:rPr>
              <w:t>12d straipsnis iš dalies keičiamas taip:</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w:t>
            </w:r>
            <w:r w:rsidRPr="00D33000">
              <w:rPr>
                <w:lang w:val="lt-LT"/>
              </w:rPr>
              <w:t xml:space="preserve"> 3 dalies </w:t>
            </w:r>
            <w:r w:rsidRPr="00D33000">
              <w:rPr>
                <w:b/>
                <w:i/>
                <w:lang w:val="lt-LT"/>
              </w:rPr>
              <w:t>penkta ir šešta pastraipos pakeičiamos taip:</w:t>
            </w:r>
            <w:r w:rsidRPr="00D33000">
              <w:rPr>
                <w:lang w:val="lt-LT"/>
              </w:rPr>
              <w:t xml:space="preserve"> </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„Nustatydama pirmesnėse pastraipose nurodytas rekapitalizavimo sumas, Valdyba:</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 naudoja naujausias atitinkamos bendros rizikos pozicijos sumos arba bendro pozicijų mato vertes, pakoreguotas atsižvelgiant į bet kokius pokyčius, atsiradusius dėl pertvarkymo plane nustatytų pertvarkymo veiksmų, įskaitant dėl pertvarkymo atsiradusį pertvarkytinos grupės sumažintą dydį ir rizikos pobūdį, visų pirma tais atvejais, kai tinkamiausia pertvarkymo strategija apima 22 straipsnio 2 dalies a, b arba c punktuose nurodytų pertvarkymo priemonių naudojimą, taip pat visus pakeitimus, susijusius su gaivinimo plane numatytomis gaivinimo galimybėmis, kurie, kaip tikimasi, bus įgyvendinti iki pertvarkymo laiko arba netrukus po to, ir</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b) pasikonsultavusi su kompetentingomis institucijomis, įskaitant ECB, patikslina Direktyvos 2013/36/ES 104a straipsnyje nurodytą dabartinį reikalavimą atitinkančią sumą, ją sumažindama, kad nustatytų reikalavimą, kuris turi būti taikomas pertvarkytinam subjektui po pasirinktos pertvarkymo strategijos įgyvendinimo, atsižvelgiant į šios pastraipos a punkte nurodytus pokyčius;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c) pasikonsultavusi su kompetentinga institucija, įskaitant ECB, pertvarkytinų subjektų, kuriems taikomas Direktyvos 2013/36/ES 131 straipsnio reikalavimas, atžvilgiu patikslina pertvarkytinai grupei taikomą jungtinio rezervo reikalavimą, atsižvelgdama į šios pastraipos a punkte nurodytus pakeitimus.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Valdyba gali padidinti pirmos pastraipos a punkto ii papunktyje nustatytą reikalavimą atitinkama suma, kuri būtina siekiant užtikrinti, kad po pertvarkymo subjektas atitinkamą laikotarpį, kuris neviršija vienų metų, galėtų išlaikyti pakankamą rinkos pasitikėjimą, išskyrus atvejus, kai jos pasirinktoje pertvarkymo strategijoje visų pirma numatyta naudoti verslo pardavimo priemonę arba laikinos įstaigos priemonę ir pasitraukti iš rinkos.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Valdyba pertvarkytinam subjektui pateikia penktos pastraipos a, b ir c punktuose nurodytų koregavimų pagrindimą.</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b) 3 dalies</w:t>
            </w:r>
            <w:r w:rsidRPr="00D33000">
              <w:rPr>
                <w:lang w:val="lt-LT"/>
              </w:rPr>
              <w:t xml:space="preserve"> aštuntoje pastraipoje ir 6 dalies aštuntoje pastraipoje žodžiai „ypatingos svarbos ekonomines funkcijas“ pakeičiami žodžiais „ypatingos svarbos funkcijas“;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142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11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12da straipsnis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(11) įterpiamas 12da straipsnis:</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r w:rsidR="000E7A9E" w:rsidRPr="00D33000" w:rsidTr="009E0AF6">
        <w:trPr>
          <w:jc w:val="center"/>
        </w:trPr>
        <w:tc>
          <w:tcPr>
            <w:tcW w:w="4876" w:type="dxa"/>
          </w:tcPr>
          <w:p w:rsidR="000E7A9E" w:rsidRPr="00D33000" w:rsidRDefault="000E7A9E" w:rsidP="009E0AF6">
            <w:pPr>
              <w:pStyle w:val="Normal6"/>
              <w:rPr>
                <w:b/>
                <w:i/>
                <w:lang w:val="lt-LT"/>
              </w:rPr>
            </w:pPr>
            <w:r w:rsidRPr="00D33000">
              <w:rPr>
                <w:b/>
                <w:i/>
                <w:lang w:val="lt-LT"/>
              </w:rPr>
              <w:t>[…]</w:t>
            </w:r>
          </w:p>
        </w:tc>
        <w:tc>
          <w:tcPr>
            <w:tcW w:w="4876" w:type="dxa"/>
          </w:tcPr>
          <w:p w:rsidR="000E7A9E" w:rsidRPr="00D33000" w:rsidRDefault="000E7A9E" w:rsidP="009E0AF6">
            <w:pPr>
              <w:pStyle w:val="Normal6"/>
              <w:rPr>
                <w:b/>
                <w:i/>
                <w:lang w:val="lt-LT"/>
              </w:rPr>
            </w:pP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Pirma pastraipa siekiama nustatyti MREL reikalavimus, kai pertvarkymo atveju pirmenybė teikiama perdavimo strategijai. Tai taikoma kai kurioms įstaigoms, kurios sunkiai išleidžia MREL įsipareigojimus ir turėtų likti atleistos nuo mokesčio. Paprasčiausio reikalavimų sušvelninimo neužteks. Antra pastraipa susijusi su atvejais, kai pirmenybė teikiama nemokumo byloms. Tokiais atvejais tolesni MREL reikalavimai ir toliau neturėtų būti skelbiami reguliariai. Todėl atitinkamas 1 dalies taikymas yra reguliariai nesvarbus.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143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Markus Ferber, Herbert Dorfmann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11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12da straipsnio 1 dalies įžanginė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w:t>
            </w:r>
            <w:r w:rsidRPr="00D33000">
              <w:rPr>
                <w:lang w:val="lt-LT"/>
              </w:rPr>
              <w:tab/>
              <w:t>Taikydama 12d straipsnį pertvarkytinam subjektui, kurio pasirinktoje pertvarkymo strategijoje visų pirma numatytas verslo pardavimo priemonės arba laikinos įstaigos sukūrimo priemonės naudojimas ir jo pasitraukimas iš rinkos, Valdyba 12d straipsnio 3 dalyje numatytą rekapitalizavimo sumą nustato proporcingai, atitinkamai remdamasi šiais kriterijais:</w:t>
            </w:r>
          </w:p>
        </w:tc>
        <w:tc>
          <w:tcPr>
            <w:tcW w:w="4876" w:type="dxa"/>
            <w:hideMark/>
          </w:tcPr>
          <w:p w:rsidR="000E7A9E" w:rsidRPr="00D33000" w:rsidRDefault="000E7A9E" w:rsidP="009E0AF6">
            <w:pPr>
              <w:pStyle w:val="Normal6"/>
              <w:rPr>
                <w:szCs w:val="24"/>
                <w:lang w:val="lt-LT"/>
              </w:rPr>
            </w:pPr>
            <w:r w:rsidRPr="00D33000">
              <w:rPr>
                <w:lang w:val="lt-LT"/>
              </w:rPr>
              <w:t>1.</w:t>
            </w:r>
            <w:r w:rsidRPr="00D33000">
              <w:rPr>
                <w:lang w:val="lt-LT"/>
              </w:rPr>
              <w:tab/>
              <w:t xml:space="preserve">Taikydama 12d straipsnį pertvarkytinam subjektui, kurio pasirinktoje pertvarkymo strategijoje visų pirma numatytas verslo pardavimo priemonės arba laikinos įstaigos sukūrimo priemonės naudojimas ir jo pasitraukimas iš rinkos, Valdyba 12d straipsnio 3 dalyje numatytą rekapitalizavimo sumą nustato proporcingai, </w:t>
            </w:r>
            <w:r w:rsidRPr="00D33000">
              <w:rPr>
                <w:b/>
                <w:i/>
                <w:lang w:val="lt-LT"/>
              </w:rPr>
              <w:t>kad būtų užtikrinta, jog pertvarkytiną grupę būtų galima pertvarkyti pagal visus galimus scenarijus netaikant išorės finansavimo poreikio,</w:t>
            </w:r>
            <w:r w:rsidRPr="00D33000">
              <w:rPr>
                <w:lang w:val="lt-LT"/>
              </w:rPr>
              <w:t xml:space="preserve"> atitinkamai remdamasi šiais kriterijais: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Siekiant užtikrinti pertvarkymo sistemos patikimumą, būtinas tvirtas MREL režimas.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144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11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12da straipsnio 1 dalies įžanginė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w:t>
            </w:r>
            <w:r w:rsidRPr="00D33000">
              <w:rPr>
                <w:lang w:val="lt-LT"/>
              </w:rPr>
              <w:tab/>
              <w:t xml:space="preserve">Taikydama 12d straipsnį pertvarkytinam subjektui, kurio pasirinktoje pertvarkymo strategijoje </w:t>
            </w:r>
            <w:r w:rsidRPr="00D33000">
              <w:rPr>
                <w:b/>
                <w:i/>
                <w:lang w:val="lt-LT"/>
              </w:rPr>
              <w:t>visų pirma</w:t>
            </w:r>
            <w:r w:rsidRPr="00D33000">
              <w:rPr>
                <w:lang w:val="lt-LT"/>
              </w:rPr>
              <w:t xml:space="preserve"> numatytas verslo pardavimo priemonės arba laikinos įstaigos sukūrimo priemonės naudojimas ir jo pasitraukimas iš rinkos, Valdyba 12d straipsnio 3 dalyje numatytą rekapitalizavimo sumą nustato proporcingai, atitinkamai remdamasi šiais kriterijais:</w:t>
            </w:r>
          </w:p>
        </w:tc>
        <w:tc>
          <w:tcPr>
            <w:tcW w:w="4876" w:type="dxa"/>
            <w:hideMark/>
          </w:tcPr>
          <w:p w:rsidR="000E7A9E" w:rsidRPr="00D33000" w:rsidRDefault="000E7A9E" w:rsidP="009E0AF6">
            <w:pPr>
              <w:pStyle w:val="Normal6"/>
              <w:rPr>
                <w:szCs w:val="24"/>
                <w:lang w:val="lt-LT"/>
              </w:rPr>
            </w:pPr>
            <w:r w:rsidRPr="00D33000">
              <w:rPr>
                <w:lang w:val="lt-LT"/>
              </w:rPr>
              <w:t>1.</w:t>
            </w:r>
            <w:r w:rsidRPr="00D33000">
              <w:rPr>
                <w:lang w:val="lt-LT"/>
              </w:rPr>
              <w:tab/>
              <w:t xml:space="preserve">Taikydama 12d straipsnį pertvarkytinam subjektui, kurio pasirinktoje pertvarkymo strategijoje numatytas </w:t>
            </w:r>
            <w:r w:rsidRPr="00D33000">
              <w:rPr>
                <w:b/>
                <w:i/>
                <w:lang w:val="lt-LT"/>
              </w:rPr>
              <w:t>išimtinis</w:t>
            </w:r>
            <w:r w:rsidRPr="00D33000">
              <w:rPr>
                <w:lang w:val="lt-LT"/>
              </w:rPr>
              <w:t xml:space="preserve"> verslo pardavimo priemonės arba laikinos įstaigos sukūrimo priemonės naudojimas ir jo pasitraukimas iš rinkos, Valdyba 12d straipsnio 3 dalyje numatytą rekapitalizavimo sumą nustato proporcingai, atitinkamai remdamasi šiais kriterijais: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145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Markus Ferber, Herbert Dorfmann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11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12da straipsnio 1 dalies a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a)</w:t>
            </w:r>
            <w:r w:rsidRPr="00D33000">
              <w:rPr>
                <w:lang w:val="lt-LT"/>
              </w:rPr>
              <w:tab/>
              <w:t>pertvarkytino subjekto dydžiu, verslo modeliu, finansavimo modeliu ir rizikos pobūdžiu</w:t>
            </w:r>
            <w:r w:rsidRPr="00D33000">
              <w:rPr>
                <w:b/>
                <w:i/>
                <w:lang w:val="lt-LT"/>
              </w:rPr>
              <w:t>, taip pat rinkos, kurioje veikia pertvarkytinas subjektas, gyliu</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a)</w:t>
            </w:r>
            <w:r w:rsidRPr="00D33000">
              <w:rPr>
                <w:lang w:val="lt-LT"/>
              </w:rPr>
              <w:tab/>
              <w:t>pertvarkytino subjekto dydžiu, verslo modeliu, finansavimo modeliu ir rizikos pobūdžiu;</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Siekiant užtikrinti pertvarkymo sistemos patikimumą, būtinas tvirtas MREL režimas.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146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11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12da straipsnio 1 dalies a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a)</w:t>
            </w:r>
            <w:r w:rsidRPr="00D33000">
              <w:rPr>
                <w:lang w:val="lt-LT"/>
              </w:rPr>
              <w:tab/>
              <w:t>pertvarkytino subjekto dydžiu, verslo modeliu, finansavimo modeliu ir rizikos pobūdžiu</w:t>
            </w:r>
            <w:r w:rsidRPr="00D33000">
              <w:rPr>
                <w:b/>
                <w:i/>
                <w:lang w:val="lt-LT"/>
              </w:rPr>
              <w:t>, taip pat rinkos, kurioje veikia pertvarkytinas subjektas, gyliu</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a)</w:t>
            </w:r>
            <w:r w:rsidRPr="00D33000">
              <w:rPr>
                <w:lang w:val="lt-LT"/>
              </w:rPr>
              <w:tab/>
              <w:t>pertvarkytino subjekto dydžiu, verslo modeliu, finansavimo modeliu ir rizikos pobūdžiu;</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Covers all ams to article 12da : Currently, the depth of themarket criteria only applies to the setting of MREL subordinated requirementsin accordance with Article 12d(8). As the entities that are subject to Article 12da may not always be subject to MREL subordintated requirements, the inclusion ofthis criteria in Article 12da is at odds with the current MREL framework. MRELoverall requirements should remain based on intrinsic features of banks, regardless of the type of tools envisaged in the preferred resolution strategy.MREL requirements should notbe met with non-covered non-preferred deposits, or other bail-inableliabilities when there is a significant likelihood that such deposits andliabilities would be discretionary excluded under Article 27(5) in a resolutionscenario. This specific risk could be reduced in resolution planning by takinginto account MREL-eligible liabilities pursuant to Article 27(5), when settingthe level of MREL. This would not replace but act as a complement to anydeduction from the MREL capacity of these liabilities pursuant to Article 12d(8)BRRD.A distinction should be madebetween the sale of business tool and the bridge institution tool.</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147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Irene Tinagli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11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12da straipsnio 1 dalies a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a)</w:t>
            </w:r>
            <w:r w:rsidRPr="00D33000">
              <w:rPr>
                <w:lang w:val="lt-LT"/>
              </w:rPr>
              <w:tab/>
              <w:t xml:space="preserve">pertvarkytino subjekto dydžiu, verslo modeliu, finansavimo modeliu ir rizikos pobūdžiu, taip pat </w:t>
            </w:r>
            <w:r w:rsidRPr="00D33000">
              <w:rPr>
                <w:b/>
                <w:i/>
                <w:lang w:val="lt-LT"/>
              </w:rPr>
              <w:t>rinkos, kurioje veikia pertvarkytinas subjektas, gyliu</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a)</w:t>
            </w:r>
            <w:r w:rsidRPr="00D33000">
              <w:rPr>
                <w:lang w:val="lt-LT"/>
              </w:rPr>
              <w:tab/>
              <w:t xml:space="preserve">pertvarkytino subjekto dydžiu, verslo modeliu, finansavimo modeliu ir rizikos pobūdžiu, taip pat </w:t>
            </w:r>
            <w:r w:rsidRPr="00D33000">
              <w:rPr>
                <w:b/>
                <w:i/>
                <w:lang w:val="lt-LT"/>
              </w:rPr>
              <w:t>galimybe patekti į tinkamų įsipareigojimų kapitalo rinkas</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148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11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12da straipsnio 1 dalies a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a)</w:t>
            </w:r>
            <w:r w:rsidRPr="00D33000">
              <w:rPr>
                <w:lang w:val="lt-LT"/>
              </w:rPr>
              <w:tab/>
              <w:t xml:space="preserve">pertvarkytino subjekto dydžiu, verslo modeliu, finansavimo modeliu ir rizikos pobūdžiu, taip pat </w:t>
            </w:r>
            <w:r w:rsidRPr="00D33000">
              <w:rPr>
                <w:b/>
                <w:i/>
                <w:lang w:val="lt-LT"/>
              </w:rPr>
              <w:t>rinkos, kurioje veikia pertvarkytinas subjektas, gyliu</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a)</w:t>
            </w:r>
            <w:r w:rsidRPr="00D33000">
              <w:rPr>
                <w:lang w:val="lt-LT"/>
              </w:rPr>
              <w:tab/>
              <w:t xml:space="preserve">pertvarkytino subjekto dydžiu, verslo modeliu, finansavimo modeliu ir rizikos pobūdžiu, taip pat </w:t>
            </w:r>
            <w:r w:rsidRPr="00D33000">
              <w:rPr>
                <w:b/>
                <w:i/>
                <w:lang w:val="lt-LT"/>
              </w:rPr>
              <w:t>galimybe patekti į tinkamų įsipareigojimų kapitalo rinkas</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149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11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12da straipsnio 1 dalies b punkto ii papunktis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ii)</w:t>
            </w:r>
            <w:r w:rsidRPr="00D33000">
              <w:rPr>
                <w:lang w:val="lt-LT"/>
              </w:rPr>
              <w:tab/>
              <w:t>įsipareigojimus, kuriems gelbėjimo privačiomis lėšomis priemonė netaikoma pagal 27 straipsnio 3 dalį;</w:t>
            </w:r>
          </w:p>
        </w:tc>
        <w:tc>
          <w:tcPr>
            <w:tcW w:w="4876" w:type="dxa"/>
            <w:hideMark/>
          </w:tcPr>
          <w:p w:rsidR="000E7A9E" w:rsidRPr="00D33000" w:rsidRDefault="000E7A9E" w:rsidP="009E0AF6">
            <w:pPr>
              <w:pStyle w:val="Normal6"/>
              <w:rPr>
                <w:szCs w:val="24"/>
                <w:lang w:val="lt-LT"/>
              </w:rPr>
            </w:pPr>
            <w:r w:rsidRPr="00D33000">
              <w:rPr>
                <w:lang w:val="lt-LT"/>
              </w:rPr>
              <w:t>ii)</w:t>
            </w:r>
            <w:r w:rsidRPr="00D33000">
              <w:rPr>
                <w:lang w:val="lt-LT"/>
              </w:rPr>
              <w:tab/>
              <w:t>įsipareigojimus, kuriems gelbėjimo privačiomis lėšomis priemonė netaikoma pagal 27 straipsnio 3 dalį</w:t>
            </w:r>
            <w:r w:rsidRPr="00D33000">
              <w:rPr>
                <w:b/>
                <w:i/>
                <w:lang w:val="lt-LT"/>
              </w:rPr>
              <w:t>, arba įsipareigojimus, kuriems gali būti taikoma gelbėjimo privačiomis lėšomis priemonė, kai tikėtina, kad tiems įsipareigojimams bus taikoma 27 straipsnio 5 dalis</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Covers all ams to article 12da : The recapitalisation amount should in principle be higher when the preferred resolution strategy envisages primarily the use of the bridge institution tool as opposed to the sale of business tool, as this institution would need to be capitalised. Inparticular, if all assets and liabilities of the institution under resolution are transferred to a bride bank under the bridge institution tool, there capitalisation amount should theoretically be the same than in the case of anopen bank bail-in under Article 12d(3).It is important that funding needs in resolution be evaluated in a coherent manner across Member States, forMREL requirements can in some cases weigh on banks’ profitability. Diverging practices would therefore hinder the level playing field. Likewise, it is important to ensure that the proportionalization of MREL requirements when transfer tools are used does not lead to under/overestimate funding needs and MREL.</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150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11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12da straipsnio 1 dalies b punkto iii a papunktis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iiia)</w:t>
            </w:r>
            <w:r w:rsidRPr="00D33000">
              <w:rPr>
                <w:b/>
                <w:i/>
                <w:lang w:val="lt-LT"/>
              </w:rPr>
              <w:tab/>
              <w:t>tikėtinus nuosavų lėšų reikalavimus bet kuriai laikinai įstaigai, kurių gali prireikti pasitraukimo iš rinkos strategijai įgyvendinti, siekiant užtikrinti jos atitiktį atitinkamai Reglamentui (ES) Nr. 575/2013, Direktyvai 2013/36/ES ir Direktyvai 2014/65/ES;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Covers all ams to article 12da : The use of the deposit guarantee scheme pursuant to Article 11(5) of Directive 2014/49/EU would imply that measures taken in liquidation would be similar to the ones in resolution in case of transfer strategies, with the same economic outcome – namely, “market exit”. These liquidation entities should therefore be subject to the same requirements as resolution entities subject to Article 12da(1). Should that not be the case,liquidation with alternative measures from the DGS would most probably remain away to arbitrate resolution while increasing the cost for other banks.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151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Markus Ferber, Herbert Dorfmann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11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12da straipsnio 1 dalies b punkto iii a papunktis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iiia)</w:t>
            </w:r>
            <w:r w:rsidRPr="00D33000">
              <w:rPr>
                <w:b/>
                <w:i/>
                <w:lang w:val="lt-LT"/>
              </w:rPr>
              <w:tab/>
              <w:t>bet kokia rizika sėkmingam pasirinktos pertvarkymo strategijos įgyvendinimui, visų pirma galimai nepalanki rinkos aplinka pertvarkymo metu;</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Siekiant užtikrinti pertvarkymo sistemos patikimumą, būtinas tvirtas MREL režimas.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152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11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12da straipsnio 1 dalies a punkto iii b papunktis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iiib)</w:t>
            </w:r>
            <w:r w:rsidRPr="00D33000">
              <w:rPr>
                <w:b/>
                <w:i/>
                <w:lang w:val="lt-LT"/>
              </w:rPr>
              <w:tab/>
              <w:t>numatoma gavėjo paklausa, kad sandoris būtų neutralus įsigyjančiajam subjektui taikomų reikalavimų atžvilgiu.</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Covers all ams to article 12da : To ensure that the revisedframework remains based on internal loss-aborption not merely in theory butalso in practice, the amendment introduces minimum levels of external MREL forresolution entities with the new resolution strategy.Above a size threshold, suchresolution entities would also be required to comply with their external MRELtarget by using a minimum share of instruments that do not include CommonEquity Tier 1 instruments : Tier 2 instruments and other MREL-eligibleinstruments with a higher ranking in insolvency. This would avoid situationswhere an institution complies with its MREL target almost entirely with CommonEquity Tier 1. Although CET1 is an essential safeguard to ensureloss-absorption capabilities in a going-concern, such resources are, due totheir very nature, lacking when solvency issues lead an institution intoresolution.</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153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Markus Ferber, Herbert Dorfmann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11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12da straipsnio 1 dalies c punkto i papunktis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i)</w:t>
            </w:r>
            <w:r w:rsidRPr="00D33000">
              <w:rPr>
                <w:lang w:val="lt-LT"/>
              </w:rPr>
              <w:tab/>
              <w:t xml:space="preserve">pertvarkymo institucijos nustatytas </w:t>
            </w:r>
            <w:r w:rsidRPr="00D33000">
              <w:rPr>
                <w:b/>
                <w:i/>
                <w:lang w:val="lt-LT"/>
              </w:rPr>
              <w:t>reikšmingas</w:t>
            </w:r>
            <w:r w:rsidRPr="00D33000">
              <w:rPr>
                <w:lang w:val="lt-LT"/>
              </w:rPr>
              <w:t xml:space="preserve"> sėkmingo pertvarkymo kliūtis, kurios yra </w:t>
            </w:r>
            <w:r w:rsidRPr="00D33000">
              <w:rPr>
                <w:b/>
                <w:i/>
                <w:lang w:val="lt-LT"/>
              </w:rPr>
              <w:t>tiesiogiai</w:t>
            </w:r>
            <w:r w:rsidRPr="00D33000">
              <w:rPr>
                <w:lang w:val="lt-LT"/>
              </w:rPr>
              <w:t xml:space="preserve"> susijusios su verslo pardavimo priemonės arba laikinos įstaigos sukūrimo priemonės taikymu;</w:t>
            </w:r>
          </w:p>
        </w:tc>
        <w:tc>
          <w:tcPr>
            <w:tcW w:w="4876" w:type="dxa"/>
            <w:hideMark/>
          </w:tcPr>
          <w:p w:rsidR="000E7A9E" w:rsidRPr="00D33000" w:rsidRDefault="000E7A9E" w:rsidP="009E0AF6">
            <w:pPr>
              <w:pStyle w:val="Normal6"/>
              <w:rPr>
                <w:szCs w:val="24"/>
                <w:lang w:val="lt-LT"/>
              </w:rPr>
            </w:pPr>
            <w:r w:rsidRPr="00D33000">
              <w:rPr>
                <w:lang w:val="lt-LT"/>
              </w:rPr>
              <w:t>i)</w:t>
            </w:r>
            <w:r w:rsidRPr="00D33000">
              <w:rPr>
                <w:lang w:val="lt-LT"/>
              </w:rPr>
              <w:tab/>
              <w:t>pertvarkymo institucijos nustatytas sėkmingo pertvarkymo kliūtis, kurios yra susijusios su verslo pardavimo priemonės arba laikinos įstaigos sukūrimo priemonės taikymu;</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Siekiant užtikrinti pertvarkymo sistemos patikimumą, būtinas tvirtas MREL režimas.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154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Markus Ferber, Herbert Dorfmann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11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12da straipsnio 1 dalies c punkto ii a papunktis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iia)</w:t>
            </w:r>
            <w:r w:rsidRPr="00D33000">
              <w:rPr>
                <w:b/>
                <w:i/>
                <w:lang w:val="lt-LT"/>
              </w:rPr>
              <w:tab/>
              <w:t>galimai nepalankios rinkos aplinkos pertvarkymo metu;</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Siekiant užtikrinti pertvarkymo sistemos patikimumą, būtinas tvirtas MREL režimas.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155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11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12da straipsnio 1 dalies e a punktas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ea)</w:t>
            </w:r>
            <w:r w:rsidRPr="00D33000">
              <w:rPr>
                <w:b/>
                <w:i/>
                <w:lang w:val="lt-LT"/>
              </w:rPr>
              <w:tab/>
              <w:t>ar tikimasi, kad indėlių garantijų sistema mokės įnašą pagal 79 straipsnį.“;</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156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Irene Tinagli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11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12da straipsnio 1 dalies e a punktas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ea)</w:t>
            </w:r>
            <w:r w:rsidRPr="00D33000">
              <w:rPr>
                <w:b/>
                <w:i/>
                <w:lang w:val="lt-LT"/>
              </w:rPr>
              <w:tab/>
              <w:t>ar tikimasi, kad indėlių garantijų sistema mokės įnašą pagal 79 straipsnį.</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157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Markus Ferber, Herbert Dorfmann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11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12da straipsnio 1 dalies e a punktas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ea)</w:t>
            </w:r>
            <w:r w:rsidRPr="00D33000">
              <w:rPr>
                <w:b/>
                <w:i/>
                <w:lang w:val="lt-LT"/>
              </w:rPr>
              <w:tab/>
              <w:t>galima rekapitalizavimo suma, kurios reikalaujama pagal alternatyvią pertvarkymo strategiją.</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158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11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12da straipsnio 1 a dalis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1a.</w:t>
            </w:r>
            <w:r w:rsidRPr="00D33000">
              <w:rPr>
                <w:b/>
                <w:i/>
                <w:lang w:val="lt-LT"/>
              </w:rPr>
              <w:tab/>
              <w:t>Pertvarkytinų subjektų, kuriems taikomos šio straipsnio 1 dalyje nustatytos proporcingumo taisyklės, atveju 12d straipsnio 3 dalyje nurodyto reikalavimo lygis turi būti bent:</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 16 %, kai skaičiuojama pagal 12a straipsnio 2 dalies a punktą, ir</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b) 5,5 %, kai skaičiuojama pagal 12a straipsnio 2 dalies b punktą.</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Pertvarkytini subjektai, kurie priklauso pertvarkytinai grupei, kurios bendras turtas viršija 5 mlrd. EUR, ir pertvarkytini subjektai, kurių visas konsoliduotas turtas viršija 5 mlrd. EUR, turi atitikti šios dalies pirmoje pastraipoje nurodytą reikalavimą, kuris yra 4,5 %, skaičiuojant pagal 12a straipsnio 2 dalies a punktą, ir 1,5 %, kai apskaičiuojama pagal 12a straipsnio 2 dalies b punktą, naudojant 2 lygio priemones ir tinkamus įsipareigojimus.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Siekiant užtikrinti veiksmingą ir nuoseklų šio straipsnio taikymą, Valdyba nacionalinėms pertvarkymo institucijoms teikia gaires ir nurodymus dėl TRS, nurodytų Direktyvos 2014/59/ES 45ca straipsnio 1b dalyje, taikymo.</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159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Markus Ferber, Herbert Dorfmann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11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12da straipsnio 1 a dalis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1a.</w:t>
            </w:r>
            <w:r w:rsidRPr="00D33000">
              <w:rPr>
                <w:b/>
                <w:i/>
                <w:lang w:val="lt-LT"/>
              </w:rPr>
              <w:tab/>
              <w:t>1 dalis netaikoma įstaigoms, kurios pagal Reglamentą (ES) Nr. 575/2013 priskiriamos prie mažų ir nesudėtingų įstaigų.</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Siekiant proporcingumo, nauji MREL reikalavimai neturėtų būti taikomi mažoms ir nesudėtingoms įstaigoms.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160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11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12da straipsnio 2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2.</w:t>
            </w:r>
            <w:r w:rsidRPr="00D33000">
              <w:rPr>
                <w:b/>
                <w:i/>
                <w:lang w:val="lt-LT"/>
              </w:rPr>
              <w:tab/>
              <w:t>Kai pertvarkymo plane numatyta, kad subjektas turi būti likviduojamas iškeliant įprastinę bankroto bylą arba taikant kitas lygiavertes nacionalines procedūras, ir numatoma naudoti indėlių garantijų sistemą pagal Direktyvos 2014/49/ES 11 straipsnio 5 dalį, Valdyba, atlikdama šio reglamento 12d straipsnio 2a dalies antroje pastraipoje nurodytą vertinimą, taip pat atsižvelgia į šio straipsnio 1 dalį.</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161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Markus Ferber, Herbert Dorfmann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11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12da straipsnio 2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2.</w:t>
            </w:r>
            <w:r w:rsidRPr="00D33000">
              <w:rPr>
                <w:b/>
                <w:i/>
                <w:lang w:val="lt-LT"/>
              </w:rPr>
              <w:tab/>
              <w:t>Kai pertvarkymo plane numatyta, kad subjektas turi būti likviduojamas iškeliant įprastinę bankroto bylą arba taikant kitas lygiavertes nacionalines procedūras, ir numatoma naudoti indėlių garantijų sistemą pagal Direktyvos 2014/49/ES 11 straipsnio 5 dalį, Valdyba, atlikdama šio reglamento 12d straipsnio 2a dalies antroje pastraipoje nurodytą vertinimą, taip pat atsižvelgia į šio straipsnio 1 dalį.</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162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Irene Tinagli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11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12da straipsnio 2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2.</w:t>
            </w:r>
            <w:r w:rsidRPr="00D33000">
              <w:rPr>
                <w:b/>
                <w:i/>
                <w:lang w:val="lt-LT"/>
              </w:rPr>
              <w:tab/>
              <w:t>Kai pertvarkymo plane numatyta, kad subjektas turi būti likviduojamas iškeliant įprastinę bankroto bylą arba taikant kitas lygiavertes nacionalines procedūras, ir numatoma naudoti indėlių garantijų sistemą pagal Direktyvos 2014/49/ES 11 straipsnio 5 dalį, Valdyba, atlikdama šio reglamento 12d straipsnio 2a dalies antroje pastraipoje nurodytą vertinimą, taip pat atsižvelgia į šio straipsnio 1 dalį.</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163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11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12da straipsnio 2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2.</w:t>
            </w:r>
            <w:r w:rsidRPr="00D33000">
              <w:rPr>
                <w:lang w:val="lt-LT"/>
              </w:rPr>
              <w:tab/>
              <w:t xml:space="preserve">Kai pertvarkymo plane numatyta, kad subjektas turi būti likviduojamas iškeliant įprastinę bankroto bylą arba taikant kitas lygiavertes nacionalines procedūras, ir numatoma naudoti indėlių garantijų sistemą pagal Direktyvos 2014/49/ES 11 straipsnio 5 dalį, </w:t>
            </w:r>
            <w:r w:rsidRPr="00D33000">
              <w:rPr>
                <w:b/>
                <w:i/>
                <w:lang w:val="lt-LT"/>
              </w:rPr>
              <w:t>Valdyba, atlikdama šio reglamento</w:t>
            </w:r>
            <w:r w:rsidRPr="00D33000">
              <w:rPr>
                <w:lang w:val="lt-LT"/>
              </w:rPr>
              <w:t xml:space="preserve"> 12d straipsnio 2a dalies </w:t>
            </w:r>
            <w:r w:rsidRPr="00D33000">
              <w:rPr>
                <w:b/>
                <w:i/>
                <w:lang w:val="lt-LT"/>
              </w:rPr>
              <w:t>antroje pastraipoje nurodytą vertinimą, taip pat atsižvelgia į šio straipsnio 1 dalį</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2.</w:t>
            </w:r>
            <w:r w:rsidRPr="00D33000">
              <w:rPr>
                <w:lang w:val="lt-LT"/>
              </w:rPr>
              <w:tab/>
              <w:t xml:space="preserve">Kai pertvarkymo plane numatyta, kad subjektas turi būti likviduojamas iškeliant įprastinę bankroto bylą arba taikant kitas lygiavertes nacionalines procedūras, ir numatoma naudoti indėlių garantijų sistemą pagal Direktyvos 2014/49/ES 11 straipsnio 5 dalį, </w:t>
            </w:r>
            <w:r w:rsidRPr="00D33000">
              <w:rPr>
                <w:b/>
                <w:i/>
                <w:lang w:val="lt-LT"/>
              </w:rPr>
              <w:t>nukrypstant nuo</w:t>
            </w:r>
            <w:r w:rsidRPr="00D33000">
              <w:rPr>
                <w:lang w:val="lt-LT"/>
              </w:rPr>
              <w:t xml:space="preserve"> 12d straipsnio 2a dalies</w:t>
            </w:r>
            <w:r w:rsidRPr="00D33000">
              <w:rPr>
                <w:b/>
                <w:i/>
                <w:lang w:val="lt-LT"/>
              </w:rPr>
              <w:t>, pertvarkymo institucija proporcingai nustato rekapitalizavimo sumą, kaip numatyta 12d straipsnio 3 dalyje, remdamasi 1 dalyje nurodytais kriterijais</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164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11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12da straipsnio 3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3.</w:t>
            </w:r>
            <w:r w:rsidRPr="00D33000">
              <w:rPr>
                <w:lang w:val="lt-LT"/>
              </w:rPr>
              <w:tab/>
              <w:t xml:space="preserve">Taikant 1 dalį gaunama suma neturi būti </w:t>
            </w:r>
            <w:r w:rsidRPr="00D33000">
              <w:rPr>
                <w:b/>
                <w:i/>
                <w:lang w:val="lt-LT"/>
              </w:rPr>
              <w:t>didesnė už sumą, gautą</w:t>
            </w:r>
            <w:r w:rsidRPr="00D33000">
              <w:rPr>
                <w:lang w:val="lt-LT"/>
              </w:rPr>
              <w:t xml:space="preserve"> taikant 12d straipsnio 3 dalį.“;</w:t>
            </w:r>
          </w:p>
        </w:tc>
        <w:tc>
          <w:tcPr>
            <w:tcW w:w="4876" w:type="dxa"/>
            <w:hideMark/>
          </w:tcPr>
          <w:p w:rsidR="000E7A9E" w:rsidRPr="00D33000" w:rsidRDefault="000E7A9E" w:rsidP="009E0AF6">
            <w:pPr>
              <w:pStyle w:val="Normal6"/>
              <w:rPr>
                <w:szCs w:val="24"/>
                <w:lang w:val="lt-LT"/>
              </w:rPr>
            </w:pPr>
            <w:r w:rsidRPr="00D33000">
              <w:rPr>
                <w:lang w:val="lt-LT"/>
              </w:rPr>
              <w:t>3.</w:t>
            </w:r>
            <w:r w:rsidRPr="00D33000">
              <w:rPr>
                <w:lang w:val="lt-LT"/>
              </w:rPr>
              <w:tab/>
              <w:t xml:space="preserve">Taikant 1 dalį gaunama suma neturi būti </w:t>
            </w:r>
            <w:r w:rsidRPr="00D33000">
              <w:rPr>
                <w:b/>
                <w:i/>
                <w:lang w:val="lt-LT"/>
              </w:rPr>
              <w:t>mažesnė nei 90 % sumos, gautos</w:t>
            </w:r>
            <w:r w:rsidRPr="00D33000">
              <w:rPr>
                <w:lang w:val="lt-LT"/>
              </w:rPr>
              <w:t xml:space="preserve"> taikant 12d straipsnio 3 dalį.“;</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165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Pedro Marques, Aurore Lalucq, René Repasi, Jonás Fernández</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14 punkto a a papunktis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12k straipsnio 1 dalies 3 a pastraipa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aa)</w:t>
            </w:r>
            <w:r w:rsidRPr="00D33000">
              <w:rPr>
                <w:b/>
                <w:i/>
                <w:lang w:val="lt-LT"/>
              </w:rPr>
              <w:tab/>
              <w:t>1 dalis papildoma šia pastraipa:</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Po 2024 m. sausio 1 d. arba po 2024 m. sausio 1 d. pasibaigiančio pereinamojo laikotarpio, kurį Valdyba nustato pagal trečią pastraipą, Valdyba, kai tai tinkamai pagrįsta ir tinkama remiantis 7 dalyje nurodytais kriterijais ir atsižvelgdama į trečioje pastraipoje nurodytus elementus, gali nustatyti tinkamą pereinamąjį laikotarpį, per kurį turi būti laikomasi 12f arba 12g straipsnio reikalavimų arba reikalavimų, atsirandančių taikant 12c straipsnio 4, 5 arba 7 dalį.</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166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14 punkto a a papunktis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12k straipsnio 1 a dalis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aa)</w:t>
            </w:r>
            <w:r w:rsidRPr="00D33000">
              <w:rPr>
                <w:b/>
                <w:i/>
                <w:lang w:val="lt-LT"/>
              </w:rPr>
              <w:tab/>
              <w:t>įterpiama ši dalis: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„1a. Dėl subjektų, kurie iki [šio iš dalies keičiančio reglamento taikymo pradžios data] nepriklausė pertvarkytinai grupei, Valdyba nustato tinkamus pereinamuosius laikotarpius, per kuriuos įstaigos ar subjektai, nurodyti 2 straipsnio 1 dalyje, turi laikytis atitinkamai 12f arba 12g straipsnio reikalavimų arba reikalavimų, atsirandančių taikant 12c straipsnio 4, 5 arba 7 dalį. Šie pereinamieji laikotarpiai neturėtų tęstis ilgiau nei iki 2030 m. sausio 1 d.“;</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Pereinamojo laikotarpio, per kurį turi būti laikomasi naujų MREL reikalavimų, nustatymas įstaigoms, kurios bus naujai įtrauktos į pertvarkymo taikymo sritį, yra pagrįstas, tačiau neturėtų būti pernelyg ilgas. [5] metų pereinamasis laikotarpis atrodo pagrįstas ir baigsis 2029 m., jei CMDI peržiūra įsigalios 2025 m.</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167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15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13 straipsnio 1 dalies įžanginė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w:t>
            </w:r>
            <w:r w:rsidRPr="00D33000">
              <w:rPr>
                <w:lang w:val="lt-LT"/>
              </w:rPr>
              <w:tab/>
              <w:t xml:space="preserve">ECB </w:t>
            </w:r>
            <w:r w:rsidRPr="00D33000">
              <w:rPr>
                <w:b/>
                <w:i/>
                <w:lang w:val="lt-LT"/>
              </w:rPr>
              <w:t>gali taikyti</w:t>
            </w:r>
            <w:r w:rsidRPr="00D33000">
              <w:rPr>
                <w:lang w:val="lt-LT"/>
              </w:rPr>
              <w:t xml:space="preserve"> ankstyvosios intervencijos priemones, kai 7 straipsnio 2 dalies a punkte nurodytas subjektas atitinka bet kurią iš šių sąlygų:</w:t>
            </w:r>
          </w:p>
        </w:tc>
        <w:tc>
          <w:tcPr>
            <w:tcW w:w="4876" w:type="dxa"/>
            <w:hideMark/>
          </w:tcPr>
          <w:p w:rsidR="000E7A9E" w:rsidRPr="00D33000" w:rsidRDefault="000E7A9E" w:rsidP="009E0AF6">
            <w:pPr>
              <w:pStyle w:val="Normal6"/>
              <w:rPr>
                <w:szCs w:val="24"/>
                <w:lang w:val="lt-LT"/>
              </w:rPr>
            </w:pPr>
            <w:r w:rsidRPr="00D33000">
              <w:rPr>
                <w:lang w:val="lt-LT"/>
              </w:rPr>
              <w:t>1.</w:t>
            </w:r>
            <w:r w:rsidRPr="00D33000">
              <w:rPr>
                <w:lang w:val="lt-LT"/>
              </w:rPr>
              <w:tab/>
              <w:t xml:space="preserve">ECB </w:t>
            </w:r>
            <w:r w:rsidRPr="00D33000">
              <w:rPr>
                <w:b/>
                <w:i/>
                <w:lang w:val="lt-LT"/>
              </w:rPr>
              <w:t>nepagrįstai nedelsdamas apsvarsto ir prireikus skubiai patvirtina</w:t>
            </w:r>
            <w:r w:rsidRPr="00D33000">
              <w:rPr>
                <w:lang w:val="lt-LT"/>
              </w:rPr>
              <w:t xml:space="preserve"> ankstyvosios intervencijos priemones, kai 7 straipsnio 2 dalies a punkte nurodytas subjektas atitinka bet kurią iš šių sąlygų:</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Šiuo pasiūlymu siekiama užtikrinti, kad EIM sistema būtų įtraukta į greitą ir veiksmingą valdymo procesą, kuriuo būtų siekiama priimti sprendimus, kuriais būtų geriausiai išsaugotas kapitalas ir MREL ištekliai, kad nebūtų trukdoma galimam pertvarkymui vėlesniame etape.</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168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15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13 straipsnio 1 dalies a punkto ii papunktis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ii)</w:t>
            </w:r>
            <w:r w:rsidRPr="00D33000">
              <w:rPr>
                <w:lang w:val="lt-LT"/>
              </w:rPr>
              <w:tab/>
              <w:t>ECB mano, kad taisomieji veiksmai, išskyrus ankstyvosios intervencijos priemones, yra nepakankami problemoms spręsti</w:t>
            </w:r>
            <w:r w:rsidRPr="00D33000">
              <w:rPr>
                <w:b/>
                <w:i/>
                <w:lang w:val="lt-LT"/>
              </w:rPr>
              <w:t>, inter alia, dėl spartaus ir didelio subjekto finansinės būklės pablogėjimo</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ii)</w:t>
            </w:r>
            <w:r w:rsidRPr="00D33000">
              <w:rPr>
                <w:lang w:val="lt-LT"/>
              </w:rPr>
              <w:tab/>
              <w:t>ECB mano, kad taisomieji veiksmai, išskyrus ankstyvosios intervencijos priemones, yra nepakankami problemoms spręsti;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169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Luděk Niedermayer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15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13 straipsnio 1 dalies a punkto ii papunktis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ii)</w:t>
            </w:r>
            <w:r w:rsidRPr="00D33000">
              <w:rPr>
                <w:lang w:val="lt-LT"/>
              </w:rPr>
              <w:tab/>
              <w:t xml:space="preserve">ECB mano, kad taisomieji veiksmai, išskyrus ankstyvosios intervencijos priemones, yra nepakankami problemoms spręsti, </w:t>
            </w:r>
            <w:r w:rsidRPr="00D33000">
              <w:rPr>
                <w:i/>
                <w:iCs/>
                <w:lang w:val="lt-LT"/>
              </w:rPr>
              <w:t>inter alia</w:t>
            </w:r>
            <w:r w:rsidRPr="00D33000">
              <w:rPr>
                <w:lang w:val="lt-LT"/>
              </w:rPr>
              <w:t>, dėl spartaus ir didelio subjekto finansinės būklės pablogėjimo;</w:t>
            </w:r>
          </w:p>
        </w:tc>
        <w:tc>
          <w:tcPr>
            <w:tcW w:w="4876" w:type="dxa"/>
            <w:hideMark/>
          </w:tcPr>
          <w:p w:rsidR="000E7A9E" w:rsidRPr="00D33000" w:rsidRDefault="000E7A9E" w:rsidP="009E0AF6">
            <w:pPr>
              <w:pStyle w:val="Normal6"/>
              <w:rPr>
                <w:szCs w:val="24"/>
                <w:lang w:val="lt-LT"/>
              </w:rPr>
            </w:pPr>
            <w:r w:rsidRPr="00D33000">
              <w:rPr>
                <w:lang w:val="lt-LT"/>
              </w:rPr>
              <w:t>ii)</w:t>
            </w:r>
            <w:r w:rsidRPr="00D33000">
              <w:rPr>
                <w:lang w:val="lt-LT"/>
              </w:rPr>
              <w:tab/>
              <w:t>ECB mano, kad taisomieji veiksmai, išskyrus ankstyvosios intervencijos priemones, yra nepakankami problemoms spręsti,</w:t>
            </w:r>
            <w:r w:rsidRPr="00D33000">
              <w:rPr>
                <w:i/>
                <w:iCs/>
                <w:lang w:val="lt-LT"/>
              </w:rPr>
              <w:t xml:space="preserve"> inter alia</w:t>
            </w:r>
            <w:r w:rsidRPr="00D33000">
              <w:rPr>
                <w:lang w:val="lt-LT"/>
              </w:rPr>
              <w:t>, dėl spartaus ir didelio subjekto finansinės būklės pablogėjimo;</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170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15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13 straipsnio 1 dalies b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b) subjektas per 12 mėnesių nuo ECB vertinimo pažeidžia arba tikėtina, kad pažeis Direktyvos 2014/65/ES II antraštinėje dalyje, Reglamento (ES) Nr. 600/2014 3–7 straipsniuose, 14–17 straipsniuose arba 24, 25 ir 26 straipsniuose </w:t>
            </w:r>
            <w:r w:rsidRPr="00D33000">
              <w:rPr>
                <w:b/>
                <w:i/>
                <w:lang w:val="lt-LT"/>
              </w:rPr>
              <w:t>arba šio reglamento12f arba 12g straipsnyje</w:t>
            </w:r>
            <w:r w:rsidRPr="00D33000">
              <w:rPr>
                <w:lang w:val="lt-LT"/>
              </w:rPr>
              <w:t xml:space="preserve"> nustatytus reikalavimus.</w:t>
            </w:r>
          </w:p>
        </w:tc>
        <w:tc>
          <w:tcPr>
            <w:tcW w:w="4876" w:type="dxa"/>
            <w:hideMark/>
          </w:tcPr>
          <w:p w:rsidR="000E7A9E" w:rsidRPr="00D33000" w:rsidRDefault="000E7A9E" w:rsidP="009E0AF6">
            <w:pPr>
              <w:pStyle w:val="Normal6"/>
              <w:rPr>
                <w:szCs w:val="24"/>
                <w:lang w:val="lt-LT"/>
              </w:rPr>
            </w:pPr>
            <w:r w:rsidRPr="00D33000">
              <w:rPr>
                <w:lang w:val="lt-LT"/>
              </w:rPr>
              <w:t>b) subjektas per 12 mėnesių nuo ECB vertinimo pažeidžia arba tikėtina, kad pažeis Direktyvos 2014/65/ES II antraštinėje dalyje, Reglamento (ES) Nr. 600/2014 3–7 straipsniuose, 14–17 straipsniuose arba 24, 25 ir 26 straipsniuose nustatytus reikalavimus.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171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15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13 straipsnio 1 dalies 1 a pastraipa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Kai tikslinga apibūdinti b punkte nurodytą pažeidimą, ECB užtikrina, kad Valdyba ir atitinkamos nacionalinės pertvarkymo institucijos nedelsdamos informuotų kompetentingas institucijas.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Šiuo pasiūlymu siekiama užtikrinti, kad EIM sistema būtų įtraukta į greitą ir veiksmingą valdymo procesą, kuriuo būtų siekiama priimti sprendimus, kuriais būtų geriausiai išsaugotas kapitalas ir MREL ištekliai, kad nebūtų trukdoma galimam pertvarkymui vėlesniame etape.</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172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Luděk Niedermayer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15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13 straipsnio 1 dalies 2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ECB gali nustatyti, kad pirmos pastraipos a punkto ii papunktyje nurodyta sąlyga yra įvykdyta prieš tai netaikant kitų taisomųjų veiksmų, įskaitant naudojimąsi Direktyvos 2013/36/ES 104 straipsnyje arba Reglamento (ES) Nr. 1024/2013 16 straipsnio 2 dalyje nurodytais įgaliojimais.</w:t>
            </w:r>
          </w:p>
        </w:tc>
        <w:tc>
          <w:tcPr>
            <w:tcW w:w="4876" w:type="dxa"/>
            <w:hideMark/>
          </w:tcPr>
          <w:p w:rsidR="000E7A9E" w:rsidRPr="00D33000" w:rsidRDefault="000E7A9E" w:rsidP="009E0AF6">
            <w:pPr>
              <w:pStyle w:val="Normal6"/>
              <w:rPr>
                <w:szCs w:val="24"/>
                <w:lang w:val="lt-LT"/>
              </w:rPr>
            </w:pPr>
            <w:r w:rsidRPr="00D33000">
              <w:rPr>
                <w:b/>
                <w:i/>
                <w:lang w:val="lt-LT"/>
              </w:rPr>
              <w:t>Jei sąlygos sparčiai blogėja, susidaro nepalankios aplinkybės arba gaunama naujos informacijos apie subjektą,</w:t>
            </w:r>
            <w:r w:rsidRPr="00D33000">
              <w:rPr>
                <w:lang w:val="lt-LT"/>
              </w:rPr>
              <w:t xml:space="preserve"> ECB gali nustatyti, kad pirmos pastraipos a punkto ii papunktyje nurodyta sąlyga yra įvykdyta prieš tai netaikant kitų taisomųjų veiksmų, įskaitant naudojimąsi Direktyvos 2013/36/ES 104 straipsnyje arba Reglamento (ES) Nr. 1024/2013 16 straipsnio 2 dalyje nurodytais įgaliojimais.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173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Luděk Niedermayer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15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13 straipsnio 2 dalies c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c)</w:t>
            </w:r>
            <w:r w:rsidRPr="00D33000">
              <w:rPr>
                <w:lang w:val="lt-LT"/>
              </w:rPr>
              <w:tab/>
              <w:t>reikalavimą, kad subjekto valdymo organas, vadovaudamasis gaivinimo planu, kai taikytina, parengtų derybų dėl skolos restruktūrizavimo su kai kuriais arba visais kreditoriais planą;</w:t>
            </w:r>
          </w:p>
        </w:tc>
        <w:tc>
          <w:tcPr>
            <w:tcW w:w="4876" w:type="dxa"/>
            <w:hideMark/>
          </w:tcPr>
          <w:p w:rsidR="000E7A9E" w:rsidRPr="00D33000" w:rsidRDefault="000E7A9E" w:rsidP="009E0AF6">
            <w:pPr>
              <w:pStyle w:val="Normal6"/>
              <w:rPr>
                <w:szCs w:val="24"/>
                <w:lang w:val="lt-LT"/>
              </w:rPr>
            </w:pPr>
            <w:r w:rsidRPr="00D33000">
              <w:rPr>
                <w:lang w:val="lt-LT"/>
              </w:rPr>
              <w:t>c)</w:t>
            </w:r>
            <w:r w:rsidRPr="00D33000">
              <w:rPr>
                <w:lang w:val="lt-LT"/>
              </w:rPr>
              <w:tab/>
              <w:t xml:space="preserve">reikalavimą, kad subjekto valdymo organas, vadovaudamasis gaivinimo planu, kai taikytina, parengtų derybų dėl skolos restruktūrizavimo su kai kuriais arba visais kreditoriais </w:t>
            </w:r>
            <w:r w:rsidRPr="00D33000">
              <w:rPr>
                <w:b/>
                <w:i/>
                <w:lang w:val="lt-LT"/>
              </w:rPr>
              <w:t>veiksmų</w:t>
            </w:r>
            <w:r w:rsidRPr="00D33000">
              <w:rPr>
                <w:lang w:val="lt-LT"/>
              </w:rPr>
              <w:t xml:space="preserve"> planą;</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174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Roberts Zīle</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15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13 straipsnio 2 dalies 1 pastraipos f a punktas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fa)</w:t>
            </w:r>
            <w:r w:rsidRPr="00D33000">
              <w:rPr>
                <w:b/>
                <w:i/>
                <w:lang w:val="lt-LT"/>
              </w:rPr>
              <w:tab/>
              <w:t>reikalavimą subjekto valdymo organui parengti planą, kurį ūkio subjektas gali įgyvendinti, jei atitinkamas įmonės organas nusprendžia inicijuoti savanorišką subjekto likvidavimą.</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175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15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13 straipsnio 2 dalies 1 a pastraipa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Gavusi pirmoje pastraipoje nurodytą pranešimą, Valdyba, glaudžiai bendradarbiaudama su ECB arba atitinkama nacionaline kompetentinga institucija, įvertina, koks laikotarpis būtų pagrįstas 18 straipsnio 1 dalies b punkte nurodytai sąlygai įvertinti, atsižvelgdama į subjekto sąlygų pablogėjimo spartą, poreikį veiksmingai įgyvendinti pertvarkymo strategiją ir visus kitus svarbius aspektus. Valdyba apie tą vertinimą kuo anksčiau praneša ECB arba atitinkamai nacionalinei kompetentingai institucijai. Pirmoje pastraipoje nurodytas pranešimas nedaro poveikio institucinių užtikrinimo sistemų gebėjimui įgyvendinti priemones. Visi sprendimai, susiję su institucinės užtikrinimo sistemos priemonėmis, priklauso tik institucinės užtikrinimo sistemos nuožiūrai.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176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Luděk Niedermayer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15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13 straipsnio 3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3.</w:t>
            </w:r>
            <w:r w:rsidRPr="00D33000">
              <w:rPr>
                <w:lang w:val="lt-LT"/>
              </w:rPr>
              <w:tab/>
              <w:t>ECB tinkamas ankstyvosios intervencijos priemones pasirenka remdamasis tuo, kas proporcinga siekiamiems tikslams, atsižvelgdamas, be kitos svarbios informacijos, į pažeidimo arba tikėtino pažeidimo sunkumą ir subjekto finansinės būklės blogėjimo spartą.</w:t>
            </w:r>
          </w:p>
        </w:tc>
        <w:tc>
          <w:tcPr>
            <w:tcW w:w="4876" w:type="dxa"/>
            <w:hideMark/>
          </w:tcPr>
          <w:p w:rsidR="000E7A9E" w:rsidRPr="00D33000" w:rsidRDefault="000E7A9E" w:rsidP="009E0AF6">
            <w:pPr>
              <w:pStyle w:val="Normal6"/>
              <w:rPr>
                <w:szCs w:val="24"/>
                <w:lang w:val="lt-LT"/>
              </w:rPr>
            </w:pPr>
            <w:r w:rsidRPr="00D33000">
              <w:rPr>
                <w:lang w:val="lt-LT"/>
              </w:rPr>
              <w:t>3.</w:t>
            </w:r>
            <w:r w:rsidRPr="00D33000">
              <w:rPr>
                <w:lang w:val="lt-LT"/>
              </w:rPr>
              <w:tab/>
              <w:t xml:space="preserve">ECB tinkamas ir </w:t>
            </w:r>
            <w:r w:rsidRPr="00D33000">
              <w:rPr>
                <w:b/>
                <w:i/>
                <w:lang w:val="lt-LT"/>
              </w:rPr>
              <w:t>savalaikes</w:t>
            </w:r>
            <w:r w:rsidRPr="00D33000">
              <w:rPr>
                <w:lang w:val="lt-LT"/>
              </w:rPr>
              <w:t xml:space="preserve"> ankstyvosios intervencijos priemones pasirenka remdamasis tuo, kas proporcinga siekiamiems tikslams, atsižvelgdamas, be kitos svarbios informacijos, į pažeidimo arba tikėtino pažeidimo sunkumą ir subjekto finansinės būklės blogėjimo spartą.</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177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15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13 straipsnio 4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4.</w:t>
            </w:r>
            <w:r w:rsidRPr="00D33000">
              <w:rPr>
                <w:lang w:val="lt-LT"/>
              </w:rPr>
              <w:tab/>
              <w:t>Kiekvienai iš 2 dalyje nurodytų priemonių ECB nustato terminą, kuris yra tinkamas tai priemonei įvykdyti ir kuriuo remdamasis ECB gali įvertinti jos veiksmingumą.</w:t>
            </w:r>
          </w:p>
        </w:tc>
        <w:tc>
          <w:tcPr>
            <w:tcW w:w="4876" w:type="dxa"/>
            <w:hideMark/>
          </w:tcPr>
          <w:p w:rsidR="000E7A9E" w:rsidRPr="00D33000" w:rsidRDefault="000E7A9E" w:rsidP="009E0AF6">
            <w:pPr>
              <w:pStyle w:val="Normal6"/>
              <w:rPr>
                <w:szCs w:val="24"/>
                <w:lang w:val="lt-LT"/>
              </w:rPr>
            </w:pPr>
            <w:r w:rsidRPr="00D33000">
              <w:rPr>
                <w:lang w:val="lt-LT"/>
              </w:rPr>
              <w:t>4.</w:t>
            </w:r>
            <w:r w:rsidRPr="00D33000">
              <w:rPr>
                <w:lang w:val="lt-LT"/>
              </w:rPr>
              <w:tab/>
              <w:t xml:space="preserve">Kiekvienai iš 2 dalyje nurodytų priemonių ECB nustato terminą, kuris yra tinkamas tai priemonei įvykdyti ir kuriuo remdamasis ECB gali įvertinti jos veiksmingumą. </w:t>
            </w:r>
            <w:r w:rsidRPr="00D33000">
              <w:rPr>
                <w:b/>
                <w:i/>
                <w:lang w:val="lt-LT"/>
              </w:rPr>
              <w:t>Priemonės vertinimas turėtų būti atliekamas iš karto po termino pabaigos ir juo turėtų būti dalijamasi su Valdyba ir atitinkamomis nacionalinėmis pertvarkymo institucijomis. Jei atlikus vertinimą padaroma išvada, kad priemonės nebuvo visiškai įgyvendintos arba neveiksmingos, ECB arba atitinkama nacionalinė kompetentinga institucija, pasikonsultavusi su Valdyba ir atitinkama nacionaline pertvarkymo institucija, įvertina šio reglamento 18 straipsnio 1 dalies a punkte nurodytą sąlygą.</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Šiuo pasiūlymu siekiama užtikrinti, kad EIM sistema būtų įtraukta į greitą ir veiksmingą valdymo procesą, kuriuo būtų siekiama priimti sprendimus, kuriais būtų geriausiai išsaugotas kapitalas ir MREL ištekliai, kad nebūtų trukdoma galimam pertvarkymui vėlesniame etape.</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178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Luděk Niedermayer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15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13 straipsnio 5 dalies 2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Kai grupę sudaro dalyvaujančiose valstybėse narėse įsteigti subjektai ir nedalyvaujančiose valstybėse narėse įsteigtos patronuojamosios įmonės arba tose valstybėse narėse esantys svarbūs filialai, ECB nedalyvaujančių valstybių narių kompetentingoms institucijoms arba pertvarkymo institucijoms atitinkamai praneša apie bet kokius 13–13c straipsniuose nurodytus sprendimus arba priemones.“;</w:t>
            </w:r>
          </w:p>
        </w:tc>
        <w:tc>
          <w:tcPr>
            <w:tcW w:w="4876" w:type="dxa"/>
            <w:hideMark/>
          </w:tcPr>
          <w:p w:rsidR="000E7A9E" w:rsidRPr="00D33000" w:rsidRDefault="000E7A9E" w:rsidP="009E0AF6">
            <w:pPr>
              <w:pStyle w:val="Normal6"/>
              <w:rPr>
                <w:szCs w:val="24"/>
                <w:lang w:val="lt-LT"/>
              </w:rPr>
            </w:pPr>
            <w:r w:rsidRPr="00D33000">
              <w:rPr>
                <w:lang w:val="lt-LT"/>
              </w:rPr>
              <w:t xml:space="preserve">Kai grupę sudaro dalyvaujančiose valstybėse narėse įsteigti subjektai ir nedalyvaujančiose valstybėse narėse įsteigtos patronuojamosios įmonės arba tose valstybėse narėse esantys svarbūs filialai, ECB nedalyvaujančių valstybių narių kompetentingoms institucijoms arba pertvarkymo institucijoms atitinkamai </w:t>
            </w:r>
            <w:r w:rsidRPr="00D33000">
              <w:rPr>
                <w:b/>
                <w:i/>
                <w:lang w:val="lt-LT"/>
              </w:rPr>
              <w:t>ir laiku</w:t>
            </w:r>
            <w:r w:rsidRPr="00D33000">
              <w:rPr>
                <w:lang w:val="lt-LT"/>
              </w:rPr>
              <w:t xml:space="preserve"> praneša apie bet kokius 13–13c straipsniuose nurodytus sprendimus arba priemones.“;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179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Luděk Niedermayer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16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13b straipsnio 1 dalies 4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ECB viešai praneša apie laikinojo administratoriaus paskyrimą, išskyrus atvejus, kai laikinasis administratorius neturi įgaliojimų atstovauti subjektui.</w:t>
            </w:r>
          </w:p>
        </w:tc>
        <w:tc>
          <w:tcPr>
            <w:tcW w:w="4876" w:type="dxa"/>
            <w:hideMark/>
          </w:tcPr>
          <w:p w:rsidR="000E7A9E" w:rsidRPr="00D33000" w:rsidRDefault="000E7A9E" w:rsidP="009E0AF6">
            <w:pPr>
              <w:pStyle w:val="Normal6"/>
              <w:rPr>
                <w:szCs w:val="24"/>
                <w:lang w:val="lt-LT"/>
              </w:rPr>
            </w:pPr>
            <w:r w:rsidRPr="00D33000">
              <w:rPr>
                <w:lang w:val="lt-LT"/>
              </w:rPr>
              <w:t xml:space="preserve">ECB viešai praneša apie laikinojo administratoriaus paskyrimą, išskyrus atvejus, kai laikinasis administratorius neturi įgaliojimų atstovauti subjektui </w:t>
            </w:r>
            <w:r w:rsidRPr="00D33000">
              <w:rPr>
                <w:b/>
                <w:i/>
                <w:lang w:val="lt-LT"/>
              </w:rPr>
              <w:t>arba priimti sprendimus jo vardu</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180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Luděk Niedermayer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16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13b straipsnio 2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2.</w:t>
            </w:r>
            <w:r w:rsidRPr="00D33000">
              <w:rPr>
                <w:lang w:val="lt-LT"/>
              </w:rPr>
              <w:tab/>
              <w:t>ECB apibrėžia laikinojo administratoriaus įgaliojimus jo paskyrimo metu, atsižvelgdamas į tai, kas yra proporcinga konkrečiomis aplinkybėmis. Tokie įgaliojimai gali apimti kai kuriuos arba visus subjekto valdymo organo įgaliojimus pagal subjekto įstatus ir nacionalinės teisės aktus, įskaitant įgaliojimus vykdyti kai kurias arba visas subjekto valdymo organo administracines funkcijas. Laikinojo administratoriaus įgaliojimai subjekto atžvilgiu turi atitikti taikomą bendrovių teisę.</w:t>
            </w:r>
          </w:p>
        </w:tc>
        <w:tc>
          <w:tcPr>
            <w:tcW w:w="4876" w:type="dxa"/>
            <w:hideMark/>
          </w:tcPr>
          <w:p w:rsidR="000E7A9E" w:rsidRPr="00D33000" w:rsidRDefault="000E7A9E" w:rsidP="009E0AF6">
            <w:pPr>
              <w:pStyle w:val="Normal6"/>
              <w:rPr>
                <w:szCs w:val="24"/>
                <w:lang w:val="lt-LT"/>
              </w:rPr>
            </w:pPr>
            <w:r w:rsidRPr="00D33000">
              <w:rPr>
                <w:lang w:val="lt-LT"/>
              </w:rPr>
              <w:t>2.</w:t>
            </w:r>
            <w:r w:rsidRPr="00D33000">
              <w:rPr>
                <w:lang w:val="lt-LT"/>
              </w:rPr>
              <w:tab/>
              <w:t xml:space="preserve">ECB apibrėžia laikinojo administratoriaus įgaliojimus jo paskyrimo metu, atsižvelgdamas į tai, kas yra proporcinga konkrečiomis aplinkybėmis. Tokie įgaliojimai gali apimti kai kuriuos arba visus subjekto valdymo organo įgaliojimus pagal subjekto įstatus ir nacionalinės teisės aktus, įskaitant įgaliojimus vykdyti kai kurias arba visas subjekto valdymo organo administracines funkcijas. Laikinojo administratoriaus įgaliojimai subjekto atžvilgiu turi atitikti taikomą bendrovių teisę. </w:t>
            </w:r>
            <w:r w:rsidRPr="00D33000">
              <w:rPr>
                <w:b/>
                <w:i/>
                <w:lang w:val="lt-LT"/>
              </w:rPr>
              <w:t>Tokius įgaliojimus ECB gali koreguoti pasikeitus aplinkybėms.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181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Luděk Niedermayer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16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13b straipsnio 6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6.</w:t>
            </w:r>
            <w:r w:rsidRPr="00D33000">
              <w:rPr>
                <w:lang w:val="lt-LT"/>
              </w:rPr>
              <w:tab/>
              <w:t>ECB prašymu laikinasis administratorius ECB nustatytais intervalais ir bet kokiu atveju savo įgaliojimų termino pabaigoje parengia subjekto finansinės būklės bei veiksmų, kuriuos jis atliko per savo paskyrimą, ataskaitas.</w:t>
            </w:r>
          </w:p>
        </w:tc>
        <w:tc>
          <w:tcPr>
            <w:tcW w:w="4876" w:type="dxa"/>
            <w:hideMark/>
          </w:tcPr>
          <w:p w:rsidR="000E7A9E" w:rsidRPr="00D33000" w:rsidRDefault="000E7A9E" w:rsidP="009E0AF6">
            <w:pPr>
              <w:pStyle w:val="Normal6"/>
              <w:rPr>
                <w:szCs w:val="24"/>
                <w:lang w:val="lt-LT"/>
              </w:rPr>
            </w:pPr>
            <w:r w:rsidRPr="00D33000">
              <w:rPr>
                <w:lang w:val="lt-LT"/>
              </w:rPr>
              <w:t>6.</w:t>
            </w:r>
            <w:r w:rsidRPr="00D33000">
              <w:rPr>
                <w:lang w:val="lt-LT"/>
              </w:rPr>
              <w:tab/>
              <w:t xml:space="preserve">ECB prašymu laikinasis administratorius ECB nustatytais intervalais </w:t>
            </w:r>
            <w:r w:rsidRPr="00D33000">
              <w:rPr>
                <w:b/>
                <w:i/>
                <w:lang w:val="lt-LT"/>
              </w:rPr>
              <w:t>ne rečiau kaip kartą po pirmųjų šešių mėnesių</w:t>
            </w:r>
            <w:r w:rsidRPr="00D33000">
              <w:rPr>
                <w:lang w:val="lt-LT"/>
              </w:rPr>
              <w:t xml:space="preserve"> ir bet kokiu atveju savo įgaliojimų termino pabaigoje parengia subjekto finansinės būklės bei veiksmų, kuriuos jis atliko per savo paskyrimą, ataskaitas.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182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Luděk Niedermayer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16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13b straipsnio 7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7.</w:t>
            </w:r>
            <w:r w:rsidRPr="00D33000">
              <w:rPr>
                <w:lang w:val="lt-LT"/>
              </w:rPr>
              <w:tab/>
              <w:t>Laikinasis administratorius skiriamas ne ilgesniam kaip vienų metų laikotarpiui. Tą laikotarpį išimties tvarka galima pratęsti, jei vis dar vykdomos laikinojo administratoriaus paskyrimo sąlygos. ECB nustato tas sąlygas ir pagrindžia bet kokį laikinojo administratoriaus paskyrimo pratęsimą akcininkams.</w:t>
            </w:r>
          </w:p>
        </w:tc>
        <w:tc>
          <w:tcPr>
            <w:tcW w:w="4876" w:type="dxa"/>
            <w:hideMark/>
          </w:tcPr>
          <w:p w:rsidR="000E7A9E" w:rsidRPr="00D33000" w:rsidRDefault="000E7A9E" w:rsidP="009E0AF6">
            <w:pPr>
              <w:pStyle w:val="Normal6"/>
              <w:rPr>
                <w:szCs w:val="24"/>
                <w:lang w:val="lt-LT"/>
              </w:rPr>
            </w:pPr>
            <w:r w:rsidRPr="00D33000">
              <w:rPr>
                <w:lang w:val="lt-LT"/>
              </w:rPr>
              <w:t>7.</w:t>
            </w:r>
            <w:r w:rsidRPr="00D33000">
              <w:rPr>
                <w:lang w:val="lt-LT"/>
              </w:rPr>
              <w:tab/>
              <w:t xml:space="preserve">Laikinasis administratorius skiriamas ne ilgesniam kaip vienų metų laikotarpiui. Tą laikotarpį išimties tvarka galima pratęsti </w:t>
            </w:r>
            <w:r w:rsidRPr="00D33000">
              <w:rPr>
                <w:b/>
                <w:i/>
                <w:lang w:val="lt-LT"/>
              </w:rPr>
              <w:t>vieną kartą</w:t>
            </w:r>
            <w:r w:rsidRPr="00D33000">
              <w:rPr>
                <w:lang w:val="lt-LT"/>
              </w:rPr>
              <w:t>, jei vis dar vykdomos laikinojo administratoriaus paskyrimo sąlygos. ECB nustato tas sąlygas ir pagrindžia bet kokį laikinojo administratoriaus paskyrimo pratęsimą akcininkams.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183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Markus Ferber, Herbert Dorfmann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16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13c straipsnio 2 dalies 2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Gavusi</w:t>
            </w:r>
            <w:r w:rsidRPr="00D33000">
              <w:rPr>
                <w:lang w:val="lt-LT"/>
              </w:rPr>
              <w:t xml:space="preserve"> pirmoje pastraipoje </w:t>
            </w:r>
            <w:r w:rsidRPr="00D33000">
              <w:rPr>
                <w:b/>
                <w:i/>
                <w:lang w:val="lt-LT"/>
              </w:rPr>
              <w:t>nurodytą pranešimą, Valdyba, glaudžiai bendradarbiaudama su ECB arba atitinkama nacionaline kompetentinga institucija, įvertina, koks laikotarpis būtų pagrįstas 18 straipsnio 1 dalies b punkte nurodytai sąlygai įvertinti, atsižvelgdama į subjekto sąlygų pablogėjimo spartą, poreikį veiksmingai</w:t>
            </w:r>
            <w:r w:rsidRPr="00D33000">
              <w:rPr>
                <w:lang w:val="lt-LT"/>
              </w:rPr>
              <w:t xml:space="preserve"> įgyvendinti </w:t>
            </w:r>
            <w:r w:rsidRPr="00D33000">
              <w:rPr>
                <w:b/>
                <w:i/>
                <w:lang w:val="lt-LT"/>
              </w:rPr>
              <w:t>pertvarkymo strategiją ir visus kitus svarbius aspektus</w:t>
            </w:r>
            <w:r w:rsidRPr="00D33000">
              <w:rPr>
                <w:lang w:val="lt-LT"/>
              </w:rPr>
              <w:t>.</w:t>
            </w:r>
            <w:r w:rsidRPr="00D33000">
              <w:rPr>
                <w:b/>
                <w:i/>
                <w:lang w:val="lt-LT"/>
              </w:rPr>
              <w:t xml:space="preserve"> Valdyba apie tą vertinimą kuo anksčiau praneša ECB arba atitinkamai nacionalinei kompetentingai institucijai</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 xml:space="preserve">Pirmoje pastraipoje </w:t>
            </w:r>
            <w:r w:rsidRPr="00D33000">
              <w:rPr>
                <w:b/>
                <w:i/>
                <w:lang w:val="lt-LT"/>
              </w:rPr>
              <w:t>nurodytas pranešimas neriboja institucinių užtikrinimo sistemų gebėjimų</w:t>
            </w:r>
            <w:r w:rsidRPr="00D33000">
              <w:rPr>
                <w:lang w:val="lt-LT"/>
              </w:rPr>
              <w:t xml:space="preserve"> įgyvendinti </w:t>
            </w:r>
            <w:r w:rsidRPr="00D33000">
              <w:rPr>
                <w:b/>
                <w:i/>
                <w:lang w:val="lt-LT"/>
              </w:rPr>
              <w:t>priemones</w:t>
            </w:r>
            <w:r w:rsidRPr="00D33000">
              <w:rPr>
                <w:lang w:val="lt-LT"/>
              </w:rPr>
              <w:t>.</w:t>
            </w:r>
            <w:r w:rsidRPr="00D33000">
              <w:rPr>
                <w:b/>
                <w:i/>
                <w:lang w:val="lt-LT"/>
              </w:rPr>
              <w:t xml:space="preserve"> Sprendimai, susiję su institucinės užtikrinimo sistemos priemonėmis, paliekami spręsti tik institucinės užtikrinimo sistemos nuožiūra</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184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Joachim Schuster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16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13c straipsnio 2 dalies 2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Gavusi pirmoje pastraipoje nurodytą pranešimą, Valdyba, glaudžiai bendradarbiaudama su ECB arba atitinkama nacionaline kompetentinga institucija, įvertina, koks laikotarpis būtų pagrįstas 18 straipsnio 1 dalies b punkte nurodytai sąlygai įvertinti, atsižvelgdama į subjekto sąlygų pablogėjimo spartą, poreikį veiksmingai įgyvendinti pertvarkymo strategiją ir visus kitus svarbius aspektus. Valdyba apie tą vertinimą kuo anksčiau praneša ECB arba atitinkamai nacionalinei kompetentingai institucijai.</w:t>
            </w:r>
          </w:p>
        </w:tc>
        <w:tc>
          <w:tcPr>
            <w:tcW w:w="4876" w:type="dxa"/>
            <w:hideMark/>
          </w:tcPr>
          <w:p w:rsidR="000E7A9E" w:rsidRPr="00D33000" w:rsidRDefault="000E7A9E" w:rsidP="009E0AF6">
            <w:pPr>
              <w:pStyle w:val="Normal6"/>
              <w:rPr>
                <w:szCs w:val="24"/>
                <w:lang w:val="lt-LT"/>
              </w:rPr>
            </w:pPr>
            <w:r w:rsidRPr="00D33000">
              <w:rPr>
                <w:lang w:val="lt-LT"/>
              </w:rPr>
              <w:t xml:space="preserve">Gavusi pirmoje pastraipoje nurodytą pranešimą, Valdyba, glaudžiai bendradarbiaudama su ECB arba atitinkama nacionaline kompetentinga institucija, įvertina, koks laikotarpis būtų pagrįstas 18 straipsnio 1 dalies b punkte nurodytai sąlygai įvertinti, atsižvelgdama į subjekto sąlygų pablogėjimo spartą, poreikį veiksmingai įgyvendinti pertvarkymo strategiją ir visus kitus svarbius aspektus. Valdyba apie tą vertinimą kuo anksčiau praneša ECB arba atitinkamai nacionalinei kompetentingai institucijai. </w:t>
            </w:r>
            <w:r w:rsidRPr="00D33000">
              <w:rPr>
                <w:b/>
                <w:i/>
                <w:lang w:val="lt-LT"/>
              </w:rPr>
              <w:t>Pirmoje pastraipoje nurodytas pranešimas neturi įtakos institucinių užtikrinimo sistemų priemonių taikymui.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185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Luděk Niedermayer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16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13c straipsnio 2 dalies 2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Gavusi pirmoje pastraipoje nurodytą pranešimą, Valdyba, glaudžiai bendradarbiaudama su ECB arba atitinkama nacionaline kompetentinga institucija, įvertina, koks laikotarpis būtų pagrįstas 18 straipsnio 1 dalies b punkte nurodytai sąlygai įvertinti, atsižvelgdama į subjekto sąlygų pablogėjimo spartą, poreikį veiksmingai įgyvendinti pertvarkymo strategiją ir visus kitus svarbius aspektus. Valdyba apie tą vertinimą kuo anksčiau praneša ECB arba atitinkamai nacionalinei kompetentingai institucijai.</w:t>
            </w:r>
          </w:p>
        </w:tc>
        <w:tc>
          <w:tcPr>
            <w:tcW w:w="4876" w:type="dxa"/>
            <w:hideMark/>
          </w:tcPr>
          <w:p w:rsidR="000E7A9E" w:rsidRPr="00D33000" w:rsidRDefault="000E7A9E" w:rsidP="009E0AF6">
            <w:pPr>
              <w:pStyle w:val="Normal6"/>
              <w:rPr>
                <w:szCs w:val="24"/>
                <w:lang w:val="lt-LT"/>
              </w:rPr>
            </w:pPr>
            <w:r w:rsidRPr="00D33000">
              <w:rPr>
                <w:lang w:val="lt-LT"/>
              </w:rPr>
              <w:t xml:space="preserve">Gavusi pirmoje pastraipoje nurodytą pranešimą, Valdyba, glaudžiai bendradarbiaudama su ECB arba atitinkama nacionaline kompetentinga institucija, įvertina, koks laikotarpis būtų pagrįstas 18 straipsnio 1 dalies b punkte nurodytai sąlygai įvertinti, atsižvelgdama į subjekto sąlygų pablogėjimo spartą, </w:t>
            </w:r>
            <w:r w:rsidRPr="00D33000">
              <w:rPr>
                <w:b/>
                <w:i/>
                <w:lang w:val="lt-LT"/>
              </w:rPr>
              <w:t>galimą poveikį finansų sistemai ir indėlininkų bei klientų lėšų apsaugai,</w:t>
            </w:r>
            <w:r w:rsidRPr="00D33000">
              <w:rPr>
                <w:lang w:val="lt-LT"/>
              </w:rPr>
              <w:t xml:space="preserve"> poreikį veiksmingai įgyvendinti pertvarkymo strategiją ir visus kitus svarbius aspektus. Valdyba apie tą vertinimą kuo anksčiau praneša ECB arba atitinkamai nacionalinei kompetentingai institucijai.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186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16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13c straipsnio 4 dalies įžanginė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4.</w:t>
            </w:r>
            <w:r w:rsidRPr="00D33000">
              <w:rPr>
                <w:lang w:val="lt-LT"/>
              </w:rPr>
              <w:tab/>
              <w:t>Valdyba turi įgaliojimus parduoti 7 straipsnio 2 dalyje nurodytą subjektą arba 7 straipsnio 4 dalies b punkte ir 7 straipsnio 5 dalyje nurodytą subjektą potencialiems pirkėjams arba nustatyti tokio pardavimo tvarką, jei tenkinamos tų nuostatų taikymo sąlygos, arba reikalauti, kad tai darytų subjektas, šiais tikslais:</w:t>
            </w:r>
          </w:p>
        </w:tc>
        <w:tc>
          <w:tcPr>
            <w:tcW w:w="4876" w:type="dxa"/>
            <w:hideMark/>
          </w:tcPr>
          <w:p w:rsidR="000E7A9E" w:rsidRPr="00D33000" w:rsidRDefault="000E7A9E" w:rsidP="009E0AF6">
            <w:pPr>
              <w:pStyle w:val="Normal6"/>
              <w:rPr>
                <w:szCs w:val="24"/>
                <w:lang w:val="lt-LT"/>
              </w:rPr>
            </w:pPr>
            <w:r w:rsidRPr="00D33000">
              <w:rPr>
                <w:lang w:val="lt-LT"/>
              </w:rPr>
              <w:t>4.</w:t>
            </w:r>
            <w:r w:rsidRPr="00D33000">
              <w:rPr>
                <w:lang w:val="lt-LT"/>
              </w:rPr>
              <w:tab/>
            </w:r>
            <w:r w:rsidRPr="00D33000">
              <w:rPr>
                <w:b/>
                <w:i/>
                <w:lang w:val="lt-LT"/>
              </w:rPr>
              <w:t>Gavusi 2 dalyje nurodytą pranešimą,</w:t>
            </w:r>
            <w:r w:rsidRPr="00D33000">
              <w:rPr>
                <w:lang w:val="lt-LT"/>
              </w:rPr>
              <w:t xml:space="preserve"> Valdyba turi įgaliojimus parduoti 7 straipsnio 2 dalyje nurodytą subjektą arba 7 straipsnio 4 dalies b punkte ir 7 straipsnio 5 dalyje nurodytą subjektą potencialiems pirkėjams arba nustatyti tokio pardavimo tvarką, jei tenkinamos tų nuostatų taikymo sąlygos, arba reikalauti, kad tai darytų subjektas, šiais tikslais: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187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16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13c straipsnio 4 dalies įžanginė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4.</w:t>
            </w:r>
            <w:r w:rsidRPr="00D33000">
              <w:rPr>
                <w:lang w:val="lt-LT"/>
              </w:rPr>
              <w:tab/>
              <w:t xml:space="preserve">Valdyba turi įgaliojimus parduoti 7 straipsnio 2 dalyje nurodytą subjektą arba 7 straipsnio 4 dalies b punkte ir 7 straipsnio 5 dalyje nurodytą subjektą potencialiems pirkėjams arba nustatyti tokio pardavimo tvarką, jei tenkinamos tų nuostatų taikymo sąlygos, arba reikalauti, kad tai darytų subjektas, </w:t>
            </w:r>
            <w:r w:rsidRPr="00D33000">
              <w:rPr>
                <w:b/>
                <w:i/>
                <w:lang w:val="lt-LT"/>
              </w:rPr>
              <w:t>šiais tikslais</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4.</w:t>
            </w:r>
            <w:r w:rsidRPr="00D33000">
              <w:rPr>
                <w:lang w:val="lt-LT"/>
              </w:rPr>
              <w:tab/>
              <w:t xml:space="preserve">Valdyba turi įgaliojimus parduoti 7 straipsnio 2 dalyje nurodytą subjektą arba 7 straipsnio 4 dalies b punkte ir 7 straipsnio 5 dalyje nurodytą subjektą potencialiems pirkėjams arba nustatyti tokio pardavimo tvarką, jei tenkinamos tų nuostatų taikymo sąlygos, arba reikalauti, kad tai darytų subjektas, </w:t>
            </w:r>
            <w:r w:rsidRPr="00D33000">
              <w:rPr>
                <w:b/>
                <w:i/>
                <w:lang w:val="lt-LT"/>
              </w:rPr>
              <w:t>šiuo tikslu</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Rinkodara jau reglamentuojama kaip įmonių pardavimo priemonės dalis, plg. BPeMR 13 straipsnio 3 dalį, susijusią su BGPD 39 straipsnio 1 dalimi, ir jos nereikia papildyti ir (arba) pakartoti anksčiau, t. y. prieš įstaigai pasiekiant FOLF statusą. Prekyba, kuri kelia žalos įstaigos reputacijai riziką ir verslo paslapčių atskleidimą, turėtų būti laikoma tik pertvarkymo priemonės sudedamąja dalimi (o ne pasirengimu), todėl turėtų būti vykdoma tik tada, kai įvykdomos pertvarkymo sąlygos.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188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16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13c straipsnio 4 dalies a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a)</w:t>
            </w:r>
            <w:r w:rsidRPr="00D33000">
              <w:rPr>
                <w:lang w:val="lt-LT"/>
              </w:rPr>
              <w:tab/>
              <w:t>siekiant pasirengti to subjekto pertvarkymui, laikantis Direktyvos 2014/59/ES 39 straipsnio 2 dalyje nurodytų sąlygų ir šio reglamento 88 straipsnyje nustatytų profesinės paslapties reikalavimų;</w:t>
            </w:r>
          </w:p>
        </w:tc>
        <w:tc>
          <w:tcPr>
            <w:tcW w:w="4876" w:type="dxa"/>
            <w:hideMark/>
          </w:tcPr>
          <w:p w:rsidR="000E7A9E" w:rsidRPr="00D33000" w:rsidRDefault="000E7A9E" w:rsidP="009E0AF6">
            <w:pPr>
              <w:pStyle w:val="Normal6"/>
              <w:rPr>
                <w:szCs w:val="24"/>
                <w:lang w:val="lt-LT"/>
              </w:rPr>
            </w:pPr>
            <w:r w:rsidRPr="00D33000">
              <w:rPr>
                <w:lang w:val="lt-LT"/>
              </w:rPr>
              <w:t>a)</w:t>
            </w:r>
            <w:r w:rsidRPr="00D33000">
              <w:rPr>
                <w:lang w:val="lt-LT"/>
              </w:rPr>
              <w:tab/>
              <w:t xml:space="preserve">siekiant pasirengti </w:t>
            </w:r>
            <w:r w:rsidRPr="00D33000">
              <w:rPr>
                <w:b/>
                <w:i/>
                <w:lang w:val="lt-LT"/>
              </w:rPr>
              <w:t>labai tikėtinam</w:t>
            </w:r>
            <w:r w:rsidRPr="00D33000">
              <w:rPr>
                <w:lang w:val="lt-LT"/>
              </w:rPr>
              <w:t xml:space="preserve"> to subjekto pertvarkymui, laikantis Direktyvos 2014/59/ES 39 straipsnio 2 dalyje nurodytų sąlygų ir šio reglamento 88 straipsnyje nustatytų profesinės paslapties reikalavimų;</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Rinkodara jau reglamentuojama kaip įmonių pardavimo priemonės dalis, plg. BPeMR 13 straipsnio 3 dalį, susijusią su BGPD 39 straipsnio 1 dalimi, ir jos nereikia papildyti ir (arba) pakartoti anksčiau, t. y. prieš įstaigai pasiekiant FOLF statusą. Prekyba, kuri kelia žalos įstaigos reputacijai riziką ir verslo paslapčių atskleidimą, turėtų būti laikoma tik pertvarkymo priemonės sudedamąja dalimi (o ne pasirengimu), todėl turėtų būti vykdoma tik tada, kai įvykdomos pertvarkymo sąlygos.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189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16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13c straipsnio 4 dalies b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b)</w:t>
            </w:r>
            <w:r w:rsidRPr="00D33000">
              <w:rPr>
                <w:b/>
                <w:i/>
                <w:lang w:val="lt-LT"/>
              </w:rPr>
              <w:tab/>
              <w:t>siekiant suteikti informacijos Valdybos vykdomam vertimui dėl šio reglamento 18 straipsnio 1 dalies b punkte nurodytos sąlygos.</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Rinkodara jau reglamentuojama kaip įmonių pardavimo priemonės dalis, plg. BPeMR 13 straipsnio 3 dalį, susijusią su BGPD 39 straipsnio 1 dalimi, ir jos nereikia papildyti ir (arba) pakartoti anksčiau, t. y. prieš įstaigai pasiekiant FOLF statusą. Prekyba, kuri kelia žalos įstaigos reputacijai riziką ir verslo paslapčių atskleidimą, turėtų būti laikoma tik pertvarkymo priemonės sudedamąja dalimi (o ne pasirengimu), todėl turėtų būti vykdoma tik tada, kai įvykdomos pertvarkymo sąlygos.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190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Eero Heinäluoma</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16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13c straipsnio 7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7.</w:t>
            </w:r>
            <w:r w:rsidRPr="00D33000">
              <w:rPr>
                <w:lang w:val="lt-LT"/>
              </w:rPr>
              <w:tab/>
              <w:t>Valdyba nedelsdama informuoja Komisiją, ECB, atitinkamas nacionalines kompetentingas institucijas ir atitinkamas nacionalines pertvarkymo institucijas apie visus veiksmus, kurių ji imasi pagal 4 ir 5 dalis.</w:t>
            </w:r>
          </w:p>
        </w:tc>
        <w:tc>
          <w:tcPr>
            <w:tcW w:w="4876" w:type="dxa"/>
            <w:hideMark/>
          </w:tcPr>
          <w:p w:rsidR="000E7A9E" w:rsidRPr="00D33000" w:rsidRDefault="000E7A9E" w:rsidP="009E0AF6">
            <w:pPr>
              <w:pStyle w:val="Normal6"/>
              <w:rPr>
                <w:szCs w:val="24"/>
                <w:lang w:val="lt-LT"/>
              </w:rPr>
            </w:pPr>
            <w:r w:rsidRPr="00D33000">
              <w:rPr>
                <w:lang w:val="lt-LT"/>
              </w:rPr>
              <w:t>7.</w:t>
            </w:r>
            <w:r w:rsidRPr="00D33000">
              <w:rPr>
                <w:lang w:val="lt-LT"/>
              </w:rPr>
              <w:tab/>
              <w:t xml:space="preserve">Valdyba nedelsdama informuoja Komisiją, ECB, atitinkamas nacionalines kompetentingas institucijas ir atitinkamas nacionalines pertvarkymo institucijas </w:t>
            </w:r>
            <w:r w:rsidRPr="00D33000">
              <w:rPr>
                <w:b/>
                <w:i/>
                <w:lang w:val="lt-LT"/>
              </w:rPr>
              <w:t>bei atitinkamas nacionalines ministerijas</w:t>
            </w:r>
            <w:r w:rsidRPr="00D33000">
              <w:rPr>
                <w:lang w:val="lt-LT"/>
              </w:rPr>
              <w:t xml:space="preserve"> apie visus veiksmus, kurių ji imasi pagal 4 ir 5 dalis.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191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Eero Heinäluoma</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16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13c straipsnio 8 dalies 1 pastraipos įžanginė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ECB, nacionalinės kompetentingos institucijos, Valdyba ir atitinkamos nacionalinės pertvarkymo institucijos glaudžiai bendradarbiauja:</w:t>
            </w:r>
          </w:p>
        </w:tc>
        <w:tc>
          <w:tcPr>
            <w:tcW w:w="4876" w:type="dxa"/>
            <w:hideMark/>
          </w:tcPr>
          <w:p w:rsidR="000E7A9E" w:rsidRPr="00D33000" w:rsidRDefault="000E7A9E" w:rsidP="009E0AF6">
            <w:pPr>
              <w:pStyle w:val="Normal6"/>
              <w:rPr>
                <w:szCs w:val="24"/>
                <w:lang w:val="lt-LT"/>
              </w:rPr>
            </w:pPr>
            <w:r w:rsidRPr="00D33000">
              <w:rPr>
                <w:lang w:val="lt-LT"/>
              </w:rPr>
              <w:t xml:space="preserve">ECB, nacionalinės kompetentingos institucijos, Valdyba ir atitinkamos nacionalinės pertvarkymo institucijos </w:t>
            </w:r>
            <w:r w:rsidRPr="00D33000">
              <w:rPr>
                <w:b/>
                <w:i/>
                <w:lang w:val="lt-LT"/>
              </w:rPr>
              <w:t>bei atitinkamos nacionalinės ministerijos</w:t>
            </w:r>
            <w:r w:rsidRPr="00D33000">
              <w:rPr>
                <w:lang w:val="lt-LT"/>
              </w:rPr>
              <w:t xml:space="preserve"> glaudžiai bendradarbiauja: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192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17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14 straipsnio 2 dalies c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c)</w:t>
            </w:r>
            <w:r w:rsidRPr="00D33000">
              <w:rPr>
                <w:lang w:val="lt-LT"/>
              </w:rPr>
              <w:tab/>
              <w:t>apsaugoti viešąsias lėšas kiek įmanoma sumažinant nepaprastosios viešosios finansinės paramos teikimo galimybę</w:t>
            </w:r>
            <w:r w:rsidRPr="00D33000">
              <w:rPr>
                <w:b/>
                <w:i/>
                <w:lang w:val="lt-LT"/>
              </w:rPr>
              <w:t>, ypač kai ji teikiama iš valstybės narės biudžeto</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c)</w:t>
            </w:r>
            <w:r w:rsidRPr="00D33000">
              <w:rPr>
                <w:lang w:val="lt-LT"/>
              </w:rPr>
              <w:tab/>
              <w:t>apsaugoti viešąsias lėšas kiek įmanoma sumažinant nepaprastosios viešosios finansinės paramos teikimo galimybę;</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193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Eero Heinäluoma</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17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14 straipsnio 2 dalies c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c)</w:t>
            </w:r>
            <w:r w:rsidRPr="00D33000">
              <w:rPr>
                <w:lang w:val="lt-LT"/>
              </w:rPr>
              <w:tab/>
              <w:t>apsaugoti viešąsias lėšas kiek įmanoma sumažinant nepaprastosios viešosios finansinės paramos teikimo galimybę</w:t>
            </w:r>
            <w:r w:rsidRPr="00D33000">
              <w:rPr>
                <w:b/>
                <w:i/>
                <w:lang w:val="lt-LT"/>
              </w:rPr>
              <w:t>, ypač kai ji teikiama iš valstybės narės biudžeto</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c)</w:t>
            </w:r>
            <w:r w:rsidRPr="00D33000">
              <w:rPr>
                <w:lang w:val="lt-LT"/>
              </w:rPr>
              <w:tab/>
              <w:t>apsaugoti viešąsias lėšas kiek įmanoma sumažinant nepaprastosios viešosios finansinės paramos teikimo galimybę;</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Valstybės pagalbos požiūriu visa nepaprastoji viešoji finansinė parama yra valstybės pagalba, ji skiriama iš valstybės narės biudžeto arba ne. Skirtingų nepaprastosios viešosios finansinės paramos atvejų atskirti nereikia.</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194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17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14 straipsnio 2 dalies c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c)</w:t>
            </w:r>
            <w:r w:rsidRPr="00D33000">
              <w:rPr>
                <w:lang w:val="lt-LT"/>
              </w:rPr>
              <w:tab/>
              <w:t>apsaugoti viešąsias lėšas kiek įmanoma sumažinant nepaprastosios viešosios finansinės paramos teikimo galimybę</w:t>
            </w:r>
            <w:r w:rsidRPr="00D33000">
              <w:rPr>
                <w:b/>
                <w:i/>
                <w:lang w:val="lt-LT"/>
              </w:rPr>
              <w:t>, ypač kai ji teikiama iš valstybės narės biudžeto</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c)</w:t>
            </w:r>
            <w:r w:rsidRPr="00D33000">
              <w:rPr>
                <w:lang w:val="lt-LT"/>
              </w:rPr>
              <w:tab/>
              <w:t>apsaugoti viešąsias lėšas kiek įmanoma sumažinant nepaprastosios viešosios finansinės paramos teikimo galimybę;</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195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Markus Ferber, Herbert Dorfmann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17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14 straipsnio 2 dalies c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c)</w:t>
            </w:r>
            <w:r w:rsidRPr="00D33000">
              <w:rPr>
                <w:lang w:val="lt-LT"/>
              </w:rPr>
              <w:tab/>
              <w:t>apsaugoti viešąsias lėšas kiek įmanoma sumažinant nepaprastosios viešosios finansinės paramos teikimo galimybę</w:t>
            </w:r>
            <w:r w:rsidRPr="00D33000">
              <w:rPr>
                <w:b/>
                <w:i/>
                <w:lang w:val="lt-LT"/>
              </w:rPr>
              <w:t>, ypač kai ji teikiama iš valstybės narės biudžeto</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c)</w:t>
            </w:r>
            <w:r w:rsidRPr="00D33000">
              <w:rPr>
                <w:lang w:val="lt-LT"/>
              </w:rPr>
              <w:tab/>
              <w:t>apsaugoti viešąsias lėšas kiek įmanoma sumažinant nepaprastosios viešosios finansinės paramos teikimo galimybę;</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196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17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14 straipsnio 2 dalies d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d)</w:t>
            </w:r>
            <w:r w:rsidRPr="00D33000">
              <w:rPr>
                <w:lang w:val="lt-LT"/>
              </w:rPr>
              <w:tab/>
              <w:t xml:space="preserve">apsaugoti </w:t>
            </w:r>
            <w:r w:rsidRPr="00D33000">
              <w:rPr>
                <w:b/>
                <w:i/>
                <w:lang w:val="lt-LT"/>
              </w:rPr>
              <w:t>indėlininkus</w:t>
            </w:r>
            <w:r w:rsidRPr="00D33000">
              <w:rPr>
                <w:lang w:val="lt-LT"/>
              </w:rPr>
              <w:t>, kartu kuo labiau sumažinant indėlių garantijų sistemų nuostolius, ir apsaugoti investuotojus, kuriems taikoma Direktyva 97/9/EB;</w:t>
            </w:r>
          </w:p>
        </w:tc>
        <w:tc>
          <w:tcPr>
            <w:tcW w:w="4876" w:type="dxa"/>
            <w:hideMark/>
          </w:tcPr>
          <w:p w:rsidR="000E7A9E" w:rsidRPr="00D33000" w:rsidRDefault="000E7A9E" w:rsidP="009E0AF6">
            <w:pPr>
              <w:pStyle w:val="Normal6"/>
              <w:rPr>
                <w:szCs w:val="24"/>
                <w:lang w:val="lt-LT"/>
              </w:rPr>
            </w:pPr>
            <w:r w:rsidRPr="00D33000">
              <w:rPr>
                <w:lang w:val="lt-LT"/>
              </w:rPr>
              <w:t>d)</w:t>
            </w:r>
            <w:r w:rsidRPr="00D33000">
              <w:rPr>
                <w:lang w:val="lt-LT"/>
              </w:rPr>
              <w:tab/>
              <w:t xml:space="preserve">apsaugoti </w:t>
            </w:r>
            <w:r w:rsidRPr="00D33000">
              <w:rPr>
                <w:b/>
                <w:i/>
                <w:lang w:val="lt-LT"/>
              </w:rPr>
              <w:t>apdraustuosius indėlius ir, kiek įmanoma, dalį reikalavimus atitinkančių fizinių asmenų ir labai mažų, mažųjų ir vidutinių įmonių indėlių</w:t>
            </w:r>
            <w:r w:rsidRPr="00D33000">
              <w:rPr>
                <w:lang w:val="lt-LT"/>
              </w:rPr>
              <w:t>, kartu kuo labiau sumažinant indėlių garantijų sistemų nuostolius, ir apsaugoti investuotojus, kuriems taikoma Direktyva 97/9/EB;</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Kalbant apie pertvarkymo tikslus, su didesnėmis įmonėmis neturėtų būti elgiamasi geriau nei su kitais klientais. Be to, svarbu išlaikyti tikslą kuo labiau sumažinti indėlių garantijų sistemų nuostolius, o tai yra labai svarbu siekiant užtikrinti, kad išorės parama būtų griežtai minimali ir kad pertvarkymo procesas būtų ekonomiškai efektyvus.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197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Luděk Niedermayer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17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14 straipsnio 2 dalies d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d)</w:t>
            </w:r>
            <w:r w:rsidRPr="00D33000">
              <w:rPr>
                <w:lang w:val="lt-LT"/>
              </w:rPr>
              <w:tab/>
              <w:t>apsaugoti indėlininkus, kartu kuo labiau sumažinant indėlių garantijų sistemų nuostolius, ir apsaugoti investuotojus, kuriems taikoma Direktyva 97/9/EB;</w:t>
            </w:r>
          </w:p>
        </w:tc>
        <w:tc>
          <w:tcPr>
            <w:tcW w:w="4876" w:type="dxa"/>
            <w:hideMark/>
          </w:tcPr>
          <w:p w:rsidR="000E7A9E" w:rsidRPr="00D33000" w:rsidRDefault="000E7A9E" w:rsidP="009E0AF6">
            <w:pPr>
              <w:pStyle w:val="Normal6"/>
              <w:rPr>
                <w:szCs w:val="24"/>
                <w:lang w:val="lt-LT"/>
              </w:rPr>
            </w:pPr>
            <w:r w:rsidRPr="00D33000">
              <w:rPr>
                <w:lang w:val="lt-LT"/>
              </w:rPr>
              <w:t>d)</w:t>
            </w:r>
            <w:r w:rsidRPr="00D33000">
              <w:rPr>
                <w:lang w:val="lt-LT"/>
              </w:rPr>
              <w:tab/>
              <w:t xml:space="preserve">apsaugoti indėlininkus, kartu kuo labiau sumažinant indėlių garantijų sistemų nuostolius, </w:t>
            </w:r>
            <w:r w:rsidRPr="00D33000">
              <w:rPr>
                <w:b/>
                <w:i/>
                <w:lang w:val="lt-LT"/>
              </w:rPr>
              <w:t>sudarant sąlygas ekonomiškai efektyviam IGS dalyvavimui,</w:t>
            </w:r>
            <w:r w:rsidRPr="00D33000">
              <w:rPr>
                <w:lang w:val="lt-LT"/>
              </w:rPr>
              <w:t xml:space="preserve"> ir apsaugoti investuotojus, kuriems taikoma Direktyva 97/9/EB;</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198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17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14 straipsnio 2 dalies d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d)</w:t>
            </w:r>
            <w:r w:rsidRPr="00D33000">
              <w:rPr>
                <w:lang w:val="lt-LT"/>
              </w:rPr>
              <w:tab/>
              <w:t>apsaugoti indėlininkus</w:t>
            </w:r>
            <w:r w:rsidRPr="00D33000">
              <w:rPr>
                <w:b/>
                <w:i/>
                <w:lang w:val="lt-LT"/>
              </w:rPr>
              <w:t>, kartu kuo labiau sumažinant indėlių garantijų sistemų nuostolius,</w:t>
            </w:r>
            <w:r w:rsidRPr="00D33000">
              <w:rPr>
                <w:lang w:val="lt-LT"/>
              </w:rPr>
              <w:t xml:space="preserve"> ir </w:t>
            </w:r>
            <w:r w:rsidRPr="00D33000">
              <w:rPr>
                <w:b/>
                <w:i/>
                <w:lang w:val="lt-LT"/>
              </w:rPr>
              <w:t>apsaugoti</w:t>
            </w:r>
            <w:r w:rsidRPr="00D33000">
              <w:rPr>
                <w:lang w:val="lt-LT"/>
              </w:rPr>
              <w:t xml:space="preserve"> investuotojus, kuriems taikoma Direktyva 97/9/EB;</w:t>
            </w:r>
          </w:p>
        </w:tc>
        <w:tc>
          <w:tcPr>
            <w:tcW w:w="4876" w:type="dxa"/>
            <w:hideMark/>
          </w:tcPr>
          <w:p w:rsidR="000E7A9E" w:rsidRPr="00D33000" w:rsidRDefault="000E7A9E" w:rsidP="009E0AF6">
            <w:pPr>
              <w:pStyle w:val="Normal6"/>
              <w:rPr>
                <w:szCs w:val="24"/>
                <w:lang w:val="lt-LT"/>
              </w:rPr>
            </w:pPr>
            <w:r w:rsidRPr="00D33000">
              <w:rPr>
                <w:lang w:val="lt-LT"/>
              </w:rPr>
              <w:t>d)</w:t>
            </w:r>
            <w:r w:rsidRPr="00D33000">
              <w:rPr>
                <w:lang w:val="lt-LT"/>
              </w:rPr>
              <w:tab/>
              <w:t>apsaugoti indėlininkus ir investuotojus, kuriems taikoma Direktyva 97/9/EB;</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199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Eero Heinäluoma</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17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14 straipsnio 2 dalies d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d)</w:t>
            </w:r>
            <w:r w:rsidRPr="00D33000">
              <w:rPr>
                <w:lang w:val="lt-LT"/>
              </w:rPr>
              <w:tab/>
              <w:t>apsaugoti indėlininkus,</w:t>
            </w:r>
            <w:r w:rsidRPr="00D33000">
              <w:rPr>
                <w:b/>
                <w:i/>
                <w:lang w:val="lt-LT"/>
              </w:rPr>
              <w:t xml:space="preserve"> kartu kuo labiau sumažinant indėlių garantijų sistemų nuostolius</w:t>
            </w:r>
            <w:r w:rsidRPr="00D33000">
              <w:rPr>
                <w:lang w:val="lt-LT"/>
              </w:rPr>
              <w:t>, ir apsaugoti investuotojus, kuriems taikoma Direktyva 97/9/EB;</w:t>
            </w:r>
          </w:p>
        </w:tc>
        <w:tc>
          <w:tcPr>
            <w:tcW w:w="4876" w:type="dxa"/>
            <w:hideMark/>
          </w:tcPr>
          <w:p w:rsidR="000E7A9E" w:rsidRPr="00D33000" w:rsidRDefault="000E7A9E" w:rsidP="009E0AF6">
            <w:pPr>
              <w:pStyle w:val="Normal6"/>
              <w:rPr>
                <w:szCs w:val="24"/>
                <w:lang w:val="lt-LT"/>
              </w:rPr>
            </w:pPr>
            <w:r w:rsidRPr="00D33000">
              <w:rPr>
                <w:lang w:val="lt-LT"/>
              </w:rPr>
              <w:t>d)</w:t>
            </w:r>
            <w:r w:rsidRPr="00D33000">
              <w:rPr>
                <w:lang w:val="lt-LT"/>
              </w:rPr>
              <w:tab/>
              <w:t xml:space="preserve">apsaugoti indėlininkus, </w:t>
            </w:r>
            <w:r w:rsidRPr="00D33000">
              <w:rPr>
                <w:b/>
                <w:i/>
                <w:lang w:val="lt-LT"/>
              </w:rPr>
              <w:t>kuriems taikoma Direktyva 2014/49/ES</w:t>
            </w:r>
            <w:r w:rsidRPr="00D33000">
              <w:rPr>
                <w:lang w:val="lt-LT"/>
              </w:rPr>
              <w:t>, ir apsaugoti investuotojus, kuriems taikoma Direktyva 97/9/EB;</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200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Markus Ferber, Herbert Dorfmann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17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14 straipsnio 2 dalies d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d)</w:t>
            </w:r>
            <w:r w:rsidRPr="00D33000">
              <w:rPr>
                <w:lang w:val="lt-LT"/>
              </w:rPr>
              <w:tab/>
              <w:t xml:space="preserve">apsaugoti indėlininkus, </w:t>
            </w:r>
            <w:r w:rsidRPr="00D33000">
              <w:rPr>
                <w:b/>
                <w:i/>
                <w:lang w:val="lt-LT"/>
              </w:rPr>
              <w:t>kartu kuo labiau sumažinant indėlių garantijų sistemų nuostolius</w:t>
            </w:r>
            <w:r w:rsidRPr="00D33000">
              <w:rPr>
                <w:lang w:val="lt-LT"/>
              </w:rPr>
              <w:t xml:space="preserve">, ir </w:t>
            </w:r>
            <w:r w:rsidRPr="00D33000">
              <w:rPr>
                <w:b/>
                <w:i/>
                <w:lang w:val="lt-LT"/>
              </w:rPr>
              <w:t>apsaugoti</w:t>
            </w:r>
            <w:r w:rsidRPr="00D33000">
              <w:rPr>
                <w:lang w:val="lt-LT"/>
              </w:rPr>
              <w:t xml:space="preserve"> investuotojus, kuriems taikoma Direktyva 97/9/EB;</w:t>
            </w:r>
          </w:p>
        </w:tc>
        <w:tc>
          <w:tcPr>
            <w:tcW w:w="4876" w:type="dxa"/>
            <w:hideMark/>
          </w:tcPr>
          <w:p w:rsidR="000E7A9E" w:rsidRPr="00D33000" w:rsidRDefault="000E7A9E" w:rsidP="009E0AF6">
            <w:pPr>
              <w:pStyle w:val="Normal6"/>
              <w:rPr>
                <w:szCs w:val="24"/>
                <w:lang w:val="lt-LT"/>
              </w:rPr>
            </w:pPr>
            <w:r w:rsidRPr="00D33000">
              <w:rPr>
                <w:lang w:val="lt-LT"/>
              </w:rPr>
              <w:t>d)</w:t>
            </w:r>
            <w:r w:rsidRPr="00D33000">
              <w:rPr>
                <w:lang w:val="lt-LT"/>
              </w:rPr>
              <w:tab/>
              <w:t xml:space="preserve">apsaugoti indėlininkus, </w:t>
            </w:r>
            <w:r w:rsidRPr="00D33000">
              <w:rPr>
                <w:b/>
                <w:i/>
                <w:lang w:val="lt-LT"/>
              </w:rPr>
              <w:t>kuriems taikoma Direktyva 2014/49/ES</w:t>
            </w:r>
            <w:r w:rsidRPr="00D33000">
              <w:rPr>
                <w:lang w:val="lt-LT"/>
              </w:rPr>
              <w:t>, ir investuotojus, kuriems taikoma Direktyva 97/9/EB;</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Siekiant išvengti neatsakingo elgesio rizikos, turėtų būti apsaugoti tik apdraustieji indėlininkai.</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201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Joachim Schuster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17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14 straipsnio 2 dalies d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d)</w:t>
            </w:r>
            <w:r w:rsidRPr="00D33000">
              <w:rPr>
                <w:lang w:val="lt-LT"/>
              </w:rPr>
              <w:tab/>
              <w:t xml:space="preserve">apsaugoti indėlininkus, </w:t>
            </w:r>
            <w:r w:rsidRPr="00D33000">
              <w:rPr>
                <w:b/>
                <w:i/>
                <w:lang w:val="lt-LT"/>
              </w:rPr>
              <w:t>kartu kuo labiau sumažinant indėlių garantijų sistemų nuostolius</w:t>
            </w:r>
            <w:r w:rsidRPr="00D33000">
              <w:rPr>
                <w:lang w:val="lt-LT"/>
              </w:rPr>
              <w:t xml:space="preserve">, ir </w:t>
            </w:r>
            <w:r w:rsidRPr="00D33000">
              <w:rPr>
                <w:b/>
                <w:i/>
                <w:lang w:val="lt-LT"/>
              </w:rPr>
              <w:t>apsaugoti</w:t>
            </w:r>
            <w:r w:rsidRPr="00D33000">
              <w:rPr>
                <w:lang w:val="lt-LT"/>
              </w:rPr>
              <w:t xml:space="preserve"> investuotojus, kuriems taikoma Direktyva 97/9/EB;</w:t>
            </w:r>
          </w:p>
        </w:tc>
        <w:tc>
          <w:tcPr>
            <w:tcW w:w="4876" w:type="dxa"/>
            <w:hideMark/>
          </w:tcPr>
          <w:p w:rsidR="000E7A9E" w:rsidRPr="00D33000" w:rsidRDefault="000E7A9E" w:rsidP="009E0AF6">
            <w:pPr>
              <w:pStyle w:val="Normal6"/>
              <w:rPr>
                <w:szCs w:val="24"/>
                <w:lang w:val="lt-LT"/>
              </w:rPr>
            </w:pPr>
            <w:r w:rsidRPr="00D33000">
              <w:rPr>
                <w:lang w:val="lt-LT"/>
              </w:rPr>
              <w:t>d)</w:t>
            </w:r>
            <w:r w:rsidRPr="00D33000">
              <w:rPr>
                <w:lang w:val="lt-LT"/>
              </w:rPr>
              <w:tab/>
              <w:t xml:space="preserve">apsaugoti indėlininkus, </w:t>
            </w:r>
            <w:r w:rsidRPr="00D33000">
              <w:rPr>
                <w:b/>
                <w:i/>
                <w:lang w:val="lt-LT"/>
              </w:rPr>
              <w:t>kuriems taikoma Direktyva 2014/49/ES</w:t>
            </w:r>
            <w:r w:rsidRPr="00D33000">
              <w:rPr>
                <w:lang w:val="lt-LT"/>
              </w:rPr>
              <w:t>, ir investuotojus, kuriems taikoma Direktyva 97/9/EB;</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202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17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14 straipsnio 2 dalies d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d)</w:t>
            </w:r>
            <w:r w:rsidRPr="00D33000">
              <w:rPr>
                <w:lang w:val="lt-LT"/>
              </w:rPr>
              <w:tab/>
              <w:t xml:space="preserve">apsaugoti indėlininkus, </w:t>
            </w:r>
            <w:r w:rsidRPr="00D33000">
              <w:rPr>
                <w:b/>
                <w:i/>
                <w:lang w:val="lt-LT"/>
              </w:rPr>
              <w:t>kartu kuo labiau sumažinant indėlių garantijų sistemų nuostolius</w:t>
            </w:r>
            <w:r w:rsidRPr="00D33000">
              <w:rPr>
                <w:lang w:val="lt-LT"/>
              </w:rPr>
              <w:t>, ir apsaugoti investuotojus, kuriems taikoma Direktyva 97/9/EB;</w:t>
            </w:r>
          </w:p>
        </w:tc>
        <w:tc>
          <w:tcPr>
            <w:tcW w:w="4876" w:type="dxa"/>
            <w:hideMark/>
          </w:tcPr>
          <w:p w:rsidR="000E7A9E" w:rsidRPr="00D33000" w:rsidRDefault="000E7A9E" w:rsidP="009E0AF6">
            <w:pPr>
              <w:pStyle w:val="Normal6"/>
              <w:rPr>
                <w:szCs w:val="24"/>
                <w:lang w:val="lt-LT"/>
              </w:rPr>
            </w:pPr>
            <w:r w:rsidRPr="00D33000">
              <w:rPr>
                <w:lang w:val="lt-LT"/>
              </w:rPr>
              <w:t>d)</w:t>
            </w:r>
            <w:r w:rsidRPr="00D33000">
              <w:rPr>
                <w:lang w:val="lt-LT"/>
              </w:rPr>
              <w:tab/>
              <w:t xml:space="preserve">apsaugoti indėlininkus, </w:t>
            </w:r>
            <w:r w:rsidRPr="00D33000">
              <w:rPr>
                <w:b/>
                <w:i/>
                <w:lang w:val="lt-LT"/>
              </w:rPr>
              <w:t>kuriems taikoma Direktyva 2014/49/ES</w:t>
            </w:r>
            <w:r w:rsidRPr="00D33000">
              <w:rPr>
                <w:lang w:val="lt-LT"/>
              </w:rPr>
              <w:t>, ir apsaugoti investuotojus, kuriems taikoma Direktyva 97/9/EB;</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The draft amendment of Art. 14 (2) point (d) deletes the reference to the Deposit Guarantee Scheme Directive 2014/49/EU with the consequence that in future the protection of all deposits should be the objective of resolution. However, this is not necessary, as deposits not protected by the deposit guarantee scheme are also regularly given sufficient protection in insolvency proceedings.According to the explanatory memorandum in the legislative proposal, the insertion of "while minimizing losses" should have the consequence that resolution is always a priority if insolvency would cause higher costs. Although it is welcome that the losses of deposit guarantee schemes are supposed to remain in control, the ultimate intention behind the insertion is rejected.</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203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17 a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14 straipsnio 2 a dalis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(17a)</w:t>
            </w:r>
            <w:r w:rsidRPr="00D33000">
              <w:rPr>
                <w:b/>
                <w:i/>
                <w:lang w:val="lt-LT"/>
              </w:rPr>
              <w:tab/>
              <w:t>14 straipsnyje įterpiama 2a dalis: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„2a. Laikantis skirtingų šios Reglamento nuostatų, pertvarkymo tikslai yra lygiavertės svarbos, o pertvarkymo institucijos juos derina atsižvelgdamos į kiekvieno atvejo pobūdį ir aplinkybes. Taikant 18 straipsnio 5 dalį, laikoma, kad tikslai išsaugoti finansinį stabilumą ir apsaugoti indėlininkus pagal atitinkamai 2 dalies b ir d punktus yra svarbesni už kitus pertvarkymo tikslus.“;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204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Markus Ferber, Herbert Dorfmann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19 punkto a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1 dalies 1 pastraipos b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b)</w:t>
            </w:r>
            <w:r w:rsidRPr="00D33000">
              <w:rPr>
                <w:lang w:val="lt-LT"/>
              </w:rPr>
              <w:tab/>
              <w:t>atsižvelgiant į laiką</w:t>
            </w:r>
            <w:r w:rsidRPr="00D33000">
              <w:rPr>
                <w:b/>
                <w:i/>
                <w:lang w:val="lt-LT"/>
              </w:rPr>
              <w:t>, poreikį veiksmingai įgyvendinti pertvarkymo strategiją</w:t>
            </w:r>
            <w:r w:rsidRPr="00D33000">
              <w:rPr>
                <w:lang w:val="lt-LT"/>
              </w:rPr>
              <w:t xml:space="preserve"> ir kitas svarbias aplinkybes, nėra pagrindo tikėtis, kad kokia nors alternatyvia subjektui taikoma privačiojo sektoriaus priemone, įskaitant IUS priemones, priežiūros veiksmais, ankstyvosios intervencijos priemonėmis ar atitinkamų kapitalo priemonių ir tinkamų įsipareigojimų nurašymu arba konvertavimu, kaip nurodyta 21 straipsnio 1 dalyje, per pagrįstą laikotarpį būtų išvengta subjekto žlugimo;</w:t>
            </w:r>
          </w:p>
        </w:tc>
        <w:tc>
          <w:tcPr>
            <w:tcW w:w="4876" w:type="dxa"/>
            <w:hideMark/>
          </w:tcPr>
          <w:p w:rsidR="000E7A9E" w:rsidRPr="00D33000" w:rsidRDefault="000E7A9E" w:rsidP="009E0AF6">
            <w:pPr>
              <w:pStyle w:val="Normal6"/>
              <w:rPr>
                <w:szCs w:val="24"/>
                <w:lang w:val="lt-LT"/>
              </w:rPr>
            </w:pPr>
            <w:r w:rsidRPr="00D33000">
              <w:rPr>
                <w:lang w:val="lt-LT"/>
              </w:rPr>
              <w:t>b)</w:t>
            </w:r>
            <w:r w:rsidRPr="00D33000">
              <w:rPr>
                <w:lang w:val="lt-LT"/>
              </w:rPr>
              <w:tab/>
              <w:t>atsižvelgiant į laiką ir kitas svarbias aplinkybes, nėra pagrindo tikėtis, kad kokia nors alternatyvia subjektui taikoma privačiojo sektoriaus priemone, įskaitant IUS priemones, priežiūros veiksmais, ankstyvosios intervencijos priemonėmis ar atitinkamų kapitalo priemonių ir tinkamų įsipareigojimų nurašymu arba konvertavimu, kaip nurodyta 21 straipsnio 1 dalyje, per pagrįstą laikotarpį būtų išvengta subjekto žlugimo;</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Alternatyvių privačių priemonių įgyvendinimo laikotarpis neturėtų būti dirbtinai ribojamas.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205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19 punkto a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1 dalies 1 pastraipos b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b)</w:t>
            </w:r>
            <w:r w:rsidRPr="00D33000">
              <w:rPr>
                <w:lang w:val="lt-LT"/>
              </w:rPr>
              <w:tab/>
              <w:t>atsižvelgiant į laiką</w:t>
            </w:r>
            <w:r w:rsidRPr="00D33000">
              <w:rPr>
                <w:b/>
                <w:i/>
                <w:lang w:val="lt-LT"/>
              </w:rPr>
              <w:t>, poreikį veiksmingai įgyvendinti pertvarkymo strategiją</w:t>
            </w:r>
            <w:r w:rsidRPr="00D33000">
              <w:rPr>
                <w:lang w:val="lt-LT"/>
              </w:rPr>
              <w:t xml:space="preserve"> ir kitas svarbias aplinkybes, nėra pagrindo tikėtis, kad kokia nors alternatyvia subjektui taikoma privačiojo sektoriaus priemone, įskaitant IUS priemones, priežiūros veiksmais, ankstyvosios intervencijos priemonėmis ar atitinkamų kapitalo priemonių ir tinkamų įsipareigojimų nurašymu arba konvertavimu, kaip nurodyta 21 straipsnio 1 dalyje, per pagrįstą laikotarpį būtų išvengta subjekto žlugimo;</w:t>
            </w:r>
          </w:p>
        </w:tc>
        <w:tc>
          <w:tcPr>
            <w:tcW w:w="4876" w:type="dxa"/>
            <w:hideMark/>
          </w:tcPr>
          <w:p w:rsidR="000E7A9E" w:rsidRPr="00D33000" w:rsidRDefault="000E7A9E" w:rsidP="009E0AF6">
            <w:pPr>
              <w:pStyle w:val="Normal6"/>
              <w:rPr>
                <w:szCs w:val="24"/>
                <w:lang w:val="lt-LT"/>
              </w:rPr>
            </w:pPr>
            <w:r w:rsidRPr="00D33000">
              <w:rPr>
                <w:lang w:val="lt-LT"/>
              </w:rPr>
              <w:t>b)</w:t>
            </w:r>
            <w:r w:rsidRPr="00D33000">
              <w:rPr>
                <w:lang w:val="lt-LT"/>
              </w:rPr>
              <w:tab/>
              <w:t>atsižvelgiant į laiką ir kitas svarbias aplinkybes, nėra pagrindo tikėtis, kad kokia nors alternatyvia subjektui taikoma privačiojo sektoriaus priemone, įskaitant IUS priemones, priežiūros veiksmais, ankstyvosios intervencijos priemonėmis ar atitinkamų kapitalo priemonių ir tinkamų įsipareigojimų nurašymu arba konvertavimu, kaip nurodyta 21 straipsnio 1 dalyje, per pagrįstą laikotarpį būtų išvengta subjekto žlugimo;</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206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Joachim Schuster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19 punkto a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1 dalies 1 pastraipos b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b)</w:t>
            </w:r>
            <w:r w:rsidRPr="00D33000">
              <w:rPr>
                <w:lang w:val="lt-LT"/>
              </w:rPr>
              <w:tab/>
              <w:t>atsižvelgiant į laiką</w:t>
            </w:r>
            <w:r w:rsidRPr="00D33000">
              <w:rPr>
                <w:b/>
                <w:i/>
                <w:lang w:val="lt-LT"/>
              </w:rPr>
              <w:t>, poreikį veiksmingai įgyvendinti pertvarkymo strategiją</w:t>
            </w:r>
            <w:r w:rsidRPr="00D33000">
              <w:rPr>
                <w:lang w:val="lt-LT"/>
              </w:rPr>
              <w:t xml:space="preserve"> ir kitas svarbias aplinkybes, nėra pagrindo tikėtis, kad kokia nors alternatyvia subjektui taikoma privačiojo sektoriaus priemone, įskaitant IUS priemones, priežiūros veiksmais, ankstyvosios intervencijos priemonėmis ar atitinkamų kapitalo priemonių ir tinkamų įsipareigojimų nurašymu arba konvertavimu, kaip nurodyta 21 straipsnio 1 dalyje, per pagrįstą laikotarpį būtų išvengta subjekto žlugimo;</w:t>
            </w:r>
          </w:p>
        </w:tc>
        <w:tc>
          <w:tcPr>
            <w:tcW w:w="4876" w:type="dxa"/>
            <w:hideMark/>
          </w:tcPr>
          <w:p w:rsidR="000E7A9E" w:rsidRPr="00D33000" w:rsidRDefault="000E7A9E" w:rsidP="009E0AF6">
            <w:pPr>
              <w:pStyle w:val="Normal6"/>
              <w:rPr>
                <w:szCs w:val="24"/>
                <w:lang w:val="lt-LT"/>
              </w:rPr>
            </w:pPr>
            <w:r w:rsidRPr="00D33000">
              <w:rPr>
                <w:lang w:val="lt-LT"/>
              </w:rPr>
              <w:t>b)</w:t>
            </w:r>
            <w:r w:rsidRPr="00D33000">
              <w:rPr>
                <w:lang w:val="lt-LT"/>
              </w:rPr>
              <w:tab/>
              <w:t>atsižvelgiant į laiką ir kitas svarbias aplinkybes, nėra pagrindo tikėtis, kad kokia nors alternatyvia subjektui taikoma privačiojo sektoriaus priemone, įskaitant IUS priemones, priežiūros veiksmais, ankstyvosios intervencijos priemonėmis ar atitinkamų kapitalo priemonių ir tinkamų įsipareigojimų nurašymu arba konvertavimu, kaip nurodyta 21 straipsnio 1 dalyje, per pagrįstą laikotarpį būtų išvengta subjekto žlugimo;</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207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Joachim Schuster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19 punkto a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1 dalies 3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Kai ECB </w:t>
            </w:r>
            <w:r w:rsidRPr="00D33000">
              <w:rPr>
                <w:b/>
                <w:i/>
                <w:lang w:val="lt-LT"/>
              </w:rPr>
              <w:t>arba atitinkama nacionalinė kompetentinga institucija</w:t>
            </w:r>
            <w:r w:rsidRPr="00D33000">
              <w:rPr>
                <w:lang w:val="lt-LT"/>
              </w:rPr>
              <w:t xml:space="preserve"> nustato, kad pirmoje pastraipoje nurodytas subjektas atitinka pirmos pastraipos a punkte nurodytą sąlygą, apie tai </w:t>
            </w:r>
            <w:r w:rsidRPr="00D33000">
              <w:rPr>
                <w:b/>
                <w:i/>
                <w:lang w:val="lt-LT"/>
              </w:rPr>
              <w:t>jie nedelsdami</w:t>
            </w:r>
            <w:r w:rsidRPr="00D33000">
              <w:rPr>
                <w:lang w:val="lt-LT"/>
              </w:rPr>
              <w:t xml:space="preserve"> praneša Komisijai ir Valdybai.</w:t>
            </w:r>
          </w:p>
        </w:tc>
        <w:tc>
          <w:tcPr>
            <w:tcW w:w="4876" w:type="dxa"/>
            <w:hideMark/>
          </w:tcPr>
          <w:p w:rsidR="000E7A9E" w:rsidRPr="00D33000" w:rsidRDefault="000E7A9E" w:rsidP="009E0AF6">
            <w:pPr>
              <w:pStyle w:val="Normal6"/>
              <w:rPr>
                <w:szCs w:val="24"/>
                <w:lang w:val="lt-LT"/>
              </w:rPr>
            </w:pPr>
            <w:r w:rsidRPr="00D33000">
              <w:rPr>
                <w:lang w:val="lt-LT"/>
              </w:rPr>
              <w:t xml:space="preserve">Kai ECB nustato, kad pirmoje pastraipoje nurodytas subjektas </w:t>
            </w:r>
            <w:r w:rsidRPr="00D33000">
              <w:rPr>
                <w:b/>
                <w:i/>
                <w:lang w:val="lt-LT"/>
              </w:rPr>
              <w:t>ar grupė</w:t>
            </w:r>
            <w:r w:rsidRPr="00D33000">
              <w:rPr>
                <w:lang w:val="lt-LT"/>
              </w:rPr>
              <w:t xml:space="preserve"> atitinka pirmos pastraipos a punkte nurodytą sąlygą, apie tai </w:t>
            </w:r>
            <w:r w:rsidRPr="00D33000">
              <w:rPr>
                <w:b/>
                <w:i/>
                <w:lang w:val="lt-LT"/>
              </w:rPr>
              <w:t>jis nedelsdamas</w:t>
            </w:r>
            <w:r w:rsidRPr="00D33000">
              <w:rPr>
                <w:lang w:val="lt-LT"/>
              </w:rPr>
              <w:t xml:space="preserve"> praneša Komisijai ir Valdybai</w:t>
            </w:r>
            <w:r w:rsidRPr="00D33000">
              <w:rPr>
                <w:b/>
                <w:i/>
                <w:lang w:val="lt-LT"/>
              </w:rPr>
              <w:t>, tačiau atsižvelgdamas į tai, kad IUS, kuriai taikomas Direktyvos 2014/49/ES 1 straipsnio 2 dalies c punktas, taikomos prevencinės priemonės neleidžia nustatyti, kad kredito įstaiga žlunga arba gali žlugti pagal šį straipsnį arba Direktyvos 2014/59/ES 32 straipsnio 1 dalį, jei laikomasi Direktyvos 2014/49/ES 11f straipsnio nuostatų</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208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pastraipos19 punkto a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1 a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1a.</w:t>
            </w:r>
            <w:r w:rsidRPr="00D33000">
              <w:rPr>
                <w:lang w:val="lt-LT"/>
              </w:rPr>
              <w:tab/>
              <w:t xml:space="preserve">Valdyba pagal 1 dalį </w:t>
            </w:r>
            <w:r w:rsidRPr="00D33000">
              <w:rPr>
                <w:b/>
                <w:i/>
                <w:lang w:val="lt-LT"/>
              </w:rPr>
              <w:t>gali patvirtinti</w:t>
            </w:r>
            <w:r w:rsidRPr="00D33000">
              <w:rPr>
                <w:lang w:val="lt-LT"/>
              </w:rPr>
              <w:t xml:space="preserve"> pertvarkymo schemą dėl centrinės įstaigos ir visų jos nuolat kontroliuojamų </w:t>
            </w:r>
            <w:r w:rsidRPr="00D33000">
              <w:rPr>
                <w:b/>
                <w:i/>
                <w:lang w:val="lt-LT"/>
              </w:rPr>
              <w:t>kredito</w:t>
            </w:r>
            <w:r w:rsidRPr="00D33000">
              <w:rPr>
                <w:lang w:val="lt-LT"/>
              </w:rPr>
              <w:t xml:space="preserve"> įstaigų, kurios priklauso tai pačiai pertvarkytinai grupei, kai ta visa centrinė įstaiga ir visos jos nuolat kontroliuojamos </w:t>
            </w:r>
            <w:r w:rsidRPr="00D33000">
              <w:rPr>
                <w:b/>
                <w:i/>
                <w:lang w:val="lt-LT"/>
              </w:rPr>
              <w:t>kredito</w:t>
            </w:r>
            <w:r w:rsidRPr="00D33000">
              <w:rPr>
                <w:lang w:val="lt-LT"/>
              </w:rPr>
              <w:t xml:space="preserve"> įstaigos arba pertvarkytina grupė, kuriai jos priklauso, tenkina 1 dalies pirmoje pastraipoje nustatytas sąlygas.</w:t>
            </w:r>
          </w:p>
        </w:tc>
        <w:tc>
          <w:tcPr>
            <w:tcW w:w="4876" w:type="dxa"/>
            <w:hideMark/>
          </w:tcPr>
          <w:p w:rsidR="000E7A9E" w:rsidRPr="00D33000" w:rsidRDefault="000E7A9E" w:rsidP="009E0AF6">
            <w:pPr>
              <w:pStyle w:val="Normal6"/>
              <w:rPr>
                <w:szCs w:val="24"/>
                <w:lang w:val="lt-LT"/>
              </w:rPr>
            </w:pPr>
            <w:r w:rsidRPr="00D33000">
              <w:rPr>
                <w:lang w:val="lt-LT"/>
              </w:rPr>
              <w:t>1a.</w:t>
            </w:r>
            <w:r w:rsidRPr="00D33000">
              <w:rPr>
                <w:lang w:val="lt-LT"/>
              </w:rPr>
              <w:tab/>
            </w:r>
            <w:r w:rsidRPr="00D33000">
              <w:rPr>
                <w:b/>
                <w:i/>
                <w:lang w:val="lt-LT"/>
              </w:rPr>
              <w:t>Kai manoma, kad pertvarkymo veiksmai yra būtini viešojo intereso labui,</w:t>
            </w:r>
            <w:r w:rsidRPr="00D33000">
              <w:rPr>
                <w:lang w:val="lt-LT"/>
              </w:rPr>
              <w:t xml:space="preserve"> Valdyba pagal 1 dalį </w:t>
            </w:r>
            <w:r w:rsidRPr="00D33000">
              <w:rPr>
                <w:b/>
                <w:i/>
                <w:lang w:val="lt-LT"/>
              </w:rPr>
              <w:t>patvirtina</w:t>
            </w:r>
            <w:r w:rsidRPr="00D33000">
              <w:rPr>
                <w:lang w:val="lt-LT"/>
              </w:rPr>
              <w:t xml:space="preserve"> pertvarkymo schemą dėl centrinės įstaigos ir visų jos nuolat kontroliuojamų įstaigų, kurios priklauso tai pačiai pertvarkytinai grupei, kai ta visa centrinė įstaiga ir visos jos nuolat kontroliuojamos įstaigos arba pertvarkytina grupė, kuriai jos priklauso, tenkina 1 dalies pirmoje pastraipoje nustatytas sąlygas. </w:t>
            </w:r>
            <w:r w:rsidRPr="00D33000">
              <w:rPr>
                <w:b/>
                <w:i/>
                <w:lang w:val="lt-LT"/>
              </w:rPr>
              <w:t>1 dalies pirmoje pastraipoje nurodytos sąlygos vertinamos tik centrinei įstaigai ir jos nuolat kontroliuojamoms įstaigoms.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The solidarity mechanism among a central body and its affiliates ensures that losses of one or more affiliates will be shared among all affiliates, leading them all to be FOLTF. Thus, it is important to clarify that FOLTF assessment in relation to a central body and its affiliates should not be done on an entity-by-entity basis, but on the whole affiliation perimeter given the solidarity mechanism. This is important to ensure that the resolution authorities can effectively use the power described in this article. It must also be ensured that resolution authorities can take resolution action in relation to a central body and all kind of affiliated entities and institutions that are part of resolution group (and not only in relation to credit institutions affiliated to a central body).</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209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19 punkto a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2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2.</w:t>
            </w:r>
            <w:r w:rsidRPr="00D33000">
              <w:rPr>
                <w:lang w:val="lt-LT"/>
              </w:rPr>
              <w:tab/>
            </w:r>
            <w:r w:rsidRPr="00D33000">
              <w:rPr>
                <w:b/>
                <w:i/>
                <w:lang w:val="lt-LT"/>
              </w:rPr>
              <w:t>Nedarant poveikio atvejams, kai ECB nusprendė tiesiogiai vykdyti su kredito įstaigomis susijusius priežiūros uždavinius pagal Reglamento (ES) Nr. 1024/2013 6 straipsnio 5 dalies b punktą, gavęs pranešimą pagal 1 dalį dėl subjekto ar grupės, nurodytos 7 straipsnio 3 dalyje, Valdyba savo vertinimą, kaip</w:t>
            </w:r>
            <w:r w:rsidRPr="00D33000">
              <w:rPr>
                <w:lang w:val="lt-LT"/>
              </w:rPr>
              <w:t xml:space="preserve"> nurodyta </w:t>
            </w:r>
            <w:r w:rsidRPr="00D33000">
              <w:rPr>
                <w:b/>
                <w:i/>
                <w:lang w:val="lt-LT"/>
              </w:rPr>
              <w:t>1 dalies ketvirtoje pastraipoje, nedelsdama pateikia ECB arba atitinkamai nacionalinei kompetentingai institucijai</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2.</w:t>
            </w:r>
            <w:r w:rsidRPr="00D33000">
              <w:rPr>
                <w:lang w:val="lt-LT"/>
              </w:rPr>
              <w:tab/>
            </w:r>
            <w:r w:rsidRPr="00D33000">
              <w:rPr>
                <w:b/>
                <w:i/>
                <w:lang w:val="lt-LT"/>
              </w:rPr>
              <w:t>Prieš nustatydama žlungančią arba galinčią žlugti įstaigą, 18 straipsnio 1 dalies antroje pastraipoje</w:t>
            </w:r>
            <w:r w:rsidRPr="00D33000">
              <w:rPr>
                <w:lang w:val="lt-LT"/>
              </w:rPr>
              <w:t xml:space="preserve"> nurodyta </w:t>
            </w:r>
            <w:r w:rsidRPr="00D33000">
              <w:rPr>
                <w:b/>
                <w:i/>
                <w:lang w:val="lt-LT"/>
              </w:rPr>
              <w:t>atitinkama institucija išnagrinėja, ar yra priemonių, įskaitant alternatyvias privačiojo sektoriaus priemones, priežiūros veiksmus arba ankstyvosios intervencijos priemones, kuriomis galima išvengti žlungančios arba galinčios žlugti deklaracijos</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210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Luděk Niedermayer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19 punkto a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2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2.</w:t>
            </w:r>
            <w:r w:rsidRPr="00D33000">
              <w:rPr>
                <w:lang w:val="lt-LT"/>
              </w:rPr>
              <w:tab/>
              <w:t>Nedarant poveikio atvejams, kai ECB nusprendė tiesiogiai vykdyti su kredito įstaigomis susijusius priežiūros uždavinius pagal Reglamento (ES) Nr. 1024/2013 6 straipsnio 5 dalies b punktą, gavęs pranešimą pagal 1 dalį dėl subjekto ar grupės, nurodytos 7 straipsnio 3 dalyje, Valdyba savo vertinimą, kaip nurodyta 1 dalies ketvirtoje pastraipoje, nedelsdama pateikia ECB arba atitinkamai nacionalinei kompetentingai institucijai.</w:t>
            </w:r>
          </w:p>
        </w:tc>
        <w:tc>
          <w:tcPr>
            <w:tcW w:w="4876" w:type="dxa"/>
            <w:hideMark/>
          </w:tcPr>
          <w:p w:rsidR="000E7A9E" w:rsidRPr="00D33000" w:rsidRDefault="000E7A9E" w:rsidP="009E0AF6">
            <w:pPr>
              <w:pStyle w:val="Normal6"/>
              <w:rPr>
                <w:szCs w:val="24"/>
                <w:lang w:val="lt-LT"/>
              </w:rPr>
            </w:pPr>
            <w:r w:rsidRPr="00D33000">
              <w:rPr>
                <w:lang w:val="lt-LT"/>
              </w:rPr>
              <w:t>2.</w:t>
            </w:r>
            <w:r w:rsidRPr="00D33000">
              <w:rPr>
                <w:lang w:val="lt-LT"/>
              </w:rPr>
              <w:tab/>
              <w:t xml:space="preserve">Nedarant poveikio atvejams, kai ECB nusprendė tiesiogiai vykdyti su kredito įstaigomis susijusius priežiūros uždavinius pagal Reglamento (ES) Nr. 1024/2013 6 straipsnio 5 dalies b punktą, gavęs pranešimą pagal 1 dalį dėl subjekto ar grupės, nurodytos 7 straipsnio 3 dalyje, Valdyba savo vertinimą, kaip nurodyta 1 dalies ketvirtoje pastraipoje, nedelsdama </w:t>
            </w:r>
            <w:r w:rsidRPr="00D33000">
              <w:rPr>
                <w:b/>
                <w:i/>
                <w:lang w:val="lt-LT"/>
              </w:rPr>
              <w:t>ir laiku</w:t>
            </w:r>
            <w:r w:rsidRPr="00D33000">
              <w:rPr>
                <w:lang w:val="lt-LT"/>
              </w:rPr>
              <w:t xml:space="preserve"> pateikia ECB arba atitinkamai nacionalinei kompetentingai institucijai.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211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Irene Tinagli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19 punkto c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5 dalies 1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1 dalies c punkto tikslais pertvarkymo veiksmas laikomas atitinkančiu viešąjį interesą, jei tas pertvarkymo veiksmas yra būtinas vienam ar daugiau </w:t>
            </w:r>
            <w:r w:rsidRPr="00D33000">
              <w:rPr>
                <w:b/>
                <w:i/>
                <w:lang w:val="lt-LT"/>
              </w:rPr>
              <w:t>14</w:t>
            </w:r>
            <w:r w:rsidRPr="00D33000">
              <w:rPr>
                <w:lang w:val="lt-LT"/>
              </w:rPr>
              <w:t xml:space="preserve"> straipsnyje nurodytų pertvarkymo tikslų pasiekti ir yra proporcingas šiems tikslams, o likvidavus įstaigą pagal įprastinę bankroto bylą tų pertvarkymo tikslų </w:t>
            </w:r>
            <w:r w:rsidRPr="00D33000">
              <w:rPr>
                <w:b/>
                <w:i/>
                <w:lang w:val="lt-LT"/>
              </w:rPr>
              <w:t>veiksmingiau</w:t>
            </w:r>
            <w:r w:rsidRPr="00D33000">
              <w:rPr>
                <w:lang w:val="lt-LT"/>
              </w:rPr>
              <w:t xml:space="preserve"> nebūtų pasiekta.</w:t>
            </w:r>
          </w:p>
        </w:tc>
        <w:tc>
          <w:tcPr>
            <w:tcW w:w="4876" w:type="dxa"/>
            <w:hideMark/>
          </w:tcPr>
          <w:p w:rsidR="000E7A9E" w:rsidRPr="00D33000" w:rsidRDefault="000E7A9E" w:rsidP="009E0AF6">
            <w:pPr>
              <w:pStyle w:val="Normal6"/>
              <w:rPr>
                <w:szCs w:val="24"/>
                <w:lang w:val="lt-LT"/>
              </w:rPr>
            </w:pPr>
            <w:r w:rsidRPr="00D33000">
              <w:rPr>
                <w:lang w:val="lt-LT"/>
              </w:rPr>
              <w:t xml:space="preserve">1 dalies c punkto tikslais pertvarkymo veiksmas laikomas atitinkančiu viešąjį interesą, jei </w:t>
            </w:r>
            <w:r w:rsidRPr="00D33000">
              <w:rPr>
                <w:b/>
                <w:i/>
                <w:lang w:val="lt-LT"/>
              </w:rPr>
              <w:t>pagal 14 straipsnio 3 dalies antrą pastraipą</w:t>
            </w:r>
            <w:r w:rsidRPr="00D33000">
              <w:rPr>
                <w:lang w:val="lt-LT"/>
              </w:rPr>
              <w:t xml:space="preserve"> tas pertvarkymo veiksmas yra būtinas vienam ar daugiau </w:t>
            </w:r>
            <w:r w:rsidRPr="00D33000">
              <w:rPr>
                <w:b/>
                <w:i/>
                <w:lang w:val="lt-LT"/>
              </w:rPr>
              <w:t>31</w:t>
            </w:r>
            <w:r w:rsidRPr="00D33000">
              <w:rPr>
                <w:lang w:val="lt-LT"/>
              </w:rPr>
              <w:t xml:space="preserve"> straipsnyje nurodytų pertvarkymo tikslų pasiekti ir yra proporcingas šiems tikslams, o likvidavus įstaigą pagal įprastinę bankroto bylą tų pertvarkymo tikslų nebūtų pasiekta </w:t>
            </w:r>
            <w:r w:rsidRPr="00D33000">
              <w:rPr>
                <w:b/>
                <w:i/>
                <w:lang w:val="lt-LT"/>
              </w:rPr>
              <w:t>tokiu pačiu mastu</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212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Markus Ferber, Herbert Dorfmann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19 punkto c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5 dalies 1 pastraipa</w:t>
      </w:r>
      <w:r w:rsidRPr="005D599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1 dalies c punkto tikslais pertvarkymo veiksmas laikomas atitinkančiu viešąjį interesą, jei tas pertvarkymo veiksmas yra būtinas vienam ar daugiau 14 straipsnyje nurodytų pertvarkymo tikslų pasiekti ir yra proporcingas šiems tikslams, o likvidavus įstaigą pagal įprastinę bankroto bylą tų pertvarkymo tikslų </w:t>
            </w:r>
            <w:r w:rsidRPr="00D33000">
              <w:rPr>
                <w:b/>
                <w:i/>
                <w:lang w:val="lt-LT"/>
              </w:rPr>
              <w:t>veiksmingiau</w:t>
            </w:r>
            <w:r w:rsidRPr="00D33000">
              <w:rPr>
                <w:lang w:val="lt-LT"/>
              </w:rPr>
              <w:t xml:space="preserve"> nebūtų pasiekta.</w:t>
            </w:r>
          </w:p>
        </w:tc>
        <w:tc>
          <w:tcPr>
            <w:tcW w:w="4876" w:type="dxa"/>
            <w:hideMark/>
          </w:tcPr>
          <w:p w:rsidR="000E7A9E" w:rsidRPr="00D33000" w:rsidRDefault="000E7A9E" w:rsidP="009E0AF6">
            <w:pPr>
              <w:pStyle w:val="Normal6"/>
              <w:rPr>
                <w:szCs w:val="24"/>
                <w:lang w:val="lt-LT"/>
              </w:rPr>
            </w:pPr>
            <w:r w:rsidRPr="00D33000">
              <w:rPr>
                <w:lang w:val="lt-LT"/>
              </w:rPr>
              <w:t xml:space="preserve">1 dalies c punkto tikslais pertvarkymo veiksmas laikomas atitinkančiu viešąjį interesą, jei tas pertvarkymo veiksmas yra būtinas vienam ar daugiau 14 straipsnyje nurodytų pertvarkymo tikslų pasiekti ir yra proporcingas šiems tikslams, o likvidavus įstaigą pagal įprastinę bankroto bylą tų pertvarkymo tikslų nebūtų pasiekta </w:t>
            </w:r>
            <w:r w:rsidRPr="00D33000">
              <w:rPr>
                <w:b/>
                <w:i/>
                <w:lang w:val="lt-LT"/>
              </w:rPr>
              <w:t>tokiu pačiu mastu</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Pertvarkymo priemonės turėtų būti taikomos tik tais atvejais, kai nemokumo bylos yra mažiau veiksmingos.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213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19 punkto c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5 dalies 1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1 dalies c punkto tikslais pertvarkymo veiksmas laikomas atitinkančiu viešąjį interesą, jei tas pertvarkymo veiksmas yra būtinas </w:t>
            </w:r>
            <w:r w:rsidRPr="00D33000">
              <w:rPr>
                <w:b/>
                <w:i/>
                <w:lang w:val="lt-LT"/>
              </w:rPr>
              <w:t>vienam ar daugiau 14</w:t>
            </w:r>
            <w:r w:rsidRPr="00D33000">
              <w:rPr>
                <w:lang w:val="lt-LT"/>
              </w:rPr>
              <w:t xml:space="preserve"> straipsnyje nurodytų pertvarkymo tikslų pasiekti ir yra proporcingas šiems tikslams, o likvidavus įstaigą pagal įprastinę bankroto bylą tų pertvarkymo tikslų </w:t>
            </w:r>
            <w:r w:rsidRPr="00D33000">
              <w:rPr>
                <w:b/>
                <w:i/>
                <w:lang w:val="lt-LT"/>
              </w:rPr>
              <w:t>veiksmingiau</w:t>
            </w:r>
            <w:r w:rsidRPr="00D33000">
              <w:rPr>
                <w:lang w:val="lt-LT"/>
              </w:rPr>
              <w:t xml:space="preserve"> nebūtų pasiekta.</w:t>
            </w:r>
          </w:p>
        </w:tc>
        <w:tc>
          <w:tcPr>
            <w:tcW w:w="4876" w:type="dxa"/>
            <w:hideMark/>
          </w:tcPr>
          <w:p w:rsidR="000E7A9E" w:rsidRPr="00D33000" w:rsidRDefault="000E7A9E" w:rsidP="009E0AF6">
            <w:pPr>
              <w:pStyle w:val="Normal6"/>
              <w:rPr>
                <w:szCs w:val="24"/>
                <w:lang w:val="lt-LT"/>
              </w:rPr>
            </w:pPr>
            <w:r w:rsidRPr="00D33000">
              <w:rPr>
                <w:lang w:val="lt-LT"/>
              </w:rPr>
              <w:t xml:space="preserve">1 dalies c punkto tikslais pertvarkymo veiksmas laikomas atitinkančiu viešąjį interesą, jei </w:t>
            </w:r>
            <w:r w:rsidRPr="00D33000">
              <w:rPr>
                <w:b/>
                <w:i/>
                <w:lang w:val="lt-LT"/>
              </w:rPr>
              <w:t>pagal 14 straipsnio 3 dalies antrą pastraipą</w:t>
            </w:r>
            <w:r w:rsidRPr="00D33000">
              <w:rPr>
                <w:lang w:val="lt-LT"/>
              </w:rPr>
              <w:t xml:space="preserve"> tas pertvarkymo veiksmas yra būtinas </w:t>
            </w:r>
            <w:r w:rsidRPr="00D33000">
              <w:rPr>
                <w:b/>
                <w:i/>
                <w:lang w:val="lt-LT"/>
              </w:rPr>
              <w:t>tame</w:t>
            </w:r>
            <w:r w:rsidRPr="00D33000">
              <w:rPr>
                <w:lang w:val="lt-LT"/>
              </w:rPr>
              <w:t xml:space="preserve"> straipsnyje nurodytų pertvarkymo tikslų pasiekti ir yra proporcingas šiems tikslams, o likvidavus įstaigą pagal įprastinę bankroto bylą tų pertvarkymo tikslų nebūtų pasiekta </w:t>
            </w:r>
            <w:r w:rsidRPr="00D33000">
              <w:rPr>
                <w:b/>
                <w:i/>
                <w:lang w:val="lt-LT"/>
              </w:rPr>
              <w:t>tokiu pačiu mastu</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214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Joachim Schuster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19 punkto c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5 dalies 1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1 dalies c punkto tikslais pertvarkymo veiksmas laikomas atitinkančiu viešąjį interesą, jei tas pertvarkymo veiksmas yra būtinas vienam ar daugiau 14 straipsnyje nurodytų pertvarkymo tikslų pasiekti ir yra proporcingas šiems tikslams, o likvidavus įstaigą pagal įprastinę bankroto bylą tų pertvarkymo tikslų </w:t>
            </w:r>
            <w:r w:rsidRPr="00D33000">
              <w:rPr>
                <w:b/>
                <w:i/>
                <w:lang w:val="lt-LT"/>
              </w:rPr>
              <w:t>veiksmingiau</w:t>
            </w:r>
            <w:r w:rsidRPr="00D33000">
              <w:rPr>
                <w:lang w:val="lt-LT"/>
              </w:rPr>
              <w:t xml:space="preserve"> nebūtų pasiekta.</w:t>
            </w:r>
          </w:p>
        </w:tc>
        <w:tc>
          <w:tcPr>
            <w:tcW w:w="4876" w:type="dxa"/>
            <w:hideMark/>
          </w:tcPr>
          <w:p w:rsidR="000E7A9E" w:rsidRPr="00D33000" w:rsidRDefault="000E7A9E" w:rsidP="009E0AF6">
            <w:pPr>
              <w:pStyle w:val="Normal6"/>
              <w:rPr>
                <w:szCs w:val="24"/>
                <w:lang w:val="lt-LT"/>
              </w:rPr>
            </w:pPr>
            <w:r w:rsidRPr="00D33000">
              <w:rPr>
                <w:lang w:val="lt-LT"/>
              </w:rPr>
              <w:t xml:space="preserve">1 dalies c punkto tikslais pertvarkymo veiksmas laikomas atitinkančiu viešąjį interesą, jei tas pertvarkymo veiksmas yra būtinas vienam ar daugiau 14 straipsnyje nurodytų pertvarkymo tikslų pasiekti ir yra proporcingas šiems tikslams, o likvidavus įstaigą pagal įprastinę bankroto bylą tų pertvarkymo tikslų nebūtų pasiekta </w:t>
            </w:r>
            <w:r w:rsidRPr="00D33000">
              <w:rPr>
                <w:b/>
                <w:i/>
                <w:lang w:val="lt-LT"/>
              </w:rPr>
              <w:t>tokiu pačiu mastu</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215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19 punkto c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5 dalies 1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1 dalies c punkto tikslais pertvarkymo veiksmas laikomas atitinkančiu viešąjį interesą, jei tas pertvarkymo veiksmas yra būtinas vienam ar daugiau 14 straipsnyje nurodytų pertvarkymo tikslų pasiekti ir yra proporcingas šiems tikslams, o likvidavus įstaigą pagal įprastinę bankroto bylą tų pertvarkymo tikslų </w:t>
            </w:r>
            <w:r w:rsidRPr="00D33000">
              <w:rPr>
                <w:b/>
                <w:i/>
                <w:lang w:val="lt-LT"/>
              </w:rPr>
              <w:t>veiksmingiau</w:t>
            </w:r>
            <w:r w:rsidRPr="00D33000">
              <w:rPr>
                <w:lang w:val="lt-LT"/>
              </w:rPr>
              <w:t xml:space="preserve"> nebūtų pasiekta.</w:t>
            </w:r>
          </w:p>
        </w:tc>
        <w:tc>
          <w:tcPr>
            <w:tcW w:w="4876" w:type="dxa"/>
            <w:hideMark/>
          </w:tcPr>
          <w:p w:rsidR="000E7A9E" w:rsidRPr="00D33000" w:rsidRDefault="000E7A9E" w:rsidP="009E0AF6">
            <w:pPr>
              <w:pStyle w:val="Normal6"/>
              <w:rPr>
                <w:szCs w:val="24"/>
                <w:lang w:val="lt-LT"/>
              </w:rPr>
            </w:pPr>
            <w:r w:rsidRPr="00D33000">
              <w:rPr>
                <w:lang w:val="lt-LT"/>
              </w:rPr>
              <w:t xml:space="preserve">1 dalies c punkto tikslais pertvarkymo veiksmas laikomas atitinkančiu viešąjį interesą, jei tas pertvarkymo veiksmas yra būtinas vienam ar daugiau 14 straipsnyje nurodytų pertvarkymo tikslų pasiekti ir yra proporcingas šiems tikslams, o likvidavus įstaigą pagal įprastinę bankroto bylą tų pertvarkymo tikslų nebūtų pasiekta </w:t>
            </w:r>
            <w:r w:rsidRPr="00D33000">
              <w:rPr>
                <w:b/>
                <w:i/>
                <w:lang w:val="lt-LT"/>
              </w:rPr>
              <w:t>tokiu pačiu mastu</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Nacionalinis nemokumas arba nemokumo įstaigos klasifikavimas leidžiamas tik tuo atveju, jei taip užtikrinamas geresnis finansinis stabilumas nei pertvarkymas. Remiantis tuo, didžioji dauguma arba tikriausiai visos kredito įstaigos ateityje gali būti perklasifikuotos į pertvarkytinus subjektus (nelikvidumo subjektus). Todėl dėl tokio perklasifikavimo ankstesnėms nemokumo įstaigoms tektų didelė administracinė ir finansinė našta (įpareigojimas pranešti apie pertvarkymo planus, taip pat MREL kvotų laikymasis su MREL kapitalu).</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216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19 punkto c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5 dalies 1 a pastraipa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Atlikdama pirmoje pastraipoje nurodytą vertinimą, pagal 8 straipsnio 2 dalį, 9 straipsnio 2 dalį ir 12d straipsnio 2 dalį Valdyba, siekdama įvertinti įstaigos pertvarkymo tinkamumą, atsižvelgia į šiuos elementus: a) indėlių paplitimą ir skolos priemonių nebuvimą finansavimo modelyje; b) prieigą prie tinkamų įsipareigojimų kapitalo rinkų; c) mastą, kuriuo įstaigai pasikliauna bendru 1 lygio nuosavu kapitalu siekiant vykdyti savo kapitalo reikalavimus.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217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19 punkto c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5 dalies 1 a pastraipa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1 dalies c punkto tikslais laikoma, kad pertvarkymo veiksmai neatitinka viešojo intereso, kai įstaiga laikoma maža ir nesudėtinga įstaiga, kaip apibrėžta Reglamento (ES) Nr. 575/2013 4 straipsnio 1 dalies 145 punkte. Jei Valdyba įvertina, kad vienam ar keliems iš tų pertvarkymo tikslų kiltų pavojus, prezumpcija netaikoma.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Siekiant padidinti sistemos nuspėjamumą, turėtų būti daroma prielaida, kad mažoms ir nekompleksinėms įstaigoms daromas neigiamas viešojo intereso vertinimas, o didelėms įstaigoms – teigiamas viešojo intereso vertinimas. Kol nacionalinėms pertvarkymo institucijoms paliekama veiksmų laisvė atlikti viešojo intereso vertinimą, skirtingose jurisdikcijose gali būti ir toliau taikoma skirtinga praktika, kuri galiausiai galėtų turėti įtakos vienodoms sąlygoms ir sistemos nuspėjamumui.</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218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Markus Ferber, Herbert Dorfmann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19 punkto c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5 dalies 1 a pastraipa (nauja)</w:t>
      </w:r>
      <w:r w:rsidRPr="005D599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Subjektų, kurie pagal Reglamento (ES) Nr. 1024/2013 6 straipsnio 4 dalį laikomi svarbiais, atveju daroma prielaida, kad likviduojant iškeliant įprastinę bankroto bylą pertvarkymo tikslai nebūtų pasiekti tokiu pačiu mastu.</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Pertvarkymo priemonės turėtų būti taikomos tik tais atvejais, kai nemokumo bylos yra mažiau veiksmingos.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219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19 punkto c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5 dalies 1 b pastraipa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Šio straipsnio 1 dalies c punkto tikslais laikoma, kad pertvarkymo veiksmai atitinka viešąjį interesą, kai įstaiga laikoma didele įstaiga, kaip apibrėžta Reglamento (ES) Nr. 575/2013 4 straipsnio 1 dalies 146 punkte. Jei Valdyba įvertina, kad jokiam pertvarkymo tikslui nekiltų pavojus, prielaida netaikoma.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Siekiant padidinti sistemos nuspėjamumą, turėtų būti daroma prielaida, kad mažoms ir nekompleksinėms įstaigoms daromas neigiamas viešojo intereso vertinimas, o didelėms įstaigoms – teigiamas viešojo intereso vertinimas. Kol nacionalinėms pertvarkymo institucijoms paliekama veiksmų laisvė atlikti viešojo intereso vertinimą, skirtingose jurisdikcijose gali būti ir toliau taikoma skirtinga praktika, kuri galiausiai galėtų turėti įtakos vienodoms sąlygoms ir sistemos nuspėjamumui.</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220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19 punkto c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5 dalies 2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Atlikdama pirmoje pastraipoje nurodytą vertinimą, Valdyba, remdamasi to vertinimo metu turima informacija, apsvarsto ir palygina visą nepaprastąją viešąją finansinę paramą, kurią galima pagrįstai tikėtis suteikti subjektui tiek pertvarkymo atveju, tiek likvidavimo pagal taikytiną nacionalinę teisę atveju.“;</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Neįtraukus papildomų išlaidų, susijusių su pertvarkymo proceso rengimu, daugiausia dėmesio skiriant tik išskirtinei viešajai finansinei pagalbai, gali atsirasti iškreipta nemokumo likvidavimo perspektyva. Todėl į su sąnaudomis susijusius aspektus neturėtų būti atsižvelgiama atliekant viešojo intereso vertinimą.</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221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19 punkto c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5 dalies 2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Atlikdama pirmoje pastraipoje nurodytą vertinimą, Valdyba, remdamasi to vertinimo metu turima informacija, apsvarsto ir palygina visą nepaprastąją viešąją finansinę paramą, kurią galima pagrįstai tikėtis suteikti subjektui tiek pertvarkymo atveju, tiek likvidavimo pagal taikytiną nacionalinę teisę atveju.“;</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222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19 punkto c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5 dalies 2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Atlikdama pirmoje pastraipoje nurodytą vertinimą, Valdyba, </w:t>
            </w:r>
            <w:r w:rsidRPr="00D33000">
              <w:rPr>
                <w:b/>
                <w:i/>
                <w:lang w:val="lt-LT"/>
              </w:rPr>
              <w:t>remdamasi to vertinimo metu turima informacija, apsvarsto ir palygina visą nepaprastąją viešąją finansinę paramą, kurią galima pagrįstai tikėtis suteikti subjektui tiek</w:t>
            </w:r>
            <w:r w:rsidRPr="00D33000">
              <w:rPr>
                <w:lang w:val="lt-LT"/>
              </w:rPr>
              <w:t xml:space="preserve"> pertvarkymo </w:t>
            </w:r>
            <w:r w:rsidRPr="00D33000">
              <w:rPr>
                <w:b/>
                <w:i/>
                <w:lang w:val="lt-LT"/>
              </w:rPr>
              <w:t>atveju, tiek likvidavimo pagal taikytiną nacionalinę teisę atveju</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 xml:space="preserve">Atlikdama pirmoje pastraipoje nurodytą vertinimą, </w:t>
            </w:r>
            <w:r w:rsidRPr="00D33000">
              <w:rPr>
                <w:b/>
                <w:i/>
                <w:lang w:val="lt-LT"/>
              </w:rPr>
              <w:t>pagal 8 straipsnio 2 dalį, 9 straipsnio 2 dalį ir 12d straipsnio 2 dalį</w:t>
            </w:r>
            <w:r w:rsidRPr="00D33000">
              <w:rPr>
                <w:lang w:val="lt-LT"/>
              </w:rPr>
              <w:t xml:space="preserve"> Valdyba, </w:t>
            </w:r>
            <w:r w:rsidRPr="00D33000">
              <w:rPr>
                <w:b/>
                <w:i/>
                <w:lang w:val="lt-LT"/>
              </w:rPr>
              <w:t>siekdama įvertinti įstaigos</w:t>
            </w:r>
            <w:r w:rsidRPr="00D33000">
              <w:rPr>
                <w:lang w:val="lt-LT"/>
              </w:rPr>
              <w:t xml:space="preserve"> pertvarkymo </w:t>
            </w:r>
            <w:r w:rsidRPr="00D33000">
              <w:rPr>
                <w:b/>
                <w:i/>
                <w:lang w:val="lt-LT"/>
              </w:rPr>
              <w:t>tinkamumą, atsižvelgia į šiuos elementus: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 indėlių paplitimą ir skolos priemonių nebuvimą</w:t>
            </w:r>
            <w:r w:rsidRPr="00D33000">
              <w:rPr>
                <w:lang w:val="lt-LT"/>
              </w:rPr>
              <w:t xml:space="preserve"> </w:t>
            </w:r>
            <w:r w:rsidRPr="00D33000">
              <w:rPr>
                <w:b/>
                <w:i/>
                <w:lang w:val="lt-LT"/>
              </w:rPr>
              <w:t>finansavimo modelyje;</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b) prieigą prie tinkamų įsipareigojimų kapitalo rinkų;</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c) mastą, kuriuo įstaigai pasikliauna bendru 1 lygio nuosavu kapitalu siekiant vykdyti 12f straipsnyje nurodytą reikalavimą</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223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Irene Tinagli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19 punkto c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5 dalies 2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Atlikdama pirmoje pastraipoje nurodytą vertinimą, Valdyba, </w:t>
            </w:r>
            <w:r w:rsidRPr="00D33000">
              <w:rPr>
                <w:b/>
                <w:i/>
                <w:lang w:val="lt-LT"/>
              </w:rPr>
              <w:t>remdamasi to vertinimo metu turima informacija, apsvarsto ir palygina visą nepaprastąją viešąją finansinę paramą, kurią galima pagrįstai tikėtis suteikti subjektui tiek</w:t>
            </w:r>
            <w:r w:rsidRPr="00D33000">
              <w:rPr>
                <w:lang w:val="lt-LT"/>
              </w:rPr>
              <w:t xml:space="preserve"> pertvarkymo </w:t>
            </w:r>
            <w:r w:rsidRPr="00D33000">
              <w:rPr>
                <w:b/>
                <w:i/>
                <w:lang w:val="lt-LT"/>
              </w:rPr>
              <w:t>atveju, tiek likvidavimo pagal taikytiną nacionalinę teisę atveju.“</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 xml:space="preserve">Atlikdama pirmoje pastraipoje nurodytą vertinimą, </w:t>
            </w:r>
            <w:r w:rsidRPr="00D33000">
              <w:rPr>
                <w:b/>
                <w:i/>
                <w:lang w:val="lt-LT"/>
              </w:rPr>
              <w:t>pagal 8 straipsnio 2 dalį, 9 straipsnio 2 dalį ir 12d straipsnio 2 dalį</w:t>
            </w:r>
            <w:r w:rsidRPr="00D33000">
              <w:rPr>
                <w:lang w:val="lt-LT"/>
              </w:rPr>
              <w:t xml:space="preserve"> Valdyba, </w:t>
            </w:r>
            <w:r w:rsidRPr="00D33000">
              <w:rPr>
                <w:b/>
                <w:i/>
                <w:lang w:val="lt-LT"/>
              </w:rPr>
              <w:t>siekdama įvertinti įstaigos</w:t>
            </w:r>
            <w:r w:rsidRPr="00D33000">
              <w:rPr>
                <w:lang w:val="lt-LT"/>
              </w:rPr>
              <w:t xml:space="preserve"> pertvarkymo </w:t>
            </w:r>
            <w:r w:rsidRPr="00D33000">
              <w:rPr>
                <w:b/>
                <w:i/>
                <w:lang w:val="lt-LT"/>
              </w:rPr>
              <w:t>tinkamumą, atsižvelgia į šiuos elementus: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 indėlių paplitimą ir skolos priemonių nebuvimą</w:t>
            </w:r>
            <w:r w:rsidRPr="00D33000">
              <w:rPr>
                <w:lang w:val="lt-LT"/>
              </w:rPr>
              <w:t xml:space="preserve"> </w:t>
            </w:r>
            <w:r w:rsidRPr="00D33000">
              <w:rPr>
                <w:b/>
                <w:i/>
                <w:lang w:val="lt-LT"/>
              </w:rPr>
              <w:t>finansavimo modelyje;</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b) prieigą prie tinkamų įsipareigojimų kapitalo rinkų</w:t>
            </w:r>
            <w:r w:rsidRPr="00D33000">
              <w:rPr>
                <w:lang w:val="lt-LT"/>
              </w:rPr>
              <w:t>;</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c) mastą, kuriuo įstaigai pasikliauna bendru 1 lygio nuosavu kapitalu siekiant vykdyti savo kapitalo reikalavimus.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224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Eero Heinäluoma</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19 punkto c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5 dalies 2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Atlikdama pirmoje pastraipoje nurodytą vertinimą, Valdyba, remdamasi to vertinimo metu turima informacija, apsvarsto ir palygina visą nepaprastąją viešąją finansinę paramą, kurią galima pagrįstai tikėtis suteikti subjektui tiek pertvarkymo atveju, tiek likvidavimo pagal taikytiną nacionalinę teisę atveju.“;</w:t>
            </w:r>
          </w:p>
        </w:tc>
        <w:tc>
          <w:tcPr>
            <w:tcW w:w="4876" w:type="dxa"/>
            <w:hideMark/>
          </w:tcPr>
          <w:p w:rsidR="000E7A9E" w:rsidRPr="00D33000" w:rsidRDefault="000E7A9E" w:rsidP="009E0AF6">
            <w:pPr>
              <w:pStyle w:val="Normal6"/>
              <w:rPr>
                <w:szCs w:val="24"/>
                <w:lang w:val="lt-LT"/>
              </w:rPr>
            </w:pPr>
            <w:r w:rsidRPr="00D33000">
              <w:rPr>
                <w:lang w:val="lt-LT"/>
              </w:rPr>
              <w:t xml:space="preserve">Atlikdama pirmoje pastraipoje nurodytą vertinimą, Valdyba, remdamasi to vertinimo metu turima informacija, apsvarsto ir palygina visą nepaprastąją viešąją finansinę paramą, kurią galima pagrįstai tikėtis suteikti subjektui tiek pertvarkymo atveju, tiek likvidavimo pagal taikytiną nacionalinę teisę atveju.“; </w:t>
            </w:r>
            <w:r w:rsidRPr="00D33000">
              <w:rPr>
                <w:b/>
                <w:i/>
                <w:lang w:val="lt-LT"/>
              </w:rPr>
              <w:t>Jei tikimasi, kad likvidavimo pagalba bus suteikta likviduojant įstaigą pagal nacionalinę teisę, pertvarkymo veiksmai vertinami kaip atitinkantys viešąjį interesą.</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225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Luděk Niedermayer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19 punkto c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5 dalies 2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Atlikdama pirmoje pastraipoje nurodytą vertinimą, Valdyba, remdamasi to vertinimo metu turima informacija, </w:t>
            </w:r>
            <w:r w:rsidRPr="00D33000">
              <w:rPr>
                <w:b/>
                <w:i/>
                <w:lang w:val="lt-LT"/>
              </w:rPr>
              <w:t>apsvarsto</w:t>
            </w:r>
            <w:r w:rsidRPr="00D33000">
              <w:rPr>
                <w:lang w:val="lt-LT"/>
              </w:rPr>
              <w:t xml:space="preserve"> ir palygina visą nepaprastąją viešąją finansinę paramą, kurią galima pagrįstai tikėtis suteikti subjektui tiek pertvarkymo atveju, tiek likvidavimo pagal taikytiną nacionalinę teisę atveju.“;</w:t>
            </w:r>
          </w:p>
        </w:tc>
        <w:tc>
          <w:tcPr>
            <w:tcW w:w="4876" w:type="dxa"/>
            <w:hideMark/>
          </w:tcPr>
          <w:p w:rsidR="000E7A9E" w:rsidRPr="00D33000" w:rsidRDefault="000E7A9E" w:rsidP="009E0AF6">
            <w:pPr>
              <w:pStyle w:val="Normal6"/>
              <w:rPr>
                <w:szCs w:val="24"/>
                <w:lang w:val="lt-LT"/>
              </w:rPr>
            </w:pPr>
            <w:r w:rsidRPr="00D33000">
              <w:rPr>
                <w:lang w:val="lt-LT"/>
              </w:rPr>
              <w:t xml:space="preserve">Atlikdama pirmoje pastraipoje nurodytą vertinimą, Valdyba, remdamasi to vertinimo metu turima informacija, </w:t>
            </w:r>
            <w:r w:rsidRPr="00D33000">
              <w:rPr>
                <w:b/>
                <w:i/>
                <w:lang w:val="lt-LT"/>
              </w:rPr>
              <w:t>įvertina</w:t>
            </w:r>
            <w:r w:rsidRPr="00D33000">
              <w:rPr>
                <w:lang w:val="lt-LT"/>
              </w:rPr>
              <w:t xml:space="preserve"> ir palygina visą nepaprastąją viešąją finansinę paramą, kurią galima pagrįstai tikėtis suteikti subjektui tiek pertvarkymo atveju, tiek likvidavimo pagal taikytiną nacionalinę teisę atveju.“;</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226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Fabio Massimo Castaldo</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19 punkto c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5 dalies 2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Atlikdama pirmoje pastraipoje nurodytą vertinimą, Valdyba, remdamasi </w:t>
            </w:r>
            <w:r w:rsidRPr="00D33000">
              <w:rPr>
                <w:b/>
                <w:i/>
                <w:lang w:val="lt-LT"/>
              </w:rPr>
              <w:t>to vertinimo</w:t>
            </w:r>
            <w:r w:rsidRPr="00D33000">
              <w:rPr>
                <w:lang w:val="lt-LT"/>
              </w:rPr>
              <w:t xml:space="preserve"> metu turima informacija, apsvarsto ir palygina visą nepaprastąją viešąją finansinę paramą, kurią galima pagrįstai tikėtis suteikti subjektui tiek pertvarkymo atveju, tiek likvidavimo pagal taikytiną nacionalinę teisę atveju</w:t>
            </w:r>
          </w:p>
        </w:tc>
        <w:tc>
          <w:tcPr>
            <w:tcW w:w="4876" w:type="dxa"/>
            <w:hideMark/>
          </w:tcPr>
          <w:p w:rsidR="000E7A9E" w:rsidRPr="00D33000" w:rsidRDefault="000E7A9E" w:rsidP="009E0AF6">
            <w:pPr>
              <w:pStyle w:val="Normal6"/>
              <w:rPr>
                <w:szCs w:val="24"/>
                <w:lang w:val="lt-LT"/>
              </w:rPr>
            </w:pPr>
            <w:r w:rsidRPr="00D33000">
              <w:rPr>
                <w:lang w:val="lt-LT"/>
              </w:rPr>
              <w:t xml:space="preserve">Atlikdama pirmoje pastraipoje nurodytą vertinimą, Valdyba, remdamasi </w:t>
            </w:r>
            <w:r w:rsidRPr="00D33000">
              <w:rPr>
                <w:b/>
                <w:i/>
                <w:lang w:val="lt-LT"/>
              </w:rPr>
              <w:t>tuo</w:t>
            </w:r>
            <w:r w:rsidRPr="00D33000">
              <w:rPr>
                <w:lang w:val="lt-LT"/>
              </w:rPr>
              <w:t xml:space="preserve"> metu turima informacija, apsvarsto ir palygina visą nepaprastąją viešąją finansinę paramą, kurią galima pagrįstai tikėtis suteikti subjektui tiek pertvarkymo atveju, tiek likvidavimo pagal taikytiną nacionalinę teisę atveju</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227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Pedro Marques, Aurore Lalucq, Jonás Fernández, René Repasi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19 punkto c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5 dalies 2 a pastraipa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Antros pastraipos tikslais dalyvaujančios valstybės narės, indėlių garantijų sistemos ir prireikus paskirta institucija, kaip apibrėžta Direktyvos 2014/49/ES 2 straipsnio 1 dalies 18 punkte, informuoja Valdybą apie visas parengiamąsias priemones, skirtas šio reglamento 18a straipsnio 1 dalies c ir d punktuose nurodytoms priemonėms taikyti, įskaitant ryšius su Komisija iki pranešimo pateikimo.</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228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19 punkto c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5 dalies 2 a pastraipa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Be to, į pertvarkymo planą Valdyba įtraukia savo argumentus, susijusius su procedūra, kuria geriausiai siekiama pertvarkymo tikslų, susijusių su kiekvienu iš 14 straipsnyje nustatytų pertvarkymo tikslų.</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Siekiant padidinti sistemos nuspėjamumą, turėtų būti daroma prielaida, kad mažoms ir nekompleksinėms įstaigoms daromas neigiamas viešojo intereso vertinimas, o didelėms įstaigoms – teigiamas viešojo intereso vertinimas. Kol nacionalinėms pertvarkymo institucijoms paliekama veiksmų laisvė atlikti viešojo intereso vertinimą, skirtingose jurisdikcijose gali būti ir toliau taikoma skirtinga praktika, kuri galiausiai galėtų turėti įtakos vienodoms sąlygoms ir sistemos nuspėjamumui.</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229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19 punkto e a papunktis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11 a dalis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ea) pridedama ši pastraipa:</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11a. Siekdama užtikrinti veiksmingą ir nuoseklų šio straipsnio taikymą, Valdyba nacionalinėms pertvarkymo institucijoms teikia gaires ir nurodymus dėl TRS, nurodytų Direktyvos 2014/59/ES 32 straipsnio 5 dalyje, taikymo.</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Siekiant padidinti sistemos nuspėjamumą, turėtų būti daroma prielaida, kad mažoms ir nekompleksinėms įstaigoms daromas neigiamas viešojo intereso vertinimas, o didelėms įstaigoms – teigiamas viešojo intereso vertinimas. Kol nacionalinėms pertvarkymo institucijoms paliekama veiksmų laisvė atlikti viešojo intereso vertinimą, skirtingose jurisdikcijose gali būti ir toliau taikoma skirtinga praktika, kuri galiausiai galėtų turėti įtakos vienodoms sąlygoms ir sistemos nuspėjamumui.</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230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antraštė</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Nepaprastoji </w:t>
            </w:r>
            <w:r w:rsidRPr="00D33000">
              <w:rPr>
                <w:b/>
                <w:i/>
                <w:lang w:val="lt-LT"/>
              </w:rPr>
              <w:t>viešoji</w:t>
            </w:r>
            <w:r w:rsidRPr="00D33000">
              <w:rPr>
                <w:lang w:val="lt-LT"/>
              </w:rPr>
              <w:t xml:space="preserve"> finansinė parama</w:t>
            </w:r>
          </w:p>
        </w:tc>
        <w:tc>
          <w:tcPr>
            <w:tcW w:w="4876" w:type="dxa"/>
            <w:hideMark/>
          </w:tcPr>
          <w:p w:rsidR="000E7A9E" w:rsidRPr="00D33000" w:rsidRDefault="000E7A9E" w:rsidP="009E0AF6">
            <w:pPr>
              <w:pStyle w:val="Normal6"/>
              <w:rPr>
                <w:szCs w:val="24"/>
                <w:lang w:val="lt-LT"/>
              </w:rPr>
            </w:pPr>
            <w:r w:rsidRPr="00D33000">
              <w:rPr>
                <w:lang w:val="lt-LT"/>
              </w:rPr>
              <w:t>Nepaprastoji finansinė parama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231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Eero Heinäluoma</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1 dalies įžanginė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w:t>
            </w:r>
            <w:r w:rsidRPr="00D33000">
              <w:rPr>
                <w:lang w:val="lt-LT"/>
              </w:rPr>
              <w:tab/>
              <w:t>Nepaprastoji viešoji finansinė parama, nesusijusi su pertvarkymo veiksmais, 2 straipsnyje nurodytam subjektui gali būti teikiama tik vienu iš toliau nurodytų atvejų ir su sąlyga, kad nepaprastoji viešoji finansinė parama atitinka Sąjungos valstybės pagalbos sistemoje nustatytas sąlygas ir reikalavimus:</w:t>
            </w:r>
          </w:p>
        </w:tc>
        <w:tc>
          <w:tcPr>
            <w:tcW w:w="4876" w:type="dxa"/>
            <w:hideMark/>
          </w:tcPr>
          <w:p w:rsidR="000E7A9E" w:rsidRPr="00D33000" w:rsidRDefault="000E7A9E" w:rsidP="009E0AF6">
            <w:pPr>
              <w:pStyle w:val="Normal6"/>
              <w:rPr>
                <w:szCs w:val="24"/>
                <w:lang w:val="lt-LT"/>
              </w:rPr>
            </w:pPr>
            <w:r w:rsidRPr="00D33000">
              <w:rPr>
                <w:lang w:val="lt-LT"/>
              </w:rPr>
              <w:t>1.</w:t>
            </w:r>
            <w:r w:rsidRPr="00D33000">
              <w:rPr>
                <w:lang w:val="lt-LT"/>
              </w:rPr>
              <w:tab/>
              <w:t xml:space="preserve">Nepaprastoji viešoji finansinė parama, nesusijusi su pertvarkymo veiksmais, 2 straipsnyje nurodytam subjektui </w:t>
            </w:r>
            <w:r w:rsidRPr="00D33000">
              <w:rPr>
                <w:b/>
                <w:i/>
                <w:lang w:val="lt-LT"/>
              </w:rPr>
              <w:t>išimties tvarka</w:t>
            </w:r>
            <w:r w:rsidRPr="00D33000">
              <w:rPr>
                <w:lang w:val="lt-LT"/>
              </w:rPr>
              <w:t xml:space="preserve"> gali būti teikiama tik vienu iš toliau nurodytų atvejų ir su sąlyga, kad nepaprastoji viešoji finansinė parama atitinka Sąjungos valstybės pagalbos sistemoje nustatytas sąlygas ir reikalavimus </w:t>
            </w:r>
            <w:r w:rsidRPr="00D33000">
              <w:rPr>
                <w:b/>
                <w:i/>
                <w:lang w:val="lt-LT"/>
              </w:rPr>
              <w:t>ir tokia parama įgyvendinama valstybės narės teisės aktuose</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Turėtų būti aiškiai nurodyta, kad valstybės narės neprivalo turėti visų nepaprastosios viešosios finansinės paramos galimybių. Akivaizdu, kad tai turėtų būti valstybių narių galimybė, jei jos nori, kad būtų prieinami kai kurie arba visi a–d punktai. Mes nenorime prezumpcijos, kad valstybė visada pasirengusi gelbėti sunkumų patiriančius bankus. Vietoj to pageidautina, kad tokiems bankams būtų taikoma patikima problemų sprendimo ir nemokumo sistema.</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232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1 dalies įžanginė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w:t>
            </w:r>
            <w:r w:rsidRPr="00D33000">
              <w:rPr>
                <w:lang w:val="lt-LT"/>
              </w:rPr>
              <w:tab/>
              <w:t xml:space="preserve">Nepaprastoji </w:t>
            </w:r>
            <w:r w:rsidRPr="00D33000">
              <w:rPr>
                <w:b/>
                <w:i/>
                <w:lang w:val="lt-LT"/>
              </w:rPr>
              <w:t>viešoji</w:t>
            </w:r>
            <w:r w:rsidRPr="00D33000">
              <w:rPr>
                <w:lang w:val="lt-LT"/>
              </w:rPr>
              <w:t xml:space="preserve"> finansinė parama, nesusijusi su pertvarkymo veiksmais, 2 straipsnyje nurodytam subjektui gali būti teikiama tik vienu iš toliau nurodytų atvejų ir su sąlyga, kad nepaprastoji viešoji finansinė parama atitinka Sąjungos valstybės pagalbos sistemoje nustatytas sąlygas ir reikalavimus:</w:t>
            </w:r>
          </w:p>
        </w:tc>
        <w:tc>
          <w:tcPr>
            <w:tcW w:w="4876" w:type="dxa"/>
            <w:hideMark/>
          </w:tcPr>
          <w:p w:rsidR="000E7A9E" w:rsidRPr="00D33000" w:rsidRDefault="000E7A9E" w:rsidP="009E0AF6">
            <w:pPr>
              <w:pStyle w:val="Normal6"/>
              <w:rPr>
                <w:szCs w:val="24"/>
                <w:lang w:val="lt-LT"/>
              </w:rPr>
            </w:pPr>
            <w:r w:rsidRPr="00D33000">
              <w:rPr>
                <w:lang w:val="lt-LT"/>
              </w:rPr>
              <w:t>1.</w:t>
            </w:r>
            <w:r w:rsidRPr="00D33000">
              <w:rPr>
                <w:lang w:val="lt-LT"/>
              </w:rPr>
              <w:tab/>
              <w:t>Nepaprastoji finansinė parama, nesusijusi su pertvarkymo veiksmais, 2 straipsnyje nurodytam subjektui gali būti teikiama tik vienu iš toliau nurodytų atvejų ir su sąlyga, kad nepaprastoji viešoji finansinė parama atitinka Sąjungos valstybės pagalbos sistemoje nustatytas sąlygas ir reikalavimus: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233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1 dalies a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a)</w:t>
            </w:r>
            <w:r w:rsidRPr="00D33000">
              <w:rPr>
                <w:b/>
                <w:i/>
                <w:lang w:val="lt-LT"/>
              </w:rPr>
              <w:tab/>
              <w:t>kai, siekiant pašalinti didelį valstybės narės ekonomikos sutrikimą arba išsaugoti finansinį stabilumą, nepaprastoji viešoji finansinė parama teikiama viena iš šių formų:</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i)</w:t>
            </w:r>
            <w:r w:rsidRPr="00D33000">
              <w:rPr>
                <w:b/>
                <w:i/>
                <w:lang w:val="lt-LT"/>
              </w:rPr>
              <w:tab/>
              <w:t>kaip valstybės garantija centrinių bankų teikiamoms likvidumo priemonėms paremti laikantis centrinių bankų sąlygų;</w:t>
            </w:r>
          </w:p>
        </w:tc>
        <w:tc>
          <w:tcPr>
            <w:tcW w:w="4876" w:type="dxa"/>
          </w:tcPr>
          <w:p w:rsidR="000E7A9E" w:rsidRPr="00D33000" w:rsidRDefault="000E7A9E" w:rsidP="009E0AF6">
            <w:pPr>
              <w:pStyle w:val="Normal6"/>
              <w:rPr>
                <w:szCs w:val="24"/>
                <w:lang w:val="lt-LT"/>
              </w:rPr>
            </w:pP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ii)</w:t>
            </w:r>
            <w:r w:rsidRPr="00D33000">
              <w:rPr>
                <w:b/>
                <w:i/>
                <w:lang w:val="lt-LT"/>
              </w:rPr>
              <w:tab/>
              <w:t>kaip naujai išleistiems įsipareigojimams teikiama valstybės garantija;</w:t>
            </w:r>
          </w:p>
        </w:tc>
        <w:tc>
          <w:tcPr>
            <w:tcW w:w="4876" w:type="dxa"/>
          </w:tcPr>
          <w:p w:rsidR="000E7A9E" w:rsidRPr="00D33000" w:rsidRDefault="000E7A9E" w:rsidP="009E0AF6">
            <w:pPr>
              <w:pStyle w:val="Normal6"/>
              <w:rPr>
                <w:szCs w:val="24"/>
                <w:lang w:val="lt-LT"/>
              </w:rPr>
            </w:pP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iii)</w:t>
            </w:r>
            <w:r w:rsidRPr="00D33000">
              <w:rPr>
                <w:b/>
                <w:i/>
                <w:lang w:val="lt-LT"/>
              </w:rPr>
              <w:tab/>
              <w:t>kaip nuosavų lėšų priemonių, išskyrus bendro 1 lygio nuosavo kapitalo priemones, arba kitų kapitalo priemonių įsigijimas arba nuvertėjusio turto priemonių naudojimas tokiomis kainomis, trukme ir sąlygomis, kuriomis atitinkamai įstaigai ar subjektui nesuteikiamas nederamas pranašumas, jei viešosios paramos suteikimo metu nėra nei 18 straipsnio 4 dalies a, b ar c punkte nurodytų aplinkybių, nei 21 straipsnio 1 dalyje nurodytų aplinkybių.</w:t>
            </w:r>
          </w:p>
        </w:tc>
        <w:tc>
          <w:tcPr>
            <w:tcW w:w="4876" w:type="dxa"/>
          </w:tcPr>
          <w:p w:rsidR="000E7A9E" w:rsidRPr="00D33000" w:rsidRDefault="000E7A9E" w:rsidP="009E0AF6">
            <w:pPr>
              <w:pStyle w:val="Normal6"/>
              <w:rPr>
                <w:szCs w:val="24"/>
                <w:lang w:val="lt-LT"/>
              </w:rPr>
            </w:pP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234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Luděk Niedermayer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1 dalies a punkto įžanginė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a)</w:t>
            </w:r>
            <w:r w:rsidRPr="00D33000">
              <w:rPr>
                <w:lang w:val="lt-LT"/>
              </w:rPr>
              <w:tab/>
              <w:t>kai, siekiant pašalinti didelį valstybės narės ekonomikos sutrikimą arba išsaugoti finansinį stabilumą, nepaprastoji viešoji finansinė parama teikiama viena iš šių formų:</w:t>
            </w:r>
          </w:p>
        </w:tc>
        <w:tc>
          <w:tcPr>
            <w:tcW w:w="4876" w:type="dxa"/>
            <w:hideMark/>
          </w:tcPr>
          <w:p w:rsidR="000E7A9E" w:rsidRPr="00D33000" w:rsidRDefault="000E7A9E" w:rsidP="009E0AF6">
            <w:pPr>
              <w:pStyle w:val="Normal6"/>
              <w:rPr>
                <w:szCs w:val="24"/>
                <w:lang w:val="lt-LT"/>
              </w:rPr>
            </w:pPr>
            <w:r w:rsidRPr="00D33000">
              <w:rPr>
                <w:lang w:val="lt-LT"/>
              </w:rPr>
              <w:t>a)</w:t>
            </w:r>
            <w:r w:rsidRPr="00D33000">
              <w:rPr>
                <w:lang w:val="lt-LT"/>
              </w:rPr>
              <w:tab/>
              <w:t>kai, siekiant pašalinti didelį valstybės narės ekonomikos sutrikimą</w:t>
            </w:r>
            <w:r w:rsidRPr="00D33000">
              <w:rPr>
                <w:b/>
                <w:i/>
                <w:lang w:val="lt-LT"/>
              </w:rPr>
              <w:t>, kuris yra išimtinio ar sisteminio pobūdžio,</w:t>
            </w:r>
            <w:r w:rsidRPr="00D33000">
              <w:rPr>
                <w:lang w:val="lt-LT"/>
              </w:rPr>
              <w:t xml:space="preserve"> arba išsaugoti finansinį stabilumą, nepaprastoji viešoji finansinė parama teikiama viena iš šių formų:</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235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Eero Heinäluoma</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1 dalies a punkto įžanginė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a)</w:t>
            </w:r>
            <w:r w:rsidRPr="00D33000">
              <w:rPr>
                <w:lang w:val="lt-LT"/>
              </w:rPr>
              <w:tab/>
              <w:t xml:space="preserve">kai, siekiant pašalinti didelį valstybės narės ekonomikos sutrikimą </w:t>
            </w:r>
            <w:r w:rsidRPr="00D33000">
              <w:rPr>
                <w:b/>
                <w:i/>
                <w:lang w:val="lt-LT"/>
              </w:rPr>
              <w:t>arba</w:t>
            </w:r>
            <w:r w:rsidRPr="00D33000">
              <w:rPr>
                <w:lang w:val="lt-LT"/>
              </w:rPr>
              <w:t xml:space="preserve"> išsaugoti finansinį stabilumą, nepaprastoji viešoji finansinė parama teikiama viena iš šių formų:</w:t>
            </w:r>
          </w:p>
        </w:tc>
        <w:tc>
          <w:tcPr>
            <w:tcW w:w="4876" w:type="dxa"/>
            <w:hideMark/>
          </w:tcPr>
          <w:p w:rsidR="000E7A9E" w:rsidRPr="00D33000" w:rsidRDefault="000E7A9E" w:rsidP="009E0AF6">
            <w:pPr>
              <w:pStyle w:val="Normal6"/>
              <w:rPr>
                <w:szCs w:val="24"/>
                <w:lang w:val="lt-LT"/>
              </w:rPr>
            </w:pPr>
            <w:r w:rsidRPr="00D33000">
              <w:rPr>
                <w:lang w:val="lt-LT"/>
              </w:rPr>
              <w:t>a)</w:t>
            </w:r>
            <w:r w:rsidRPr="00D33000">
              <w:rPr>
                <w:lang w:val="lt-LT"/>
              </w:rPr>
              <w:tab/>
              <w:t xml:space="preserve">kai, siekiant pašalinti didelį valstybės narės ekonomikos sutrikimą </w:t>
            </w:r>
            <w:r w:rsidRPr="00D33000">
              <w:rPr>
                <w:b/>
                <w:i/>
                <w:lang w:val="lt-LT"/>
              </w:rPr>
              <w:t>ir</w:t>
            </w:r>
            <w:r w:rsidRPr="00D33000">
              <w:rPr>
                <w:lang w:val="lt-LT"/>
              </w:rPr>
              <w:t xml:space="preserve"> išsaugoti finansinį stabilumą, nepaprastoji viešoji finansinė parama teikiama viena iš šių formų:</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236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1 dalies b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b)</w:t>
            </w:r>
            <w:r w:rsidRPr="00D33000">
              <w:rPr>
                <w:b/>
                <w:i/>
                <w:lang w:val="lt-LT"/>
              </w:rPr>
              <w:tab/>
              <w:t>kai nepaprastoji viešoji finansinė parama teikiama kaip indėlių garantijų sistemos intervencija, siekiant išsaugoti kredito įstaigos finansinį patikimumą ir ilgalaikį gyvybingumą laikantis Direktyvos 2014/49/ES 11a ir 11b straipsniuose nustatytų sąlygų, su sąlyga, kad nėra 18 straipsnio 4 dalyje nurodytų aplinkybių;</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None of the private measures under the DGSD should be subject to state aid law. The DGS funds are privately collected, they are not taxpayers' money. In addition, a state aid audit causes a long delay, which prevent the rapid implementation of preventive or alternative measures or deposit compensation. Article 11b(6) DGSD draft makes the implementation of preventive measures virtually impossible in view of the timeline. Accordingly, Article 11b(6) DGSD draft should be deleted. Furthermore, similar regulations in the SRMR must be adapted: Article 18a(1) point (b) SRMR draft should be clarified so that preventive measures are not classified as state aid and do not trigger state aid proceedings.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237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Luděk Niedermayer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1 dalies b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b)</w:t>
            </w:r>
            <w:r w:rsidRPr="00D33000">
              <w:rPr>
                <w:lang w:val="lt-LT"/>
              </w:rPr>
              <w:tab/>
              <w:t>kai nepaprastoji viešoji finansinė parama teikiama kaip indėlių garantijų sistemos intervencija, siekiant išsaugoti kredito įstaigos finansinį patikimumą ir ilgalaikį gyvybingumą laikantis Direktyvos 2014/49/ES 11a ir 11b straipsniuose nustatytų sąlygų, su sąlyga, kad nėra 18 straipsnio 4 dalyje nurodytų aplinkybių;</w:t>
            </w:r>
          </w:p>
        </w:tc>
        <w:tc>
          <w:tcPr>
            <w:tcW w:w="4876" w:type="dxa"/>
            <w:hideMark/>
          </w:tcPr>
          <w:p w:rsidR="000E7A9E" w:rsidRPr="00D33000" w:rsidRDefault="000E7A9E" w:rsidP="009E0AF6">
            <w:pPr>
              <w:pStyle w:val="Normal6"/>
              <w:rPr>
                <w:szCs w:val="24"/>
                <w:lang w:val="lt-LT"/>
              </w:rPr>
            </w:pPr>
            <w:r w:rsidRPr="00D33000">
              <w:rPr>
                <w:lang w:val="lt-LT"/>
              </w:rPr>
              <w:t>b)</w:t>
            </w:r>
            <w:r w:rsidRPr="00D33000">
              <w:rPr>
                <w:lang w:val="lt-LT"/>
              </w:rPr>
              <w:tab/>
              <w:t xml:space="preserve">kai nepaprastoji viešoji finansinė parama teikiama kaip </w:t>
            </w:r>
            <w:r w:rsidRPr="00D33000">
              <w:rPr>
                <w:b/>
                <w:i/>
                <w:lang w:val="lt-LT"/>
              </w:rPr>
              <w:t>ekonomiškai efektyvi</w:t>
            </w:r>
            <w:r w:rsidRPr="00D33000">
              <w:rPr>
                <w:lang w:val="lt-LT"/>
              </w:rPr>
              <w:t xml:space="preserve"> indėlių garantijų sistemos intervencija, siekiant išsaugoti kredito įstaigos finansinį patikimumą ir ilgalaikį gyvybingumą laikantis Direktyvos 2014/49/ES 11a ir 11b straipsniuose nustatytų sąlygų, su sąlyga, kad nėra 18 straipsnio 4 dalyje nurodytų aplinkybių;</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238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Luděk Niedermayer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1 dalies c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c)</w:t>
            </w:r>
            <w:r w:rsidRPr="00D33000">
              <w:rPr>
                <w:lang w:val="lt-LT"/>
              </w:rPr>
              <w:tab/>
              <w:t>kai nepaprastoji viešoji finansinė parama teikiama kaip indėlių garantijų sistemos intervencija likviduojant įstaigą pagal Direktyvos 2014/59/ES 32b straipsnį ir laikantis Direktyvos 2014/49/ES 11 straipsnio 5 dalyje nustatytų sąlygų;</w:t>
            </w:r>
          </w:p>
        </w:tc>
        <w:tc>
          <w:tcPr>
            <w:tcW w:w="4876" w:type="dxa"/>
            <w:hideMark/>
          </w:tcPr>
          <w:p w:rsidR="000E7A9E" w:rsidRPr="00D33000" w:rsidRDefault="000E7A9E" w:rsidP="009E0AF6">
            <w:pPr>
              <w:pStyle w:val="Normal6"/>
              <w:rPr>
                <w:szCs w:val="24"/>
                <w:lang w:val="lt-LT"/>
              </w:rPr>
            </w:pPr>
            <w:r w:rsidRPr="00D33000">
              <w:rPr>
                <w:lang w:val="lt-LT"/>
              </w:rPr>
              <w:t>c)</w:t>
            </w:r>
            <w:r w:rsidRPr="00D33000">
              <w:rPr>
                <w:lang w:val="lt-LT"/>
              </w:rPr>
              <w:tab/>
              <w:t xml:space="preserve">kai nepaprastoji viešoji finansinė parama teikiama kaip </w:t>
            </w:r>
            <w:r w:rsidRPr="00D33000">
              <w:rPr>
                <w:b/>
                <w:i/>
                <w:lang w:val="lt-LT"/>
              </w:rPr>
              <w:t>ekonomiškai efektyvi</w:t>
            </w:r>
            <w:r w:rsidRPr="00D33000">
              <w:rPr>
                <w:lang w:val="lt-LT"/>
              </w:rPr>
              <w:t xml:space="preserve"> indėlių garantijų sistemos intervencija likviduojant įstaigą pagal Direktyvos 2014/59/ES 32b straipsnį ir laikantis Direktyvos 2014/49/ES 11 straipsnio 5 dalyje nustatytų sąlygų;</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239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1 dalies d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d)</w:t>
            </w:r>
            <w:r w:rsidRPr="00D33000">
              <w:rPr>
                <w:b/>
                <w:i/>
                <w:lang w:val="lt-LT"/>
              </w:rPr>
              <w:tab/>
              <w:t>kai nepaprastoji viešoji finansinė parama yra valstybės pagalba, apibrėžta SESV 107 straipsnio 1 dalyje, teikiama likviduojant įstaigą arba subjektą pagal Direktyvos 2014/59/ES 32b straipsnį, išskyrus paramą, teikiamą iš indėlių garantijų sistemos pagal Direktyvos 2014/49/ES 11 straipsnio 5 dalį.</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240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2 dalies 1 pastraipos įžanginė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1 dalies a </w:t>
            </w:r>
            <w:r w:rsidRPr="00D33000">
              <w:rPr>
                <w:b/>
                <w:bCs/>
                <w:i/>
                <w:iCs/>
                <w:lang w:val="lt-LT"/>
              </w:rPr>
              <w:t>punkte</w:t>
            </w:r>
            <w:r w:rsidRPr="00D33000">
              <w:rPr>
                <w:lang w:val="lt-LT"/>
              </w:rPr>
              <w:t xml:space="preserve"> nurodytos paramos priemonės turi atitikti visas šias sąlygas:</w:t>
            </w:r>
          </w:p>
        </w:tc>
        <w:tc>
          <w:tcPr>
            <w:tcW w:w="4876" w:type="dxa"/>
            <w:hideMark/>
          </w:tcPr>
          <w:p w:rsidR="000E7A9E" w:rsidRPr="00D33000" w:rsidRDefault="000E7A9E" w:rsidP="009E0AF6">
            <w:pPr>
              <w:pStyle w:val="Normal6"/>
              <w:rPr>
                <w:szCs w:val="24"/>
                <w:lang w:val="lt-LT"/>
              </w:rPr>
            </w:pPr>
            <w:r w:rsidRPr="00D33000">
              <w:rPr>
                <w:lang w:val="lt-LT"/>
              </w:rPr>
              <w:t xml:space="preserve">1 dalies a </w:t>
            </w:r>
            <w:r w:rsidRPr="00D33000">
              <w:rPr>
                <w:b/>
                <w:i/>
                <w:lang w:val="lt-LT"/>
              </w:rPr>
              <w:t>ir b punktuose</w:t>
            </w:r>
            <w:r w:rsidRPr="00D33000">
              <w:rPr>
                <w:lang w:val="lt-LT"/>
              </w:rPr>
              <w:t xml:space="preserve"> nurodytos paramos priemonės turi atitikti visas šias sąlygas: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Prevencinėms paramos formoms turėtų būti taikomos vienodos sąlygos, kad būtų išsaugotos vienodos sąlygos, nepriklausomai nuo to, ar jos gaunamos iš viešųjų lėšų, ar iš privačios IGS. Prevencinio rekapitalizavimo atveju turi būti užtikrinta, kad būtų taikomas tinkamiausias vertinimas.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241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2 dalies 1 pastraipos įžanginė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1 dalies </w:t>
            </w:r>
            <w:r w:rsidRPr="00D33000">
              <w:rPr>
                <w:b/>
                <w:i/>
                <w:lang w:val="lt-LT"/>
              </w:rPr>
              <w:t>a</w:t>
            </w:r>
            <w:r w:rsidRPr="00D33000">
              <w:rPr>
                <w:lang w:val="lt-LT"/>
              </w:rPr>
              <w:t xml:space="preserve"> punkte nurodytos paramos priemonės turi atitikti visas šias sąlygas:</w:t>
            </w:r>
          </w:p>
        </w:tc>
        <w:tc>
          <w:tcPr>
            <w:tcW w:w="4876" w:type="dxa"/>
            <w:hideMark/>
          </w:tcPr>
          <w:p w:rsidR="000E7A9E" w:rsidRPr="00D33000" w:rsidRDefault="000E7A9E" w:rsidP="009E0AF6">
            <w:pPr>
              <w:pStyle w:val="Normal6"/>
              <w:rPr>
                <w:szCs w:val="24"/>
                <w:lang w:val="lt-LT"/>
              </w:rPr>
            </w:pPr>
            <w:r w:rsidRPr="00D33000">
              <w:rPr>
                <w:lang w:val="lt-LT"/>
              </w:rPr>
              <w:t xml:space="preserve">1 dalies </w:t>
            </w:r>
            <w:r w:rsidRPr="00D33000">
              <w:rPr>
                <w:b/>
                <w:i/>
                <w:lang w:val="lt-LT"/>
              </w:rPr>
              <w:t>b</w:t>
            </w:r>
            <w:r w:rsidRPr="00D33000">
              <w:rPr>
                <w:lang w:val="lt-LT"/>
              </w:rPr>
              <w:t xml:space="preserve"> punkte nurodytos paramos priemonės turi atitikti visas šias sąlygas: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242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2 dalies 1 pastraipos b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b)</w:t>
            </w:r>
            <w:r w:rsidRPr="00D33000">
              <w:rPr>
                <w:lang w:val="lt-LT"/>
              </w:rPr>
              <w:tab/>
              <w:t>priemonės yra prevencinės ir laikinos ir yra grindžiamos ECB arba atitinkama nacionalinė kompetentinga institucija patvirtinta iš anksto nustatyta pasitraukimo strategija</w:t>
            </w:r>
            <w:r w:rsidRPr="00D33000">
              <w:rPr>
                <w:b/>
                <w:i/>
                <w:lang w:val="lt-LT"/>
              </w:rPr>
              <w:t>, įskaitant aiškiai nurodytą bet kurios numatytos priemonės galiojimo pabaigos datą, pardavimo datą arba grąžinimo tvarkaraštį</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b)</w:t>
            </w:r>
            <w:r w:rsidRPr="00D33000">
              <w:rPr>
                <w:lang w:val="lt-LT"/>
              </w:rPr>
              <w:tab/>
              <w:t>priemonės yra prevencinės ir laikinos ir yra grindžiamos ECB arba atitinkamos nacionalinės kompetentingos institucijos patvirtinta iš anksto nustatyta pasitraukimo strategija;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243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Eero Heinäluoma</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2 dalies 1 pastraipos d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d)</w:t>
            </w:r>
            <w:r w:rsidRPr="00D33000">
              <w:rPr>
                <w:lang w:val="lt-LT"/>
              </w:rPr>
              <w:tab/>
              <w:t xml:space="preserve">priemonės nenaudojamos nuostoliams, kuriuos subjektas patyrė arba gali patirti </w:t>
            </w:r>
            <w:r w:rsidRPr="00D33000">
              <w:rPr>
                <w:b/>
                <w:i/>
                <w:lang w:val="lt-LT"/>
              </w:rPr>
              <w:t>artimiausioje ateityje</w:t>
            </w:r>
            <w:r w:rsidRPr="00D33000">
              <w:rPr>
                <w:lang w:val="lt-LT"/>
              </w:rPr>
              <w:t>, kompensuoti.</w:t>
            </w:r>
          </w:p>
        </w:tc>
        <w:tc>
          <w:tcPr>
            <w:tcW w:w="4876" w:type="dxa"/>
            <w:hideMark/>
          </w:tcPr>
          <w:p w:rsidR="000E7A9E" w:rsidRPr="00D33000" w:rsidRDefault="000E7A9E" w:rsidP="009E0AF6">
            <w:pPr>
              <w:pStyle w:val="Normal6"/>
              <w:rPr>
                <w:szCs w:val="24"/>
                <w:lang w:val="lt-LT"/>
              </w:rPr>
            </w:pPr>
            <w:r w:rsidRPr="00D33000">
              <w:rPr>
                <w:lang w:val="lt-LT"/>
              </w:rPr>
              <w:t>d)</w:t>
            </w:r>
            <w:r w:rsidRPr="00D33000">
              <w:rPr>
                <w:lang w:val="lt-LT"/>
              </w:rPr>
              <w:tab/>
              <w:t xml:space="preserve">priemonės nenaudojamos nuostoliams, kuriuos subjektas patyrė arba gali patirti </w:t>
            </w:r>
            <w:r w:rsidRPr="00D33000">
              <w:rPr>
                <w:b/>
                <w:i/>
                <w:lang w:val="lt-LT"/>
              </w:rPr>
              <w:t>per ateinančius 12 mėnesių</w:t>
            </w:r>
            <w:r w:rsidRPr="00D33000">
              <w:rPr>
                <w:lang w:val="lt-LT"/>
              </w:rPr>
              <w:t>, kompensuoti.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244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2 dalies 1 pastraipos d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d)</w:t>
            </w:r>
            <w:r w:rsidRPr="00D33000">
              <w:rPr>
                <w:lang w:val="lt-LT"/>
              </w:rPr>
              <w:tab/>
              <w:t xml:space="preserve">priemonės nenaudojamos nuostoliams, kuriuos subjektas patyrė arba gali patirti </w:t>
            </w:r>
            <w:r w:rsidRPr="00D33000">
              <w:rPr>
                <w:b/>
                <w:i/>
                <w:lang w:val="lt-LT"/>
              </w:rPr>
              <w:t>artimiausioje ateityje</w:t>
            </w:r>
            <w:r w:rsidRPr="00D33000">
              <w:rPr>
                <w:lang w:val="lt-LT"/>
              </w:rPr>
              <w:t>, kompensuoti.</w:t>
            </w:r>
          </w:p>
        </w:tc>
        <w:tc>
          <w:tcPr>
            <w:tcW w:w="4876" w:type="dxa"/>
            <w:hideMark/>
          </w:tcPr>
          <w:p w:rsidR="000E7A9E" w:rsidRPr="00D33000" w:rsidRDefault="000E7A9E" w:rsidP="009E0AF6">
            <w:pPr>
              <w:pStyle w:val="Normal6"/>
              <w:rPr>
                <w:szCs w:val="24"/>
                <w:lang w:val="lt-LT"/>
              </w:rPr>
            </w:pPr>
            <w:r w:rsidRPr="00D33000">
              <w:rPr>
                <w:lang w:val="lt-LT"/>
              </w:rPr>
              <w:t>d)</w:t>
            </w:r>
            <w:r w:rsidRPr="00D33000">
              <w:rPr>
                <w:lang w:val="lt-LT"/>
              </w:rPr>
              <w:tab/>
              <w:t xml:space="preserve">priemonės nenaudojamos nuostoliams, kuriuos subjektas patyrė arba gali patirti </w:t>
            </w:r>
            <w:r w:rsidRPr="00D33000">
              <w:rPr>
                <w:b/>
                <w:i/>
                <w:lang w:val="lt-LT"/>
              </w:rPr>
              <w:t>ateinančius 12 mėnesių</w:t>
            </w:r>
            <w:r w:rsidRPr="00D33000">
              <w:rPr>
                <w:lang w:val="lt-LT"/>
              </w:rPr>
              <w:t>, kompensuoti.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245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Luděk Niedermayer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2 dalies 2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Pirmos pastraipos a punkto tikslais subjektas laikomas mokiu, jei ECB arba atitinkama nacionalinė kompetentinga institucija padarė išvadą, kad nebuvo pažeistas arba </w:t>
            </w:r>
            <w:r w:rsidRPr="00D33000">
              <w:rPr>
                <w:b/>
                <w:i/>
                <w:lang w:val="lt-LT"/>
              </w:rPr>
              <w:t>tikėtina</w:t>
            </w:r>
            <w:r w:rsidRPr="00D33000">
              <w:rPr>
                <w:lang w:val="lt-LT"/>
              </w:rPr>
              <w:t>, kad per ateinančius 12 mėnesių nebus pažeistas nė vienas iš Reglamento (ES) Nr. 575/2013 92 straipsnio 1 dalyje, Direktyvos 2013/36/ES 104a straipsnyje, Reglamento (ES) 2019/2033 11 straipsnio 1 dalyje, Direktyvos (ES) 2019/2034 40 straipsnyje arba atitinkamuose taikytinuose nacionalinės ar Sąjungos teisės aktuose nurodytų reikalavimų.</w:t>
            </w:r>
          </w:p>
        </w:tc>
        <w:tc>
          <w:tcPr>
            <w:tcW w:w="4876" w:type="dxa"/>
            <w:hideMark/>
          </w:tcPr>
          <w:p w:rsidR="000E7A9E" w:rsidRPr="00D33000" w:rsidRDefault="000E7A9E" w:rsidP="009E0AF6">
            <w:pPr>
              <w:pStyle w:val="Normal6"/>
              <w:rPr>
                <w:szCs w:val="24"/>
                <w:lang w:val="lt-LT"/>
              </w:rPr>
            </w:pPr>
            <w:r w:rsidRPr="00D33000">
              <w:rPr>
                <w:lang w:val="lt-LT"/>
              </w:rPr>
              <w:t xml:space="preserve">Pirmos pastraipos a punkto tikslais subjektas laikomas mokiu, jei ECB arba atitinkama nacionalinė kompetentinga institucija padarė išvadą, kad </w:t>
            </w:r>
            <w:r w:rsidRPr="00D33000">
              <w:rPr>
                <w:b/>
                <w:i/>
                <w:lang w:val="lt-LT"/>
              </w:rPr>
              <w:t>dabartinėmis ekonominėmis sąlygomis</w:t>
            </w:r>
            <w:r w:rsidRPr="00D33000">
              <w:rPr>
                <w:lang w:val="lt-LT"/>
              </w:rPr>
              <w:t xml:space="preserve"> nebuvo pažeistas arba </w:t>
            </w:r>
            <w:r w:rsidRPr="00D33000">
              <w:rPr>
                <w:b/>
                <w:i/>
                <w:lang w:val="lt-LT"/>
              </w:rPr>
              <w:t>numatoma</w:t>
            </w:r>
            <w:r w:rsidRPr="00D33000">
              <w:rPr>
                <w:lang w:val="lt-LT"/>
              </w:rPr>
              <w:t>, kad per ateinančius 12 mėnesių nebus pažeistas nė vienas iš Reglamento (ES) Nr. 575/2013 92 straipsnio 1 dalyje, Direktyvos 2013/36/ES 104a straipsnyje, Reglamento (ES) 2019/2033 11 straipsnio 1 dalyje, Direktyvos (ES) 2019/2034 40 straipsnyje arba atitinkamuose taikytinuose nacionalinės ar Sąjungos teisės aktuose nurodytų reikalavimų.</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246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2 dalies 2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Pirmos pastraipos a punkto tikslais subjektas laikomas mokiu, jei ECB arba atitinkama nacionalinė kompetentinga institucija padarė išvadą, kad nebuvo pažeistas </w:t>
            </w:r>
            <w:r w:rsidRPr="00D33000">
              <w:rPr>
                <w:b/>
                <w:i/>
                <w:lang w:val="lt-LT"/>
              </w:rPr>
              <w:t>arba tikėtina, kad per ateinančius 12 mėnesių nebus pažeistas</w:t>
            </w:r>
            <w:r w:rsidRPr="00D33000">
              <w:rPr>
                <w:lang w:val="lt-LT"/>
              </w:rPr>
              <w:t xml:space="preserve"> nė vienas iš Reglamento (ES) Nr. 575/2013 92 straipsnio 1 dalyje, Direktyvos 2013/36/ES 104a straipsnyje, Reglamento (ES) 2019/2033 11 straipsnio 1 dalyje, Direktyvos (ES) 2019/2034 40 straipsnyje arba atitinkamuose taikytinuose nacionalinės ar Sąjungos teisės aktuose nurodytų reikalavimų.</w:t>
            </w:r>
          </w:p>
        </w:tc>
        <w:tc>
          <w:tcPr>
            <w:tcW w:w="4876" w:type="dxa"/>
            <w:hideMark/>
          </w:tcPr>
          <w:p w:rsidR="000E7A9E" w:rsidRPr="00D33000" w:rsidRDefault="000E7A9E" w:rsidP="009E0AF6">
            <w:pPr>
              <w:pStyle w:val="Normal6"/>
              <w:rPr>
                <w:szCs w:val="24"/>
                <w:lang w:val="lt-LT"/>
              </w:rPr>
            </w:pPr>
            <w:r w:rsidRPr="00D33000">
              <w:rPr>
                <w:lang w:val="lt-LT"/>
              </w:rPr>
              <w:t>Pirmos pastraipos a punkto tikslais subjektas laikomas mokiu, jei ECB arba atitinkama nacionalinė kompetentinga institucija padarė išvadą, kad nebuvo pažeistas nė vienas iš Reglamento (ES) Nr. 575/2013 92 straipsnio 1 dalyje, Direktyvos 2013/36/ES 104a straipsnyje, Reglamento (ES) 2019/2033 11 straipsnio 1 dalyje, Direktyvos (ES) 2019/2034 40 straipsnyje arba atitinkamuose taikytinuose nacionalinės ar Sąjungos teisės aktuose nurodytų reikalavimų.</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247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2 dalies 2 a pastraipa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ECB arba atitinkama nacionalinė kompetentinga institucija gali laikyti subjektą mokiu, jei nustato, kad antroje pastraipoje nurodytų reikalavimų pažeidimas yra laikinas, atsižvelgiant į konkrečias kiekvieno atvejo aplinkybes, ir jei subjektas gali pateikti pagrįstą planą, kaip ištaisyti pažeidimą per ECB arba atitinkamos nacionalinės kompetentingos institucijos nustatytą tinkamą laikotarpį.</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248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2 dalies 3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Pirmos pastraipos d punkto tikslais atitinkama kompetentinga institucija kiekybiškai įvertina nuostolius, kuriuos subjektas patyrė arba gali patirti. Tas kiekybinis įvertinimas grindžiamas bent įstaigos balansu, jei balansas atitinka taikomas apskaitos taisykles ir standartus, patvirtintu nepriklausomo išorės auditoriaus</w:t>
            </w:r>
            <w:r w:rsidRPr="00D33000">
              <w:rPr>
                <w:b/>
                <w:i/>
                <w:lang w:val="lt-LT"/>
              </w:rPr>
              <w:t>, ir, jei yra, turto kokybės patikrinimais, kuriuos atliko ECB, EBI arba nacionalinės institucijos, arba, kai tinkama, ECB arba atitinkamos nacionalinės kompetentingos institucijos atliktais patikrinimais vietoje</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 xml:space="preserve">Pirmos pastraipos d punkto tikslais atitinkama kompetentinga institucija kiekybiškai įvertina nuostolius, kuriuos subjektas patyrė arba gali patirti. Tas kiekybinis įvertinimas grindžiamas bent </w:t>
            </w:r>
            <w:r w:rsidRPr="00D33000">
              <w:rPr>
                <w:b/>
                <w:i/>
                <w:lang w:val="lt-LT"/>
              </w:rPr>
              <w:t>ECB, EBI ar nacionalinių institucijų atliktais turto kokybės vertinimais arba, kai tinkama, kompetentingos institucijos atliekamais patikrinimais vietoje. Kai tokių veiksmų negalima atlikti laiku, kompetentinga institucija savo vertinimą gali grįsti</w:t>
            </w:r>
            <w:r w:rsidRPr="00D33000">
              <w:rPr>
                <w:lang w:val="lt-LT"/>
              </w:rPr>
              <w:t xml:space="preserve"> įstaigos balansu, jei balansas atitinka taikomas apskaitos taisykles ir standartus, patvirtintu nepriklausomo išorės auditoriaus</w:t>
            </w:r>
            <w:r w:rsidRPr="00D33000">
              <w:rPr>
                <w:b/>
                <w:i/>
                <w:lang w:val="lt-LT"/>
              </w:rPr>
              <w:t>. Kompetentinga institucija deda visas pastangas siekdama užtikrinti, kad kiekybinis įvertinimas būtų grindžiamas įstaigos arba subjekto turto, įsipareigojimų ir nebalansinių straipsnių rinkos verte</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Prevencinėms paramos formoms turėtų būti taikomos vienodos sąlygos, kad būtų išsaugotos vienodos sąlygos, nepriklausomai nuo to, ar jos gaunamos iš viešųjų lėšų, ar iš privačios IGS. Prevencinio rekapitalizavimo atveju turi būti užtikrinta, kad būtų taikomas tinkamiausias vertinimas.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249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Eero Heinäluoma</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2 dalies 3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Pirmos pastraipos d punkto tikslais atitinkama kompetentinga institucija kiekybiškai įvertina nuostolius, kuriuos subjektas patyrė arba gali patirti. Tas kiekybinis įvertinimas grindžiamas bent įstaigos balansu, jei balansas atitinka taikomas apskaitos taisykles ir standartus, patvirtintu nepriklausomo išorės auditoriaus</w:t>
            </w:r>
            <w:r w:rsidRPr="00D33000">
              <w:rPr>
                <w:b/>
                <w:i/>
                <w:lang w:val="lt-LT"/>
              </w:rPr>
              <w:t>, ir, jei yra, turto kokybės patikrinimais, kuriuos atliko ECB, EBI arba nacionalinės institucijos, arba, kai tinkama, ECB arba atitinkamos nacionalinės kompetentingos institucijos atliktais patikrinimais vietoje</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 xml:space="preserve">Pirmos pastraipos d punkto tikslais atitinkama kompetentinga institucija kiekybiškai įvertina nuostolius, kuriuos subjektas patyrė arba gali patirti. Tas kiekybinis įvertinimas grindžiamas bent </w:t>
            </w:r>
            <w:r w:rsidRPr="00D33000">
              <w:rPr>
                <w:b/>
                <w:i/>
                <w:lang w:val="lt-LT"/>
              </w:rPr>
              <w:t>ECB, EBI ar nacionalinių institucijų atliktais turto kokybės vertinimais arba, kai tinkama, ECB arba atitinkamos nacionalinės kompetentingos institucijos atliktais patikrinimais vietoje. Kai tokių veiksmų negalima atlikti laiku, kompetentinga institucija savo vertinimą gali grįsti</w:t>
            </w:r>
            <w:r w:rsidRPr="00D33000">
              <w:rPr>
                <w:lang w:val="lt-LT"/>
              </w:rPr>
              <w:t xml:space="preserve"> įstaigos balansu, jei balansas atitinka taikomas apskaitos taisykles ir standartus, patvirtintu nepriklausomo išorės auditoriaus.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250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2 dalies 4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1 dalies a punkto iii papunktyje nurodytomis</w:t>
            </w:r>
            <w:r w:rsidRPr="00D33000">
              <w:rPr>
                <w:lang w:val="lt-LT"/>
              </w:rPr>
              <w:t xml:space="preserve"> paramos </w:t>
            </w:r>
            <w:r w:rsidRPr="00D33000">
              <w:rPr>
                <w:b/>
                <w:i/>
                <w:lang w:val="lt-LT"/>
              </w:rPr>
              <w:t>priemonėmis</w:t>
            </w:r>
            <w:r w:rsidRPr="00D33000">
              <w:rPr>
                <w:lang w:val="lt-LT"/>
              </w:rPr>
              <w:t xml:space="preserve"> gali būti tik tos priemonės, kurias ECB arba nacionalinė kompetentinga institucija įvertino kaip būtinas subjekto mokumui išlaikyti, pašalinant jo kapitalo trūkumą, nustatytą atlikus nacionalinio, Sąjungos ar BPM lygmens testavimą nepalankiausiomis sąlygomis arba ECB, EBI ar nacionalinių institucijų atliktą lygiavertę veiklą pagal nepalankųjį scenarijų ir, jei taikoma, patvirtintą ECB arba atitinkamos nacionalinės kompetentingos institucijos.</w:t>
            </w:r>
          </w:p>
        </w:tc>
        <w:tc>
          <w:tcPr>
            <w:tcW w:w="4876" w:type="dxa"/>
            <w:hideMark/>
          </w:tcPr>
          <w:p w:rsidR="000E7A9E" w:rsidRPr="00D33000" w:rsidRDefault="000E7A9E" w:rsidP="009E0AF6">
            <w:pPr>
              <w:pStyle w:val="Normal6"/>
              <w:rPr>
                <w:szCs w:val="24"/>
                <w:lang w:val="lt-LT"/>
              </w:rPr>
            </w:pPr>
            <w:r w:rsidRPr="00D33000">
              <w:rPr>
                <w:lang w:val="lt-LT"/>
              </w:rPr>
              <w:t xml:space="preserve">Paramos </w:t>
            </w:r>
            <w:r w:rsidRPr="00D33000">
              <w:rPr>
                <w:b/>
                <w:i/>
                <w:lang w:val="lt-LT"/>
              </w:rPr>
              <w:t>priemonės</w:t>
            </w:r>
            <w:r w:rsidRPr="00D33000">
              <w:rPr>
                <w:lang w:val="lt-LT"/>
              </w:rPr>
              <w:t xml:space="preserve"> gali būti </w:t>
            </w:r>
            <w:r w:rsidRPr="00D33000">
              <w:rPr>
                <w:b/>
                <w:i/>
                <w:lang w:val="lt-LT"/>
              </w:rPr>
              <w:t>susijusios su nuosavų lėšų priemonių, išskyrus bendro 1 lygio nuosavo kapitalo priemones, arba kitų kapitalo priemonių įsigijimu arba nuvertėjusio turto priemonių naudojimu tokiomis kainomis, trukme ir sąlygomis, kuriomis atitinkamai įstaigai ar subjektui nesuteikiamas nederamas pranašumas, jei viešosios paramos suteikimo metu nėra nei 18 straipsnio 4 dalies a, b ar c punkte nurodytų aplinkybių, nei 21 straipsnio 1 dalyje nurodytų aplinkybių.</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Paramos priemonėmis gali būti</w:t>
            </w:r>
            <w:r w:rsidRPr="00D33000">
              <w:rPr>
                <w:lang w:val="lt-LT"/>
              </w:rPr>
              <w:t xml:space="preserve"> tik tos priemonės, kurias ECB arba nacionalinė kompetentinga institucija įvertino kaip būtinas subjekto mokumui išlaikyti, pašalinant jo kapitalo trūkumą, nustatytą atlikus nacionalinio, Sąjungos ar BPM lygmens testavimą nepalankiausiomis sąlygomis arba ECB, EBI ar nacionalinių institucijų atliktą lygiavertę veiklą pagal nepalankųjį scenarijų ir, jei taikoma, patvirtintą ECB arba atitinkamos nacionalinės kompetentingos institucijos. </w:t>
            </w:r>
            <w:r w:rsidRPr="00D33000">
              <w:rPr>
                <w:b/>
                <w:i/>
                <w:lang w:val="lt-LT"/>
              </w:rPr>
              <w:t>Parama nenaudojama kapitalo trūkumui, nustatytam pagal nacionalinio, Sąjungos ar BPM masto testavimo nepalankiausiomis sąlygomis arba lygiavertes Europos Centrinio Banko, EBI ar nacionalinių institucijų atliekamo testavimo nepalankiausiomis sąlygomis bazinį scenarijų, spręsti.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251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2 dalies 5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Nukrypstant nuo 1 dalies a punkto iii papunkčio, išimties tvarka</w:t>
            </w:r>
            <w:r w:rsidRPr="00D33000">
              <w:rPr>
                <w:lang w:val="lt-LT"/>
              </w:rPr>
              <w:t xml:space="preserve"> leidžiama įsigyti bendro 1 lygio nuosavo kapitalo priemonių, jei nustatyto trūkumo pobūdis yra toks, kad įsigijus bet kokias kitas nuosavų lėšų priemones ar kitas kapitalo priemones atitinkamam subjektui nebūtų įmanoma pašalinti kapitalo trūkumo, nustatyto atlikus atitinkamą testavimą nepalankiausiomis sąlygomis arba lygiavertę veiklą pagal nepalankųjį scenarijų. </w:t>
            </w:r>
            <w:r w:rsidRPr="00D33000">
              <w:rPr>
                <w:b/>
                <w:i/>
                <w:lang w:val="lt-LT"/>
              </w:rPr>
              <w:t>Įsigytų bendro 1 lygio nuosavo kapitalo priemonių suma neviršija 2 proc. atitinkamos įstaigos arba subjekto bendros rizikos pozicijos sumos, apskaičiuotos pagal Reglamento (ES) Nr. 575/2013 92 straipsnio 3 dalį.</w:t>
            </w:r>
          </w:p>
        </w:tc>
        <w:tc>
          <w:tcPr>
            <w:tcW w:w="4876" w:type="dxa"/>
            <w:hideMark/>
          </w:tcPr>
          <w:p w:rsidR="000E7A9E" w:rsidRPr="00D33000" w:rsidRDefault="000E7A9E" w:rsidP="009E0AF6">
            <w:pPr>
              <w:pStyle w:val="Normal6"/>
              <w:rPr>
                <w:szCs w:val="24"/>
                <w:lang w:val="lt-LT"/>
              </w:rPr>
            </w:pPr>
            <w:r w:rsidRPr="00D33000">
              <w:rPr>
                <w:lang w:val="lt-LT"/>
              </w:rPr>
              <w:t>Leidžiama įsigyti bendro 1 lygio nuosavo kapitalo priemonių, jei nustatyto trūkumo pobūdis yra toks, kad įsigijus bet kokias kitas nuosavų lėšų priemones ar kitas kapitalo priemones atitinkamam subjektui nebūtų įmanoma pašalinti kapitalo trūkumo, nustatyto atlikus atitinkamą testavimą nepalankiausiomis sąlygomis arba lygiavertę veiklą pagal nepalankųjį scenarijų.</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252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2 dalies 5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Nukrypstant nuo </w:t>
            </w:r>
            <w:r w:rsidRPr="00D33000">
              <w:rPr>
                <w:b/>
                <w:i/>
                <w:lang w:val="lt-LT"/>
              </w:rPr>
              <w:t>1 dalies a punkto iii papunkčio</w:t>
            </w:r>
            <w:r w:rsidRPr="00D33000">
              <w:rPr>
                <w:lang w:val="lt-LT"/>
              </w:rPr>
              <w:t>, išimties tvarka leidžiama įsigyti bendro 1 lygio nuosavo kapitalo priemonių, jei nustatyto trūkumo pobūdis yra toks, kad įsigijus bet kokias kitas nuosavų lėšų priemones ar kitas kapitalo priemones atitinkamam subjektui nebūtų įmanoma pašalinti kapitalo trūkumo, nustatyto atlikus atitinkamą testavimą nepalankiausiomis sąlygomis arba lygiavertę veiklą pagal nepalankųjį scenarijų. Įsigytų bendro 1 lygio nuosavo kapitalo priemonių suma neviršija 2 proc. atitinkamos įstaigos arba subjekto bendros rizikos pozicijos sumos, apskaičiuotos pagal Reglamento (ES) Nr. 575/2013 92 straipsnio 3 dalį.</w:t>
            </w:r>
          </w:p>
        </w:tc>
        <w:tc>
          <w:tcPr>
            <w:tcW w:w="4876" w:type="dxa"/>
            <w:hideMark/>
          </w:tcPr>
          <w:p w:rsidR="000E7A9E" w:rsidRPr="00D33000" w:rsidRDefault="000E7A9E" w:rsidP="009E0AF6">
            <w:pPr>
              <w:pStyle w:val="Normal6"/>
              <w:rPr>
                <w:szCs w:val="24"/>
                <w:lang w:val="lt-LT"/>
              </w:rPr>
            </w:pPr>
            <w:r w:rsidRPr="00D33000">
              <w:rPr>
                <w:lang w:val="lt-LT"/>
              </w:rPr>
              <w:t xml:space="preserve">Nukrypstant nuo </w:t>
            </w:r>
            <w:r w:rsidRPr="00D33000">
              <w:rPr>
                <w:b/>
                <w:i/>
                <w:lang w:val="lt-LT"/>
              </w:rPr>
              <w:t>ketvirtos pastraipos</w:t>
            </w:r>
            <w:r w:rsidRPr="00D33000">
              <w:rPr>
                <w:lang w:val="lt-LT"/>
              </w:rPr>
              <w:t>, išimties tvarka leidžiama įsigyti bendro 1 lygio nuosavo kapitalo priemonių, jei nustatyto trūkumo pobūdis yra toks, kad įsigijus bet kokias kitas nuosavų lėšų priemones ar kitas kapitalo priemones atitinkamam subjektui nebūtų įmanoma pašalinti kapitalo trūkumo, nustatyto atlikus atitinkamą testavimą nepalankiausiomis sąlygomis arba lygiavertę veiklą pagal nepalankųjį scenarijų. Įsigytų bendro 1 lygio nuosavo kapitalo priemonių suma neviršija 2 proc. atitinkamos įstaigos arba subjekto bendros rizikos pozicijos sumos, apskaičiuotos pagal Reglamento (ES) Nr. 575/2013 92 straipsnio 3 dalį.</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253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2 dalies 6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Jei kuri nors iš 1 dalies a </w:t>
            </w:r>
            <w:r w:rsidRPr="00D33000">
              <w:rPr>
                <w:b/>
                <w:bCs/>
                <w:i/>
                <w:iCs/>
                <w:lang w:val="lt-LT"/>
              </w:rPr>
              <w:t>punkte</w:t>
            </w:r>
            <w:r w:rsidRPr="00D33000">
              <w:rPr>
                <w:lang w:val="lt-LT"/>
              </w:rPr>
              <w:t xml:space="preserve"> nurodytų paramos priemonių neišperkama, negrąžinama arba kitaip nenutraukiama pagal pasitraukimo strategijos, nustatytos tokios priemonės suteikimo metu, sąlygas, ECB arba atitinkama nacionalinė kompetentinga institucija padaro išvadą, kad įstaiga arba subjektas, kuriam tos paramos priemonės suteiktos, tenkina 18 straipsnio 1 dalies a punkte nustatytą sąlygą, ir apie tą vertinimą praneša Komisijai ir Valdybai pagal 18 straipsnio 1 dalies trečią pastraipą.“;</w:t>
            </w:r>
          </w:p>
        </w:tc>
        <w:tc>
          <w:tcPr>
            <w:tcW w:w="4876" w:type="dxa"/>
            <w:hideMark/>
          </w:tcPr>
          <w:p w:rsidR="000E7A9E" w:rsidRPr="00D33000" w:rsidRDefault="000E7A9E" w:rsidP="009E0AF6">
            <w:pPr>
              <w:pStyle w:val="Normal6"/>
              <w:rPr>
                <w:szCs w:val="24"/>
                <w:lang w:val="lt-LT"/>
              </w:rPr>
            </w:pPr>
            <w:r w:rsidRPr="00D33000">
              <w:rPr>
                <w:lang w:val="lt-LT"/>
              </w:rPr>
              <w:t xml:space="preserve">Jei kuri nors iš 1 dalies a </w:t>
            </w:r>
            <w:r w:rsidRPr="00D33000">
              <w:rPr>
                <w:b/>
                <w:i/>
                <w:lang w:val="lt-LT"/>
              </w:rPr>
              <w:t>ir b punktuose</w:t>
            </w:r>
            <w:r w:rsidRPr="00D33000">
              <w:rPr>
                <w:lang w:val="lt-LT"/>
              </w:rPr>
              <w:t xml:space="preserve"> nurodytų paramos priemonių neišperkama, negrąžinama arba kitaip nenutraukiama pagal pasitraukimo strategijos, nustatytos tokios priemonės suteikimo metu, sąlygas, ECB arba atitinkama nacionalinė kompetentinga institucija padaro išvadą, kad įstaiga arba subjektas, kuriam tos paramos priemonės suteiktos, tenkina 18 straipsnio 1 dalies a punkte nustatytą sąlygą, ir apie tą vertinimą praneša Komisijai ir Valdybai pagal 18 straipsnio 1 dalies trečią pastraipą.“;</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Prevencinėms paramos formoms turėtų būti taikomos vienodos sąlygos, kad būtų išsaugotos vienodos sąlygos, nepriklausomai nuo to, ar jos gaunamos iš viešųjų lėšų, ar iš privačios IGS. Prevencinio rekapitalizavimo atveju turi būti užtikrinta, kad būtų taikomas tinkamiausias vertinimas.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254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2 dalies 6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Jei kuri nors iš </w:t>
            </w:r>
            <w:r w:rsidRPr="00D33000">
              <w:rPr>
                <w:b/>
                <w:i/>
                <w:lang w:val="lt-LT"/>
              </w:rPr>
              <w:t>1 dalies a punkte nurodytų</w:t>
            </w:r>
            <w:r w:rsidRPr="00D33000">
              <w:rPr>
                <w:lang w:val="lt-LT"/>
              </w:rPr>
              <w:t xml:space="preserve"> paramos priemonių neišperkama, negrąžinama arba kitaip nenutraukiama pagal pasitraukimo strategijos, nustatytos tokios priemonės suteikimo metu, sąlygas, ECB arba atitinkama nacionalinė kompetentinga institucija padaro išvadą, kad įstaiga arba subjektas, kuriam tos paramos priemonės suteiktos, tenkina 18 straipsnio 1 dalies a punkte nustatytą sąlygą, ir apie tą vertinimą praneša Komisijai ir Valdybai pagal 18 straipsnio 1 dalies trečią pastraipą.“;</w:t>
            </w:r>
          </w:p>
        </w:tc>
        <w:tc>
          <w:tcPr>
            <w:tcW w:w="4876" w:type="dxa"/>
            <w:hideMark/>
          </w:tcPr>
          <w:p w:rsidR="000E7A9E" w:rsidRPr="00D33000" w:rsidRDefault="000E7A9E" w:rsidP="009E0AF6">
            <w:pPr>
              <w:pStyle w:val="Normal6"/>
              <w:rPr>
                <w:szCs w:val="24"/>
                <w:lang w:val="lt-LT"/>
              </w:rPr>
            </w:pPr>
            <w:r w:rsidRPr="00D33000">
              <w:rPr>
                <w:lang w:val="lt-LT"/>
              </w:rPr>
              <w:t>Jei kuri nors iš paramos priemonių neišperkama, negrąžinama arba kitaip nenutraukiama pagal pasitraukimo strategijos, nustatytos tokios priemonės suteikimo metu, sąlygas, ECB arba atitinkama nacionalinė kompetentinga institucija padaro išvadą, kad įstaiga arba subjektas, kuriam tos paramos priemonės suteiktos, tenkina 18 straipsnio 1 dalies a punkte nustatytą sąlygą, ir apie tą vertinimą praneša Komisijai ir Valdybai pagal 18 straipsnio 1 dalies trečią pastraipą.“;</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255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2 dalies 6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Jei kuri nors iš 1 dalies a punkte nurodytų paramos priemonių neišperkama, negrąžinama arba kitaip nenutraukiama pagal pasitraukimo strategijos, nustatytos tokios priemonės suteikimo metu, sąlygas, ECB arba atitinkama nacionalinė kompetentinga institucija </w:t>
            </w:r>
            <w:r w:rsidRPr="00D33000">
              <w:rPr>
                <w:b/>
                <w:i/>
                <w:lang w:val="lt-LT"/>
              </w:rPr>
              <w:t>padaro išvadą</w:t>
            </w:r>
            <w:r w:rsidRPr="00D33000">
              <w:rPr>
                <w:lang w:val="lt-LT"/>
              </w:rPr>
              <w:t>, kad įstaiga arba subjektas</w:t>
            </w:r>
            <w:r w:rsidRPr="00D33000">
              <w:rPr>
                <w:b/>
                <w:i/>
                <w:lang w:val="lt-LT"/>
              </w:rPr>
              <w:t>, kuriam tos paramos priemonės suteiktos, tenkina 18 straipsnio 1 dalies a punkte nustatytą sąlygą, ir apie tą vertinimą praneša Komisijai ir Valdybai pagal 18 straipsnio 1 dalies trečią pastraipą</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 xml:space="preserve">Jei kuri nors iš 1 dalies a punkte nurodytų paramos priemonių neišperkama, negrąžinama arba kitaip nenutraukiama pagal pasitraukimo strategijos, nustatytos tokios priemonės suteikimo metu, sąlygas, ECB arba atitinkama nacionalinė kompetentinga institucija </w:t>
            </w:r>
            <w:r w:rsidRPr="00D33000">
              <w:rPr>
                <w:b/>
                <w:i/>
                <w:lang w:val="lt-LT"/>
              </w:rPr>
              <w:t>pareikalauja</w:t>
            </w:r>
            <w:r w:rsidRPr="00D33000">
              <w:rPr>
                <w:lang w:val="lt-LT"/>
              </w:rPr>
              <w:t xml:space="preserve">, kad įstaiga arba subjektas </w:t>
            </w:r>
            <w:r w:rsidRPr="00D33000">
              <w:rPr>
                <w:b/>
                <w:i/>
                <w:lang w:val="lt-LT"/>
              </w:rPr>
              <w:t>pateiktų koregavimo planą, kuriame būtų aprašyti veiksmai, kurių ketinama imtis siekiant užtikrinti arba atkurti atitiktį priežiūros reikalavimams, ilgalaikį gyvybingumą ir grąžinti suteiktą sumą, taip pat būtų nurodytas susijęs laikotarpis</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256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2 dalies 6 a pastraipa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Jeigu ECB arba atitinkama nacionalinė kompetentinga institucija nemano, kad koregavimo planas yra patikimas ar įgyvendinamas, arba jei įstaiga ar subjektas nesilaiko koregavimo plano, pagal 18 straipsnį atliekamas vertinimas, ar įstaiga arba subjektas žlunga arba gali žlugti.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257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Roberts Zīle</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2 dalies 6 a pastraipa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Jeigu ECB arba atitinkama nacionalinė kompetentinga institucija nemano, kad koregavimo planas yra patikimas ar įgyvendinamas, arba jei įstaiga ar subjektas nesilaiko koregavimo plano, pagal 18 straipsnį atliekamas vertinimas, ar įstaiga arba subjektas žlunga arba gali žlugti.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258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18a straipsnio 2 a dalis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2a.</w:t>
            </w:r>
            <w:r w:rsidRPr="00D33000">
              <w:rPr>
                <w:b/>
                <w:i/>
                <w:lang w:val="lt-LT"/>
              </w:rPr>
              <w:tab/>
              <w:t>ECB arba atitinkama nacionalinė kompetentinga institucija informuoja Valdybą apie savo vertinimą ir nurodo, ar tenkinamos 2 dalies a, b ir d punktuose nurodytos sąlygos, susijusios su 7 straipsnio 2 dalyje nurodytais subjektais ir grupėmis ir 7 straipsnio 4 dalies b punkte bei 7 straipsnio 5 dalyje nurodytais subjektais ir grupėmis.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259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20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18 straipsnio 2 b dalis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2b.</w:t>
            </w:r>
            <w:r w:rsidRPr="00D33000">
              <w:rPr>
                <w:b/>
                <w:i/>
                <w:lang w:val="lt-LT"/>
              </w:rPr>
              <w:tab/>
              <w:t>Nukrypstant nuo 2 dalies d punkto, 1 dalies a punkte nurodytos paramos priemonės gali būti naudojamos nuostoliams, kuriuos įstaiga arba subjektas gali patirti artimiausioje ateityje, kompensuoti, jei pagal Sąjungos valstybės pagalbos sistemą taikoma naštos pasidalijimo reikalavimo išimtis.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260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21 punkto a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19 straipsnio 1 dalies 1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Kai į pertvarkymo veiksmus įeina valstybės pagalbos pagal SESV 107 straipsnio 1 dalį arba Fondo pagalbos pagal šio straipsnio 3 dalį teikimas, šio reglamento 18 straipsnio 6 dalyje nurodyta pertvarkymo schema neįsigalioja tol, kol Komisija nepriima sprendimo, kuriuo pritaria tokiai pagalbai be sąlygų arba su sąlygomis, arba sprendimo neprieštarauti tokiai pagalbai, dėl tokios pagalbos naudojimo suderinamumo su vidaus rinka. Komisija priima sprendimą dėl valstybės pagalbos arba Fondo pagalbos naudojimo suderinamumo su vidaus rinka ne vėliau kaip tada, kai ji patvirtina pertvarkymo schemą arba jai prieštarauja pagal 18 straipsnio 7 dalies antrą pastraipą arba kai baigiasi 18 straipsnio 7 dalies penktoje pastraipoje nurodytas 24 valandų laikotarpis, atsižvelgiant į tai, kuri data ankstesnė.</w:t>
            </w:r>
          </w:p>
        </w:tc>
        <w:tc>
          <w:tcPr>
            <w:tcW w:w="4876" w:type="dxa"/>
            <w:hideMark/>
          </w:tcPr>
          <w:p w:rsidR="000E7A9E" w:rsidRPr="00D33000" w:rsidRDefault="000E7A9E" w:rsidP="009E0AF6">
            <w:pPr>
              <w:pStyle w:val="Normal6"/>
              <w:rPr>
                <w:szCs w:val="24"/>
                <w:lang w:val="lt-LT"/>
              </w:rPr>
            </w:pPr>
            <w:r w:rsidRPr="00D33000">
              <w:rPr>
                <w:lang w:val="lt-LT"/>
              </w:rPr>
              <w:t>Kai į pertvarkymo veiksmus įeina valstybės pagalbos pagal SESV 107 straipsnio 1 dalį arba Fondo pagalbos pagal šio straipsnio 3 dalį teikimas, šio reglamento 18 straipsnio 6 dalyje nurodyta pertvarkymo schema neįsigalioja tol, kol Komisija nepriima sprendimo, kuriuo pritaria tokiai pagalbai be sąlygų arba su sąlygomis, arba sprendimo neprieštarauti tokiai pagalbai, dėl tokios pagalbos naudojimo suderinamumo su vidaus rinka</w:t>
            </w:r>
            <w:r w:rsidRPr="00D33000">
              <w:rPr>
                <w:b/>
                <w:i/>
                <w:lang w:val="lt-LT"/>
              </w:rPr>
              <w:t>, sykiu atsižvelgdama į poreikį, kad Valdyba pertvarkymo veiksmus įvykdytų laiku</w:t>
            </w:r>
            <w:r w:rsidRPr="00D33000">
              <w:rPr>
                <w:lang w:val="lt-LT"/>
              </w:rPr>
              <w:t xml:space="preserve">. Komisija priima sprendimą dėl valstybės pagalbos arba Fondo pagalbos naudojimo suderinamumo su vidaus rinka ne vėliau kaip tada, kai ji patvirtina pertvarkymo schemą arba jai prieštarauja pagal 18 straipsnio 7 dalies antrą pastraipą arba kai baigiasi 18 straipsnio 7 dalies penktoje pastraipoje nurodytas 24 valandų laikotarpis, atsižvelgiant į tai, kuri data ankstesnė. </w:t>
            </w:r>
            <w:r w:rsidRPr="00D33000">
              <w:rPr>
                <w:b/>
                <w:i/>
                <w:lang w:val="lt-LT"/>
              </w:rPr>
              <w:t>Jei toks sprendimas nepriimamas per 24 valandas po to, kai Valdyba perduoda pertvarkymo schemą, laikoma, kad Komisija leido taikyti pertvarkymo schemą ir ji įsigalioja pagal 18 straipsnio 7 dalies penktą pastraipą.</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261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Eero Heinäluoma</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21 punkto b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19 straipsnio 3 dalies 7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Komisija </w:t>
            </w:r>
            <w:r w:rsidRPr="00D33000">
              <w:rPr>
                <w:b/>
                <w:i/>
                <w:lang w:val="lt-LT"/>
              </w:rPr>
              <w:t>gali priimti</w:t>
            </w:r>
            <w:r w:rsidRPr="00D33000">
              <w:rPr>
                <w:lang w:val="lt-LT"/>
              </w:rPr>
              <w:t xml:space="preserve"> Valdybai skirtą neigiamą sprendimą, kai ji nusprendžia, kad siūlomas Fondo panaudojimas būtų nesuderinamas su vidaus rinka ir jo negalima panaudoti taip, kaip siūlo Valdyba. Gavusi tokį sprendimą, Valdyba persvarsto savo pertvarkymo schemą ir parengia patikslintą pertvarkymo schemą.“;</w:t>
            </w:r>
          </w:p>
        </w:tc>
        <w:tc>
          <w:tcPr>
            <w:tcW w:w="4876" w:type="dxa"/>
            <w:hideMark/>
          </w:tcPr>
          <w:p w:rsidR="000E7A9E" w:rsidRPr="00D33000" w:rsidRDefault="000E7A9E" w:rsidP="009E0AF6">
            <w:pPr>
              <w:pStyle w:val="Normal6"/>
              <w:rPr>
                <w:szCs w:val="24"/>
                <w:lang w:val="lt-LT"/>
              </w:rPr>
            </w:pPr>
            <w:r w:rsidRPr="00D33000">
              <w:rPr>
                <w:lang w:val="lt-LT"/>
              </w:rPr>
              <w:t xml:space="preserve">Komisija </w:t>
            </w:r>
            <w:r w:rsidRPr="00D33000">
              <w:rPr>
                <w:b/>
                <w:i/>
                <w:lang w:val="lt-LT"/>
              </w:rPr>
              <w:t>priima</w:t>
            </w:r>
            <w:r w:rsidRPr="00D33000">
              <w:rPr>
                <w:lang w:val="lt-LT"/>
              </w:rPr>
              <w:t xml:space="preserve"> Valdybai skirtą neigiamą sprendimą, kai ji nusprendžia, kad siūlomas Fondo panaudojimas būtų nesuderinamas su vidaus rinka ir jo negalima panaudoti taip, kaip siūlo Valdyba. Gavusi tokį sprendimą, Valdyba persvarsto savo pertvarkymo schemą ir parengia patikslintą pertvarkymo schemą.“;</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262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Luděk Niedermayer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22 punkto a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20 straipsnio 1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w:t>
            </w:r>
            <w:r w:rsidRPr="00D33000">
              <w:rPr>
                <w:lang w:val="lt-LT"/>
              </w:rPr>
              <w:tab/>
              <w:t>Prieš nustatydama, ar tenkinamos pertvarkymo sąlygos arba kapitalo priemonių ir tinkamų įsipareigojimų nurašymo arba konvertavimo sąlygos, nurodytos 21 straipsnio 1 straipsnyje, Valdyba užtikrina, kad teisingą, apdairų ir tikrovišką 2 straipsnyje nurodyto subjekto turto ir įsipareigojimų vertinimą atliktų nepriklausomas nuo viešųjų institucijų, įskaitant Valdybą ir nacionalinę pertvarkymo instituciją, ir nuo atitinkamo subjekto asmuo.“;</w:t>
            </w:r>
          </w:p>
        </w:tc>
        <w:tc>
          <w:tcPr>
            <w:tcW w:w="4876" w:type="dxa"/>
            <w:hideMark/>
          </w:tcPr>
          <w:p w:rsidR="000E7A9E" w:rsidRPr="00D33000" w:rsidRDefault="000E7A9E" w:rsidP="009E0AF6">
            <w:pPr>
              <w:pStyle w:val="Normal6"/>
              <w:rPr>
                <w:szCs w:val="24"/>
                <w:lang w:val="lt-LT"/>
              </w:rPr>
            </w:pPr>
            <w:r w:rsidRPr="00D33000">
              <w:rPr>
                <w:lang w:val="lt-LT"/>
              </w:rPr>
              <w:t>1.</w:t>
            </w:r>
            <w:r w:rsidRPr="00D33000">
              <w:rPr>
                <w:lang w:val="lt-LT"/>
              </w:rPr>
              <w:tab/>
              <w:t xml:space="preserve">Prieš nustatydama, ar tenkinamos pertvarkymo sąlygos arba kapitalo priemonių ir tinkamų įsipareigojimų nurašymo arba konvertavimo sąlygos, nurodytos 21 straipsnio 1 straipsnyje, Valdyba užtikrina, kad teisingą, apdairų ir tikrovišką 2 straipsnyje nurodyto subjekto turto ir įsipareigojimų vertinimą atliktų </w:t>
            </w:r>
            <w:r w:rsidRPr="00D33000">
              <w:rPr>
                <w:b/>
                <w:i/>
                <w:lang w:val="lt-LT"/>
              </w:rPr>
              <w:t>tinkamos kompetencijos,</w:t>
            </w:r>
            <w:r w:rsidRPr="00D33000">
              <w:rPr>
                <w:lang w:val="lt-LT"/>
              </w:rPr>
              <w:t xml:space="preserve"> nepriklausomas nuo viešųjų institucijų, įskaitant Valdybą ir nacionalinę pertvarkymo instituciją, ir nuo atitinkamo subjekto asmuo.“;</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263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22 punkto a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20 straipsnio 1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w:t>
            </w:r>
            <w:r w:rsidRPr="00D33000">
              <w:rPr>
                <w:lang w:val="lt-LT"/>
              </w:rPr>
              <w:tab/>
              <w:t xml:space="preserve">Prieš </w:t>
            </w:r>
            <w:r w:rsidRPr="00D33000">
              <w:rPr>
                <w:b/>
                <w:i/>
                <w:lang w:val="lt-LT"/>
              </w:rPr>
              <w:t>nustatydama, ar tenkinamos</w:t>
            </w:r>
            <w:r w:rsidRPr="00D33000">
              <w:rPr>
                <w:lang w:val="lt-LT"/>
              </w:rPr>
              <w:t xml:space="preserve"> pertvarkymo </w:t>
            </w:r>
            <w:r w:rsidRPr="00D33000">
              <w:rPr>
                <w:b/>
                <w:i/>
                <w:lang w:val="lt-LT"/>
              </w:rPr>
              <w:t>sąlygos arba</w:t>
            </w:r>
            <w:r w:rsidRPr="00D33000">
              <w:rPr>
                <w:lang w:val="lt-LT"/>
              </w:rPr>
              <w:t xml:space="preserve"> kapitalo priemonių ir tinkamų įsipareigojimų </w:t>
            </w:r>
            <w:r w:rsidRPr="00D33000">
              <w:rPr>
                <w:b/>
                <w:i/>
                <w:lang w:val="lt-LT"/>
              </w:rPr>
              <w:t>nurašymo arba konvertavimo sąlygos, nurodytos</w:t>
            </w:r>
            <w:r w:rsidRPr="00D33000">
              <w:rPr>
                <w:lang w:val="lt-LT"/>
              </w:rPr>
              <w:t xml:space="preserve"> 21 straipsnio 1 </w:t>
            </w:r>
            <w:r w:rsidRPr="00D33000">
              <w:rPr>
                <w:b/>
                <w:i/>
                <w:lang w:val="lt-LT"/>
              </w:rPr>
              <w:t>dalyje</w:t>
            </w:r>
            <w:r w:rsidRPr="00D33000">
              <w:rPr>
                <w:lang w:val="lt-LT"/>
              </w:rPr>
              <w:t>, Valdyba užtikrina, kad teisingą, apdairų ir tikrovišką 2 straipsnyje nurodyto subjekto turto ir įsipareigojimų vertinimą atliktų nepriklausomas nuo viešųjų institucijų, įskaitant Valdybą ir nacionalinę pertvarkymo instituciją, ir nuo atitinkamo subjekto asmuo.</w:t>
            </w:r>
            <w:r w:rsidRPr="00D33000">
              <w:rPr>
                <w:b/>
                <w:i/>
                <w:lang w:val="lt-LT"/>
              </w:rPr>
              <w:t>“;</w:t>
            </w:r>
          </w:p>
        </w:tc>
        <w:tc>
          <w:tcPr>
            <w:tcW w:w="4876" w:type="dxa"/>
            <w:hideMark/>
          </w:tcPr>
          <w:p w:rsidR="000E7A9E" w:rsidRPr="00D33000" w:rsidRDefault="000E7A9E" w:rsidP="009E0AF6">
            <w:pPr>
              <w:pStyle w:val="Normal6"/>
              <w:rPr>
                <w:szCs w:val="24"/>
                <w:lang w:val="lt-LT"/>
              </w:rPr>
            </w:pPr>
            <w:r w:rsidRPr="00D33000">
              <w:rPr>
                <w:lang w:val="lt-LT"/>
              </w:rPr>
              <w:t>1.</w:t>
            </w:r>
            <w:r w:rsidRPr="00D33000">
              <w:rPr>
                <w:lang w:val="lt-LT"/>
              </w:rPr>
              <w:tab/>
              <w:t xml:space="preserve">Prieš </w:t>
            </w:r>
            <w:r w:rsidRPr="00D33000">
              <w:rPr>
                <w:b/>
                <w:i/>
                <w:lang w:val="lt-LT"/>
              </w:rPr>
              <w:t>imdamasi</w:t>
            </w:r>
            <w:r w:rsidRPr="00D33000">
              <w:rPr>
                <w:lang w:val="lt-LT"/>
              </w:rPr>
              <w:t xml:space="preserve"> pertvarkymo </w:t>
            </w:r>
            <w:r w:rsidRPr="00D33000">
              <w:rPr>
                <w:b/>
                <w:i/>
                <w:lang w:val="lt-LT"/>
              </w:rPr>
              <w:t>veiksmų ar pasinaudojimo atitinkamų</w:t>
            </w:r>
            <w:r w:rsidRPr="00D33000">
              <w:rPr>
                <w:lang w:val="lt-LT"/>
              </w:rPr>
              <w:t xml:space="preserve"> kapitalo priemonių ir tinkamų įsipareigojimų </w:t>
            </w:r>
            <w:r w:rsidRPr="00D33000">
              <w:rPr>
                <w:b/>
                <w:i/>
                <w:lang w:val="lt-LT"/>
              </w:rPr>
              <w:t>pagal</w:t>
            </w:r>
            <w:r w:rsidRPr="00D33000">
              <w:rPr>
                <w:lang w:val="lt-LT"/>
              </w:rPr>
              <w:t xml:space="preserve"> 21 straipsnio 1 </w:t>
            </w:r>
            <w:r w:rsidRPr="00D33000">
              <w:rPr>
                <w:b/>
                <w:i/>
                <w:lang w:val="lt-LT"/>
              </w:rPr>
              <w:t>dalį</w:t>
            </w:r>
            <w:r w:rsidRPr="00D33000">
              <w:rPr>
                <w:lang w:val="lt-LT"/>
              </w:rPr>
              <w:t>, Valdyba užtikrina, kad teisingą, apdairų ir tikrovišką 2 straipsnyje nurodyto subjekto turto ir įsipareigojimų vertinimą atliktų nepriklausomas nuo viešųjų institucijų, įskaitant Valdybą ir nacionalinę pertvarkymo instituciją, ir nuo atitinkamo subjekto asmuo.“;</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According to the current version of Art. 20 (1), the resolution authority shall only obtain a valuation of the assets and liabilities by a third party if a write-down of capital instruments or a resolution takes place. Now, the valuation is to be obtained before it is determined that the conditions for resolution or write-down exist. It is therefore possible for the authority to obtain a valuation even though the corresponding measures are not subsequently taken because the conditions are not met. It is not clear why the timing of the assessment is brought forward. The burdens that regularly accompany such an assessment therefore do not appear to be justified at this stage yet.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264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Markus Ferber, Herbert Dorfmann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22 punkto a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20 straipsnio 1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w:t>
            </w:r>
            <w:r w:rsidRPr="00D33000">
              <w:rPr>
                <w:lang w:val="lt-LT"/>
              </w:rPr>
              <w:tab/>
              <w:t xml:space="preserve">Prieš </w:t>
            </w:r>
            <w:r w:rsidRPr="00D33000">
              <w:rPr>
                <w:b/>
                <w:i/>
                <w:lang w:val="lt-LT"/>
              </w:rPr>
              <w:t>nustatydama, ar tenkinamos</w:t>
            </w:r>
            <w:r w:rsidRPr="00D33000">
              <w:rPr>
                <w:lang w:val="lt-LT"/>
              </w:rPr>
              <w:t xml:space="preserve"> pertvarkymo </w:t>
            </w:r>
            <w:r w:rsidRPr="00D33000">
              <w:rPr>
                <w:b/>
                <w:i/>
                <w:lang w:val="lt-LT"/>
              </w:rPr>
              <w:t>sąlygos arba</w:t>
            </w:r>
            <w:r w:rsidRPr="00D33000">
              <w:rPr>
                <w:lang w:val="lt-LT"/>
              </w:rPr>
              <w:t xml:space="preserve"> kapitalo priemonių ir tinkamų įsipareigojimų </w:t>
            </w:r>
            <w:r w:rsidRPr="00D33000">
              <w:rPr>
                <w:b/>
                <w:i/>
                <w:lang w:val="lt-LT"/>
              </w:rPr>
              <w:t>nurašymo arba konvertavimo sąlygos, nurodytos</w:t>
            </w:r>
            <w:r w:rsidRPr="00D33000">
              <w:rPr>
                <w:lang w:val="lt-LT"/>
              </w:rPr>
              <w:t xml:space="preserve"> 21 straipsnio 1 </w:t>
            </w:r>
            <w:r w:rsidRPr="00D33000">
              <w:rPr>
                <w:b/>
                <w:i/>
                <w:lang w:val="lt-LT"/>
              </w:rPr>
              <w:t>dalyje</w:t>
            </w:r>
            <w:r w:rsidRPr="00D33000">
              <w:rPr>
                <w:lang w:val="lt-LT"/>
              </w:rPr>
              <w:t>, Valdyba užtikrina, kad teisingą, apdairų ir tikrovišką 2 straipsnyje nurodyto subjekto turto ir įsipareigojimų vertinimą atliktų nepriklausomas nuo viešųjų institucijų, įskaitant Valdybą ir nacionalinę pertvarkymo instituciją, ir nuo atitinkamo subjekto asmuo.“;</w:t>
            </w:r>
          </w:p>
        </w:tc>
        <w:tc>
          <w:tcPr>
            <w:tcW w:w="4876" w:type="dxa"/>
            <w:hideMark/>
          </w:tcPr>
          <w:p w:rsidR="000E7A9E" w:rsidRPr="00D33000" w:rsidRDefault="000E7A9E" w:rsidP="009E0AF6">
            <w:pPr>
              <w:pStyle w:val="Normal6"/>
              <w:rPr>
                <w:szCs w:val="24"/>
                <w:lang w:val="lt-LT"/>
              </w:rPr>
            </w:pPr>
            <w:r w:rsidRPr="00D33000">
              <w:rPr>
                <w:lang w:val="lt-LT"/>
              </w:rPr>
              <w:t>1.</w:t>
            </w:r>
            <w:r w:rsidRPr="00D33000">
              <w:rPr>
                <w:lang w:val="lt-LT"/>
              </w:rPr>
              <w:tab/>
              <w:t xml:space="preserve">Prieš </w:t>
            </w:r>
            <w:r w:rsidRPr="00D33000">
              <w:rPr>
                <w:b/>
                <w:i/>
                <w:lang w:val="lt-LT"/>
              </w:rPr>
              <w:t>imdamasi</w:t>
            </w:r>
            <w:r w:rsidRPr="00D33000">
              <w:rPr>
                <w:lang w:val="lt-LT"/>
              </w:rPr>
              <w:t xml:space="preserve"> pertvarkymo </w:t>
            </w:r>
            <w:r w:rsidRPr="00D33000">
              <w:rPr>
                <w:b/>
                <w:i/>
                <w:lang w:val="lt-LT"/>
              </w:rPr>
              <w:t>veiksmų ar pasinaudojimo atitinkamų</w:t>
            </w:r>
            <w:r w:rsidRPr="00D33000">
              <w:rPr>
                <w:lang w:val="lt-LT"/>
              </w:rPr>
              <w:t xml:space="preserve"> kapitalo priemonių ir tinkamų įsipareigojimų </w:t>
            </w:r>
            <w:r w:rsidRPr="00D33000">
              <w:rPr>
                <w:b/>
                <w:i/>
                <w:lang w:val="lt-LT"/>
              </w:rPr>
              <w:t>pagal</w:t>
            </w:r>
            <w:r w:rsidRPr="00D33000">
              <w:rPr>
                <w:lang w:val="lt-LT"/>
              </w:rPr>
              <w:t xml:space="preserve"> 21 straipsnio 1 </w:t>
            </w:r>
            <w:r w:rsidRPr="00D33000">
              <w:rPr>
                <w:b/>
                <w:i/>
                <w:lang w:val="lt-LT"/>
              </w:rPr>
              <w:t>dalį</w:t>
            </w:r>
            <w:r w:rsidRPr="00D33000">
              <w:rPr>
                <w:lang w:val="lt-LT"/>
              </w:rPr>
              <w:t>, Valdyba užtikrina, kad teisingą, apdairų ir tikrovišką 2 straipsnyje nurodyto subjekto turto ir įsipareigojimų vertinimą atliktų nepriklausomas nuo viešųjų institucijų, įskaitant Valdybą ir nacionalinę pertvarkymo instituciją, ir nuo atitinkamo subjekto asmuo.“;</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Vertinimas būtinas tik tada, kai netrukus bus imtasi pertvarkymo veiksmų.</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265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22 punkto c a papunktis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20 straipsnio 18 a dalis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ca)</w:t>
            </w:r>
            <w:r w:rsidRPr="00D33000">
              <w:rPr>
                <w:b/>
                <w:i/>
                <w:lang w:val="lt-LT"/>
              </w:rPr>
              <w:tab/>
              <w:t>pridedama ši dalis: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„18a. Nepriklausomas vertintojas neturi jokios pareigos ar atsakomybės pertvarkomos įstaigos akcininkams ar kreditoriams ir nėra atsakingas tokiems akcininkams ar kreditoriams už veiksmus ir neveikimą atliekant vertinimą, išskyrus atvejus, kai veiksmas ar neveikimas yra didelis aplaidumas ar tyčinis nusižengimas pagal nacionalinę teisę, kuris daro tiesioginį poveikį tokių akcininkų ar kreditorių teisėms.“;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266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Markus Ferber, Herbert Dorfmann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23 punkto c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21 straipsnio 3 dalies b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b)</w:t>
            </w:r>
            <w:r w:rsidRPr="00D33000">
              <w:rPr>
                <w:lang w:val="lt-LT"/>
              </w:rPr>
              <w:tab/>
              <w:t>atsižvelgiant į laiką</w:t>
            </w:r>
            <w:r w:rsidRPr="00D33000">
              <w:rPr>
                <w:b/>
                <w:i/>
                <w:lang w:val="lt-LT"/>
              </w:rPr>
              <w:t>, poreikį veiksmingai įgyvendinti nurašymo ir konvertavimo įgaliojimus arba pertvarkymo strategiją pertvarkytinai grupei</w:t>
            </w:r>
            <w:r w:rsidRPr="00D33000">
              <w:rPr>
                <w:lang w:val="lt-LT"/>
              </w:rPr>
              <w:t xml:space="preserve"> ir kitas svarbias aplinkybes, nėra pagrindo tikėtis, kad kokiais nors veiksmais, įskaitant alternatyvias privačiojo sektoriaus priemones, priežiūros veiksmus ar ankstyvosios intervencijos priemones, išskyrus atitinkamų kapitalo priemonių ir tinkamų įsipareigojimų nurašymą arba konvertavimą, nurodytą 7a dalyje, per pagrįstą laikotarpį būtų užkirstas kelias subjekto arba grupės žlugimui.“;</w:t>
            </w:r>
          </w:p>
        </w:tc>
        <w:tc>
          <w:tcPr>
            <w:tcW w:w="4876" w:type="dxa"/>
            <w:hideMark/>
          </w:tcPr>
          <w:p w:rsidR="000E7A9E" w:rsidRPr="00D33000" w:rsidRDefault="000E7A9E" w:rsidP="009E0AF6">
            <w:pPr>
              <w:pStyle w:val="Normal6"/>
              <w:rPr>
                <w:szCs w:val="24"/>
                <w:lang w:val="lt-LT"/>
              </w:rPr>
            </w:pPr>
            <w:r w:rsidRPr="00D33000">
              <w:rPr>
                <w:lang w:val="lt-LT"/>
              </w:rPr>
              <w:t>b)</w:t>
            </w:r>
            <w:r w:rsidRPr="00D33000">
              <w:rPr>
                <w:lang w:val="lt-LT"/>
              </w:rPr>
              <w:tab/>
              <w:t>atsižvelgiant į laiką ir kitas svarbias aplinkybes, nėra pagrindo tikėtis, kad kokiais nors veiksmais, įskaitant alternatyvias privačiojo sektoriaus priemones, priežiūros veiksmus ar ankstyvosios intervencijos priemones, išskyrus atitinkamų kapitalo priemonių ir tinkamų įsipareigojimų nurašymą arba konvertavimą, nurodytą 7a dalyje, per pagrįstą laikotarpį būtų užkirstas kelias subjekto arba grupės žlugimui.“;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267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23 punkto c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21 straipsnio 3 dalies b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b)</w:t>
            </w:r>
            <w:r w:rsidRPr="00D33000">
              <w:rPr>
                <w:lang w:val="lt-LT"/>
              </w:rPr>
              <w:tab/>
              <w:t>atsižvelgiant į laiką</w:t>
            </w:r>
            <w:r w:rsidRPr="00D33000">
              <w:rPr>
                <w:b/>
                <w:i/>
                <w:lang w:val="lt-LT"/>
              </w:rPr>
              <w:t>, poreikį veiksmingai įgyvendinti nurašymo ir konvertavimo įgaliojimus arba pertvarkymo strategiją pertvarkytinai grupei</w:t>
            </w:r>
            <w:r w:rsidRPr="00D33000">
              <w:rPr>
                <w:lang w:val="lt-LT"/>
              </w:rPr>
              <w:t xml:space="preserve"> ir kitas svarbias aplinkybes, nėra pagrindo tikėtis, kad kokiais nors veiksmais, įskaitant alternatyvias privačiojo sektoriaus priemones, priežiūros veiksmus ar ankstyvosios intervencijos priemones, išskyrus atitinkamų kapitalo priemonių ir tinkamų įsipareigojimų nurašymą arba konvertavimą, nurodytą 7a dalyje, per pagrįstą laikotarpį būtų užkirstas kelias subjekto arba grupės žlugimui.“;</w:t>
            </w:r>
          </w:p>
        </w:tc>
        <w:tc>
          <w:tcPr>
            <w:tcW w:w="4876" w:type="dxa"/>
            <w:hideMark/>
          </w:tcPr>
          <w:p w:rsidR="000E7A9E" w:rsidRPr="00D33000" w:rsidRDefault="000E7A9E" w:rsidP="009E0AF6">
            <w:pPr>
              <w:pStyle w:val="Normal6"/>
              <w:rPr>
                <w:szCs w:val="24"/>
                <w:lang w:val="lt-LT"/>
              </w:rPr>
            </w:pPr>
            <w:r w:rsidRPr="00D33000">
              <w:rPr>
                <w:lang w:val="lt-LT"/>
              </w:rPr>
              <w:t>b)</w:t>
            </w:r>
            <w:r w:rsidRPr="00D33000">
              <w:rPr>
                <w:lang w:val="lt-LT"/>
              </w:rPr>
              <w:tab/>
              <w:t>atsižvelgiant į laiką ir kitas svarbias aplinkybes, nėra pagrindo tikėtis, kad kokiais nors veiksmais, įskaitant alternatyvias privačiojo sektoriaus priemones, priežiūros veiksmus ar ankstyvosios intervencijos priemones, išskyrus atitinkamų kapitalo priemonių ir tinkamų įsipareigojimų nurašymą arba konvertavimą, nurodytą 7a dalyje, per pagrįstą laikotarpį būtų užkirstas kelias subjekto arba grupės žlugimui.“;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Pagal galiojančius teisės aktus įstaiga gali būti laikoma nebegyvybinga, jei (be kitų išankstinių sąlygų) įsipareigojimų nevykdymo negalima išvengti per pagrįstą laikotarpį kitomis priemonėmis, įskaitant alternatyvias privačiojo sektoriaus arba priežiūros institucijų priemones, išskyrus nurašymą, kuris atliekamas atskirai arba kartu su pertvarkymo priemone. Neaišku, kodėl likvidavimo strategijos įgyvendinamumas ateityje turėtų būti svarbus atliekant šį vertinimą. Vertinant, ar apskritai būtina nurašyti arba konvertuoti atitinkamas kapitalo priemones ir tinkamus įsipareigojimus, likvidavimo strategija neturėtų būti kriterijus, nes ji tampa nereikšminga sėkmingo įsipareigojimų nevykdymo atveju.</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268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23 a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22 straipsnio 4 dalies 1 a pastraipa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(23a)</w:t>
            </w:r>
            <w:r w:rsidRPr="00D33000">
              <w:rPr>
                <w:b/>
                <w:i/>
                <w:lang w:val="lt-LT"/>
              </w:rPr>
              <w:tab/>
              <w:t>22 straipsnio 4 dalis papildoma šia pastraipa:</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„Pertvarkymo plane atsižvelgiama į pertvarkymo priemonių derinį, kuris geriausiai tinka pertvarkymo tikslams pasiekti.“;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Tikslas – skatinti pertvarkymo institucijas apsvarstyti galimybę kartu naudoti kelias pertvarkymo priemones, kurios būtų tinkamiausios pertvarkymo strategijos dalis, nes perdavimo priemonėmis būtų galima naudingai papildyti gelbėjimo privačiomis lėšomis priemonę, kad būtų geriau pasiekti pertvarkymo tikslai, kartu sumažinant vertės sunaikinimą.</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269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Lídia Pereira</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23 a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23 straipsnio 2 a pastraipa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(23a)</w:t>
            </w:r>
            <w:r w:rsidRPr="00D33000">
              <w:rPr>
                <w:b/>
                <w:i/>
                <w:lang w:val="lt-LT"/>
              </w:rPr>
              <w:tab/>
              <w:t>23 straipsnis iš dalies keičiamas taip:</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 įterpiama ši trečia pastraipa:</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„Pertvarkymo schemoje išdėstomi pertvarkymo veiksmai, kurių Valdyba turėtų imtis Sąjungos patronuojančiosios įmonės ar konkrečios grupės subjektų, įsteigtų valstybėje narėje, atžvilgiu, kiek tai susiję su valdymo sprendimais dėl valdymo premijų skyrimo, dividendų paskirstymo ar nuosavų akcijų pirkimo.“;</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{PT}</w:t>
      </w:r>
      <w:r w:rsidRPr="00D33000">
        <w:rPr>
          <w:lang w:val="lt-LT"/>
        </w:rPr>
        <w:t>pt</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270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Markus Ferber, Herbert Dorfmann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24 punkto a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27 straipsnio 7 dalies a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a)</w:t>
            </w:r>
            <w:r w:rsidRPr="00D33000">
              <w:rPr>
                <w:lang w:val="lt-LT"/>
              </w:rPr>
              <w:tab/>
              <w:t>akcininkai, atitinkamų kapitalo priemonių ir kitų įsipareigojimų, kuriems gali būti taikoma gelbėjimo privačiomis lėšomis priemonė, turėtojai, atlikus sumažinimą, nurašymą arba konvertavimą pagal Direktyvos 2014/59/ES 48 straipsnio 1 dalį ir šio reglamento 21 straipsnio 10 dalį</w:t>
            </w:r>
            <w:r w:rsidRPr="00D33000">
              <w:rPr>
                <w:b/>
                <w:i/>
                <w:lang w:val="lt-LT"/>
              </w:rPr>
              <w:t>, ir, kai aktualu, indėlių garantijų sistema pagal šio reglamento 79 straipsnį ir Direktyvos 2014/59/ES 109 straipsnį</w:t>
            </w:r>
            <w:r w:rsidRPr="00D33000">
              <w:rPr>
                <w:lang w:val="lt-LT"/>
              </w:rPr>
              <w:t xml:space="preserve"> nuostoliams padengti ir rekapitalizavimui atlikti sumokėjo įnašą, kurio suma sudaro ne mažiau kaip 8 proc. visų įsipareigojimų, įskaitant pertvarkomos įstaigos nuosavas lėšas, apskaičiuotų atlikus 20 straipsnio 1–15 dalyse numatytą vertinimą;</w:t>
            </w:r>
          </w:p>
        </w:tc>
        <w:tc>
          <w:tcPr>
            <w:tcW w:w="4876" w:type="dxa"/>
            <w:hideMark/>
          </w:tcPr>
          <w:p w:rsidR="000E7A9E" w:rsidRPr="00D33000" w:rsidRDefault="000E7A9E" w:rsidP="009E0AF6">
            <w:pPr>
              <w:pStyle w:val="Normal6"/>
              <w:rPr>
                <w:szCs w:val="24"/>
                <w:lang w:val="lt-LT"/>
              </w:rPr>
            </w:pPr>
            <w:r w:rsidRPr="00D33000">
              <w:rPr>
                <w:lang w:val="lt-LT"/>
              </w:rPr>
              <w:t>a)</w:t>
            </w:r>
            <w:r w:rsidRPr="00D33000">
              <w:rPr>
                <w:lang w:val="lt-LT"/>
              </w:rPr>
              <w:tab/>
              <w:t>akcininkai, atitinkamų kapitalo priemonių ir kitų įsipareigojimų, kuriems gali būti taikoma gelbėjimo privačiomis lėšomis priemonė, turėtojai, atlikus sumažinimą, nurašymą arba konvertavimą pagal Direktyvos 2014/59/ES 48 straipsnio 1 dalį ir šio reglamento 21 straipsnio 10 dalį nuostoliams padengti ir rekapitalizavimui atlikti sumokėjo įnašą, kurio suma sudaro ne mažiau kaip 8 proc. visų įsipareigojimų, įskaitant pertvarkomos įstaigos nuosavas lėšas, apskaičiuotų atlikus 20 straipsnio 1–15 dalyse numatytą vertinimą;</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Bet koks 8 proc.-TLOF ribos susilpnėjimas pakenktų pagrindinei idėjai, kad naštos pasidalijimas yra pagrindinis finansavimo šaltinis.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271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24 punkto a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27 straipsnio 7 dalies a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a)</w:t>
            </w:r>
            <w:r w:rsidRPr="00D33000">
              <w:rPr>
                <w:lang w:val="lt-LT"/>
              </w:rPr>
              <w:tab/>
              <w:t>akcininkai, atitinkamų kapitalo priemonių ir kitų įsipareigojimų, kuriems gali būti taikoma gelbėjimo privačiomis lėšomis priemonė, turėtojai, atlikus sumažinimą, nurašymą arba konvertavimą pagal Direktyvos 2014/59/ES 48 straipsnio 1 dalį ir šio reglamento 21 straipsnio 10 dalį</w:t>
            </w:r>
            <w:r w:rsidRPr="00D33000">
              <w:rPr>
                <w:b/>
                <w:i/>
                <w:lang w:val="lt-LT"/>
              </w:rPr>
              <w:t>, ir, kai aktualu, indėlių garantijų sistema pagal šio reglamento 79 straipsnį ir Direktyvos 2014/59/ES 109 straipsnį</w:t>
            </w:r>
            <w:r w:rsidRPr="00D33000">
              <w:rPr>
                <w:lang w:val="lt-LT"/>
              </w:rPr>
              <w:t xml:space="preserve"> nuostoliams padengti ir rekapitalizavimui atlikti sumokėjo įnašą, kurio suma sudaro ne mažiau kaip 8 proc. visų įsipareigojimų, įskaitant pertvarkomos įstaigos nuosavas lėšas, apskaičiuotų atlikus 20 straipsnio 1–15 dalyse numatytą vertinimą;</w:t>
            </w:r>
          </w:p>
        </w:tc>
        <w:tc>
          <w:tcPr>
            <w:tcW w:w="4876" w:type="dxa"/>
            <w:hideMark/>
          </w:tcPr>
          <w:p w:rsidR="000E7A9E" w:rsidRPr="00D33000" w:rsidRDefault="000E7A9E" w:rsidP="009E0AF6">
            <w:pPr>
              <w:pStyle w:val="Normal6"/>
              <w:rPr>
                <w:szCs w:val="24"/>
                <w:lang w:val="lt-LT"/>
              </w:rPr>
            </w:pPr>
            <w:r w:rsidRPr="00D33000">
              <w:rPr>
                <w:lang w:val="lt-LT"/>
              </w:rPr>
              <w:t>a)</w:t>
            </w:r>
            <w:r w:rsidRPr="00D33000">
              <w:rPr>
                <w:lang w:val="lt-LT"/>
              </w:rPr>
              <w:tab/>
              <w:t>akcininkai, atitinkamų kapitalo priemonių ir kitų įsipareigojimų, kuriems gali būti taikoma gelbėjimo privačiomis lėšomis priemonė, turėtojai, atlikus sumažinimą, nurašymą arba konvertavimą pagal Direktyvos 2014/59/ES 48 straipsnio 1 dalį ir šio reglamento 21 straipsnio 10 dalį nuostoliams padengti ir rekapitalizavimui atlikti sumokėjo įnašą, kurio suma sudaro ne mažiau kaip 8 proc. visų įsipareigojimų, įskaitant pertvarkomos įstaigos nuosavas lėšas, apskaičiuotų atlikus 20 straipsnio 1–15 dalyse numatytą vertinimą;</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272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Eero Heinäluoma</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24 punkto a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27 straipsnio 7 dalies a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a)</w:t>
            </w:r>
            <w:r w:rsidRPr="00D33000">
              <w:rPr>
                <w:lang w:val="lt-LT"/>
              </w:rPr>
              <w:tab/>
              <w:t>akcininkai, atitinkamų kapitalo priemonių ir kitų įsipareigojimų, kuriems gali būti taikoma gelbėjimo privačiomis lėšomis priemonė, turėtojai, atlikus sumažinimą, nurašymą arba konvertavimą pagal Direktyvos 2014/59/ES 48 straipsnio 1 dalį ir šio reglamento 21 straipsnio 10 dalį, ir</w:t>
            </w:r>
            <w:r w:rsidRPr="00D33000">
              <w:rPr>
                <w:b/>
                <w:i/>
                <w:lang w:val="lt-LT"/>
              </w:rPr>
              <w:t>, kai aktualu,</w:t>
            </w:r>
            <w:r w:rsidRPr="00D33000">
              <w:rPr>
                <w:lang w:val="lt-LT"/>
              </w:rPr>
              <w:t xml:space="preserve"> indėlių garantijų sistema pagal šio reglamento 79 straipsnį </w:t>
            </w:r>
            <w:r w:rsidRPr="00D33000">
              <w:rPr>
                <w:b/>
                <w:i/>
                <w:lang w:val="lt-LT"/>
              </w:rPr>
              <w:t>ir Direktyvos 2014/59/ES 109 straipsnį</w:t>
            </w:r>
            <w:r w:rsidRPr="00D33000">
              <w:rPr>
                <w:lang w:val="lt-LT"/>
              </w:rPr>
              <w:t xml:space="preserve"> nuostoliams padengti ir rekapitalizavimui atlikti sumokėjo įnašą, kurio suma sudaro ne mažiau kaip 8 proc. visų įsipareigojimų, įskaitant pertvarkomos įstaigos nuosavas lėšas, apskaičiuotų atlikus 20 straipsnio 1–15 dalyse numatytą vertinimą;</w:t>
            </w:r>
          </w:p>
        </w:tc>
        <w:tc>
          <w:tcPr>
            <w:tcW w:w="4876" w:type="dxa"/>
            <w:hideMark/>
          </w:tcPr>
          <w:p w:rsidR="000E7A9E" w:rsidRPr="00D33000" w:rsidRDefault="000E7A9E" w:rsidP="009E0AF6">
            <w:pPr>
              <w:pStyle w:val="Normal6"/>
              <w:rPr>
                <w:szCs w:val="24"/>
                <w:lang w:val="lt-LT"/>
              </w:rPr>
            </w:pPr>
            <w:r w:rsidRPr="00D33000">
              <w:rPr>
                <w:lang w:val="lt-LT"/>
              </w:rPr>
              <w:t>a)</w:t>
            </w:r>
            <w:r w:rsidRPr="00D33000">
              <w:rPr>
                <w:lang w:val="lt-LT"/>
              </w:rPr>
              <w:tab/>
              <w:t>akcininkai, atitinkamų kapitalo priemonių ir kitų įsipareigojimų, kuriems gali būti taikoma gelbėjimo privačiomis lėšomis priemonė, turėtojai, atlikus sumažinimą, nurašymą arba konvertavimą pagal Direktyvos 2014/59/ES 48 straipsnio 1 dalį ir šio reglamento 21 straipsnio 10 dalį, ir indėlių garantijų sistema pagal šio reglamento 79 straipsnį nuostoliams padengti ir rekapitalizavimui atlikti sumokėjo įnašą, kurio suma sudaro ne mažiau kaip 8 proc. visų įsipareigojimų, įskaitant pertvarkomos įstaigos nuosavas lėšas, apskaičiuotų atlikus 20 straipsnio 1–15 dalyse numatytą vertinimą;</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273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24 punkto a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27 straipsnio 7 dalies a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a)</w:t>
            </w:r>
            <w:r w:rsidRPr="00D33000">
              <w:rPr>
                <w:lang w:val="lt-LT"/>
              </w:rPr>
              <w:tab/>
              <w:t xml:space="preserve">akcininkai, atitinkamų kapitalo priemonių ir kitų įsipareigojimų, kuriems gali būti taikoma gelbėjimo privačiomis lėšomis priemonė, turėtojai, atlikus sumažinimą, nurašymą arba konvertavimą pagal Direktyvos 2014/59/ES 48 straipsnio 1 dalį ir šio reglamento 21 straipsnio 10 dalį, ir, kai </w:t>
            </w:r>
            <w:r w:rsidRPr="00D33000">
              <w:rPr>
                <w:b/>
                <w:i/>
                <w:lang w:val="lt-LT"/>
              </w:rPr>
              <w:t>aktualu</w:t>
            </w:r>
            <w:r w:rsidRPr="00D33000">
              <w:rPr>
                <w:lang w:val="lt-LT"/>
              </w:rPr>
              <w:t>, indėlių garantijų sistema pagal šio reglamento 79 straipsnį ir Direktyvos 2014/59/ES 109 straipsnį nuostoliams padengti ir rekapitalizavimui atlikti sumokėjo įnašą, kurio suma sudaro ne mažiau kaip 8 proc. visų įsipareigojimų, įskaitant pertvarkomos įstaigos nuosavas lėšas, apskaičiuotų atlikus 20 straipsnio 1–15 dalyse numatytą vertinimą;</w:t>
            </w:r>
          </w:p>
        </w:tc>
        <w:tc>
          <w:tcPr>
            <w:tcW w:w="4876" w:type="dxa"/>
            <w:hideMark/>
          </w:tcPr>
          <w:p w:rsidR="000E7A9E" w:rsidRPr="00D33000" w:rsidRDefault="000E7A9E" w:rsidP="009E0AF6">
            <w:pPr>
              <w:pStyle w:val="Normal6"/>
              <w:rPr>
                <w:szCs w:val="24"/>
                <w:lang w:val="lt-LT"/>
              </w:rPr>
            </w:pPr>
            <w:r w:rsidRPr="00D33000">
              <w:rPr>
                <w:lang w:val="lt-LT"/>
              </w:rPr>
              <w:t>a)</w:t>
            </w:r>
            <w:r w:rsidRPr="00D33000">
              <w:rPr>
                <w:lang w:val="lt-LT"/>
              </w:rPr>
              <w:tab/>
              <w:t xml:space="preserve">akcininkai, atitinkamų kapitalo priemonių ir kitų įsipareigojimų, kuriems gali būti taikoma gelbėjimo privačiomis lėšomis priemonė, turėtojai, atlikus sumažinimą, nurašymą arba konvertavimą pagal Direktyvos 2014/59/ES 48 straipsnio 1 dalį ir šio reglamento 21 straipsnio 10 dalį, ir, kai </w:t>
            </w:r>
            <w:r w:rsidRPr="00D33000">
              <w:rPr>
                <w:b/>
                <w:i/>
                <w:lang w:val="lt-LT"/>
              </w:rPr>
              <w:t>taikoma</w:t>
            </w:r>
            <w:r w:rsidRPr="00D33000">
              <w:rPr>
                <w:lang w:val="lt-LT"/>
              </w:rPr>
              <w:t>, indėlių garantijų sistema pagal šio reglamento 79 straipsnį ir Direktyvos 2014/59/ES 109 straipsnį nuostoliams padengti ir rekapitalizavimui atlikti sumokėjo įnašą, kurio suma sudaro ne mažiau kaip 8 proc. visų įsipareigojimų, įskaitant pertvarkomos įstaigos nuosavas lėšas, apskaičiuotų atlikus 20 straipsnio 1–15 dalyse numatytą vertinimą;</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Priklausomai nuo atotrūkio formos, dėl kurios bus susitarta, šiame straipsnyje reikia pripažinti, kad atotrūkiui bus taikomos tam tikros sąlygos.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274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24 punkto b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27 straipsnio 9 ir 10 dalys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b)</w:t>
            </w:r>
            <w:r w:rsidRPr="00D33000">
              <w:rPr>
                <w:b/>
                <w:i/>
                <w:lang w:val="lt-LT"/>
              </w:rPr>
              <w:tab/>
              <w:t>9 ir 10 dalys pakeičiamos taip:</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r w:rsidR="000E7A9E" w:rsidRPr="00D33000" w:rsidTr="009E0AF6">
        <w:trPr>
          <w:jc w:val="center"/>
        </w:trPr>
        <w:tc>
          <w:tcPr>
            <w:tcW w:w="4876" w:type="dxa"/>
            <w:hideMark/>
          </w:tcPr>
          <w:p w:rsidR="000E7A9E" w:rsidRPr="00D33000" w:rsidRDefault="000E7A9E" w:rsidP="009E0AF6">
            <w:pPr>
              <w:pStyle w:val="Normal6"/>
              <w:rPr>
                <w:lang w:val="lt-LT"/>
              </w:rPr>
            </w:pPr>
          </w:p>
        </w:tc>
        <w:tc>
          <w:tcPr>
            <w:tcW w:w="4876" w:type="dxa"/>
          </w:tcPr>
          <w:p w:rsidR="000E7A9E" w:rsidRPr="00D33000" w:rsidRDefault="000E7A9E" w:rsidP="009E0AF6">
            <w:pPr>
              <w:pStyle w:val="Normal6"/>
              <w:rPr>
                <w:szCs w:val="24"/>
                <w:lang w:val="lt-LT"/>
              </w:rPr>
            </w:pP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„9.</w:t>
            </w:r>
            <w:r w:rsidRPr="00D33000">
              <w:rPr>
                <w:b/>
                <w:i/>
                <w:lang w:val="lt-LT"/>
              </w:rPr>
              <w:tab/>
              <w:t xml:space="preserve">Fondas gali mokėti įnašą iš išteklių, kurie buvo sukaupti renkant </w:t>
            </w:r>
            <w:r w:rsidRPr="00D33000">
              <w:rPr>
                <w:b/>
                <w:lang w:val="lt-LT"/>
              </w:rPr>
              <w:t>ex ante</w:t>
            </w:r>
            <w:r w:rsidRPr="00D33000">
              <w:rPr>
                <w:b/>
                <w:i/>
                <w:lang w:val="lt-LT"/>
              </w:rPr>
              <w:t xml:space="preserve"> įnašus, kaip nurodyta 70 straipsnyje, ir dar nebuvo panaudoti, jei tenkinamos visos šios sąlygos:</w:t>
            </w:r>
          </w:p>
        </w:tc>
        <w:tc>
          <w:tcPr>
            <w:tcW w:w="4876" w:type="dxa"/>
          </w:tcPr>
          <w:p w:rsidR="000E7A9E" w:rsidRPr="00D33000" w:rsidRDefault="000E7A9E" w:rsidP="009E0AF6">
            <w:pPr>
              <w:pStyle w:val="Normal6"/>
              <w:rPr>
                <w:szCs w:val="24"/>
                <w:lang w:val="lt-LT"/>
              </w:rPr>
            </w:pP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a)</w:t>
            </w:r>
            <w:r w:rsidRPr="00D33000">
              <w:rPr>
                <w:b/>
                <w:i/>
                <w:lang w:val="lt-LT"/>
              </w:rPr>
              <w:tab/>
              <w:t>Fondas sumokėjo įnašą pagal 6 dalį ir pasiekta 7 dalies b punkte nurodyta 5 proc. riba;</w:t>
            </w:r>
          </w:p>
        </w:tc>
        <w:tc>
          <w:tcPr>
            <w:tcW w:w="4876" w:type="dxa"/>
          </w:tcPr>
          <w:p w:rsidR="000E7A9E" w:rsidRPr="00D33000" w:rsidRDefault="000E7A9E" w:rsidP="009E0AF6">
            <w:pPr>
              <w:pStyle w:val="Normal6"/>
              <w:rPr>
                <w:szCs w:val="24"/>
                <w:lang w:val="lt-LT"/>
              </w:rPr>
            </w:pP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b)</w:t>
            </w:r>
            <w:r w:rsidRPr="00D33000">
              <w:rPr>
                <w:b/>
                <w:i/>
                <w:lang w:val="lt-LT"/>
              </w:rPr>
              <w:tab/>
              <w:t>visi įsipareigojimai, kurių prioritetas mažesnis už indėlių prioritetą ir kurie pagal 3 ir 5 dalį nėra išbraukti iš gelbėjimo privačiomis lėšomis priemonės taikymo srities, buvo visiškai nurašyti arba konvertuoti.</w:t>
            </w:r>
          </w:p>
        </w:tc>
        <w:tc>
          <w:tcPr>
            <w:tcW w:w="4876" w:type="dxa"/>
          </w:tcPr>
          <w:p w:rsidR="000E7A9E" w:rsidRPr="00D33000" w:rsidRDefault="000E7A9E" w:rsidP="009E0AF6">
            <w:pPr>
              <w:pStyle w:val="Normal6"/>
              <w:rPr>
                <w:szCs w:val="24"/>
                <w:lang w:val="lt-LT"/>
              </w:rPr>
            </w:pP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10.</w:t>
            </w:r>
            <w:r w:rsidRPr="00D33000">
              <w:rPr>
                <w:b/>
                <w:i/>
                <w:lang w:val="lt-LT"/>
              </w:rPr>
              <w:tab/>
              <w:t>Ypatingomis aplinkybėmis ir kai tenkinamos 9 dalyje nustatytos sąlygos, Valdyba gali kreiptis dėl papildomo finansavimo iš alternatyvių finansavimo šaltinių, naudotino kaip alternatyva arba papildant 9 dalyje nurodytą Fondo įnašą.“;</w:t>
            </w:r>
          </w:p>
        </w:tc>
        <w:tc>
          <w:tcPr>
            <w:tcW w:w="4876" w:type="dxa"/>
          </w:tcPr>
          <w:p w:rsidR="000E7A9E" w:rsidRPr="00D33000" w:rsidRDefault="000E7A9E" w:rsidP="009E0AF6">
            <w:pPr>
              <w:pStyle w:val="Normal6"/>
              <w:rPr>
                <w:szCs w:val="24"/>
                <w:lang w:val="lt-LT"/>
              </w:rPr>
            </w:pPr>
          </w:p>
        </w:tc>
      </w:tr>
      <w:tr w:rsidR="000E7A9E" w:rsidRPr="00D33000" w:rsidTr="009E0AF6">
        <w:trPr>
          <w:jc w:val="center"/>
        </w:trPr>
        <w:tc>
          <w:tcPr>
            <w:tcW w:w="4876" w:type="dxa"/>
            <w:hideMark/>
          </w:tcPr>
          <w:p w:rsidR="000E7A9E" w:rsidRPr="00D33000" w:rsidRDefault="000E7A9E" w:rsidP="009E0AF6">
            <w:pPr>
              <w:pStyle w:val="Normal6"/>
              <w:rPr>
                <w:lang w:val="lt-LT"/>
              </w:rPr>
            </w:pPr>
          </w:p>
        </w:tc>
        <w:tc>
          <w:tcPr>
            <w:tcW w:w="4876" w:type="dxa"/>
          </w:tcPr>
          <w:p w:rsidR="000E7A9E" w:rsidRPr="00D33000" w:rsidRDefault="000E7A9E" w:rsidP="009E0AF6">
            <w:pPr>
              <w:pStyle w:val="Normal6"/>
              <w:rPr>
                <w:szCs w:val="24"/>
                <w:lang w:val="lt-LT"/>
              </w:rPr>
            </w:pP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Tai dar labiau didina galimas BPF išlaidas, išskyrus išimtines aplinkybes. Nėra būtina, kad atotrūkis veiktų. Tai neatitinka indėlininkų hierarchijos tuo atveju, kai viena pakopa nėra išlaikoma.</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275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24 punkto b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27 straipsnio 9 dalies b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b)</w:t>
            </w:r>
            <w:r w:rsidRPr="00D33000">
              <w:rPr>
                <w:lang w:val="lt-LT"/>
              </w:rPr>
              <w:tab/>
              <w:t>visi įsipareigojimai, kurių prioritetas mažesnis už indėlių prioritetą ir kurie pagal 3 ir 5 dalį nėra išbraukti iš gelbėjimo privačiomis lėšomis priemonės taikymo srities, buvo visiškai nurašyti arba konvertuoti.</w:t>
            </w:r>
          </w:p>
        </w:tc>
        <w:tc>
          <w:tcPr>
            <w:tcW w:w="4876" w:type="dxa"/>
            <w:hideMark/>
          </w:tcPr>
          <w:p w:rsidR="000E7A9E" w:rsidRPr="00D33000" w:rsidRDefault="000E7A9E" w:rsidP="009E0AF6">
            <w:pPr>
              <w:pStyle w:val="Normal6"/>
              <w:rPr>
                <w:szCs w:val="24"/>
                <w:lang w:val="lt-LT"/>
              </w:rPr>
            </w:pPr>
            <w:r w:rsidRPr="00D33000">
              <w:rPr>
                <w:lang w:val="lt-LT"/>
              </w:rPr>
              <w:t>b)</w:t>
            </w:r>
            <w:r w:rsidRPr="00D33000">
              <w:rPr>
                <w:lang w:val="lt-LT"/>
              </w:rPr>
              <w:tab/>
              <w:t xml:space="preserve">visi įsipareigojimai, kurių prioritetas mažesnis už </w:t>
            </w:r>
            <w:r w:rsidRPr="00D33000">
              <w:rPr>
                <w:b/>
                <w:i/>
                <w:lang w:val="lt-LT"/>
              </w:rPr>
              <w:t>apdraustųjų ir mažmeninių</w:t>
            </w:r>
            <w:r w:rsidRPr="00D33000">
              <w:rPr>
                <w:lang w:val="lt-LT"/>
              </w:rPr>
              <w:t xml:space="preserve"> indėlių prioritetą ir kurie pagal 3 ir 5 dalį nėra išbraukti iš gelbėjimo privačiomis lėšomis priemonės taikymo srities, buvo visiškai nurašyti arba konvertuoti.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276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Markus Ferber, Herbert Dorfmann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24 punkto b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27 straipsnio 9 dalies b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b)</w:t>
            </w:r>
            <w:r w:rsidRPr="00D33000">
              <w:rPr>
                <w:lang w:val="lt-LT"/>
              </w:rPr>
              <w:tab/>
              <w:t>visi įsipareigojimai</w:t>
            </w:r>
            <w:r w:rsidRPr="00D33000">
              <w:rPr>
                <w:b/>
                <w:i/>
                <w:lang w:val="lt-LT"/>
              </w:rPr>
              <w:t>, kurių prioritetas mažesnis už indėlių prioritetą ir kurie pagal 3 ir 5 dalį nėra išbraukti iš gelbėjimo privačiomis lėšomis priemonės taikymo srities,</w:t>
            </w:r>
            <w:r w:rsidRPr="00D33000">
              <w:rPr>
                <w:lang w:val="lt-LT"/>
              </w:rPr>
              <w:t xml:space="preserve"> buvo visiškai nurašyti arba konvertuoti.</w:t>
            </w:r>
          </w:p>
        </w:tc>
        <w:tc>
          <w:tcPr>
            <w:tcW w:w="4876" w:type="dxa"/>
            <w:hideMark/>
          </w:tcPr>
          <w:p w:rsidR="000E7A9E" w:rsidRPr="00D33000" w:rsidRDefault="000E7A9E" w:rsidP="009E0AF6">
            <w:pPr>
              <w:pStyle w:val="Normal6"/>
              <w:rPr>
                <w:szCs w:val="24"/>
                <w:lang w:val="lt-LT"/>
              </w:rPr>
            </w:pPr>
            <w:r w:rsidRPr="00D33000">
              <w:rPr>
                <w:lang w:val="lt-LT"/>
              </w:rPr>
              <w:t>b)</w:t>
            </w:r>
            <w:r w:rsidRPr="00D33000">
              <w:rPr>
                <w:lang w:val="lt-LT"/>
              </w:rPr>
              <w:tab/>
              <w:t xml:space="preserve">visi </w:t>
            </w:r>
            <w:r w:rsidRPr="00D33000">
              <w:rPr>
                <w:b/>
                <w:i/>
                <w:lang w:val="lt-LT"/>
              </w:rPr>
              <w:t>neužtikrintieji, nepirmenybiniai</w:t>
            </w:r>
            <w:r w:rsidRPr="00D33000">
              <w:rPr>
                <w:lang w:val="lt-LT"/>
              </w:rPr>
              <w:t xml:space="preserve"> įsipareigojimai</w:t>
            </w:r>
            <w:r w:rsidRPr="00D33000">
              <w:rPr>
                <w:b/>
                <w:i/>
                <w:lang w:val="lt-LT"/>
              </w:rPr>
              <w:t>, išskyrus reikalavimus atitinkančius indėlius,</w:t>
            </w:r>
            <w:r w:rsidRPr="00D33000">
              <w:rPr>
                <w:lang w:val="lt-LT"/>
              </w:rPr>
              <w:t xml:space="preserve"> buvo visiškai nurašyti arba konvertuoti.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277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24 punkto b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27 straipsnio 9 dalies b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b)</w:t>
            </w:r>
            <w:r w:rsidRPr="00D33000">
              <w:rPr>
                <w:lang w:val="lt-LT"/>
              </w:rPr>
              <w:tab/>
              <w:t>visi įsipareigojimai</w:t>
            </w:r>
            <w:r w:rsidRPr="00D33000">
              <w:rPr>
                <w:b/>
                <w:i/>
                <w:lang w:val="lt-LT"/>
              </w:rPr>
              <w:t>, kurių prioritetas mažesnis už indėlių prioritetą ir kurie pagal 3 ir 5 dalį nėra išbraukti iš gelbėjimo privačiomis lėšomis priemonės taikymo srities,</w:t>
            </w:r>
            <w:r w:rsidRPr="00D33000">
              <w:rPr>
                <w:lang w:val="lt-LT"/>
              </w:rPr>
              <w:t xml:space="preserve"> buvo visiškai nurašyti arba konvertuoti.</w:t>
            </w:r>
          </w:p>
        </w:tc>
        <w:tc>
          <w:tcPr>
            <w:tcW w:w="4876" w:type="dxa"/>
            <w:hideMark/>
          </w:tcPr>
          <w:p w:rsidR="000E7A9E" w:rsidRPr="00D33000" w:rsidRDefault="000E7A9E" w:rsidP="009E0AF6">
            <w:pPr>
              <w:pStyle w:val="Normal6"/>
              <w:rPr>
                <w:szCs w:val="24"/>
                <w:lang w:val="lt-LT"/>
              </w:rPr>
            </w:pPr>
            <w:r w:rsidRPr="00D33000">
              <w:rPr>
                <w:lang w:val="lt-LT"/>
              </w:rPr>
              <w:t>b)</w:t>
            </w:r>
            <w:r w:rsidRPr="00D33000">
              <w:rPr>
                <w:lang w:val="lt-LT"/>
              </w:rPr>
              <w:tab/>
              <w:t xml:space="preserve">visi </w:t>
            </w:r>
            <w:r w:rsidRPr="00D33000">
              <w:rPr>
                <w:b/>
                <w:i/>
                <w:lang w:val="lt-LT"/>
              </w:rPr>
              <w:t>neužtikrintieji, nepirmenybiniai</w:t>
            </w:r>
            <w:r w:rsidRPr="00D33000">
              <w:rPr>
                <w:lang w:val="lt-LT"/>
              </w:rPr>
              <w:t xml:space="preserve"> įsipareigojimai</w:t>
            </w:r>
            <w:r w:rsidRPr="00D33000">
              <w:rPr>
                <w:b/>
                <w:i/>
                <w:lang w:val="lt-LT"/>
              </w:rPr>
              <w:t>, išskyrus reikalavimus atitinkančius indėlius,</w:t>
            </w:r>
            <w:r w:rsidRPr="00D33000">
              <w:rPr>
                <w:lang w:val="lt-LT"/>
              </w:rPr>
              <w:t xml:space="preserve"> buvo visiškai nurašyti arba konvertuoti.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278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Eero Heinäluoma</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24 punkto b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27 straipsnio 9 dalies b punktas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b)</w:t>
            </w:r>
            <w:r w:rsidRPr="00D33000">
              <w:rPr>
                <w:lang w:val="lt-LT"/>
              </w:rPr>
              <w:tab/>
              <w:t>visi įsipareigojimai</w:t>
            </w:r>
            <w:r w:rsidRPr="00D33000">
              <w:rPr>
                <w:b/>
                <w:i/>
                <w:lang w:val="lt-LT"/>
              </w:rPr>
              <w:t>, kurių prioritetas mažesnis už indėlių prioritetą ir kurie pagal 3 ir 5 dalį nėra išbraukti iš gelbėjimo privačiomis lėšomis priemonės taikymo srities,</w:t>
            </w:r>
            <w:r w:rsidRPr="00D33000">
              <w:rPr>
                <w:lang w:val="lt-LT"/>
              </w:rPr>
              <w:t xml:space="preserve"> buvo visiškai nurašyti arba konvertuoti.</w:t>
            </w:r>
          </w:p>
        </w:tc>
        <w:tc>
          <w:tcPr>
            <w:tcW w:w="4876" w:type="dxa"/>
            <w:hideMark/>
          </w:tcPr>
          <w:p w:rsidR="000E7A9E" w:rsidRPr="00D33000" w:rsidRDefault="000E7A9E" w:rsidP="009E0AF6">
            <w:pPr>
              <w:pStyle w:val="Normal6"/>
              <w:rPr>
                <w:szCs w:val="24"/>
                <w:lang w:val="lt-LT"/>
              </w:rPr>
            </w:pPr>
            <w:r w:rsidRPr="00D33000">
              <w:rPr>
                <w:lang w:val="lt-LT"/>
              </w:rPr>
              <w:t>b)</w:t>
            </w:r>
            <w:r w:rsidRPr="00D33000">
              <w:rPr>
                <w:lang w:val="lt-LT"/>
              </w:rPr>
              <w:tab/>
              <w:t xml:space="preserve">visi </w:t>
            </w:r>
            <w:r w:rsidRPr="00D33000">
              <w:rPr>
                <w:b/>
                <w:i/>
                <w:lang w:val="lt-LT"/>
              </w:rPr>
              <w:t>neužtikrintieji, nepirmenybiniai</w:t>
            </w:r>
            <w:r w:rsidRPr="00D33000">
              <w:rPr>
                <w:lang w:val="lt-LT"/>
              </w:rPr>
              <w:t xml:space="preserve"> įsipareigojimai</w:t>
            </w:r>
            <w:r w:rsidRPr="00D33000">
              <w:rPr>
                <w:b/>
                <w:i/>
                <w:lang w:val="lt-LT"/>
              </w:rPr>
              <w:t>, išskyrus reikalavimus atitinkančius indėlius,</w:t>
            </w:r>
            <w:r w:rsidRPr="00D33000">
              <w:rPr>
                <w:lang w:val="lt-LT"/>
              </w:rPr>
              <w:t xml:space="preserve"> buvo visiškai nurašyti arba konvertuoti.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279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Lídia Pereira</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24 a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29 a straipsnis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(24a)</w:t>
            </w:r>
            <w:r w:rsidRPr="00D33000">
              <w:rPr>
                <w:b/>
                <w:i/>
                <w:lang w:val="lt-LT"/>
              </w:rPr>
              <w:tab/>
              <w:t>įterpiamas 29a straipsnis: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 29a straipsnis (Skaidrumas)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Fondas reguliariai skelbia viešųjų išteklių, suteiktų pagal pertvarkymo priemonę, grąžinimo ataskaitas, kuriose pateikiama aiški ir prieinama informacija apie visą suteiktą sumą, grąžinamas sumas ir būsimų grąžinimų terminus.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{PT}</w:t>
      </w:r>
      <w:r w:rsidRPr="00D33000">
        <w:rPr>
          <w:lang w:val="lt-LT"/>
        </w:rPr>
        <w:t>pt</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280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26 a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31 straipsnio 1 dalies 3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Dabartinis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26a)</w:t>
            </w:r>
            <w:r w:rsidRPr="00D33000">
              <w:rPr>
                <w:b/>
                <w:i/>
                <w:lang w:val="lt-LT"/>
              </w:rPr>
              <w:tab/>
              <w:t>31 straipsnio 1 dalies trečia pastraipa pakeičiama taip:</w:t>
            </w:r>
          </w:p>
        </w:tc>
      </w:tr>
      <w:tr w:rsidR="000E7A9E" w:rsidRPr="00D33000" w:rsidTr="009E0AF6">
        <w:trPr>
          <w:jc w:val="center"/>
        </w:trPr>
        <w:tc>
          <w:tcPr>
            <w:tcW w:w="4876" w:type="dxa"/>
          </w:tcPr>
          <w:p w:rsidR="000E7A9E" w:rsidRPr="00D33000" w:rsidRDefault="000E7A9E" w:rsidP="009E0AF6">
            <w:pPr>
              <w:pStyle w:val="Normal6"/>
              <w:rPr>
                <w:b/>
                <w:i/>
                <w:szCs w:val="24"/>
                <w:lang w:val="lt-LT"/>
              </w:rPr>
            </w:pPr>
            <w:r w:rsidRPr="00D33000">
              <w:rPr>
                <w:szCs w:val="24"/>
                <w:shd w:val="clear" w:color="auto" w:fill="FFFFFF"/>
                <w:lang w:val="lt-LT"/>
              </w:rPr>
              <w:t xml:space="preserve">Siekdama įvertinti pertvarkymo planus, Valdyba gali prašyti nacionalinių pertvarkymo institucijų pateikti Valdybai visą būtiną informaciją, kurią jos gavo </w:t>
            </w:r>
            <w:r w:rsidRPr="00D33000">
              <w:rPr>
                <w:b/>
                <w:i/>
                <w:szCs w:val="24"/>
                <w:shd w:val="clear" w:color="auto" w:fill="FFFFFF"/>
                <w:lang w:val="lt-LT"/>
              </w:rPr>
              <w:t>pagal Direktyvos 2014/59/ES 11 straipsnį ir 13 straipsnio 1 dalį, nedarant poveikio šios antraštinės dalies 5 skyriui</w:t>
            </w:r>
            <w:r w:rsidRPr="00D33000">
              <w:rPr>
                <w:szCs w:val="24"/>
                <w:shd w:val="clear" w:color="auto" w:fill="FFFFFF"/>
                <w:lang w:val="lt-LT"/>
              </w:rPr>
              <w:t>.</w:t>
            </w:r>
          </w:p>
        </w:tc>
        <w:tc>
          <w:tcPr>
            <w:tcW w:w="4876" w:type="dxa"/>
            <w:hideMark/>
          </w:tcPr>
          <w:p w:rsidR="000E7A9E" w:rsidRPr="00D33000" w:rsidRDefault="000E7A9E" w:rsidP="009E0AF6">
            <w:pPr>
              <w:pStyle w:val="Normal6"/>
              <w:rPr>
                <w:szCs w:val="24"/>
                <w:lang w:val="lt-LT"/>
              </w:rPr>
            </w:pPr>
            <w:r w:rsidRPr="00D33000">
              <w:rPr>
                <w:b/>
                <w:i/>
                <w:lang w:val="lt-LT"/>
              </w:rPr>
              <w:t>„Bendradarbiavimas dalijimosi informacija srityje vykdomas pagal Direktyvos 2014/59/ES 11 straipsnį ir 13 straipsnio 1 dalį, nedarant poveikio šios antraštinės dalies 5 skyriui. Atsižvelgdama į tai ir</w:t>
            </w:r>
            <w:r w:rsidRPr="00D33000">
              <w:rPr>
                <w:lang w:val="lt-LT"/>
              </w:rPr>
              <w:t xml:space="preserve"> siekdama įvertinti pertvarkymo planus, Valdyba</w:t>
            </w:r>
            <w:r w:rsidRPr="00D33000">
              <w:rPr>
                <w:b/>
                <w:i/>
                <w:lang w:val="lt-LT"/>
              </w:rPr>
              <w:t>:</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 xml:space="preserve">a) </w:t>
            </w:r>
            <w:r w:rsidRPr="00D33000">
              <w:rPr>
                <w:lang w:val="lt-LT"/>
              </w:rPr>
              <w:t>gali prašyti nacionalinių pertvarkymo institucijų pateikti Valdybai visą būtiną informaciją, kurią jos gavo;</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b) dalyvaujančios valstybės narės nacionalinės pertvarkymo institucijos prašymu pateikia tai institucijai visą informaciją, būtiną tos institucijos užduotims atlikti pagal šį reglamentą</w:t>
            </w:r>
            <w:r w:rsidRPr="00D33000">
              <w:rPr>
                <w:lang w:val="lt-LT"/>
              </w:rPr>
              <w:t>.</w:t>
            </w:r>
            <w:r w:rsidRPr="00D33000">
              <w:rPr>
                <w:b/>
                <w:i/>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Nepakankamas bendradarbiavimas BPeM (BPV ir NPI) kelia susirūpinimą, kurį dauguma NPI išreiškė per 2023 m. BPV pradėtas strateginės peržiūros konsultacijas. Visų pirma reikia patobulinimų šiais klausimais:- BPV ir NPI dalijimasis informacija, NPI asociacija atitinkamose techninėse grupėse ir pogrupiuose, kai BPV rengia ir peržiūri savo bendrąją politiką. Atitinkamos sektoriaus konsultacijos prieš priimant ir peržiūrint BPV bendrąją politiką.</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281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30 a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45 straipsnio antraštė ir 3 a dalis (nauja)</w:t>
      </w:r>
      <w:r w:rsidRPr="005D599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Dabartinis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(30a)</w:t>
            </w:r>
            <w:r w:rsidRPr="00D33000">
              <w:rPr>
                <w:b/>
                <w:i/>
                <w:lang w:val="lt-LT"/>
              </w:rPr>
              <w:tab/>
              <w:t>45 straipsnis iš dalies keičiamas taip:</w:t>
            </w:r>
          </w:p>
        </w:tc>
      </w:tr>
      <w:tr w:rsidR="000E7A9E" w:rsidRPr="00D33000" w:rsidTr="009E0AF6">
        <w:trPr>
          <w:jc w:val="center"/>
        </w:trPr>
        <w:tc>
          <w:tcPr>
            <w:tcW w:w="4876" w:type="dxa"/>
            <w:hideMark/>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b/>
                <w:i/>
                <w:szCs w:val="24"/>
                <w:lang w:val="lt-LT"/>
              </w:rPr>
            </w:pPr>
            <w:r w:rsidRPr="00D33000">
              <w:rPr>
                <w:b/>
                <w:i/>
                <w:lang w:val="lt-LT"/>
              </w:rPr>
              <w:t>a) straipsnio antraštė pakeičiama taip:</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Atskaitomybė</w:t>
            </w:r>
          </w:p>
        </w:tc>
        <w:tc>
          <w:tcPr>
            <w:tcW w:w="4876" w:type="dxa"/>
            <w:hideMark/>
          </w:tcPr>
          <w:p w:rsidR="000E7A9E" w:rsidRPr="00D33000" w:rsidRDefault="000E7A9E" w:rsidP="009E0AF6">
            <w:pPr>
              <w:pStyle w:val="Normal6"/>
              <w:rPr>
                <w:szCs w:val="24"/>
                <w:lang w:val="lt-LT"/>
              </w:rPr>
            </w:pPr>
            <w:r w:rsidRPr="00D33000">
              <w:rPr>
                <w:b/>
                <w:i/>
                <w:lang w:val="lt-LT"/>
              </w:rPr>
              <w:t>„Skaidrumas ir</w:t>
            </w:r>
            <w:r w:rsidRPr="00D33000">
              <w:rPr>
                <w:lang w:val="lt-LT"/>
              </w:rPr>
              <w:t xml:space="preserve"> atskaitomybė</w:t>
            </w:r>
            <w:r w:rsidRPr="00D33000">
              <w:rPr>
                <w:b/>
                <w:i/>
                <w:lang w:val="lt-LT"/>
              </w:rPr>
              <w:t>“;</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tcPr>
          <w:p w:rsidR="000E7A9E" w:rsidRPr="00D33000" w:rsidRDefault="000E7A9E" w:rsidP="009E0AF6">
            <w:pPr>
              <w:pStyle w:val="Normal6"/>
              <w:rPr>
                <w:b/>
                <w:i/>
                <w:szCs w:val="24"/>
                <w:lang w:val="lt-LT"/>
              </w:rPr>
            </w:pPr>
            <w:r w:rsidRPr="00D33000">
              <w:rPr>
                <w:b/>
                <w:i/>
                <w:lang w:val="lt-LT"/>
              </w:rPr>
              <w:t>b) įterpiama ši dalis:</w:t>
            </w:r>
          </w:p>
        </w:tc>
      </w:tr>
      <w:tr w:rsidR="000E7A9E" w:rsidRPr="00D33000" w:rsidTr="009E0AF6">
        <w:trPr>
          <w:jc w:val="center"/>
        </w:trPr>
        <w:tc>
          <w:tcPr>
            <w:tcW w:w="4876" w:type="dxa"/>
            <w:hideMark/>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„3a. Valdyba skelbia visas gaires, bendruosius nurodymus, politiką ar priemones, kuriais nustatoma bendrame pertvarkymo mechanizme taikytina pertvarkymo politika ar metodika.“;</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CrossRef"/>
        <w:rPr>
          <w:lang w:val="lt-LT"/>
        </w:rPr>
      </w:pPr>
      <w:r w:rsidRPr="00D33000">
        <w:rPr>
          <w:lang w:val="lt-LT"/>
        </w:rPr>
        <w:t>(https://eur-lex.europa.eu/legal-content/LT/TXT/?uri=celex%3A32014R0806)</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282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31 a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50 straipsnio 1 dalies q a ir q b punktai (nauji)</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(31a)</w:t>
            </w:r>
            <w:r w:rsidRPr="00D33000">
              <w:rPr>
                <w:b/>
                <w:i/>
                <w:lang w:val="lt-LT"/>
              </w:rPr>
              <w:tab/>
              <w:t>50 straipsnio 1 dalis papildoma šiais punktais: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„qa) priima taisykles, kuriomis užtikrinama, kad būtų konsultuojamasi su nacionalinėmis pertvarkymo institucijomis ir kad jos galėtų prisidėti prie bet kokios vykdomosios sesijos politikos ar gairių, kurias jos padės įgyvendinti, rengimo;</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qb) prireikus priima pramonės konsultacijų organizavimo taisykles prieš plenarinei sesijai ar vykdomajai sesijai priimant plataus ar bendro pobūdžio sprendimą.“;</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The association of NRAs in the relevant technical groups and subgroups when the SRB drafts and reviews itsgeneral policies, is essential to ensure consistent and effective implementation across the Banking Union. Industry consultations prior to any substantive decision would enhance cooperation and understanding of the sector. Policies and guidance should be tailored to banks’ models to facilitate implementation. In addition, industry consultations address the need expressedby the banking sector for more detailed information in order to be able totailor capabilities further.</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283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34 punkto b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56 straipsnio 5 dalies 1 a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Asmuo, kuris ėjo </w:t>
            </w:r>
            <w:r w:rsidRPr="00D33000">
              <w:rPr>
                <w:b/>
                <w:i/>
                <w:lang w:val="lt-LT"/>
              </w:rPr>
              <w:t>dvi kadencijas</w:t>
            </w:r>
            <w:r w:rsidRPr="00D33000">
              <w:rPr>
                <w:lang w:val="lt-LT"/>
              </w:rPr>
              <w:t xml:space="preserve"> kaip pirmininkas, pirmininko pavaduotojas arba 43 straipsnio 1 dalies b punkte nurodytas narys, negali būti paskirtas į kitas dvi pareigas.“;</w:t>
            </w:r>
          </w:p>
        </w:tc>
        <w:tc>
          <w:tcPr>
            <w:tcW w:w="4876" w:type="dxa"/>
            <w:hideMark/>
          </w:tcPr>
          <w:p w:rsidR="000E7A9E" w:rsidRPr="00D33000" w:rsidRDefault="000E7A9E" w:rsidP="009E0AF6">
            <w:pPr>
              <w:pStyle w:val="Normal6"/>
              <w:rPr>
                <w:szCs w:val="24"/>
                <w:lang w:val="lt-LT"/>
              </w:rPr>
            </w:pPr>
            <w:r w:rsidRPr="00D33000">
              <w:rPr>
                <w:lang w:val="lt-LT"/>
              </w:rPr>
              <w:t>Asmuo, kuris ėjo kaip pirmininkas, pirmininko pavaduotojas arba 43 straipsnio 1 dalies b punkte nurodytas narys, negali būti paskirtas į kitas dvi pareigas.“;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284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1pastraipos 34 punkto c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56 straipsnio 6 dalies 1 pastraipos 1 a sakinys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c)</w:t>
            </w:r>
            <w:r w:rsidRPr="00D33000">
              <w:rPr>
                <w:b/>
                <w:i/>
                <w:lang w:val="lt-LT"/>
              </w:rPr>
              <w:tab/>
              <w:t>6 dalies pirma pastraipa papildoma šiuo sakiniu:</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r w:rsidR="000E7A9E" w:rsidRPr="00D33000" w:rsidTr="009E0AF6">
        <w:trPr>
          <w:jc w:val="center"/>
        </w:trPr>
        <w:tc>
          <w:tcPr>
            <w:tcW w:w="4876" w:type="dxa"/>
            <w:hideMark/>
          </w:tcPr>
          <w:p w:rsidR="000E7A9E" w:rsidRPr="00D33000" w:rsidRDefault="000E7A9E" w:rsidP="009E0AF6">
            <w:pPr>
              <w:pStyle w:val="Normal6"/>
              <w:rPr>
                <w:lang w:val="lt-LT"/>
              </w:rPr>
            </w:pPr>
          </w:p>
        </w:tc>
        <w:tc>
          <w:tcPr>
            <w:tcW w:w="4876" w:type="dxa"/>
          </w:tcPr>
          <w:p w:rsidR="000E7A9E" w:rsidRPr="00D33000" w:rsidRDefault="000E7A9E" w:rsidP="009E0AF6">
            <w:pPr>
              <w:pStyle w:val="Normal6"/>
              <w:rPr>
                <w:szCs w:val="24"/>
                <w:lang w:val="lt-LT"/>
              </w:rPr>
            </w:pP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„Komisija gali sudaryti galutinį sąrašą tokia tvarka, kuri atspindi Komisijos atliktą kiekvieno kandidato tinkamumo vertinimą pagal šio straipsnio 4 dalyje nurodytus kriterijus.“;</w:t>
            </w:r>
          </w:p>
        </w:tc>
        <w:tc>
          <w:tcPr>
            <w:tcW w:w="4876" w:type="dxa"/>
          </w:tcPr>
          <w:p w:rsidR="000E7A9E" w:rsidRPr="00D33000" w:rsidRDefault="000E7A9E" w:rsidP="009E0AF6">
            <w:pPr>
              <w:pStyle w:val="Normal6"/>
              <w:rPr>
                <w:szCs w:val="24"/>
                <w:lang w:val="lt-LT"/>
              </w:rPr>
            </w:pPr>
          </w:p>
        </w:tc>
      </w:tr>
      <w:tr w:rsidR="000E7A9E" w:rsidRPr="00D33000" w:rsidTr="009E0AF6">
        <w:trPr>
          <w:jc w:val="center"/>
        </w:trPr>
        <w:tc>
          <w:tcPr>
            <w:tcW w:w="4876" w:type="dxa"/>
            <w:hideMark/>
          </w:tcPr>
          <w:p w:rsidR="000E7A9E" w:rsidRPr="00D33000" w:rsidRDefault="000E7A9E" w:rsidP="009E0AF6">
            <w:pPr>
              <w:pStyle w:val="Normal6"/>
              <w:rPr>
                <w:lang w:val="lt-LT"/>
              </w:rPr>
            </w:pPr>
          </w:p>
        </w:tc>
        <w:tc>
          <w:tcPr>
            <w:tcW w:w="4876" w:type="dxa"/>
          </w:tcPr>
          <w:p w:rsidR="000E7A9E" w:rsidRPr="00D33000" w:rsidRDefault="000E7A9E" w:rsidP="009E0AF6">
            <w:pPr>
              <w:pStyle w:val="Normal6"/>
              <w:rPr>
                <w:szCs w:val="24"/>
                <w:lang w:val="lt-LT"/>
              </w:rPr>
            </w:pP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285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34 punkto c a papunktis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56 straipsnio 6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Dabartinis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ca)</w:t>
            </w:r>
            <w:r w:rsidRPr="00D33000">
              <w:rPr>
                <w:b/>
                <w:i/>
                <w:lang w:val="lt-LT"/>
              </w:rPr>
              <w:tab/>
              <w:t>56 straipsnio 6 dalis pakeičiama taip:</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6. Išklausiusi Valdybą plenariniame posėdyje, Komisija Europos Parlamentui pateikia galutinį kandidatų eiti pirmininko, pirmininko pavaduotojo ir 43 straipsnio 1 dalies b punkte nurodytų narių pareigas sąrašą ir apie tą sąrašą informuoja Tarybą.</w:t>
            </w:r>
            <w:r w:rsidRPr="00D33000">
              <w:rPr>
                <w:b/>
                <w:i/>
                <w:lang w:val="lt-LT"/>
              </w:rPr>
              <w:t xml:space="preserve"> Nukrypstant nuo pirmos pastraipos, kai skiriami pirmieji Valdybos nariai įsigaliojus šiam reglamentui, Komisija pateikia galutinį</w:t>
            </w:r>
            <w:r w:rsidRPr="00D33000">
              <w:rPr>
                <w:lang w:val="lt-LT"/>
              </w:rPr>
              <w:t xml:space="preserve"> kandidatų </w:t>
            </w:r>
            <w:r w:rsidRPr="00D33000">
              <w:rPr>
                <w:b/>
                <w:i/>
                <w:lang w:val="lt-LT"/>
              </w:rPr>
              <w:t>sąrašą neišklausiusi Valdybos.</w:t>
            </w:r>
            <w:r w:rsidRPr="00D33000">
              <w:rPr>
                <w:lang w:val="lt-LT"/>
              </w:rPr>
              <w:t xml:space="preserve"> Komisija teikia Europos Parlamentui patvirtinti pasiūlymą dėl pirmininko, pirmininko pavaduotojo ir 43 straipsnio 1 dalies b punkte nurodytų narių skyrimo. Patvirtinus tą pasiūlymą, Taryba priima įgyvendinimo sprendimą dėl pirmininko, pirmininko pavaduotojo ir 43 straipsnio 1 dalies b punkte nurodytų narių skyrimo. Taryba sprendimą priima kvalifikuota balsų dauguma.</w:t>
            </w:r>
          </w:p>
        </w:tc>
        <w:tc>
          <w:tcPr>
            <w:tcW w:w="4876" w:type="dxa"/>
            <w:hideMark/>
          </w:tcPr>
          <w:p w:rsidR="000E7A9E" w:rsidRPr="00D33000" w:rsidRDefault="000E7A9E" w:rsidP="009E0AF6">
            <w:pPr>
              <w:pStyle w:val="Normal6"/>
              <w:rPr>
                <w:szCs w:val="24"/>
                <w:lang w:val="lt-LT"/>
              </w:rPr>
            </w:pPr>
            <w:r w:rsidRPr="00D33000">
              <w:rPr>
                <w:b/>
                <w:bCs/>
                <w:i/>
                <w:iCs/>
                <w:lang w:val="lt-LT"/>
              </w:rPr>
              <w:t>„</w:t>
            </w:r>
            <w:r w:rsidRPr="00D33000">
              <w:rPr>
                <w:lang w:val="lt-LT"/>
              </w:rPr>
              <w:t>6. Išklausiusi Valdybą plenariniame posėdyje, Komisija Europos Parlamentui pateikia galutinį kandidatų eiti pirmininko, pirmininko pavaduotojo ir 43 straipsnio 1 dalies b punkte nurodytų narių pareigas sąrašą</w:t>
            </w:r>
            <w:r w:rsidRPr="00D33000">
              <w:rPr>
                <w:b/>
                <w:i/>
                <w:lang w:val="lt-LT"/>
              </w:rPr>
              <w:t>, kuriame atsižvelgiama į lyčių pusiausvyrą,</w:t>
            </w:r>
            <w:r w:rsidRPr="00D33000">
              <w:rPr>
                <w:lang w:val="lt-LT"/>
              </w:rPr>
              <w:t xml:space="preserve"> ir apie tą sąrašą informuoja Tarybą.</w:t>
            </w:r>
            <w:r w:rsidRPr="00D33000">
              <w:rPr>
                <w:b/>
                <w:i/>
                <w:lang w:val="lt-LT"/>
              </w:rPr>
              <w:t xml:space="preserve"> Europos Parlamentas gali rengti tame galutiniame sąraše esančių</w:t>
            </w:r>
            <w:r w:rsidRPr="00D33000">
              <w:rPr>
                <w:lang w:val="lt-LT"/>
              </w:rPr>
              <w:t xml:space="preserve"> kandidatų </w:t>
            </w:r>
            <w:r w:rsidRPr="00D33000">
              <w:rPr>
                <w:b/>
                <w:i/>
                <w:lang w:val="lt-LT"/>
              </w:rPr>
              <w:t>klausymus. Atsižvelgdama į Europos Parlamento rezultatus,</w:t>
            </w:r>
            <w:r w:rsidRPr="00D33000">
              <w:rPr>
                <w:lang w:val="lt-LT"/>
              </w:rPr>
              <w:t xml:space="preserve"> Komisija teikia Europos Parlamentui patvirtinti pasiūlymą dėl pirmininko, pirmininko pavaduotojo ir 43 straipsnio 1 dalies b punkte nurodytų narių skyrimo. Patvirtinus tą pasiūlymą, Taryba priima įgyvendinimo sprendimą dėl pirmininko, pirmininko pavaduotojo ir 43 straipsnio 1 dalies b punkte nurodytų narių skyrimo. Taryba sprendimą priima kvalifikuota balsų dauguma.</w:t>
            </w:r>
            <w:r w:rsidRPr="00D33000">
              <w:rPr>
                <w:b/>
                <w:bCs/>
                <w:i/>
                <w:iCs/>
                <w:lang w:val="lt-LT"/>
              </w:rPr>
              <w:t>“;</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CrossRef"/>
        <w:rPr>
          <w:lang w:val="lt-LT"/>
        </w:rPr>
      </w:pPr>
      <w:r w:rsidRPr="00D33000">
        <w:rPr>
          <w:lang w:val="lt-LT"/>
        </w:rPr>
        <w:t>(https://eur-lex.europa.eu/legal-content/LT/TXT/?uri=celex%3A32014R0806)</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286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34 punkto d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56 straipsnio 6 a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6a.</w:t>
            </w:r>
            <w:r w:rsidRPr="00D33000">
              <w:rPr>
                <w:b/>
                <w:i/>
                <w:lang w:val="lt-LT"/>
              </w:rPr>
              <w:tab/>
              <w:t>Per 9 mėnesius iki pirmosios pirmininko, pirmininko pavaduotojo ir 43 straipsnio 1 dalies b punkte nurodytų narių kadencijos pabaigos Komisija įvertina per pirmąją kadenciją pasiektus rezultatus ir, remdamasi to vertinimo rezultatais, nusprendžia, ar pateikti pasiūlymą dėl kadencijos pratęsimo.</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Taryba, remdamasi Komisijos pasiūlymu, priima įgyvendinimo sprendimą pratęsti pirmininko, pirmininko pavaduotojo ir 43 straipsnio 1 dalies b punkte nurodytų narių kadenciją. Taryba sprendimą priima kvalifikuota balsų dauguma.“;</w:t>
            </w:r>
          </w:p>
        </w:tc>
        <w:tc>
          <w:tcPr>
            <w:tcW w:w="4876" w:type="dxa"/>
          </w:tcPr>
          <w:p w:rsidR="000E7A9E" w:rsidRPr="00D33000" w:rsidRDefault="000E7A9E" w:rsidP="009E0AF6">
            <w:pPr>
              <w:pStyle w:val="Normal6"/>
              <w:rPr>
                <w:szCs w:val="24"/>
                <w:lang w:val="lt-LT"/>
              </w:rPr>
            </w:pP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287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34 punkto e a papunktis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56 straipsnio 8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Dabartinis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ea)</w:t>
            </w:r>
            <w:r w:rsidRPr="00D33000">
              <w:rPr>
                <w:b/>
                <w:i/>
                <w:lang w:val="lt-LT"/>
              </w:rPr>
              <w:tab/>
              <w:t>56 straipsnio 8 dalis išbraukiama</w:t>
            </w:r>
            <w:r w:rsidRPr="00D33000">
              <w:rPr>
                <w:lang w:val="lt-LT"/>
              </w:rPr>
              <w:t>.</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8. Pirmininkas, kurio kadencija buvo pratęsta, nedalyvauja viso laikotarpio pabaigoje rengiamoje kitoje atrankos į tas pačias pareigas procedūroje</w:t>
            </w:r>
            <w:r w:rsidRPr="00D33000">
              <w:rPr>
                <w:lang w:val="lt-LT"/>
              </w:rPr>
              <w:t>.</w:t>
            </w:r>
          </w:p>
        </w:tc>
        <w:tc>
          <w:tcPr>
            <w:tcW w:w="4876" w:type="dxa"/>
            <w:hideMark/>
          </w:tcPr>
          <w:p w:rsidR="000E7A9E" w:rsidRPr="00D33000" w:rsidRDefault="000E7A9E" w:rsidP="009E0AF6">
            <w:pPr>
              <w:pStyle w:val="Normal6"/>
              <w:rPr>
                <w:szCs w:val="24"/>
                <w:lang w:val="lt-LT"/>
              </w:rPr>
            </w:pP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CrossRef"/>
        <w:rPr>
          <w:lang w:val="lt-LT"/>
        </w:rPr>
      </w:pPr>
      <w:r w:rsidRPr="00D33000">
        <w:rPr>
          <w:lang w:val="lt-LT"/>
        </w:rPr>
        <w:t>(https://eur-lex.europa.eu/legal-content/LT/TXT/?uri=celex%3A32014R0806)</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288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35 a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69 straipsnio 1 dalies 1 a pastraipa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(35a)</w:t>
            </w:r>
            <w:r w:rsidRPr="00D33000">
              <w:rPr>
                <w:b/>
                <w:i/>
                <w:lang w:val="lt-LT"/>
              </w:rPr>
              <w:tab/>
              <w:t>69 straipsnio 1 dalis papildoma šia pastraipa:</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„Kai turimi finansiniai ištekliai antrus metus iš eilės gerokai viršija tikslinį lygį, Komisija įvertina padėtį ir praneša, ar tikslinga numatyti galimybę atkurti dalį turimų finansinių išteklių.“;</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Dėl šios reformos gali pasikeisti tikimybė, kad maži ir vidutinio dydžio bankai galės naudotis IGS ir (arba) BPF. Ši tikimybė turėtų atsispindėti įnašų taisyklėse, kad būtų nustatytos tinkamos paskatos modeliui „teršėjas moka“. Kol tai bus peržiūrėta, turėtų būti sustabdyti įnašai, laikantis apatinės rizikos ribojimo ribos.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289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36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69 straipsnio 4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4.</w:t>
            </w:r>
            <w:r w:rsidRPr="00D33000">
              <w:rPr>
                <w:lang w:val="lt-LT"/>
              </w:rPr>
              <w:tab/>
              <w:t xml:space="preserve">Jeigu pasibaigus 1 dalyje nurodytam pradiniam laikotarpiui turimų finansinių išteklių suma sumažėja ir nebesiekia toje dalyje nustatyto tikslinio lygio, reguliarūs įnašai, apskaičiuoti pagal 70 straipsnį, renkami tol, kol bus pasiektas </w:t>
            </w:r>
            <w:r w:rsidRPr="00D33000">
              <w:rPr>
                <w:b/>
                <w:i/>
                <w:lang w:val="lt-LT"/>
              </w:rPr>
              <w:t>tikslinis</w:t>
            </w:r>
            <w:r w:rsidRPr="00D33000">
              <w:rPr>
                <w:lang w:val="lt-LT"/>
              </w:rPr>
              <w:t xml:space="preserve"> lygis. Valdyba gali atidėti pagal 70 straipsnį renkamų reguliarių įnašų surinkimą vieniems ar daugiau metų, siekdama užtikrinti, kad surinktina suma pasiektų sumą, proporcingą surinkimo proceso išlaidoms, su sąlyga, kad toks atidėjimas nedaro reikšmingo poveikio Valdybos gebėjimui naudoti Fondą pagal 3 skirsnį. Po to, kai pirmą kartą pasiekiamas tikslinis lygis ir kai turimi finansiniai ištekliai sumažėja iki mažiau nei dviejų trečdalių tikslinio lygio, tie įnašai nustatomi tokio dydžio, kad tikslinį lygį būtų galima pasiekti per šešerius metus.</w:t>
            </w:r>
            <w:r w:rsidRPr="00D33000">
              <w:rPr>
                <w:b/>
                <w:i/>
                <w:lang w:val="lt-LT"/>
              </w:rPr>
              <w:t>“;</w:t>
            </w:r>
          </w:p>
        </w:tc>
        <w:tc>
          <w:tcPr>
            <w:tcW w:w="4876" w:type="dxa"/>
            <w:hideMark/>
          </w:tcPr>
          <w:p w:rsidR="000E7A9E" w:rsidRPr="00D33000" w:rsidRDefault="000E7A9E" w:rsidP="009E0AF6">
            <w:pPr>
              <w:pStyle w:val="Normal6"/>
              <w:rPr>
                <w:szCs w:val="24"/>
                <w:lang w:val="lt-LT"/>
              </w:rPr>
            </w:pPr>
            <w:r w:rsidRPr="00D33000">
              <w:rPr>
                <w:lang w:val="lt-LT"/>
              </w:rPr>
              <w:t>4.</w:t>
            </w:r>
            <w:r w:rsidRPr="00D33000">
              <w:rPr>
                <w:lang w:val="lt-LT"/>
              </w:rPr>
              <w:tab/>
              <w:t>Jeigu pasibaigus 1 dalyje nurodytam pradiniam laikotarpiui turimų finansinių išteklių suma sumažėja ir nebesiekia toje dalyje nustatyto tikslinio lygio, reguliarūs įnašai, apskaičiuoti pagal 70 straipsnį, renkami tol, kol bus pasiektas lygis</w:t>
            </w:r>
            <w:r w:rsidRPr="00D33000">
              <w:rPr>
                <w:b/>
                <w:i/>
                <w:lang w:val="lt-LT"/>
              </w:rPr>
              <w:t>, atitinkantis pradinio laikotarpio pabaigoje pasiektą tikslinį lygį</w:t>
            </w:r>
            <w:r w:rsidRPr="00D33000">
              <w:rPr>
                <w:lang w:val="lt-LT"/>
              </w:rPr>
              <w:t xml:space="preserve">. Valdyba gali atidėti pagal 70 straipsnį renkamų reguliarių įnašų surinkimą </w:t>
            </w:r>
            <w:r w:rsidRPr="00D33000">
              <w:rPr>
                <w:b/>
                <w:i/>
                <w:lang w:val="lt-LT"/>
              </w:rPr>
              <w:t>ir jų ataskaitų teikimo prievoles</w:t>
            </w:r>
            <w:r w:rsidRPr="00D33000">
              <w:rPr>
                <w:lang w:val="lt-LT"/>
              </w:rPr>
              <w:t xml:space="preserve"> vieniems ar daugiau metų, siekdama užtikrinti, kad surinktina suma pasiektų sumą, proporcingą </w:t>
            </w:r>
            <w:r w:rsidRPr="00D33000">
              <w:rPr>
                <w:b/>
                <w:i/>
                <w:lang w:val="lt-LT"/>
              </w:rPr>
              <w:t>pertvarkymo institucijų ir įstaigų</w:t>
            </w:r>
            <w:r w:rsidRPr="00D33000">
              <w:rPr>
                <w:lang w:val="lt-LT"/>
              </w:rPr>
              <w:t xml:space="preserve"> surinkimo proceso išlaidoms, su sąlyga, kad toks atidėjimas nedaro reikšmingo poveikio Valdybos gebėjimui naudoti Fondą pagal 3 skirsnį. Po to, kai pirmą kartą pasiekiamas tikslinis lygis ir kai turimi finansiniai ištekliai sumažėja iki mažiau nei dviejų trečdalių tikslinio lygio, tie įnašai nustatomi tokio dydžio, kad tikslinį lygį būtų galima pasiekti per šešerius metus.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The purpose of this amendment is to clarify that the regular collection of contributions ends when the financial means of the Single Resolution Fund reaches the target level (1 % of the amount of covered deposits of all credit institutions authorised in all of the participating Member States) for the first time at the end of the initial period of time. The target level is not “dynamic”. However, if the available financial means fall below the achieved target level, regular contributions shall be raised until a target level is reached that is equal to the target level that was reached at the end of the initial period of time.With regard to the Single Resolution Fund in particular, it should be noted: The level to be achieved by the end of 2023, around 78 billion euros, is already around 40% higher than the originally envisaged target level, which was previously considered sufficient. This increase has on no account been the result of an increase in the willingness of banks to take more risks – as noted by, among others, the SRB. It is solely due to an increase in covered deposits. By keeping this mandatory contribution in place, the fund would be considerably more overcapitalised than it already is today.The explicit clarification should be included in the legal text that the cost of the collection process include all costs at authorities and institutions. if only the costs of the collection process at the authorities were taken into account, a suspension of the levy would be unlikely. Furthermore, a suspension of the collection process should not only include the contributions themselves, but also the submission of the annual report for the calculation of the contributions. Otherwise the institutions would be burdened with unnecessary administrative effort.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290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36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69 straipsnio 4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4.</w:t>
            </w:r>
            <w:r w:rsidRPr="00D33000">
              <w:rPr>
                <w:lang w:val="lt-LT"/>
              </w:rPr>
              <w:tab/>
            </w:r>
            <w:r w:rsidRPr="00D33000">
              <w:rPr>
                <w:b/>
                <w:i/>
                <w:lang w:val="lt-LT"/>
              </w:rPr>
              <w:t>Jeigu pasibaigus 1 dalyje nurodytam pradiniam laikotarpiui turimų finansinių išteklių suma sumažėja ir nebesiekia toje dalyje nustatyto tikslinio lygio, reguliarūs įnašai, apskaičiuoti</w:t>
            </w:r>
            <w:r w:rsidRPr="00D33000">
              <w:rPr>
                <w:lang w:val="lt-LT"/>
              </w:rPr>
              <w:t xml:space="preserve"> pagal 70 straipsnį</w:t>
            </w:r>
            <w:r w:rsidRPr="00D33000">
              <w:rPr>
                <w:b/>
                <w:i/>
                <w:lang w:val="lt-LT"/>
              </w:rPr>
              <w:t>, renkami tol,</w:t>
            </w:r>
            <w:r w:rsidRPr="00D33000">
              <w:rPr>
                <w:lang w:val="lt-LT"/>
              </w:rPr>
              <w:t xml:space="preserve"> kol </w:t>
            </w:r>
            <w:r w:rsidRPr="00D33000">
              <w:rPr>
                <w:b/>
                <w:i/>
                <w:lang w:val="lt-LT"/>
              </w:rPr>
              <w:t>bus pasiektas tikslinis lygis.</w:t>
            </w:r>
            <w:r w:rsidRPr="00D33000">
              <w:rPr>
                <w:lang w:val="lt-LT"/>
              </w:rPr>
              <w:t xml:space="preserve"> Valdyba </w:t>
            </w:r>
            <w:r w:rsidRPr="00D33000">
              <w:rPr>
                <w:b/>
                <w:i/>
                <w:lang w:val="lt-LT"/>
              </w:rPr>
              <w:t>gali atidėti pagal 70 straipsnį renkamų</w:t>
            </w:r>
            <w:r w:rsidRPr="00D33000">
              <w:rPr>
                <w:lang w:val="lt-LT"/>
              </w:rPr>
              <w:t xml:space="preserve"> reguliarių įnašų surinkimą vieniems </w:t>
            </w:r>
            <w:r w:rsidRPr="00D33000">
              <w:rPr>
                <w:b/>
                <w:i/>
                <w:lang w:val="lt-LT"/>
              </w:rPr>
              <w:t>ar daugiau metų, siekdama užtikrinti, kad</w:t>
            </w:r>
            <w:r w:rsidRPr="00D33000">
              <w:rPr>
                <w:lang w:val="lt-LT"/>
              </w:rPr>
              <w:t xml:space="preserve"> surinktina suma pasiektų sumą, proporcingą surinkimo proceso išlaidoms, </w:t>
            </w:r>
            <w:r w:rsidRPr="00D33000">
              <w:rPr>
                <w:b/>
                <w:i/>
                <w:lang w:val="lt-LT"/>
              </w:rPr>
              <w:t>su sąlyga, kad toks atidėjimas nedaro reikšmingo poveikio Valdybos gebėjimui naudoti Fondą pagal 3 skirsnį</w:t>
            </w:r>
            <w:r w:rsidRPr="00D33000">
              <w:rPr>
                <w:lang w:val="lt-LT"/>
              </w:rPr>
              <w:t xml:space="preserve">. </w:t>
            </w:r>
            <w:r w:rsidRPr="00D33000">
              <w:rPr>
                <w:b/>
                <w:i/>
                <w:lang w:val="lt-LT"/>
              </w:rPr>
              <w:t>Po to, kai pirmą kartą pasiekiamas tikslinis lygis ir kai turimi finansiniai ištekliai sumažėja iki mažiau nei dviejų trečdalių tikslinio lygio, tie įnašai nustatomi tokio dydžio</w:t>
            </w:r>
            <w:r w:rsidRPr="00D33000">
              <w:rPr>
                <w:lang w:val="lt-LT"/>
              </w:rPr>
              <w:t>, kad tikslinį lygį būtų galima pasiekti per šešerius metus.“;</w:t>
            </w:r>
          </w:p>
        </w:tc>
        <w:tc>
          <w:tcPr>
            <w:tcW w:w="4876" w:type="dxa"/>
            <w:hideMark/>
          </w:tcPr>
          <w:p w:rsidR="000E7A9E" w:rsidRPr="00D33000" w:rsidRDefault="000E7A9E" w:rsidP="009E0AF6">
            <w:pPr>
              <w:pStyle w:val="Normal6"/>
              <w:rPr>
                <w:szCs w:val="24"/>
                <w:lang w:val="lt-LT"/>
              </w:rPr>
            </w:pPr>
            <w:r w:rsidRPr="00D33000">
              <w:rPr>
                <w:lang w:val="lt-LT"/>
              </w:rPr>
              <w:t>4.</w:t>
            </w:r>
            <w:r w:rsidRPr="00D33000">
              <w:rPr>
                <w:lang w:val="lt-LT"/>
              </w:rPr>
              <w:tab/>
            </w:r>
            <w:r w:rsidRPr="00D33000">
              <w:rPr>
                <w:b/>
                <w:i/>
                <w:lang w:val="lt-LT"/>
              </w:rPr>
              <w:t>Pirmą kartą pasiekus tikslinį lygį, reguliariai renkant įnašus, apskaičiuotus</w:t>
            </w:r>
            <w:r w:rsidRPr="00D33000">
              <w:rPr>
                <w:lang w:val="lt-LT"/>
              </w:rPr>
              <w:t xml:space="preserve"> pagal 70 straipsnį</w:t>
            </w:r>
            <w:r w:rsidRPr="00D33000">
              <w:rPr>
                <w:b/>
                <w:i/>
                <w:lang w:val="lt-LT"/>
              </w:rPr>
              <w:t>, taikomi šie moduliavimai:</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w:t>
            </w:r>
            <w:r w:rsidRPr="00D33000">
              <w:rPr>
                <w:lang w:val="lt-LT"/>
              </w:rPr>
              <w:t xml:space="preserve"> kol </w:t>
            </w:r>
            <w:r w:rsidRPr="00D33000">
              <w:rPr>
                <w:b/>
                <w:i/>
                <w:lang w:val="lt-LT"/>
              </w:rPr>
              <w:t>turimi finansiniai ištekliai, atėmus bet kokias išmokas, sumažės žemiau 85 proc. tikslinio lygio,</w:t>
            </w:r>
            <w:r w:rsidRPr="00D33000">
              <w:rPr>
                <w:lang w:val="lt-LT"/>
              </w:rPr>
              <w:t xml:space="preserve"> Valdyba atideda reguliarių įnašų surinkimą</w:t>
            </w:r>
            <w:r w:rsidRPr="00D33000">
              <w:rPr>
                <w:b/>
                <w:i/>
                <w:lang w:val="lt-LT"/>
              </w:rPr>
              <w:t>;</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b) jei</w:t>
            </w:r>
            <w:r w:rsidRPr="00D33000">
              <w:rPr>
                <w:lang w:val="lt-LT"/>
              </w:rPr>
              <w:t xml:space="preserve"> surinktina suma pasiektų sumą, proporcingą surinkimo proceso išlaidoms, </w:t>
            </w:r>
            <w:r w:rsidRPr="00D33000">
              <w:rPr>
                <w:b/>
                <w:i/>
                <w:lang w:val="lt-LT"/>
              </w:rPr>
              <w:t>Valdyba atideda reguliarių įnašų surinkimą</w:t>
            </w:r>
            <w:r w:rsidRPr="00D33000">
              <w:rPr>
                <w:lang w:val="lt-LT"/>
              </w:rPr>
              <w:t>.</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Be to, nustatomas toks reguliaraus įnašų atnaujinimas po pirmoje pastraipoje nurodyto atidėjimo</w:t>
            </w:r>
            <w:r w:rsidRPr="00D33000">
              <w:rPr>
                <w:lang w:val="lt-LT"/>
              </w:rPr>
              <w:t xml:space="preserve">, kad tikslinį lygį būtų galima pasiekti per </w:t>
            </w:r>
            <w:r w:rsidRPr="00D33000">
              <w:rPr>
                <w:b/>
                <w:i/>
                <w:lang w:val="lt-LT"/>
              </w:rPr>
              <w:t>trejus</w:t>
            </w:r>
            <w:r w:rsidRPr="00D33000">
              <w:rPr>
                <w:lang w:val="lt-LT"/>
              </w:rPr>
              <w:t xml:space="preserve"> metus.“;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Dėl šios reformos gali pasikeisti tikimybė, kad maži ir vidutinio dydžio bankai galės naudotis IGS ir (arba) BPF. Ši tikimybė turėtų atsispindėti įnašų taisyklėse, kad būtų nustatytos tinkamos paskatos modeliui „teršėjas moka“. Kol tai bus peržiūrėta, turėtų būti sustabdyti įnašai, laikantis apatinės rizikos ribojimo ribos.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291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36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69 straipsnio 4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4.</w:t>
            </w:r>
            <w:r w:rsidRPr="00D33000">
              <w:rPr>
                <w:lang w:val="lt-LT"/>
              </w:rPr>
              <w:tab/>
              <w:t xml:space="preserve">Jeigu pasibaigus 1 dalyje nurodytam pradiniam laikotarpiui turimų finansinių išteklių suma sumažėja ir nebesiekia toje dalyje nustatyto tikslinio lygio, reguliarūs įnašai, apskaičiuoti pagal 70 straipsnį, renkami tol, kol bus pasiektas tikslinis lygis. Valdyba gali atidėti pagal 70 straipsnį renkamų reguliarių įnašų surinkimą vieniems </w:t>
            </w:r>
            <w:r w:rsidRPr="00D33000">
              <w:rPr>
                <w:b/>
                <w:i/>
                <w:lang w:val="lt-LT"/>
              </w:rPr>
              <w:t>ar daugiau metų</w:t>
            </w:r>
            <w:r w:rsidRPr="00D33000">
              <w:rPr>
                <w:lang w:val="lt-LT"/>
              </w:rPr>
              <w:t>, siekdama užtikrinti, kad surinktina suma pasiektų sumą, proporcingą surinkimo proceso išlaidoms, su sąlyga, kad toks atidėjimas nedaro reikšmingo poveikio Valdybos gebėjimui naudoti Fondą pagal 3 skirsnį. Po to, kai pirmą kartą pasiekiamas tikslinis lygis ir kai turimi finansiniai ištekliai sumažėja iki mažiau nei dviejų trečdalių tikslinio lygio, tie įnašai nustatomi tokio dydžio, kad tikslinį lygį būtų galima pasiekti per šešerius metus.“;</w:t>
            </w:r>
          </w:p>
        </w:tc>
        <w:tc>
          <w:tcPr>
            <w:tcW w:w="4876" w:type="dxa"/>
            <w:hideMark/>
          </w:tcPr>
          <w:p w:rsidR="000E7A9E" w:rsidRPr="00D33000" w:rsidRDefault="000E7A9E" w:rsidP="009E0AF6">
            <w:pPr>
              <w:pStyle w:val="Normal6"/>
              <w:rPr>
                <w:szCs w:val="24"/>
                <w:lang w:val="lt-LT"/>
              </w:rPr>
            </w:pPr>
            <w:r w:rsidRPr="00D33000">
              <w:rPr>
                <w:lang w:val="lt-LT"/>
              </w:rPr>
              <w:t>4.</w:t>
            </w:r>
            <w:r w:rsidRPr="00D33000">
              <w:rPr>
                <w:lang w:val="lt-LT"/>
              </w:rPr>
              <w:tab/>
              <w:t xml:space="preserve">Jeigu pasibaigus 1 dalyje nurodytam pradiniam laikotarpiui turimų finansinių išteklių suma sumažėja ir nebesiekia toje dalyje nustatyto tikslinio lygio, reguliarūs įnašai, apskaičiuoti pagal 70 straipsnį, renkami tol, kol bus pasiektas tikslinis lygis. Valdyba gali atidėti pagal 70 straipsnį renkamų reguliarių įnašų surinkimą vieniems </w:t>
            </w:r>
            <w:r w:rsidRPr="00D33000">
              <w:rPr>
                <w:b/>
                <w:i/>
                <w:lang w:val="lt-LT"/>
              </w:rPr>
              <w:t>metams</w:t>
            </w:r>
            <w:r w:rsidRPr="00D33000">
              <w:rPr>
                <w:lang w:val="lt-LT"/>
              </w:rPr>
              <w:t>, siekdama užtikrinti, kad surinktina suma pasiektų sumą, proporcingą surinkimo proceso išlaidoms, su sąlyga, kad toks atidėjimas nedaro reikšmingo poveikio Valdybos gebėjimui naudoti Fondą pagal 3 skirsnį. Po to, kai pirmą kartą pasiekiamas tikslinis lygis ir kai turimi finansiniai ištekliai sumažėja iki mažiau nei dviejų trečdalių tikslinio lygio, tie įnašai nustatomi tokio dydžio, kad tikslinį lygį būtų galima pasiekti per šešerius metus.“;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292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37 punkto a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70 straipsnio 3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3.</w:t>
            </w:r>
            <w:r w:rsidRPr="00D33000">
              <w:rPr>
                <w:lang w:val="lt-LT"/>
              </w:rPr>
              <w:tab/>
              <w:t xml:space="preserve">Siekiant 69 straipsnyje nustatyto tikslinio finansavimo lygio, į reikalingą finansinių išteklių sumą galima įtraukti neatšaukiamus mokėjimo įsipareigojimus, visiškai užtikrintus jokiomis trečiųjų asmenų teisėmis nesuvaržyto mažos rizikos turto užstatu, laisvai prieinamus ir skirtus išimtinai Valdybai naudoti 76 straipsnio 1 dalyje numatytais tikslais. Tų neatšaukiamų mokėjimo įsipareigojimų dalis neviršija </w:t>
            </w:r>
            <w:r w:rsidRPr="00D33000">
              <w:rPr>
                <w:b/>
                <w:i/>
                <w:lang w:val="lt-LT"/>
              </w:rPr>
              <w:t>50</w:t>
            </w:r>
            <w:r w:rsidRPr="00D33000">
              <w:rPr>
                <w:lang w:val="lt-LT"/>
              </w:rPr>
              <w:t> proc. visos pagal šį straipsnį surinktų įnašų sumos. Neviršydama tos ribos, Valdyba kasmet nustato neatšaukiamų mokėjimo įsipareigojimų dalį, palyginti su bendra įnašų, kurie turi būti surinkti pagal šį straipsnį, suma.“;</w:t>
            </w:r>
          </w:p>
        </w:tc>
        <w:tc>
          <w:tcPr>
            <w:tcW w:w="4876" w:type="dxa"/>
            <w:hideMark/>
          </w:tcPr>
          <w:p w:rsidR="000E7A9E" w:rsidRPr="00D33000" w:rsidRDefault="000E7A9E" w:rsidP="009E0AF6">
            <w:pPr>
              <w:pStyle w:val="Normal6"/>
              <w:rPr>
                <w:szCs w:val="24"/>
                <w:lang w:val="lt-LT"/>
              </w:rPr>
            </w:pPr>
            <w:r w:rsidRPr="00D33000">
              <w:rPr>
                <w:lang w:val="lt-LT"/>
              </w:rPr>
              <w:t>3.</w:t>
            </w:r>
            <w:r w:rsidRPr="00D33000">
              <w:rPr>
                <w:lang w:val="lt-LT"/>
              </w:rPr>
              <w:tab/>
              <w:t xml:space="preserve">Siekiant 69 straipsnyje nustatyto tikslinio finansavimo lygio, į reikalingą finansinių išteklių sumą galima įtraukti neatšaukiamus mokėjimo įsipareigojimus, visiškai užtikrintus jokiomis trečiųjų asmenų teisėmis nesuvaržyto mažos rizikos turto užstatu, laisvai prieinamus ir skirtus išimtinai Valdybai naudoti 76 straipsnio 1 dalyje numatytais tikslais. Tų neatšaukiamų mokėjimo įsipareigojimų dalis neviršija </w:t>
            </w:r>
            <w:r w:rsidRPr="00D33000">
              <w:rPr>
                <w:b/>
                <w:i/>
                <w:lang w:val="lt-LT"/>
              </w:rPr>
              <w:t>30</w:t>
            </w:r>
            <w:r w:rsidRPr="00D33000">
              <w:rPr>
                <w:lang w:val="lt-LT"/>
              </w:rPr>
              <w:t> proc. visos pagal šį straipsnį surinktų įnašų sumos. Neviršydama tos ribos, Valdyba kasmet nustato neatšaukiamų mokėjimo įsipareigojimų dalį, palyginti su bendra įnašų, kurie turi būti surinkti pagal šį straipsnį, suma.“;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293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37 punkto a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70 straipsnio 3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3.</w:t>
            </w:r>
            <w:r w:rsidRPr="00D33000">
              <w:rPr>
                <w:lang w:val="lt-LT"/>
              </w:rPr>
              <w:tab/>
              <w:t xml:space="preserve">Siekiant </w:t>
            </w:r>
            <w:r w:rsidRPr="00D33000">
              <w:rPr>
                <w:b/>
                <w:i/>
                <w:lang w:val="lt-LT"/>
              </w:rPr>
              <w:t>69</w:t>
            </w:r>
            <w:r w:rsidRPr="00D33000">
              <w:rPr>
                <w:lang w:val="lt-LT"/>
              </w:rPr>
              <w:t xml:space="preserve"> straipsnyje nustatyto tikslinio finansavimo lygio, į reikalingą finansinių išteklių sumą galima įtraukti neatšaukiamus mokėjimo įsipareigojimus, visiškai užtikrintus jokiomis trečiųjų asmenų teisėmis nesuvaržyto mažos rizikos turto užstatu, laisvai prieinamus ir skirtus išimtinai Valdybai naudoti 76 straipsnio 1 dalyje numatytais tikslais. Tų neatšaukiamų mokėjimo įsipareigojimų dalis </w:t>
            </w:r>
            <w:r w:rsidRPr="00D33000">
              <w:rPr>
                <w:b/>
                <w:i/>
                <w:lang w:val="lt-LT"/>
              </w:rPr>
              <w:t>neviršija</w:t>
            </w:r>
            <w:r w:rsidRPr="00D33000">
              <w:rPr>
                <w:lang w:val="lt-LT"/>
              </w:rPr>
              <w:t xml:space="preserve"> 50 proc. visos pagal šį straipsnį surinktų įnašų sumos. </w:t>
            </w:r>
            <w:r w:rsidRPr="00D33000">
              <w:rPr>
                <w:b/>
                <w:i/>
                <w:lang w:val="lt-LT"/>
              </w:rPr>
              <w:t xml:space="preserve">Neviršydama tos ribos, </w:t>
            </w:r>
            <w:r w:rsidRPr="00D33000">
              <w:rPr>
                <w:lang w:val="lt-LT"/>
              </w:rPr>
              <w:t>Valdyba kasmet nustato neatšaukiamų mokėjimo įsipareigojimų dalį, palyginti su bendra įnašų, kurie turi būti surinkti pagal šį straipsnį, suma.</w:t>
            </w:r>
            <w:r w:rsidRPr="00D33000">
              <w:rPr>
                <w:b/>
                <w:i/>
                <w:lang w:val="lt-LT"/>
              </w:rPr>
              <w:t>“;</w:t>
            </w:r>
          </w:p>
        </w:tc>
        <w:tc>
          <w:tcPr>
            <w:tcW w:w="4876" w:type="dxa"/>
            <w:hideMark/>
          </w:tcPr>
          <w:p w:rsidR="000E7A9E" w:rsidRPr="00D33000" w:rsidRDefault="000E7A9E" w:rsidP="009E0AF6">
            <w:pPr>
              <w:pStyle w:val="Normal6"/>
              <w:rPr>
                <w:szCs w:val="24"/>
                <w:lang w:val="lt-LT"/>
              </w:rPr>
            </w:pPr>
            <w:r w:rsidRPr="00D33000">
              <w:rPr>
                <w:lang w:val="lt-LT"/>
              </w:rPr>
              <w:t>3.</w:t>
            </w:r>
            <w:r w:rsidRPr="00D33000">
              <w:rPr>
                <w:lang w:val="lt-LT"/>
              </w:rPr>
              <w:tab/>
              <w:t xml:space="preserve">Siekiant </w:t>
            </w:r>
            <w:r w:rsidRPr="00D33000">
              <w:rPr>
                <w:b/>
                <w:i/>
                <w:lang w:val="lt-LT"/>
              </w:rPr>
              <w:t>102</w:t>
            </w:r>
            <w:r w:rsidRPr="00D33000">
              <w:rPr>
                <w:lang w:val="lt-LT"/>
              </w:rPr>
              <w:t xml:space="preserve"> straipsnyje nustatyto tikslinio finansavimo lygio, į reikalingą finansinių išteklių sumą galima įtraukti neatšaukiamus mokėjimo įsipareigojimus, visiškai užtikrintus jokiomis trečiųjų asmenų teisėmis nesuvaržyto mažos rizikos turto užstatu, laisvai prieinamus ir skirtus išimtinai Valdybai naudoti 76 straipsnio 1 dalyje numatytais tikslais. Tų neatšaukiamų mokėjimo įsipareigojimų dalis </w:t>
            </w:r>
            <w:r w:rsidRPr="00D33000">
              <w:rPr>
                <w:b/>
                <w:i/>
                <w:lang w:val="lt-LT"/>
              </w:rPr>
              <w:t>sudaro</w:t>
            </w:r>
            <w:r w:rsidRPr="00D33000">
              <w:rPr>
                <w:lang w:val="lt-LT"/>
              </w:rPr>
              <w:t xml:space="preserve"> 50 proc. visos pagal šį straipsnį surinktų įnašų sumos. Valdyba kasmet nustato neatšaukiamų mokėjimo įsipareigojimų dalį, palyginti su bendra įnašų, kurie turi būti surinkti pagal šį straipsnį, suma.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Europos Komisijos pasiūlymas padidinti neatšaukiamo mokėjimo įsipareigojimo dalies iš esmės yra gera idėja, tačiau sprendimą dėl jos suteikimo ir neatšaukiamo mokėjimo įsipareigojimo dalies dydžio ir toliau sprendžia Valdyba. Siekiant pagerinti planavimo pajėgumus, institucijos visada turėtų turėti galimybę naudoti 50 proc. neatšaukiamo mokėjimo įsipareigojimo.</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294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37 punkto b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70 straipsnio 3 a dalies 2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Kai įstaiga arba subjektas nebepatenka į </w:t>
            </w:r>
            <w:r w:rsidRPr="00D33000">
              <w:rPr>
                <w:b/>
                <w:i/>
                <w:lang w:val="lt-LT"/>
              </w:rPr>
              <w:t>2 straipsnio</w:t>
            </w:r>
            <w:r w:rsidRPr="00D33000">
              <w:rPr>
                <w:lang w:val="lt-LT"/>
              </w:rPr>
              <w:t xml:space="preserve"> taikymo sritį </w:t>
            </w:r>
            <w:r w:rsidRPr="00D33000">
              <w:rPr>
                <w:b/>
                <w:i/>
                <w:lang w:val="lt-LT"/>
              </w:rPr>
              <w:t>ir jiems nebetaikoma pareiga mokėti įnašus pagal šio straipsnio 1 dalį, Valdyba pareikalauja pagal 3 dalį prisiimtų neatšaukiamų</w:t>
            </w:r>
            <w:r w:rsidRPr="00D33000">
              <w:rPr>
                <w:lang w:val="lt-LT"/>
              </w:rPr>
              <w:t xml:space="preserve"> mokėjimo </w:t>
            </w:r>
            <w:r w:rsidRPr="00D33000">
              <w:rPr>
                <w:b/>
                <w:i/>
                <w:lang w:val="lt-LT"/>
              </w:rPr>
              <w:t>įsipareigojimų, kurie dar turi būti įvykdyti. Jei su neatšaukiamu mokėjimo įsipareigojimu susijęs įnašas tinkamai sumokamas pirmojo pareikalavimo metu, Valdyba</w:t>
            </w:r>
            <w:r w:rsidRPr="00D33000">
              <w:rPr>
                <w:lang w:val="lt-LT"/>
              </w:rPr>
              <w:t xml:space="preserve"> </w:t>
            </w:r>
            <w:r w:rsidRPr="00D33000">
              <w:rPr>
                <w:b/>
                <w:i/>
                <w:lang w:val="lt-LT"/>
              </w:rPr>
              <w:t>panaikina įsipareigojimą ir grąžina užstatą. Jei įnašas nėra tinkamai sumokamas pirmojo pareikalavimo metu, Valdyba konfiskuoja užstatą</w:t>
            </w:r>
            <w:r w:rsidRPr="00D33000">
              <w:rPr>
                <w:lang w:val="lt-LT"/>
              </w:rPr>
              <w:t xml:space="preserve"> </w:t>
            </w:r>
            <w:r w:rsidRPr="00D33000">
              <w:rPr>
                <w:b/>
                <w:i/>
                <w:lang w:val="lt-LT"/>
              </w:rPr>
              <w:t>ir panaikina įsipareigojimą.“</w:t>
            </w:r>
            <w:r w:rsidRPr="00D33000">
              <w:rPr>
                <w:lang w:val="lt-LT"/>
              </w:rPr>
              <w:t>;</w:t>
            </w:r>
          </w:p>
        </w:tc>
        <w:tc>
          <w:tcPr>
            <w:tcW w:w="4876" w:type="dxa"/>
            <w:hideMark/>
          </w:tcPr>
          <w:p w:rsidR="000E7A9E" w:rsidRPr="00D33000" w:rsidRDefault="000E7A9E" w:rsidP="009E0AF6">
            <w:pPr>
              <w:pStyle w:val="Normal6"/>
              <w:rPr>
                <w:szCs w:val="24"/>
                <w:lang w:val="lt-LT"/>
              </w:rPr>
            </w:pPr>
            <w:r w:rsidRPr="00D33000">
              <w:rPr>
                <w:lang w:val="lt-LT"/>
              </w:rPr>
              <w:t xml:space="preserve">Kai įstaiga arba subjektas nebepatenka į </w:t>
            </w:r>
            <w:r w:rsidRPr="00D33000">
              <w:rPr>
                <w:b/>
                <w:i/>
                <w:lang w:val="lt-LT"/>
              </w:rPr>
              <w:t>šio reglamento</w:t>
            </w:r>
            <w:r w:rsidRPr="00D33000">
              <w:rPr>
                <w:lang w:val="lt-LT"/>
              </w:rPr>
              <w:t xml:space="preserve"> taikymo sritį</w:t>
            </w:r>
            <w:r w:rsidRPr="00D33000">
              <w:rPr>
                <w:b/>
                <w:i/>
                <w:lang w:val="lt-LT"/>
              </w:rPr>
              <w:t>, neatšaukiami</w:t>
            </w:r>
            <w:r w:rsidRPr="00D33000">
              <w:rPr>
                <w:lang w:val="lt-LT"/>
              </w:rPr>
              <w:t xml:space="preserve"> mokėjimo </w:t>
            </w:r>
            <w:r w:rsidRPr="00D33000">
              <w:rPr>
                <w:b/>
                <w:i/>
                <w:lang w:val="lt-LT"/>
              </w:rPr>
              <w:t>įsipareigojimai panaikinami, o šių įsipareigojimų užtikrinimo užstatas grąžinama ne vėliau kaip praėjus dvejiems metams nuo tos dienos, kai subjektui nebetaikomas šis reglamentas</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Suteikus BPF laiko rinkti naujus įnašus spragai užpildyti, užstato grąžinimas nesukeltų BPF turimų finansinių išteklių sumažėjimo. Tokiu paaiškinimu taip pat bus išsaugotas neatšaukiamo mokėjimo įsipareigojimo specifiškumas, pagal kurį jis gali būti traktuojamas ne kaip bankų pelno ir nuostolių išlaidos.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295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37 punkto b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70 straipsnio 3 a dalies 2 pastraipa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Kai įstaiga arba subjektas nebepatenka į 2 straipsnio taikymo sritį ir jiems nebetaikoma pareiga mokėti įnašus pagal šio straipsnio 1 dalį, Valdyba </w:t>
            </w:r>
            <w:r w:rsidRPr="00D33000">
              <w:rPr>
                <w:b/>
                <w:i/>
                <w:lang w:val="lt-LT"/>
              </w:rPr>
              <w:t>pareikalauja</w:t>
            </w:r>
            <w:r w:rsidRPr="00D33000">
              <w:rPr>
                <w:lang w:val="lt-LT"/>
              </w:rPr>
              <w:t xml:space="preserve"> pagal 3 dalį </w:t>
            </w:r>
            <w:r w:rsidRPr="00D33000">
              <w:rPr>
                <w:b/>
                <w:i/>
                <w:lang w:val="lt-LT"/>
              </w:rPr>
              <w:t>prisiimtų neatšaukiamų</w:t>
            </w:r>
            <w:r w:rsidRPr="00D33000">
              <w:rPr>
                <w:lang w:val="lt-LT"/>
              </w:rPr>
              <w:t xml:space="preserve"> mokėjimo </w:t>
            </w:r>
            <w:r w:rsidRPr="00D33000">
              <w:rPr>
                <w:b/>
                <w:i/>
                <w:lang w:val="lt-LT"/>
              </w:rPr>
              <w:t>įsipareigojimų, kurie dar turi būti įvykdyti</w:t>
            </w:r>
            <w:r w:rsidRPr="00D33000">
              <w:rPr>
                <w:lang w:val="lt-LT"/>
              </w:rPr>
              <w:t>.</w:t>
            </w:r>
            <w:r w:rsidRPr="00D33000">
              <w:rPr>
                <w:b/>
                <w:i/>
                <w:lang w:val="lt-LT"/>
              </w:rPr>
              <w:t xml:space="preserve"> Jei su neatšaukiamu mokėjimo įsipareigojimu susijęs įnašas tinkamai sumokamas pirmojo pareikalavimo metu, Valdyba</w:t>
            </w:r>
            <w:r w:rsidRPr="00D33000">
              <w:rPr>
                <w:lang w:val="lt-LT"/>
              </w:rPr>
              <w:t xml:space="preserve"> </w:t>
            </w:r>
            <w:r w:rsidRPr="00D33000">
              <w:rPr>
                <w:b/>
                <w:i/>
                <w:lang w:val="lt-LT"/>
              </w:rPr>
              <w:t>panaikina įsipareigojimą ir grąžina užstatą.</w:t>
            </w:r>
            <w:r w:rsidRPr="00D33000">
              <w:rPr>
                <w:lang w:val="lt-LT"/>
              </w:rPr>
              <w:t xml:space="preserve"> </w:t>
            </w:r>
            <w:r w:rsidRPr="00D33000">
              <w:rPr>
                <w:b/>
                <w:i/>
                <w:lang w:val="lt-LT"/>
              </w:rPr>
              <w:t>Jei įnašas nėra tinkamai sumokamas pirmojo pareikalavimo metu, Valdyba konfiskuoja užstatą ir panaikina įsipareigojimą.“;</w:t>
            </w:r>
          </w:p>
        </w:tc>
        <w:tc>
          <w:tcPr>
            <w:tcW w:w="4876" w:type="dxa"/>
            <w:hideMark/>
          </w:tcPr>
          <w:p w:rsidR="000E7A9E" w:rsidRPr="00D33000" w:rsidRDefault="000E7A9E" w:rsidP="009E0AF6">
            <w:pPr>
              <w:pStyle w:val="Normal6"/>
              <w:rPr>
                <w:szCs w:val="24"/>
                <w:lang w:val="lt-LT"/>
              </w:rPr>
            </w:pPr>
            <w:r w:rsidRPr="00D33000">
              <w:rPr>
                <w:lang w:val="lt-LT"/>
              </w:rPr>
              <w:t xml:space="preserve">Kai įstaiga arba subjektas nebepatenka į 2 straipsnio taikymo sritį ir jiems nebetaikoma pareiga mokėti įnašus pagal šio straipsnio 1 dalį, Valdyba </w:t>
            </w:r>
            <w:r w:rsidRPr="00D33000">
              <w:rPr>
                <w:b/>
                <w:i/>
                <w:lang w:val="lt-LT"/>
              </w:rPr>
              <w:t>grąžina</w:t>
            </w:r>
            <w:r w:rsidRPr="00D33000">
              <w:rPr>
                <w:lang w:val="lt-LT"/>
              </w:rPr>
              <w:t xml:space="preserve"> pagal 3 dalį </w:t>
            </w:r>
            <w:r w:rsidRPr="00D33000">
              <w:rPr>
                <w:b/>
                <w:i/>
                <w:lang w:val="lt-LT"/>
              </w:rPr>
              <w:t>prisiimtus neatšaukiamus</w:t>
            </w:r>
            <w:r w:rsidRPr="00D33000">
              <w:rPr>
                <w:lang w:val="lt-LT"/>
              </w:rPr>
              <w:t xml:space="preserve"> mokėjimo </w:t>
            </w:r>
            <w:r w:rsidRPr="00D33000">
              <w:rPr>
                <w:b/>
                <w:i/>
                <w:lang w:val="lt-LT"/>
              </w:rPr>
              <w:t>įsipareigojimus, kai tik vėlesnis reguliarus įnašų etapas pagal šio straipsnio 1 dalį papildo Fondą iki tikslinio lygio</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Šiuo pakeitimu siekiama užtikrinti, kad neatšaukiamų mokėjimo įsipareigojimų sistemos pritaikymas (pvz., dėl neatšaukiamo mokėjimo įsipareigojimo grąžinimo) nepakeistų jų dabartinės apskaitos tvarkos.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296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40 punkto -a papunktis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76 straipsnio 1 dalies g a punktas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w:t>
            </w:r>
            <w:r w:rsidRPr="00D33000">
              <w:rPr>
                <w:b/>
                <w:i/>
                <w:lang w:val="lt-LT"/>
              </w:rPr>
              <w:tab/>
              <w:t>1 dalis papildoma šiuo punktu:</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„ga) kai indėlių garantijų sistema moka įnašą pagal 79 straipsnio 1 dalį ir kai įvykdomos taikytinos sąlygos, skirti sumą, kurios reikia likusiam finansavimo trūkumui po IGS įnašo užpildyti 8 proc. TLOF; tokiu atveju visą Fondo įnašą IGS grąžins ne vėliau kaip per 6 metus;“;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1 VARIANTAS: Likvidumo paramos IGS laikinumas: (Žemi užmojai CMDI dokumentų rinkinyje siekiant suderinti krizių valdymą): atsižvelgiant į atotrūkio projektą, šiame straipsnyje reikia aiškiai nurodyti šį naują pertvarkymo finansavimo struktūros naudojimo atvejį. Taip pat reikia peržiūrėti įnašus reglamentuojančias taisykles, siekiant užtikrinti, kad įsigaliojus CMDI reformai principas „teršėjas moka“ vis dar būtų veiksmingas.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297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40 punkto -a papunktis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76 straipsnio 1 dalies g a punktas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w:t>
            </w:r>
            <w:r w:rsidRPr="00D33000">
              <w:rPr>
                <w:b/>
                <w:i/>
                <w:lang w:val="lt-LT"/>
              </w:rPr>
              <w:tab/>
              <w:t>1 dalis papildoma šiuo punktu:</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„ga) kai indėlių garantijų sistema moka įnašą pagal 79 straipsnio 1 dalį ir kai įvykdomos taikytinos sąlygos, skirti sumą, kurios reikia likusiam finansavimo trūkumui po IGS įnašo užpildyti 8 proc. TLOF;“;</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2 VARIANTAS: IGS ir RF/BPF nuostolių pasidalijimo laikinumas: (Aukšti užmojai CMDI dokumentų rinkinyje siekiant suderinti krizių valdymą): atsižvelgiant į atotrūkio projektą, šiame straipsnyje reikia aiškiai nurodyti šį naują pertvarkymo finansavimo struktūros naudojimo atvejį. Taip pat reikia peržiūrėti įnašus reglamentuojančias taisykles, siekiant užtikrinti, kad įsigaliojus CMDI reformai principas „teršėjas moka“ vis dar būtų veiksmingas.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298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40 punkto b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76 straipsnio 5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5.</w:t>
            </w:r>
            <w:r w:rsidRPr="00D33000">
              <w:rPr>
                <w:b/>
                <w:i/>
                <w:lang w:val="lt-LT"/>
              </w:rPr>
              <w:tab/>
              <w:t>Kai 22 straipsnio 2 dalies a arba b punkte nurodytos pertvarkymo priemonės naudojamos tik daliai pertvarkomos įstaigos turto, teisių ar įsipareigojimų perduoti, Valdyba turi turėti reikalavimą likusio subjekto atžvilgiu dėl išlaidų ir nuostolių, kuriuos Fondas patyrė dėl pertvarkymui pagal šio straipsnio 1 ir 2 dalis skirtų įnašų, susijusių su nuostoliais, kuriuos kitu atveju būtų patyrę kreditoriai.</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Dėl čia nustatytų Valdybos reikalavimų ir jų lengvatinės padėties nemokumo bylose indėlių garantijų sistemos tikriausiai nuolat patirs nuostolių ir finansinį išeikvojimą. Tai savo ruožtu lems indėlininkų pasitikėjimo praradimą.</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299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40 punkto b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76 straipsnio 6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6.</w:t>
            </w:r>
            <w:r w:rsidRPr="00D33000">
              <w:rPr>
                <w:b/>
                <w:i/>
                <w:lang w:val="lt-LT"/>
              </w:rPr>
              <w:tab/>
              <w:t>Pagal Direktyvos 2014/59/ES 108 straipsnio 9 dalį šio straipsnio 5 dalyje ir 22 straipsnio 6 dalyje nurodytiems Valdybos reikalavimams kiekvienoje dalyvaujančioje valstybėje narėje yra suteikiamas toks pat prioritetas, koks suteikiamas nacionalinių pertvarkymo finansavimo struktūrų reikalavimams pagal tos valstybės narės nacionalinę teisę, kuria reglamentuojamos įprastinės bankroto bylos.“;</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Dėl čia nustatytų Valdybos reikalavimų ir jų lengvatinės padėties nemokumo bylose indėlių garantijų sistemos tikriausiai nuolat patirs nuostolių ir finansinį išeikvojimą. Tai savo ruožtu lems indėlininkų pasitikėjimo praradimą.</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300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40 punkto b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76 straipsnio 6 a dalis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„6a.</w:t>
            </w:r>
            <w:r w:rsidRPr="00D33000">
              <w:rPr>
                <w:b/>
                <w:i/>
                <w:lang w:val="lt-LT"/>
              </w:rPr>
              <w:tab/>
              <w:t>Ne vėliau kaip 2026 m. gruodžio 31 d. Komisija pateikia Europos Parlamentui ir Tarybai ataskaitą dėl taisyklių, reglamentuojančių įnašus į Fondą, tinkamumo. Ataskaitoje apžvelgiamos krizių valdymo sistemos reformos ir įvertinama, ar dėl šių pakeitimų reikia peržiūrėti taisykles, reglamentuojančias įnašus į pertvarkymo finansavimo struktūrą, kad būtų išsaugotas paskatų pagal principą „teršėjas moka“ veiksmingumas. Kai tikslinga, Komisija pateikia pasiūlymą dėl teisėkūros procedūra priimamo akto.“;</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1 IR 2 VARIANTAI</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301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Engin Eroglu</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41 punktas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79 straipsnis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(41)</w:t>
            </w:r>
            <w:r w:rsidRPr="00D33000">
              <w:rPr>
                <w:b/>
                <w:i/>
                <w:lang w:val="lt-LT"/>
              </w:rPr>
              <w:tab/>
              <w:t>79 straipsnis iš dalies keičiamas taip:</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r w:rsidR="000E7A9E" w:rsidRPr="00D33000" w:rsidTr="009E0AF6">
        <w:trPr>
          <w:jc w:val="center"/>
        </w:trPr>
        <w:tc>
          <w:tcPr>
            <w:tcW w:w="4876" w:type="dxa"/>
          </w:tcPr>
          <w:p w:rsidR="000E7A9E" w:rsidRPr="00D33000" w:rsidRDefault="000E7A9E" w:rsidP="009E0AF6">
            <w:pPr>
              <w:pStyle w:val="Normal6"/>
              <w:rPr>
                <w:lang w:val="lt-LT"/>
              </w:rPr>
            </w:pPr>
            <w:r w:rsidRPr="00D33000">
              <w:rPr>
                <w:lang w:val="lt-LT"/>
              </w:rPr>
              <w:t>[…]</w:t>
            </w:r>
          </w:p>
        </w:tc>
        <w:tc>
          <w:tcPr>
            <w:tcW w:w="4876" w:type="dxa"/>
          </w:tcPr>
          <w:p w:rsidR="000E7A9E" w:rsidRPr="00D33000" w:rsidRDefault="000E7A9E" w:rsidP="009E0AF6">
            <w:pPr>
              <w:pStyle w:val="Normal6"/>
              <w:rPr>
                <w:lang w:val="lt-LT"/>
              </w:rPr>
            </w:pP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The proposed change of the current use of deposit guarantee schemes in the context of resolution is to be rejected. Otherwise, the financial contributions of deposit guarantee schemes for resolutions will be increased significantly in terms of frequency and amount of co-financing required. The use of deposit guarantee scheme funds for resolution measures is to be made standard, despite the fact that this is inappropriate and unnecessary.In addition, extending the scope of protection to include uncovered and unprotected deposits in resolution gives wholesale investors a free pass. This contradicts the mandate of the deposit protection scheme, which is to protect depositors in the event that a bank becomes insolvent by reimbursing up to 100,000 EUR of money deposited with the bank in question.</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302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Joachim Schuster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41 punkto a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79 straipsnio 1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1.</w:t>
            </w:r>
            <w:r w:rsidRPr="00D33000">
              <w:rPr>
                <w:b/>
                <w:i/>
                <w:lang w:val="lt-LT"/>
              </w:rPr>
              <w:tab/>
              <w:t>Dalyvaujančios valstybės narės užtikrina, kad tais atvejais, kai Valdyba kredito įstaigos atžvilgiu imasi pertvarkymo veiksmo, su sąlyga, kad tuo veiksmu užtikrinama, jog indėlininkai ir toliau turėtų galimybę naudotis savo indėliais, kad indėlininkai nepatirtų nuostolių, indėlių garantijų sistema, su kuria yra susijusi ta kredito įstaiga, prisidėtų Direktyvos 2014/59/ES 109 straipsnyje nustatytais tikslais ir sąlygomis.</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303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Markus Ferber, Herbert Dorfmann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41 punkto a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79 straipsnio 1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1.</w:t>
            </w:r>
            <w:r w:rsidRPr="00D33000">
              <w:rPr>
                <w:b/>
                <w:i/>
                <w:lang w:val="lt-LT"/>
              </w:rPr>
              <w:tab/>
              <w:t>Dalyvaujančios valstybės narės užtikrina, kad tais atvejais, kai Valdyba kredito įstaigos atžvilgiu imasi pertvarkymo veiksmo, su sąlyga, kad tuo veiksmu užtikrinama, jog indėlininkai ir toliau turėtų galimybę naudotis savo indėliais, kad indėlininkai nepatirtų nuostolių, indėlių garantijų sistema, su kuria yra susijusi ta kredito įstaiga, prisidėtų Direktyvos 2014/59/ES 109 straipsnyje nustatytais tikslais ir sąlygomis.</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Taikant metodą „finansavimo trūkumo panaikinimas“ pažeidžiamas pagrindinis principas, kad nuostolius pirmiausia turėtų padengti žlungančio banko akcininkai, o vėliau kreditoriai. „Finansavimo trūkumo panaikinimas“ nėra būtinas, nes MREL reikalavimais užtikrinamas pakankamas pertvarkymo finansavimas.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304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41 punkto a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79 straipsnio 1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w:t>
            </w:r>
            <w:r w:rsidRPr="00D33000">
              <w:rPr>
                <w:lang w:val="lt-LT"/>
              </w:rPr>
              <w:tab/>
              <w:t xml:space="preserve">Dalyvaujančios valstybės narės užtikrina, kad tais atvejais, kai Valdyba kredito įstaigos atžvilgiu imasi pertvarkymo veiksmo, su sąlyga, kad tuo veiksmu užtikrinama, jog </w:t>
            </w:r>
            <w:r w:rsidRPr="00D33000">
              <w:rPr>
                <w:b/>
                <w:i/>
                <w:lang w:val="lt-LT"/>
              </w:rPr>
              <w:t>indėlininkai</w:t>
            </w:r>
            <w:r w:rsidRPr="00D33000">
              <w:rPr>
                <w:lang w:val="lt-LT"/>
              </w:rPr>
              <w:t xml:space="preserve"> ir toliau turėtų galimybę naudotis savo indėliais, kad </w:t>
            </w:r>
            <w:r w:rsidRPr="00D33000">
              <w:rPr>
                <w:b/>
                <w:i/>
                <w:lang w:val="lt-LT"/>
              </w:rPr>
              <w:t>indėlininkai</w:t>
            </w:r>
            <w:r w:rsidRPr="00D33000">
              <w:rPr>
                <w:lang w:val="lt-LT"/>
              </w:rPr>
              <w:t xml:space="preserve"> nepatirtų nuostolių, indėlių garantijų sistema, su kuria yra susijusi ta kredito įstaiga, prisidėtų Direktyvos 2014/59/ES 109 straipsnyje nustatytais tikslais ir sąlygomis.</w:t>
            </w:r>
          </w:p>
        </w:tc>
        <w:tc>
          <w:tcPr>
            <w:tcW w:w="4876" w:type="dxa"/>
            <w:hideMark/>
          </w:tcPr>
          <w:p w:rsidR="000E7A9E" w:rsidRPr="00D33000" w:rsidRDefault="000E7A9E" w:rsidP="009E0AF6">
            <w:pPr>
              <w:pStyle w:val="Normal6"/>
              <w:rPr>
                <w:szCs w:val="24"/>
                <w:lang w:val="lt-LT"/>
              </w:rPr>
            </w:pPr>
            <w:r w:rsidRPr="00D33000">
              <w:rPr>
                <w:lang w:val="lt-LT"/>
              </w:rPr>
              <w:t>1.</w:t>
            </w:r>
            <w:r w:rsidRPr="00D33000">
              <w:rPr>
                <w:lang w:val="lt-LT"/>
              </w:rPr>
              <w:tab/>
              <w:t xml:space="preserve">Dalyvaujančios valstybės narės užtikrina, kad tais atvejais, kai Valdyba kredito įstaigos atžvilgiu imasi pertvarkymo veiksmo, su sąlyga, kad tuo veiksmu užtikrinama, jog </w:t>
            </w:r>
            <w:r w:rsidRPr="00D33000">
              <w:rPr>
                <w:b/>
                <w:i/>
                <w:lang w:val="lt-LT"/>
              </w:rPr>
              <w:t>fiziniai asmenys ir labai mažos, mažosios ir vidutinės įmonės</w:t>
            </w:r>
            <w:r w:rsidRPr="00D33000">
              <w:rPr>
                <w:lang w:val="lt-LT"/>
              </w:rPr>
              <w:t xml:space="preserve"> ir toliau turėtų galimybę naudotis savo indėliais, kad </w:t>
            </w:r>
            <w:r w:rsidRPr="00D33000">
              <w:rPr>
                <w:b/>
                <w:i/>
                <w:lang w:val="lt-LT"/>
              </w:rPr>
              <w:t>jie</w:t>
            </w:r>
            <w:r w:rsidRPr="00D33000">
              <w:rPr>
                <w:lang w:val="lt-LT"/>
              </w:rPr>
              <w:t xml:space="preserve"> nepatirtų nuostolių, indėlių garantijų sistema, su kuria yra susijusi ta kredito įstaiga, prisidėtų Direktyvos 2014/59/ES 109 straipsnyje nustatytais tikslais ir sąlygomis.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Kalbant apie pertvarkymo tikslus, didesnėms įmonėms neturėtų būti sudaromos palankesnės sąlygos nei kitiems klientams. Be to, BPV turėtų būti atsakinga už LCT (kaip pertvarkymo schemos dalies) patvirtinimą, kai tik Fondas gali būti naudojamas, be kita ko, naudojantis „atotrūkio“ funkcija.</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305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Joachim Schuster</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41 punkto a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79 straipsnio 2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b/>
                <w:i/>
                <w:lang w:val="lt-LT"/>
              </w:rPr>
              <w:t>2.</w:t>
            </w:r>
            <w:r w:rsidRPr="00D33000">
              <w:rPr>
                <w:b/>
                <w:i/>
                <w:lang w:val="lt-LT"/>
              </w:rPr>
              <w:tab/>
              <w:t>Valdyba, pasikonsultavusi su indėlių garantijų sistema ir, jei reikia, su paskirta valdžios institucija, apibrėžta Direktyvos 2014/49/ES 2 straipsnio 1 dalies 18 punkte, dėl indėlių grąžinimo numatomų išlaidų pagal Direktyvos 2014/49/ES 11e straipsnį ir laikydamasi šio reglamento 20 straipsnyje nurodytų sąlygų, nustato indėlių garantijų sistemos įnašo sumą pagal 1 dalį.</w:t>
            </w:r>
          </w:p>
        </w:tc>
        <w:tc>
          <w:tcPr>
            <w:tcW w:w="4876" w:type="dxa"/>
            <w:hideMark/>
          </w:tcPr>
          <w:p w:rsidR="000E7A9E" w:rsidRPr="00D33000" w:rsidRDefault="000E7A9E" w:rsidP="009E0AF6">
            <w:pPr>
              <w:pStyle w:val="Normal6"/>
              <w:rPr>
                <w:szCs w:val="24"/>
                <w:lang w:val="lt-LT"/>
              </w:rPr>
            </w:pPr>
            <w:r w:rsidRPr="00D33000">
              <w:rPr>
                <w:b/>
                <w:i/>
                <w:lang w:val="lt-LT"/>
              </w:rPr>
              <w:t>Išbraukta.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306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41 punkto a papunktis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79 straipsnio 2 dalis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2.</w:t>
            </w:r>
            <w:r w:rsidRPr="00D33000">
              <w:rPr>
                <w:lang w:val="lt-LT"/>
              </w:rPr>
              <w:tab/>
              <w:t>Valdyba</w:t>
            </w:r>
            <w:r w:rsidRPr="00D33000">
              <w:rPr>
                <w:b/>
                <w:i/>
                <w:lang w:val="lt-LT"/>
              </w:rPr>
              <w:t>, pasikonsultavusi su indėlių garantijų sistema ir, jei reikia, su paskirta valdžios institucija, apibrėžta Direktyvos 2014/49/ES 2 straipsnio 1 dalies 18 punkte, dėl indėlių grąžinimo numatomų išlaidų pagal Direktyvos 2014/49/ES 11e straipsnį ir laikydamasi šio reglamento 20 straipsnyje nurodytų sąlygų</w:t>
            </w:r>
            <w:r w:rsidRPr="00D33000">
              <w:rPr>
                <w:lang w:val="lt-LT"/>
              </w:rPr>
              <w:t>, nustato indėlių garantijų sistemos įnašo sumą pagal 1 dalį.</w:t>
            </w:r>
          </w:p>
        </w:tc>
        <w:tc>
          <w:tcPr>
            <w:tcW w:w="4876" w:type="dxa"/>
            <w:hideMark/>
          </w:tcPr>
          <w:p w:rsidR="000E7A9E" w:rsidRPr="00D33000" w:rsidRDefault="000E7A9E" w:rsidP="009E0AF6">
            <w:pPr>
              <w:pStyle w:val="Normal6"/>
              <w:rPr>
                <w:szCs w:val="24"/>
                <w:lang w:val="lt-LT"/>
              </w:rPr>
            </w:pPr>
            <w:r w:rsidRPr="00D33000">
              <w:rPr>
                <w:lang w:val="lt-LT"/>
              </w:rPr>
              <w:t>2.</w:t>
            </w:r>
            <w:r w:rsidRPr="00D33000">
              <w:rPr>
                <w:lang w:val="lt-LT"/>
              </w:rPr>
              <w:tab/>
              <w:t xml:space="preserve">Valdyba nustato indėlių garantijų sistemos įnašo sumą pagal 1 dalį, </w:t>
            </w:r>
            <w:r w:rsidRPr="00D33000">
              <w:rPr>
                <w:b/>
                <w:i/>
                <w:lang w:val="lt-LT"/>
              </w:rPr>
              <w:t>pasikonsultavusi su indėlių garantijų sistema ir prireikus su paskirta institucija, kaip apibrėžta Direktyvos 2014/49/ES 2 straipsnio 1 dalies 18 punkte, pagal Direktyvos 2014/49/ES 11e straipsnį ir laikydamasi šio reglamento 20 straipsnyje nurodytų sąlygų, pasikonsultavusi su paskirta institucija, kaip apibrėžta Direktyvos 2014/49/ES 2 straipsnio 1 dalies 18 punkte</w:t>
            </w:r>
            <w:r w:rsidRPr="00D33000">
              <w:rPr>
                <w:lang w:val="lt-LT"/>
              </w:rPr>
              <w:t>.</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Kalbant apie pertvarkymo tikslus, didesnėms įmonėms neturėtų būti sudaromos palankesnės sąlygos nei kitiems klientams. Be to, BPV turėtų būti atsakinga už LCT (kaip pertvarkymo schemos dalies) patvirtinimą, kai tik Fondas gali būti naudojamas, be kita ko, naudojantis „atotrūkio“ funkcija.</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307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Pedro Marques, Aurore Lalucq, René Repasi, Jonás Fernández</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41 a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79 a straipsnis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(41a)</w:t>
            </w:r>
            <w:r w:rsidRPr="00D33000">
              <w:rPr>
                <w:b/>
                <w:i/>
                <w:lang w:val="lt-LT"/>
              </w:rPr>
              <w:tab/>
              <w:t>įterpiamas šis straipsnis: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„79a straipsnis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Indėlių garantijų sistemų finansinio pajėgumo užtikrinimas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1. Kai vykdant pertvarkymą būtina indėlių garantijų sistemos intervencija, tačiau jos turimų finansinių išteklių nepakanka tos intervencijos tikslams pasiekti, indėlių garantijų sistema gali prašyti Valdybos paramos.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2. Prašyme pateikiama visa susijusi informacija, įskaitant:</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 indėlių garantijų sistemos kapitalo trūkumą konkrečios intervencijos į pertvarkymą tikslais;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b) indėlių garantijų sistemai siūlomas sąlygas kituose alternatyviuose finansavimo susitarimuose;</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c) numatomą prašomos paramos trukmę.</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3. Gavusi 1 dalyje nurodytą prašymą, Valdyba gali nuspręsti suteikti laikiną likvidumo paramą prašančiajai indėlių garantijų sistemai, suteikdama Bendro pertvarkymo fondo garantiją.</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4. Valdyba vykdomojoje sesijoje, po konsultacijų plenariniame posėdyje, suteikia garantiją indėlių garantijų sistemai ir nustato jos teikimo sąlygas.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5. Indėlių garantijų sistema garantiją naudoja kaip užstatą alternatyvioms finansavimo priemonėms, kaip nurodyta Direktyvos 2014/49/ES 10 straipsnio 9 dalyje, taip užsitikrindama patekimą į rinkas palankesnėmis sąlygomis.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6. EBI 2 dalies tikslais parengia bendrą šabloną ir metodiką, pagal kurią nustatoma, kaip Valdyba apibrėžia garantijų teikimui taikytinas sąlygas pagal 4 dalį.“;</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308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41 a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79 a straipsnis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(41a)</w:t>
            </w:r>
            <w:r w:rsidRPr="00D33000">
              <w:rPr>
                <w:b/>
                <w:i/>
                <w:lang w:val="lt-LT"/>
              </w:rPr>
              <w:tab/>
              <w:t>įterpiamas šis straipsnis: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79a straipsnis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Pertvarkymo likvidumo ataskaitų teikimas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Komisija iki 2024 m. gruodžio 31 d. pateikia Europos Parlamentui ir Tarybai ataskaitą dėl pertvarkymo likvidumo.</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Gali būti situacijų, kai pertvarkytam bankui, turinčiam nepakankamą užstatą, laikinai sunku vėl patekti į rinkas ir (arba) stabilizuoti indėlių nutekėjimą, todėl jis ir toliau susiduria su likvidumo trūkumu, nors pertvarkymo savaitgalį buvo tinkamai rekapitalizuotas.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Tokiu atveju, priklausomai nuo atitinkamo banko dydžio, Fondas, net ir kartu su ESM finansinio stabilumo stiprinimo priemone, gali neturėti pakankamai lėšų tinkamam laikinam refinansavimui užtikrinti, nes tokios apsaugos priemonės buvo kalibruotos atsižvelgiant į rekapitalizavimo poreikį, o ne į refinansavimo poreikį.</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Todėl ataskaitoje nagrinėjama, ar tokios situacijos atitinka pertvarkymo priemonių rinkinyje trūkstamą priemonę ir koks galėtų būti veiksmingiausias būdas spręsti šį klausimą, atsižvelgiant į tai, ką daro kiti jurisdikciją turintys subjektai.</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Ataskaitoje pateikiamos konkrečios politikos galimybės. Visų pirma ataskaitoje nagrinėjama galimybė suderinti ECB likvidumo užtikrinimą, kad būtų užtikrintas pakankamas pajėgumas, su ES biudžeto teikiama garantija, kad būtų įvykdyti ECB užstato kriterijai, ir Fondo teikiama priešpriešine garantija, siekiant užtikrinti, kad visi nuostoliai galiausiai tektų bankų sektoriui.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Pastarojo meto krizės epizodai parodė galimą pertvarkyto banko refinansavimo poreikių mastą. Atrodo, kad ekonomiškai neefektyvu iš anksto finansuoti tokius galimus finansavimo poreikius sektoriaus finansuojamos apsaugos priemonėse. Be to, būtent bankų sektorius turėtų padengti bet kokius nuostolius, kurie gali būti patirti dėl tokio laikino refinansavimo, kaip ir už bet kokią kitą fondų intervenciją. Komisija turėtų išnagrinėti galimybes, kuriomis būtų galima įveikti šiuos įvairius apribojimus.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309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Fabio Massimo Castaldo</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41 a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79 a straipsnis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(41a)</w:t>
            </w:r>
            <w:r w:rsidRPr="00D33000">
              <w:rPr>
                <w:b/>
                <w:i/>
                <w:lang w:val="lt-LT"/>
              </w:rPr>
              <w:tab/>
              <w:t>įterpiamas šis straipsnis: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„79a straipsnis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Indėlių garantijų sistemų finansinio pajėgumo užtikrinimas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1. Kai vykdant pertvarkymą būtina indėlių garantijų sistemos intervencija, tačiau jos turimų finansinių išteklių nepakanka tos intervencijos tikslams pasiekti, indėlių garantijų sistema gali prašyti Valdybos paramos.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2. Prašyme pateikiama visa susijusi informacija, įskaitant:</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i) indėlių garantijų sistemos kapitalo trūkumą konkrečios intervencijos į pertvarkymą tikslais;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ii) indėlių garantijų sistemai siūlomas sąlygas kituose alternatyviuose finansavimo susitarimuose;</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iii) numatomą prašomos paramos trukmę.</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3. Gavusi 1 dalyje nurodytą prašymą, Valdyba gali nuspręsti suteikti laikiną likvidumo paramą prašančiajai indėlių garantijų sistemai, suteikdama kredito liniją arba Bendro pertvarkymo fondo garantiją.</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4. Valdyba vykdomojoje sesijoje, po konsultacijų plenariniame posėdyje, suteikia paramą indėlių garantijų sistemai ir nustato jos teikimo sąlygas.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5. Indėlių garantijų sistema garantiją naudoja kaip užstatą alternatyvioms finansavimo priemonėms, kaip nurodyta Direktyvos 2014/49/ES 10 straipsnio 9 dalyje, taip užsitikrindama patekimą į rinkas palankesnėmis sąlygomis.“;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310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Gilles Boyer, Stéphanie Yon-Courtin</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41 a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79 b straipsnis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(41b)</w:t>
            </w:r>
            <w:r w:rsidRPr="00D33000">
              <w:rPr>
                <w:b/>
                <w:i/>
                <w:lang w:val="lt-LT"/>
              </w:rPr>
              <w:tab/>
              <w:t>įterpiamas šis straipsnis: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79b straipsnis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Vidinio nuostolių perkėlimo mechanizmo ataskaitų teikimas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Komisija, ne vėliau kaip 2024 m. gruodžio 31 d. atnaujindama diskusijas dėl bankų sąjungos Europos Parlamentui ir Tarybai pateikia ataskaitą dėl vidaus nuostolių perdavimo mechanizmo pertvarkytinose grupėse veiksmingumo ir taikymo srities, atsiradusios dėl krizių valdymo sistemos reformos.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Visų pirma ataskaitoje įvertinamas pertvarkymo taikymo srities išplėtimas įtraukiant mažesnius subjektus, atitikties vidiniams MREL tikslams lygis, naujų atskaitymo taisyklių įgyvendinimas ir naudojimosi sektoriaus finansuojamomis apsaugos sistemomis, visų pirma Bendru pertvarkymo fondu, sąlygų pokyčiai.</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Tada Komisija įvertina, ar tokia padėtis užtikrina pakankamai patikimus ir veiksmingus pertvarkytinų subjektų tarpusavio solidarumo mechanizmus pertvarkytinose grupėse, kad tokiems subjektams būtų galima sistemingiau taikyti reikšmingus likvidumo reikalavimų netaikymus, ar reikėtų nustatyti papildomas apsaugos priemones.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JustificationTitle"/>
        <w:rPr>
          <w:noProof w:val="0"/>
          <w:lang w:val="lt-LT"/>
        </w:rPr>
      </w:pPr>
      <w:r w:rsidRPr="005D599B">
        <w:rPr>
          <w:rStyle w:val="HideTWBExt"/>
          <w:i w:val="0"/>
          <w:lang w:val="lt-LT"/>
        </w:rPr>
        <w:t>&lt;TitreJust&gt;</w:t>
      </w:r>
      <w:r w:rsidRPr="00D33000">
        <w:rPr>
          <w:lang w:val="lt-LT"/>
        </w:rPr>
        <w:t>Pagrindimas</w:t>
      </w:r>
      <w:r w:rsidRPr="005D599B">
        <w:rPr>
          <w:rStyle w:val="HideTWBExt"/>
          <w:i w:val="0"/>
          <w:lang w:val="lt-LT"/>
        </w:rPr>
        <w:t>&lt;/TitreJust&gt;</w:t>
      </w:r>
    </w:p>
    <w:p w:rsidR="000E7A9E" w:rsidRPr="00D33000" w:rsidRDefault="000E7A9E" w:rsidP="000E7A9E">
      <w:pPr>
        <w:pStyle w:val="Normal12Italic"/>
        <w:rPr>
          <w:noProof w:val="0"/>
          <w:lang w:val="lt-LT"/>
        </w:rPr>
      </w:pPr>
      <w:r w:rsidRPr="00D33000">
        <w:rPr>
          <w:lang w:val="lt-LT"/>
        </w:rPr>
        <w:t>Any waiver must come hand in hand with adequate safeguards. Liquidity waivers exist but are not being widely used. This situation has not been affected by the entry into force of the crisis management framework, although this framework has created solidarity within resolution groups via functioning loss sharing / recapitalisationmechanisms among entities earmarked for resolution. This is being further reinforced by the present review. The Commission should, as part of the broader Banking Union discussion, assess to what extent this framework delivers appropriate solidarity that could warrant granting more systematically material liquidity waivers to entities earmarked for resolution within resolution groups or whether there needs to be additonal safeguards.</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311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41 a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2 a skyriaus antraštė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(41a)</w:t>
            </w:r>
            <w:r w:rsidRPr="00D33000">
              <w:rPr>
                <w:b/>
                <w:i/>
                <w:lang w:val="lt-LT"/>
              </w:rPr>
              <w:tab/>
              <w:t>įterpiamas šis 2a skyrius: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tcPr>
          <w:p w:rsidR="000E7A9E" w:rsidRPr="00D33000" w:rsidRDefault="000E7A9E" w:rsidP="009E0AF6">
            <w:pPr>
              <w:pStyle w:val="Normal6"/>
              <w:rPr>
                <w:b/>
                <w:i/>
                <w:lang w:val="lt-LT"/>
              </w:rPr>
            </w:pPr>
            <w:r w:rsidRPr="00D33000">
              <w:rPr>
                <w:b/>
                <w:i/>
                <w:lang w:val="lt-LT"/>
              </w:rPr>
              <w:t>2a skyrius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INDĖLIŲ GARANTIJŲ FONDO ĮSTEIGIMAS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312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41 a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1 skirsnio antraštė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1 skirsnis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Indėlių draudimo fondo steigimas ir naudojimas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313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41 a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79 a straipsnis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79a straipsnis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Bendrosios nuostatos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1. Įsteigiamas Indėlių draudimo fondas (IDF).</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Jis palaipsniui užpildomas kredito įstaigoms pervedant dalyvaujančių IGS surinktus įnašus.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2. Turimi Indėlių garantijų fondo finansiniai ištekliai pasiekia pradinį tikslinį lygį, kuris sudaro 20 proc. visų minimalių tikslinių lygių, kuriuos dalyvaujančios IGS turi pasiekti pagal Direktyvos 2014/49/ES 10 straipsnio 2 dalies pirmą pastraipą. Valdyba nustato finansinių išteklių sumą, kurią kiekviena dalyvaujanti IGS kasmet perveda į IDF, kad fondas pasiektų savo pradinį tikslinį lygį iki [šio iš dalies keičiančio reglamento + 2 metai įsigaliojimo] pagal 79b straipsnyje nustatytą metodiką.</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3. Valdyba naudojasi Indėlių draudimo fondu, kad suteiktų finansavimą dalyvaujančioms IGS likvidumo trūkumams padengti pagal Direktyvos 2014/49/ES 12 straipsnį. Valdyba taip pat gali suteikti prieigą prie ES kredito linijos dalyvaujančiai IGS, kuri, atlikusi intervenciją pagal Direktyvos 2014/49/ES 11 straipsnio 1, 2, 3 arba 5 dalį, per praėjusius metus išmokėjo 75 proc. jos tikslinio lygio arba didesnę sumą.</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4. Indėlių draudimo fondo savininkė yra Valdyba. Pagal šį reglamentą Valdybos veikla jokiomis aplinkybėmis negali daryti įtakos valstybių narių biudžetiniams įsipareigojimams.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5. Fondas nedengia dalyvaujančių IGS nuostolių, kol Komisija nepateikia 94 straipsnio 4 dalyje nurodytos ataskaitos. Nei Sąjungos biudžetas, nei valstybių narių nacionaliniai biudžetai jokiomis aplinkybėmis nenaudojami Fondo išlaidoms ar nuostoliams padengti.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314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41 a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79 b straipsnis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79b straipsnis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Įnašai į fondą</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1. Suma, kurią dalyvaujanti IGS perveda IDF pagal 79a straipsnį, apskaičiuojama remiantis rizika grindžiama metodika, atspindinčia dalyvaujančios IGS valstybėje narėje įsteigtų įstaigų riziką, susijusią su bankų sąjunga.</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 xml:space="preserve">2. Komisijai suteikiami įgaliojimai pagal 93 straipsnį priimti deleguotąjį aktą, siekiant nustatyti rizikos vertinimu pagrįstą metodą kai, kuris naudojamas įnašams apskaičiuoti pagal šio straipsnio 1 dalį. Apskaičiavimas grindžiamas apdraustųjų indėlių suma ir kiekvienos kredito įstaigos patiriamos rizikos laipsniu, palyginti su visomis kredito įstaigomis, patenkančiomis į Valdybos taikymo sritį. Deleguotajame akte, </w:t>
            </w:r>
            <w:r w:rsidRPr="00D33000">
              <w:rPr>
                <w:b/>
                <w:lang w:val="lt-LT"/>
              </w:rPr>
              <w:t>inter alia</w:t>
            </w:r>
            <w:r w:rsidRPr="00D33000">
              <w:rPr>
                <w:b/>
                <w:i/>
                <w:lang w:val="lt-LT"/>
              </w:rPr>
              <w:t>, pateikiama apskaičiavimo formulė ir konkretūs rodikliai. Metodikoje atsižvelgiama bent į šiuos kriterijus: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 įstaigos galimybės padengti nuostolius lygį;</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b) įstaigos gebėjimą įvykdyti trumpalaikius ir ilgalaikius įsipareigojimus;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c) įstaigų finansavimo šaltinių stabilumą ir įvairovę bei jo nesuvaržytą labai likvidų turtą ir įstaigos turto suvaržymo laipsnį;</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d) įstaigos indėlį į bendrą sisteminę riziką ir jos dydį, sudėtingumą ir ryšių su kitomis įstaigomis laipsnį, taip pat jos ypatingos svarbos funkcijų atskyrimo nuo kitų funkcijų paprastumą;</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b/>
                <w:i/>
                <w:lang w:val="lt-LT"/>
              </w:rPr>
            </w:pPr>
            <w:r w:rsidRPr="00D33000">
              <w:rPr>
                <w:b/>
                <w:i/>
                <w:lang w:val="lt-LT"/>
              </w:rPr>
              <w:t>e) įstaigos turto kokybę, visų pirma neveiksnių pozicijų dalį, apibrėžtą Reglamento (ES) Nr. 575/2013 47a straipsnyje;</w:t>
            </w:r>
          </w:p>
          <w:p w:rsidR="000E7A9E" w:rsidRPr="00D33000" w:rsidRDefault="000E7A9E" w:rsidP="009E0AF6">
            <w:pPr>
              <w:pStyle w:val="Normal6"/>
              <w:rPr>
                <w:szCs w:val="24"/>
                <w:lang w:val="lt-LT"/>
              </w:rPr>
            </w:pPr>
            <w:r w:rsidRPr="00D33000">
              <w:rPr>
                <w:b/>
                <w:i/>
                <w:lang w:val="lt-LT"/>
              </w:rPr>
              <w:t>f) įstaigos verslo modelį ir valdymą, taip pat grupės, kuriai ji priklauso, struktūrinį sudėtingumą;</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g) įstaigos valstybės skolos vertybinių popierių pozicijų diversifikavimo lygį.</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315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41 a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2 skirsnio antraštė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2 skirsnis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PROCEDŪRINĖS NUOSTATOS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316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41 a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79 c straipsnis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79c straipsnis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Preliminari informacija</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Kai dalyvaujanti IGS kompetentingos institucijos buvo informuota arba kitaip sužinojo apie aplinkybes, susijusias su kredito įstaiga, priklausančia tai dalyvaujančiai IGS, dėl kurių, tikėtina, įvyks išmokos įvykis arba ji bus naudojama vykdant pertvarkymo procedūrą, ji nedelsdama informuoja Valdybą apie tokias aplinkybes, jeigu ketina naudoti ES kredito liniją. Tokiu atveju dalyvaujanti IGS Valdybai taip pat pateikia tikėtino likvidumo trūkumo arba likvidumo poreikio įvertį.</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317</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41 a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79 d straipsnis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79d straipsnis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Notifikavimas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1. Kai dalyvaujančiai IGS trūksta likvidumo dėl Direktyvos 2014/49/ES 12 straipsnyje aprašytų sąlygų, ji nedelsdama apie tai praneša Valdybai ir pateikia visą būtiną informaciją, kad Valdyba galėtų įvertinti, ar įvykdytos finansavimo teikimo sąlygos.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2. Dalyvaujanti IGS Valdybą informuoja visų pirma apie: a) atitinkamos kredito įstaigos apdraustųjų indėlių sumą; b) jos turimus finansinius išteklius tuo metu, kai naudojamos prevencinės ar alternatyvios priemonės, išmokėjimo įvykis arba naudojimas pertvarkymo atveju; c) išmokos įvykio atveju, papildomų įnašų, kuriuos ji gali surinkti per tris dienas nuo to įvykio, įvertį; d) visas aplinkybes, dėl kurių ji negalėtų vykdyti įsipareigojimų pagal nacionalinės teisės aktą, kuriuo į nacionalinę teisę perkeliama Direktyva 2014/49/ES, ir galimas teisių gynimo priemones.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318</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41 a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79 e straipsnis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79e straipsnis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Finansavimo sumos nustatymas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1. Gavusi pranešimą pagal 79d straipsnį, Valdyba per 24 valandas vykdomajame posėdyje nusprendžia, ar įvykdytos EIGS kredito linijos naudojimo sąlygos, ir nustato finansavimo sumą, kurią ji skirs dalyvaujančiai IGS.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2. Valdyba nedelsdama informuoja dalyvaujančią IGS apie savo sprendimą pagal 1 dalį. Dalyvaujanti IGS gali prašyti Valdybos peržiūrėti savo sprendimą per 24 valandas po to, kai buvo apie jį informuota. Ji nurodo priežastis, dėl kurių, jos manymu, būtina pakeisti Valdybos sprendimą, visų pirma dėl finansavimo sumos. Valdyba sprendimą dėl prašymo priima per kitas 24 valandas.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319</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41 i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3 skirsnio antraštė (nauja)</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3 skirsnis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ES kredito linijos administravimas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320</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41 a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79 h straipsnis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79h straipsnis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Valdybos sudėtis, susijusi su indėlių draudimo fondo sudėtimi</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1. Sprendimus dėl ES kredito linijos naudojimo Valdyba priima savo indėlių draudimo fondo sudėtyje.</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2. Indėlių draudimo fondo sudėties valdybą sudaro 43 straipsnyje nurodyti nariai ir kiekvienos dalyvaujančios valstybės narės paskirtas narys, atstovaujantis jų paskirtai institucijai.</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321</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41 a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79 i straipsnis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79i straipsnis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Valdybos užduotys, susijusios su indėlių draudimo fondo sudėtimi</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1. Valdyba, susijusi su indėlių draudimo fondo sudėtimi:</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 priima šio reglamento 79a, 79b ir 79e straipsniuose nurodytus sprendimus;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b) teikia Europos Parlamentui, Tarybai ir Komisijai metinę ES kredito linijos naudojimo ir turimų fondo finansinių išteklių ataskaitą;</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c) iki [įsigaliojimo + 18 mėnesių] parengia ataskaitą dėl dalyvaujančių IGS nuostolių padengimo mechanizmo sukūrimo galimybių ir sąlygų.</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322</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43 a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93 straipsnis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Dabartinis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(43a)</w:t>
            </w:r>
            <w:r w:rsidRPr="00D33000">
              <w:rPr>
                <w:b/>
                <w:i/>
                <w:lang w:val="lt-LT"/>
              </w:rPr>
              <w:tab/>
              <w:t>93 straipsnis pakeičiamas taip:</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93 straipsnis</w:t>
            </w:r>
          </w:p>
        </w:tc>
        <w:tc>
          <w:tcPr>
            <w:tcW w:w="4876" w:type="dxa"/>
            <w:hideMark/>
          </w:tcPr>
          <w:p w:rsidR="000E7A9E" w:rsidRPr="00D33000" w:rsidRDefault="000E7A9E" w:rsidP="009E0AF6">
            <w:pPr>
              <w:pStyle w:val="Normal6"/>
              <w:rPr>
                <w:szCs w:val="24"/>
                <w:lang w:val="lt-LT"/>
              </w:rPr>
            </w:pPr>
            <w:r w:rsidRPr="00D33000">
              <w:rPr>
                <w:b/>
                <w:bCs/>
                <w:i/>
                <w:iCs/>
                <w:lang w:val="lt-LT"/>
              </w:rPr>
              <w:t>„</w:t>
            </w:r>
            <w:r w:rsidRPr="00D33000">
              <w:rPr>
                <w:lang w:val="lt-LT"/>
              </w:rPr>
              <w:t>93 straipsnis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Įgaliojimų delegavimas</w:t>
            </w:r>
          </w:p>
        </w:tc>
        <w:tc>
          <w:tcPr>
            <w:tcW w:w="4876" w:type="dxa"/>
            <w:hideMark/>
          </w:tcPr>
          <w:p w:rsidR="000E7A9E" w:rsidRPr="00D33000" w:rsidRDefault="000E7A9E" w:rsidP="009E0AF6">
            <w:pPr>
              <w:pStyle w:val="Normal6"/>
              <w:rPr>
                <w:szCs w:val="24"/>
                <w:lang w:val="lt-LT"/>
              </w:rPr>
            </w:pPr>
            <w:r w:rsidRPr="00D33000">
              <w:rPr>
                <w:lang w:val="lt-LT"/>
              </w:rPr>
              <w:t>Įgaliojimų delegavimas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1. Įgaliojimai priimti deleguotuosius aktus Komisijai suteikiami šiame straipsnyje nustatytomis sąlygomis.</w:t>
            </w:r>
          </w:p>
        </w:tc>
        <w:tc>
          <w:tcPr>
            <w:tcW w:w="4876" w:type="dxa"/>
            <w:hideMark/>
          </w:tcPr>
          <w:p w:rsidR="000E7A9E" w:rsidRPr="00D33000" w:rsidRDefault="000E7A9E" w:rsidP="009E0AF6">
            <w:pPr>
              <w:pStyle w:val="Normal6"/>
              <w:rPr>
                <w:szCs w:val="24"/>
                <w:lang w:val="lt-LT"/>
              </w:rPr>
            </w:pPr>
            <w:r w:rsidRPr="00D33000">
              <w:rPr>
                <w:lang w:val="lt-LT"/>
              </w:rPr>
              <w:t>1. Įgaliojimai priimti deleguotuosius aktus Komisijai suteikiami šiame straipsnyje nustatytomis sąlygomis.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2. 19 straipsnio 8 dalyje, 65 straipsnio 5 dalyje, 69 straipsnio 5 dalyje, 71 straipsnio 3 dalyje </w:t>
            </w:r>
            <w:r w:rsidRPr="00D33000">
              <w:rPr>
                <w:b/>
                <w:i/>
                <w:lang w:val="lt-LT"/>
              </w:rPr>
              <w:t>ir</w:t>
            </w:r>
            <w:r w:rsidRPr="00D33000">
              <w:rPr>
                <w:lang w:val="lt-LT"/>
              </w:rPr>
              <w:t xml:space="preserve"> 75 straipsnio 4 dalyje nurodyti įgaliojimai priimti deleguotuosius aktus suteikiami neribotam laikotarpiui nuo 99 straipsnyje nurodytų dienų.</w:t>
            </w:r>
          </w:p>
        </w:tc>
        <w:tc>
          <w:tcPr>
            <w:tcW w:w="4876" w:type="dxa"/>
            <w:hideMark/>
          </w:tcPr>
          <w:p w:rsidR="000E7A9E" w:rsidRPr="00D33000" w:rsidRDefault="000E7A9E" w:rsidP="009E0AF6">
            <w:pPr>
              <w:pStyle w:val="Normal6"/>
              <w:rPr>
                <w:szCs w:val="24"/>
                <w:lang w:val="lt-LT"/>
              </w:rPr>
            </w:pPr>
            <w:r w:rsidRPr="00D33000">
              <w:rPr>
                <w:lang w:val="lt-LT"/>
              </w:rPr>
              <w:t>2. 19 straipsnio 8 dalyje, 65 straipsnio 5 dalyje, 69 straipsnio 5 dalyje, 71 straipsnio 3 dalyje</w:t>
            </w:r>
            <w:r w:rsidRPr="00D33000">
              <w:rPr>
                <w:b/>
                <w:i/>
                <w:lang w:val="lt-LT"/>
              </w:rPr>
              <w:t>,</w:t>
            </w:r>
            <w:r w:rsidRPr="00D33000">
              <w:rPr>
                <w:lang w:val="lt-LT"/>
              </w:rPr>
              <w:t xml:space="preserve"> 75 straipsnio 4 dalyje </w:t>
            </w:r>
            <w:r w:rsidRPr="00D33000">
              <w:rPr>
                <w:b/>
                <w:i/>
                <w:lang w:val="lt-LT"/>
              </w:rPr>
              <w:t>ir 79b straipsnio 2 dalyje</w:t>
            </w:r>
            <w:r w:rsidRPr="00D33000">
              <w:rPr>
                <w:lang w:val="lt-LT"/>
              </w:rPr>
              <w:t xml:space="preserve"> nurodyti įgaliojimai priimti deleguotuosius aktus suteikiami neribotam laikotarpiui nuo 99 straipsnyje nurodytų dienų.</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3. Komisija užtikrina pagal šį reglamentą priimtų deleguotųjų aktų ir pagal Direktyvą 2014/59/ES priimtų deleguotųjų aktų nuoseklumą.</w:t>
            </w:r>
          </w:p>
        </w:tc>
        <w:tc>
          <w:tcPr>
            <w:tcW w:w="4876" w:type="dxa"/>
            <w:hideMark/>
          </w:tcPr>
          <w:p w:rsidR="000E7A9E" w:rsidRPr="00D33000" w:rsidRDefault="000E7A9E" w:rsidP="009E0AF6">
            <w:pPr>
              <w:pStyle w:val="Normal6"/>
              <w:rPr>
                <w:szCs w:val="24"/>
                <w:lang w:val="lt-LT"/>
              </w:rPr>
            </w:pPr>
            <w:r w:rsidRPr="00D33000">
              <w:rPr>
                <w:lang w:val="lt-LT"/>
              </w:rPr>
              <w:t>3. Komisija užtikrina pagal šį reglamentą priimtų deleguotųjų aktų ir pagal Direktyvą 2014/59/ES priimtų deleguotųjų aktų nuoseklumą.</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4. Europos Parlamentas arba Taryba gali bet kada atšaukti 19 straipsnio 8 dalyje, 65 straipsnio 5 dalyje, 69 straipsnio 5 dalyje, 71 straipsnio 3 dalyje </w:t>
            </w:r>
            <w:r w:rsidRPr="00D33000">
              <w:rPr>
                <w:b/>
                <w:i/>
                <w:lang w:val="lt-LT"/>
              </w:rPr>
              <w:t>ir</w:t>
            </w:r>
            <w:r w:rsidRPr="00D33000">
              <w:rPr>
                <w:lang w:val="lt-LT"/>
              </w:rPr>
              <w:t xml:space="preserve"> 75 straipsnio 4 dalyje nurodytus deleguotuosius įgaliojimus. Sprendimu dėl įgaliojimų atšaukimo nutraukiami tame sprendime nurodyti įgaliojimai priimti deleguotuosius aktus. Sprendimas įsigalioja kitą dieną po jo paskelbimo Europos Sąjungos oficialiajame leidinyje arba vėlesnę jame nurodytą dieną. Jis nedaro poveikio jau galiojančių deleguotųjų aktų galiojimui.</w:t>
            </w:r>
          </w:p>
        </w:tc>
        <w:tc>
          <w:tcPr>
            <w:tcW w:w="4876" w:type="dxa"/>
            <w:hideMark/>
          </w:tcPr>
          <w:p w:rsidR="000E7A9E" w:rsidRPr="00D33000" w:rsidRDefault="000E7A9E" w:rsidP="009E0AF6">
            <w:pPr>
              <w:pStyle w:val="Normal6"/>
              <w:rPr>
                <w:szCs w:val="24"/>
                <w:lang w:val="lt-LT"/>
              </w:rPr>
            </w:pPr>
            <w:r w:rsidRPr="00D33000">
              <w:rPr>
                <w:lang w:val="lt-LT"/>
              </w:rPr>
              <w:t>4. Europos Parlamentas arba Taryba gali bet kada atšaukti 19 straipsnio 8 dalyje, 65 straipsnio 5 dalyje, 69 straipsnio 5 dalyje, 71 straipsnio 3 dalyje</w:t>
            </w:r>
            <w:r w:rsidRPr="00D33000">
              <w:rPr>
                <w:b/>
                <w:i/>
                <w:lang w:val="lt-LT"/>
              </w:rPr>
              <w:t>,</w:t>
            </w:r>
            <w:r w:rsidRPr="00D33000">
              <w:rPr>
                <w:lang w:val="lt-LT"/>
              </w:rPr>
              <w:t xml:space="preserve"> 75 straipsnio 4 dalyje </w:t>
            </w:r>
            <w:r w:rsidRPr="00D33000">
              <w:rPr>
                <w:b/>
                <w:i/>
                <w:lang w:val="lt-LT"/>
              </w:rPr>
              <w:t>ir 79b straipsnio 2 dalyje</w:t>
            </w:r>
            <w:r w:rsidRPr="00D33000">
              <w:rPr>
                <w:lang w:val="lt-LT"/>
              </w:rPr>
              <w:t xml:space="preserve"> nurodytus deleguotuosius įgaliojimus. Sprendimu dėl įgaliojimų atšaukimo nutraukiami tame sprendime nurodyti įgaliojimai priimti deleguotuosius aktus. Sprendimas įsigalioja kitą dieną po jo paskelbimo Europos Sąjungos oficialiajame leidinyje arba vėlesnę jame nurodytą dieną. Jis nedaro poveikio jau galiojančių deleguotųjų aktų galiojimui.</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5. Apie priimtą deleguotąjį aktą Komisija nedelsdama vienu metu praneša Europos Parlamentui ir Tarybai.</w:t>
            </w:r>
          </w:p>
        </w:tc>
        <w:tc>
          <w:tcPr>
            <w:tcW w:w="4876" w:type="dxa"/>
            <w:hideMark/>
          </w:tcPr>
          <w:p w:rsidR="000E7A9E" w:rsidRPr="00D33000" w:rsidRDefault="000E7A9E" w:rsidP="009E0AF6">
            <w:pPr>
              <w:pStyle w:val="Normal6"/>
              <w:rPr>
                <w:szCs w:val="24"/>
                <w:lang w:val="lt-LT"/>
              </w:rPr>
            </w:pPr>
            <w:r w:rsidRPr="00D33000">
              <w:rPr>
                <w:lang w:val="lt-LT"/>
              </w:rPr>
              <w:t>5. Apie priimtą deleguotąjį aktą Komisija nedelsdama vienu metu praneša Europos Parlamentui ir Tarybai.</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6. Pagal 19 straipsnio 8 dalį, 65 straipsnio 5 dalį, 69 straipsnio 5 dalį, 71 straipsnio 3 dalį </w:t>
            </w:r>
            <w:r w:rsidRPr="00D33000">
              <w:rPr>
                <w:b/>
                <w:i/>
                <w:lang w:val="lt-LT"/>
              </w:rPr>
              <w:t>ir</w:t>
            </w:r>
            <w:r w:rsidRPr="00D33000">
              <w:rPr>
                <w:lang w:val="lt-LT"/>
              </w:rPr>
              <w:t xml:space="preserve"> 75 straipsnio 4 dalį priimtas deleguotasis aktas įsigalioja tik tuo atveju, jeigu per tris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trimis mėnesiais.</w:t>
            </w:r>
          </w:p>
        </w:tc>
        <w:tc>
          <w:tcPr>
            <w:tcW w:w="4876" w:type="dxa"/>
            <w:hideMark/>
          </w:tcPr>
          <w:p w:rsidR="000E7A9E" w:rsidRPr="00D33000" w:rsidRDefault="000E7A9E" w:rsidP="009E0AF6">
            <w:pPr>
              <w:pStyle w:val="Normal6"/>
              <w:rPr>
                <w:szCs w:val="24"/>
                <w:lang w:val="lt-LT"/>
              </w:rPr>
            </w:pPr>
            <w:r w:rsidRPr="00D33000">
              <w:rPr>
                <w:lang w:val="lt-LT"/>
              </w:rPr>
              <w:t>6. Pagal 19 straipsnio 8 dalį, 65 straipsnio 5 dalį, 69 straipsnio 5 dalį, 71 straipsnio 3 dalį</w:t>
            </w:r>
            <w:r w:rsidRPr="00D33000">
              <w:rPr>
                <w:b/>
                <w:i/>
                <w:lang w:val="lt-LT"/>
              </w:rPr>
              <w:t>,</w:t>
            </w:r>
            <w:r w:rsidRPr="00D33000">
              <w:rPr>
                <w:lang w:val="lt-LT"/>
              </w:rPr>
              <w:t xml:space="preserve"> 75 straipsnio 4 dalį </w:t>
            </w:r>
            <w:r w:rsidRPr="00D33000">
              <w:rPr>
                <w:b/>
                <w:i/>
                <w:lang w:val="lt-LT"/>
              </w:rPr>
              <w:t>ir 79b straipsnio 2 dalį</w:t>
            </w:r>
            <w:r w:rsidRPr="00D33000">
              <w:rPr>
                <w:lang w:val="lt-LT"/>
              </w:rPr>
              <w:t xml:space="preserve"> priimtas deleguotasis aktas įsigalioja tik tuo atveju, jeigu per tris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trimis mėnesiais.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7. Komisija nepriima deleguotųjų aktų, kai Europos Parlamentui skirtas tikrinimo laikotarpis dėl darbo pertraukų sutrumpėja iki mažiau nei penkių mėnesių, įskaitant laikotarpio pratęsimus.</w:t>
            </w:r>
          </w:p>
        </w:tc>
        <w:tc>
          <w:tcPr>
            <w:tcW w:w="4876" w:type="dxa"/>
            <w:hideMark/>
          </w:tcPr>
          <w:p w:rsidR="000E7A9E" w:rsidRPr="00D33000" w:rsidRDefault="000E7A9E" w:rsidP="009E0AF6">
            <w:pPr>
              <w:pStyle w:val="Normal6"/>
              <w:rPr>
                <w:szCs w:val="24"/>
                <w:lang w:val="lt-LT"/>
              </w:rPr>
            </w:pPr>
            <w:r w:rsidRPr="00D33000">
              <w:rPr>
                <w:lang w:val="lt-LT"/>
              </w:rPr>
              <w:t>7. Komisija nepriima deleguotųjų aktų, kai Europos Parlamentui skirtas tikrinimo laikotarpis dėl darbo pertraukų sutrumpėja iki mažiau nei penkių mėnesių, įskaitant laikotarpio pratęsimus.</w:t>
            </w:r>
            <w:r w:rsidRPr="00D33000">
              <w:rPr>
                <w:b/>
                <w:bCs/>
                <w:i/>
                <w:iCs/>
                <w:lang w:val="lt-LT"/>
              </w:rPr>
              <w:t>“;</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CrossRef"/>
        <w:rPr>
          <w:lang w:val="lt-LT"/>
        </w:rPr>
      </w:pPr>
      <w:r w:rsidRPr="00D33000">
        <w:rPr>
          <w:lang w:val="lt-LT"/>
        </w:rPr>
        <w:t>(https://eur-lex.europa.eu/legal-content/LT/TXT/?uri=celex%3A32014R0806)</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323</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Pedro Marques, Costas Mavrides, Irene Tinagli, Jonás Fernández, Aurore Lalucq, René Repasi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43 a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94 straipsnio 1 dalies a a punktas (naujas)</w:t>
      </w:r>
      <w:r w:rsidRPr="005D59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(43a)</w:t>
            </w:r>
            <w:r w:rsidRPr="00D33000">
              <w:rPr>
                <w:b/>
                <w:i/>
                <w:lang w:val="lt-LT"/>
              </w:rPr>
              <w:tab/>
              <w:t>94 straipsnio 1 dalyje įterpiamas šis punktas: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aa) esamos sistemos ir Europos indėlių draudimo sistemos sukūrimo sąveika;</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324</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Ernest Urtasun</w:t>
      </w:r>
      <w:r w:rsidRPr="005D599B">
        <w:rPr>
          <w:rStyle w:val="HideTWBExt"/>
          <w:b w:val="0"/>
        </w:rPr>
        <w:t>&lt;/Members&gt;</w:t>
      </w:r>
    </w:p>
    <w:p w:rsidR="000E7A9E" w:rsidRPr="00D33000" w:rsidRDefault="000E7A9E" w:rsidP="000E7A9E">
      <w:r w:rsidRPr="005D599B">
        <w:rPr>
          <w:rStyle w:val="HideTWBExt"/>
        </w:rPr>
        <w:t>&lt;AuNomDe&gt;</w:t>
      </w:r>
      <w:r w:rsidRPr="005D599B">
        <w:rPr>
          <w:rStyle w:val="HideTWBInt"/>
        </w:rPr>
        <w:t>{Verts/ALE}</w:t>
      </w:r>
      <w:r w:rsidRPr="00D33000">
        <w:t>Verts/ALE frakcijos vardu</w:t>
      </w:r>
      <w:r w:rsidRPr="005D599B">
        <w:rPr>
          <w:rStyle w:val="HideTWBExt"/>
        </w:rPr>
        <w:t>&lt;/AuNomDe&gt;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1 straipsnio 1 pastraipos 43 b punktas (naujas)</w:t>
      </w:r>
      <w:r w:rsidRPr="005D599B">
        <w:rPr>
          <w:rStyle w:val="HideTWBExt"/>
          <w:b w:val="0"/>
        </w:rPr>
        <w:t>&lt;/Article&gt;</w:t>
      </w:r>
    </w:p>
    <w:p w:rsidR="000E7A9E" w:rsidRPr="00D33000" w:rsidRDefault="000E7A9E" w:rsidP="000E7A9E">
      <w:pPr>
        <w:keepNext/>
      </w:pPr>
      <w:r w:rsidRPr="005D599B">
        <w:rPr>
          <w:rStyle w:val="HideTWBExt"/>
        </w:rPr>
        <w:t>&lt;DocAmend2&gt;</w:t>
      </w:r>
      <w:r w:rsidRPr="00D33000">
        <w:t>Reglamentas (ES) Nr. 806/2014</w:t>
      </w:r>
      <w:r w:rsidRPr="005D599B">
        <w:rPr>
          <w:rStyle w:val="HideTWBExt"/>
        </w:rPr>
        <w:t>&lt;/DocAmend2&gt;</w:t>
      </w:r>
    </w:p>
    <w:p w:rsidR="000E7A9E" w:rsidRPr="00D33000" w:rsidRDefault="000E7A9E" w:rsidP="000E7A9E">
      <w:r w:rsidRPr="005D599B">
        <w:rPr>
          <w:rStyle w:val="HideTWBExt"/>
        </w:rPr>
        <w:t>&lt;Article2&gt;</w:t>
      </w:r>
      <w:r w:rsidRPr="00D33000">
        <w:t>94 straipsnio 3 a dalis (nauja)</w:t>
      </w:r>
      <w:r w:rsidRPr="005D599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(43b)</w:t>
            </w:r>
            <w:r w:rsidRPr="00D33000">
              <w:rPr>
                <w:b/>
                <w:i/>
                <w:lang w:val="lt-LT"/>
              </w:rPr>
              <w:tab/>
              <w:t>94 straipsnis papildomas šia dalimi:</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3a. Iki [šio iš dalies keičiančio reglamento įsigaliojimo data + 2 metai] Komisija, pasikonsultavusi su Valdyba, pateikia pagal 79a straipsnį įsteigto Indėlių draudimo fondo veikimo ataskaitą Europos Parlamentui ir Tarybai.</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Ataskaitoje įvertinami bent šie aspektai:</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a) ar ir kokiomis sąlygomis IDF galėtų užtikrinti nuostolių padengimą nacionalinėms IGS;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b) 79a straipsnio 2 dalyje nustatyto IDF tikslinio lygio tinkamumas;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c) laipsniškas nuostolių padengimo etapas.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Prireikus Komisija prie šios ataskaitos prideda pasiūlymą dėl teisėkūros procedūra priimamo akto.“;</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pPr>
        <w:pStyle w:val="CrossRef"/>
        <w:rPr>
          <w:lang w:val="lt-LT"/>
        </w:rPr>
      </w:pPr>
      <w:r w:rsidRPr="00D33000">
        <w:rPr>
          <w:lang w:val="lt-LT"/>
        </w:rPr>
        <w:t>(https://eur-lex.europa.eu/legal-content/LT/TXT/?uri=celex%3A32014R0806)</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325</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Marco Zanni, Valentino Grant, Antonio Maria Rinaldi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2 straipsnio 2 dalis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hideMark/>
          </w:tcPr>
          <w:p w:rsidR="000E7A9E" w:rsidRPr="00D33000" w:rsidRDefault="000E7A9E" w:rsidP="009E0AF6">
            <w:pPr>
              <w:pStyle w:val="Normal6"/>
              <w:rPr>
                <w:lang w:val="lt-LT"/>
              </w:rPr>
            </w:pPr>
            <w:r w:rsidRPr="00D33000">
              <w:rPr>
                <w:lang w:val="lt-LT"/>
              </w:rPr>
              <w:t xml:space="preserve">Jis taikomas nuo [LB prašoma įrašyti datą – </w:t>
            </w:r>
            <w:r w:rsidRPr="00D33000">
              <w:rPr>
                <w:b/>
                <w:i/>
                <w:lang w:val="lt-LT"/>
              </w:rPr>
              <w:t>18 mėnesių</w:t>
            </w:r>
            <w:r w:rsidRPr="00D33000">
              <w:rPr>
                <w:lang w:val="lt-LT"/>
              </w:rPr>
              <w:t xml:space="preserve"> nuo šio pakeičiančio reglamento įsigaliojimo dienos].</w:t>
            </w:r>
          </w:p>
        </w:tc>
        <w:tc>
          <w:tcPr>
            <w:tcW w:w="4876" w:type="dxa"/>
            <w:hideMark/>
          </w:tcPr>
          <w:p w:rsidR="000E7A9E" w:rsidRPr="00D33000" w:rsidRDefault="000E7A9E" w:rsidP="009E0AF6">
            <w:pPr>
              <w:pStyle w:val="Normal6"/>
              <w:rPr>
                <w:szCs w:val="24"/>
                <w:lang w:val="lt-LT"/>
              </w:rPr>
            </w:pPr>
            <w:r w:rsidRPr="00D33000">
              <w:rPr>
                <w:lang w:val="lt-LT"/>
              </w:rPr>
              <w:t xml:space="preserve">Jis taikomas nuo [LB prašoma įrašyti datą – </w:t>
            </w:r>
            <w:r w:rsidRPr="00D33000">
              <w:rPr>
                <w:b/>
                <w:i/>
                <w:lang w:val="lt-LT"/>
              </w:rPr>
              <w:t>24 mėnesiai</w:t>
            </w:r>
            <w:r w:rsidRPr="00D33000">
              <w:rPr>
                <w:lang w:val="lt-LT"/>
              </w:rPr>
              <w:t xml:space="preserve"> nuo šio pakeičiančio reglamento įsigaliojimo dienos].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w:t>
      </w:r>
    </w:p>
    <w:p w:rsidR="000E7A9E" w:rsidRPr="00D33000" w:rsidRDefault="000E7A9E" w:rsidP="000E7A9E">
      <w:pPr>
        <w:pStyle w:val="AMNumberTabs0"/>
        <w:keepNext/>
        <w:rPr>
          <w:lang w:val="lt-LT"/>
        </w:rPr>
      </w:pPr>
      <w:r w:rsidRPr="005D599B">
        <w:rPr>
          <w:rStyle w:val="HideTWBExt"/>
          <w:b w:val="0"/>
          <w:lang w:val="lt-LT"/>
        </w:rPr>
        <w:t>&lt;Amend&gt;</w:t>
      </w:r>
      <w:r w:rsidRPr="00D33000">
        <w:rPr>
          <w:lang w:val="lt-LT"/>
        </w:rPr>
        <w:t>Pakeitimas</w:t>
      </w:r>
      <w:r w:rsidRPr="00D33000">
        <w:rPr>
          <w:lang w:val="lt-LT"/>
        </w:rPr>
        <w:tab/>
      </w:r>
      <w:r w:rsidRPr="00D33000">
        <w:rPr>
          <w:lang w:val="lt-LT"/>
        </w:rPr>
        <w:tab/>
      </w:r>
      <w:r w:rsidRPr="005D599B">
        <w:rPr>
          <w:rStyle w:val="HideTWBExt"/>
          <w:b w:val="0"/>
          <w:lang w:val="lt-LT"/>
        </w:rPr>
        <w:t>&lt;NumAm&gt;</w:t>
      </w:r>
      <w:r w:rsidRPr="00D33000">
        <w:rPr>
          <w:lang w:val="lt-LT"/>
        </w:rPr>
        <w:t>326</w:t>
      </w:r>
      <w:r w:rsidRPr="005D599B">
        <w:rPr>
          <w:rStyle w:val="HideTWBExt"/>
          <w:b w:val="0"/>
          <w:lang w:val="lt-LT"/>
        </w:rPr>
        <w:t>&lt;/NumAm&gt;</w:t>
      </w:r>
    </w:p>
    <w:p w:rsidR="000E7A9E" w:rsidRPr="00D33000" w:rsidRDefault="000E7A9E" w:rsidP="000E7A9E">
      <w:pPr>
        <w:pStyle w:val="NormalBold"/>
      </w:pPr>
      <w:r w:rsidRPr="005D599B">
        <w:rPr>
          <w:rStyle w:val="HideTWBExt"/>
          <w:b w:val="0"/>
        </w:rPr>
        <w:t>&lt;RepeatBlock-By&gt;&lt;Members&gt;</w:t>
      </w:r>
      <w:r w:rsidRPr="00D33000">
        <w:t>Irene Tinagli</w:t>
      </w:r>
      <w:r w:rsidRPr="005D599B">
        <w:rPr>
          <w:rStyle w:val="HideTWBExt"/>
          <w:b w:val="0"/>
        </w:rPr>
        <w:t>&lt;/Members&gt;</w:t>
      </w:r>
    </w:p>
    <w:p w:rsidR="000E7A9E" w:rsidRPr="00D33000" w:rsidRDefault="000E7A9E" w:rsidP="000E7A9E">
      <w:r w:rsidRPr="005D599B">
        <w:rPr>
          <w:rStyle w:val="HideTWBExt"/>
        </w:rPr>
        <w:t>&lt;/RepeatBlock-By&gt;</w:t>
      </w:r>
    </w:p>
    <w:p w:rsidR="000E7A9E" w:rsidRPr="00D33000" w:rsidRDefault="000E7A9E" w:rsidP="000E7A9E">
      <w:pPr>
        <w:pStyle w:val="NormalBold"/>
        <w:keepNext/>
      </w:pPr>
      <w:r w:rsidRPr="005D599B">
        <w:rPr>
          <w:rStyle w:val="HideTWBExt"/>
          <w:b w:val="0"/>
        </w:rPr>
        <w:t>&lt;DocAmend&gt;</w:t>
      </w:r>
      <w:r w:rsidRPr="00D33000">
        <w:t>Pasiūlymas dėl reglamento</w:t>
      </w:r>
      <w:r w:rsidRPr="005D599B">
        <w:rPr>
          <w:rStyle w:val="HideTWBExt"/>
          <w:b w:val="0"/>
        </w:rPr>
        <w:t>&lt;/DocAmend&gt;</w:t>
      </w:r>
    </w:p>
    <w:p w:rsidR="000E7A9E" w:rsidRPr="00D33000" w:rsidRDefault="000E7A9E" w:rsidP="000E7A9E">
      <w:pPr>
        <w:pStyle w:val="NormalBold"/>
      </w:pPr>
      <w:r w:rsidRPr="005D599B">
        <w:rPr>
          <w:rStyle w:val="HideTWBExt"/>
          <w:b w:val="0"/>
        </w:rPr>
        <w:t>&lt;Article&gt;</w:t>
      </w:r>
      <w:r w:rsidRPr="00D33000">
        <w:t>2 a straipsnis (naujas)</w:t>
      </w:r>
      <w:r w:rsidRPr="005D59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7A9E" w:rsidRPr="00D33000" w:rsidTr="009E0AF6">
        <w:trPr>
          <w:jc w:val="center"/>
        </w:trPr>
        <w:tc>
          <w:tcPr>
            <w:tcW w:w="9752" w:type="dxa"/>
            <w:gridSpan w:val="2"/>
          </w:tcPr>
          <w:p w:rsidR="000E7A9E" w:rsidRPr="00D33000" w:rsidRDefault="000E7A9E" w:rsidP="009E0AF6">
            <w:pPr>
              <w:keepNext/>
            </w:pPr>
          </w:p>
        </w:tc>
      </w:tr>
      <w:tr w:rsidR="000E7A9E" w:rsidRPr="00D33000" w:rsidTr="009E0AF6">
        <w:trPr>
          <w:jc w:val="center"/>
        </w:trPr>
        <w:tc>
          <w:tcPr>
            <w:tcW w:w="4876" w:type="dxa"/>
            <w:hideMark/>
          </w:tcPr>
          <w:p w:rsidR="000E7A9E" w:rsidRPr="00D33000" w:rsidRDefault="000E7A9E" w:rsidP="009E0AF6">
            <w:pPr>
              <w:pStyle w:val="ColumnHeading"/>
              <w:keepNext/>
              <w:rPr>
                <w:lang w:val="lt-LT"/>
              </w:rPr>
            </w:pPr>
            <w:r w:rsidRPr="00D33000">
              <w:rPr>
                <w:lang w:val="lt-LT"/>
              </w:rPr>
              <w:t>Komisijos siūlomas tekstas</w:t>
            </w:r>
          </w:p>
        </w:tc>
        <w:tc>
          <w:tcPr>
            <w:tcW w:w="4876" w:type="dxa"/>
            <w:hideMark/>
          </w:tcPr>
          <w:p w:rsidR="000E7A9E" w:rsidRPr="00D33000" w:rsidRDefault="000E7A9E" w:rsidP="009E0AF6">
            <w:pPr>
              <w:pStyle w:val="ColumnHeading"/>
              <w:keepNext/>
              <w:rPr>
                <w:lang w:val="lt-LT"/>
              </w:rPr>
            </w:pPr>
            <w:r w:rsidRPr="00D33000">
              <w:rPr>
                <w:lang w:val="lt-LT"/>
              </w:rPr>
              <w:t>Pakeitimas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jc w:val="center"/>
              <w:rPr>
                <w:szCs w:val="24"/>
                <w:lang w:val="lt-LT"/>
              </w:rPr>
            </w:pPr>
            <w:r w:rsidRPr="00D33000">
              <w:rPr>
                <w:b/>
                <w:i/>
                <w:lang w:val="lt-LT"/>
              </w:rPr>
              <w:t>2a straipsnis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jc w:val="center"/>
              <w:rPr>
                <w:szCs w:val="24"/>
                <w:lang w:val="lt-LT"/>
              </w:rPr>
            </w:pPr>
            <w:r w:rsidRPr="00D33000">
              <w:rPr>
                <w:b/>
                <w:i/>
                <w:lang w:val="lt-LT"/>
              </w:rPr>
              <w:t>Pereinamasis laikotarpis</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 xml:space="preserve">1. Įstaigos arba Direktyvos 2014/59/ES 1 straipsnio 1 dalies b, c ir d punktuose nurodyti subjektai, kurių pasirinkta pertvarkymo strategija pasikeis priklausomai nuo šio reglamento įsigaliojimo, turėtų atitikti Direktyvos 2014/59/ES 45e arba 45f straipsnyje nurodytus reikalavimus arba reikalavimus, kylančius atitinkamai taikant tos direktyvos 45b straipsnio 4, 5 arba 7 dalį, per penkerius metus nuo pertvarkymo plano, įskaitant naują pageidaujamą pertvarkymo strategiją, patvirtinimo dienos. </w:t>
            </w:r>
          </w:p>
        </w:tc>
      </w:tr>
      <w:tr w:rsidR="000E7A9E" w:rsidRPr="00D33000" w:rsidTr="009E0AF6">
        <w:trPr>
          <w:jc w:val="center"/>
        </w:trPr>
        <w:tc>
          <w:tcPr>
            <w:tcW w:w="4876" w:type="dxa"/>
          </w:tcPr>
          <w:p w:rsidR="000E7A9E" w:rsidRPr="00D33000" w:rsidRDefault="000E7A9E" w:rsidP="009E0AF6">
            <w:pPr>
              <w:pStyle w:val="Normal6"/>
              <w:rPr>
                <w:lang w:val="lt-LT"/>
              </w:rPr>
            </w:pPr>
          </w:p>
        </w:tc>
        <w:tc>
          <w:tcPr>
            <w:tcW w:w="4876" w:type="dxa"/>
            <w:hideMark/>
          </w:tcPr>
          <w:p w:rsidR="000E7A9E" w:rsidRPr="00D33000" w:rsidRDefault="000E7A9E" w:rsidP="009E0AF6">
            <w:pPr>
              <w:pStyle w:val="Normal6"/>
              <w:rPr>
                <w:szCs w:val="24"/>
                <w:lang w:val="lt-LT"/>
              </w:rPr>
            </w:pPr>
            <w:r w:rsidRPr="00D33000">
              <w:rPr>
                <w:b/>
                <w:i/>
                <w:lang w:val="lt-LT"/>
              </w:rPr>
              <w:t>2. 1 dalyje nurodytu pereinamuoju laikotarpiu Direktyvos 2014/59/ES 109 straipsnio 1 dalies pirmos pastraipos b punkte nurodytais atvejais, kai perdavimas gavėjui apima indėlius, kurie nėra apdrausti indėliai arba kiti įsipareigojimai, kuriems gali būti taikoma gelbėjimo privačiomis lėšomis priemonė, nukrypstant nuo tos dalies antros pastraipos, indėlių garantijų sistema prisideda prie sumos, būtinos indėlių, įskaitant neapdraustus indėlius, vertės skirtumui padengti; neprofesionaliųjų klientų, kaip apibrėžta Direktyvos 2014/65/ES 4 straipsnio 1 dalies 11 punkte, turimų pirmaeilių įsipareigojimų, kuriems gali būti taikoma gelbėjimo privačiomis lėšomis priemonė, ir įsipareigojimų, kurių prioritetas toks pats arba didesnis nei indėliai, ir pertvarkomos įstaigos turto, kuris turi būti perduotas gavėjui, vertės.</w:t>
            </w:r>
          </w:p>
        </w:tc>
      </w:tr>
    </w:tbl>
    <w:p w:rsidR="000E7A9E" w:rsidRPr="00D33000" w:rsidRDefault="000E7A9E" w:rsidP="000E7A9E">
      <w:pPr>
        <w:pStyle w:val="Olang"/>
        <w:rPr>
          <w:lang w:val="lt-LT"/>
        </w:rPr>
      </w:pPr>
      <w:r w:rsidRPr="00D33000">
        <w:rPr>
          <w:lang w:val="lt-LT"/>
        </w:rPr>
        <w:t xml:space="preserve">Or. </w:t>
      </w:r>
      <w:r w:rsidRPr="005D599B">
        <w:rPr>
          <w:rStyle w:val="HideTWBExt"/>
          <w:lang w:val="lt-LT"/>
        </w:rPr>
        <w:t>&lt;Original&gt;</w:t>
      </w:r>
      <w:r w:rsidRPr="005D599B">
        <w:rPr>
          <w:rStyle w:val="HideTWBInt"/>
          <w:lang w:val="lt-LT"/>
        </w:rPr>
        <w:t>{EN}</w:t>
      </w:r>
      <w:r w:rsidRPr="00D33000">
        <w:rPr>
          <w:lang w:val="lt-LT"/>
        </w:rPr>
        <w:t>en</w:t>
      </w:r>
      <w:r w:rsidRPr="005D599B">
        <w:rPr>
          <w:rStyle w:val="HideTWBExt"/>
          <w:lang w:val="lt-LT"/>
        </w:rPr>
        <w:t>&lt;/Original&gt;</w:t>
      </w:r>
    </w:p>
    <w:p w:rsidR="000E7A9E" w:rsidRPr="00D33000" w:rsidRDefault="000E7A9E" w:rsidP="000E7A9E">
      <w:r w:rsidRPr="005D599B">
        <w:rPr>
          <w:rStyle w:val="HideTWBExt"/>
        </w:rPr>
        <w:t>&lt;/Amend&gt;&lt;/RepeatBlock-Amend&gt;</w:t>
      </w:r>
    </w:p>
    <w:p w:rsidR="00E84D7B" w:rsidRPr="00D33000" w:rsidRDefault="00E84D7B" w:rsidP="000E7A9E"/>
    <w:sectPr w:rsidR="00E84D7B" w:rsidRPr="00D33000" w:rsidSect="00A924D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13A7" w:rsidRPr="00D33000" w:rsidRDefault="001A1DA8">
      <w:r w:rsidRPr="00D33000">
        <w:separator/>
      </w:r>
    </w:p>
  </w:endnote>
  <w:endnote w:type="continuationSeparator" w:id="0">
    <w:p w:rsidR="001A13A7" w:rsidRPr="00D33000" w:rsidRDefault="001A1DA8">
      <w:r w:rsidRPr="00D330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4D7" w:rsidRPr="00D33000" w:rsidRDefault="00A924D7" w:rsidP="00A924D7">
    <w:pPr>
      <w:pStyle w:val="EPFooter"/>
    </w:pPr>
    <w:r w:rsidRPr="00D33000">
      <w:t>PE</w:t>
    </w:r>
    <w:r w:rsidRPr="005D599B">
      <w:rPr>
        <w:rStyle w:val="HideTWBExt"/>
      </w:rPr>
      <w:t>&lt;NoPE&gt;</w:t>
    </w:r>
    <w:r w:rsidRPr="00D33000">
      <w:t>754.694</w:t>
    </w:r>
    <w:r w:rsidRPr="005D599B">
      <w:rPr>
        <w:rStyle w:val="HideTWBExt"/>
      </w:rPr>
      <w:t>&lt;/NoPE&gt;&lt;Version&gt;</w:t>
    </w:r>
    <w:r w:rsidRPr="00D33000">
      <w:t>v01-00</w:t>
    </w:r>
    <w:r w:rsidRPr="005D599B">
      <w:rPr>
        <w:rStyle w:val="HideTWBExt"/>
      </w:rPr>
      <w:t>&lt;/Version&gt;</w:t>
    </w:r>
    <w:r w:rsidRPr="00D33000">
      <w:tab/>
    </w:r>
    <w:r w:rsidRPr="00D33000">
      <w:fldChar w:fldCharType="begin"/>
    </w:r>
    <w:r w:rsidRPr="00D33000">
      <w:instrText xml:space="preserve"> PAGE  \* MERGEFORMAT </w:instrText>
    </w:r>
    <w:r w:rsidRPr="00D33000">
      <w:fldChar w:fldCharType="separate"/>
    </w:r>
    <w:r w:rsidR="005D599B">
      <w:rPr>
        <w:noProof/>
      </w:rPr>
      <w:t>2</w:t>
    </w:r>
    <w:r w:rsidRPr="00D33000">
      <w:fldChar w:fldCharType="end"/>
    </w:r>
    <w:r w:rsidRPr="00D33000">
      <w:t>/</w:t>
    </w:r>
    <w:fldSimple w:instr=" NUMPAGES  \* MERGEFORMAT ">
      <w:r w:rsidR="005D599B">
        <w:rPr>
          <w:noProof/>
        </w:rPr>
        <w:t>186</w:t>
      </w:r>
    </w:fldSimple>
    <w:r w:rsidRPr="00D33000">
      <w:tab/>
    </w:r>
    <w:r w:rsidRPr="005D599B">
      <w:rPr>
        <w:rStyle w:val="HideTWBExt"/>
      </w:rPr>
      <w:t>&lt;PathFdR&gt;</w:t>
    </w:r>
    <w:r w:rsidR="00D33000" w:rsidRPr="00D33000">
      <w:t>AM\1287807LT.docx</w:t>
    </w:r>
    <w:r w:rsidRPr="005D599B">
      <w:rPr>
        <w:rStyle w:val="HideTWBExt"/>
      </w:rPr>
      <w:t>&lt;/PathFdR&gt;</w:t>
    </w:r>
  </w:p>
  <w:p w:rsidR="00454591" w:rsidRPr="00D33000" w:rsidRDefault="00A924D7" w:rsidP="00A924D7">
    <w:pPr>
      <w:pStyle w:val="EPFooter2"/>
    </w:pPr>
    <w:r w:rsidRPr="00D33000">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4D7" w:rsidRPr="00D33000" w:rsidRDefault="00A924D7" w:rsidP="00A924D7">
    <w:pPr>
      <w:pStyle w:val="EPFooter"/>
    </w:pPr>
    <w:r w:rsidRPr="005D599B">
      <w:rPr>
        <w:rStyle w:val="HideTWBExt"/>
      </w:rPr>
      <w:t>&lt;PathFdR&gt;</w:t>
    </w:r>
    <w:r w:rsidR="00D33000" w:rsidRPr="00D33000">
      <w:t>AM\1287807LT.docx</w:t>
    </w:r>
    <w:r w:rsidRPr="005D599B">
      <w:rPr>
        <w:rStyle w:val="HideTWBExt"/>
      </w:rPr>
      <w:t>&lt;/PathFdR&gt;</w:t>
    </w:r>
    <w:r w:rsidRPr="00D33000">
      <w:tab/>
    </w:r>
    <w:r w:rsidRPr="00D33000">
      <w:fldChar w:fldCharType="begin"/>
    </w:r>
    <w:r w:rsidRPr="00D33000">
      <w:instrText xml:space="preserve"> PAGE  \* MERGEFORMAT </w:instrText>
    </w:r>
    <w:r w:rsidRPr="00D33000">
      <w:fldChar w:fldCharType="separate"/>
    </w:r>
    <w:r w:rsidR="005D599B">
      <w:rPr>
        <w:noProof/>
      </w:rPr>
      <w:t>3</w:t>
    </w:r>
    <w:r w:rsidRPr="00D33000">
      <w:fldChar w:fldCharType="end"/>
    </w:r>
    <w:r w:rsidRPr="00D33000">
      <w:t>/</w:t>
    </w:r>
    <w:fldSimple w:instr=" NUMPAGES  \* MERGEFORMAT ">
      <w:r w:rsidR="005D599B">
        <w:rPr>
          <w:noProof/>
        </w:rPr>
        <w:t>186</w:t>
      </w:r>
    </w:fldSimple>
    <w:r w:rsidRPr="00D33000">
      <w:tab/>
      <w:t>PE</w:t>
    </w:r>
    <w:r w:rsidRPr="005D599B">
      <w:rPr>
        <w:rStyle w:val="HideTWBExt"/>
      </w:rPr>
      <w:t>&lt;NoPE&gt;</w:t>
    </w:r>
    <w:r w:rsidRPr="00D33000">
      <w:t>754.694</w:t>
    </w:r>
    <w:r w:rsidRPr="005D599B">
      <w:rPr>
        <w:rStyle w:val="HideTWBExt"/>
      </w:rPr>
      <w:t>&lt;/NoPE&gt;&lt;Version&gt;</w:t>
    </w:r>
    <w:r w:rsidRPr="00D33000">
      <w:t>v01-00</w:t>
    </w:r>
    <w:r w:rsidRPr="005D599B">
      <w:rPr>
        <w:rStyle w:val="HideTWBExt"/>
      </w:rPr>
      <w:t>&lt;/Version&gt;</w:t>
    </w:r>
  </w:p>
  <w:p w:rsidR="00454591" w:rsidRPr="00D33000" w:rsidRDefault="00A924D7" w:rsidP="00A924D7">
    <w:pPr>
      <w:pStyle w:val="EPFooter2"/>
    </w:pPr>
    <w:r w:rsidRPr="00D33000">
      <w:tab/>
    </w:r>
    <w:r w:rsidRPr="00D33000">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4D7" w:rsidRPr="00D33000" w:rsidRDefault="00A924D7" w:rsidP="00A924D7">
    <w:pPr>
      <w:pStyle w:val="EPFooter"/>
    </w:pPr>
    <w:r w:rsidRPr="005D599B">
      <w:rPr>
        <w:rStyle w:val="HideTWBExt"/>
      </w:rPr>
      <w:t>&lt;PathFdR&gt;</w:t>
    </w:r>
    <w:r w:rsidR="00D33000" w:rsidRPr="00D33000">
      <w:t>AM\1287807LT.docx</w:t>
    </w:r>
    <w:r w:rsidRPr="005D599B">
      <w:rPr>
        <w:rStyle w:val="HideTWBExt"/>
      </w:rPr>
      <w:t>&lt;/PathFdR&gt;</w:t>
    </w:r>
    <w:r w:rsidRPr="00D33000">
      <w:tab/>
    </w:r>
    <w:r w:rsidRPr="00D33000">
      <w:tab/>
      <w:t>PE</w:t>
    </w:r>
    <w:r w:rsidRPr="005D599B">
      <w:rPr>
        <w:rStyle w:val="HideTWBExt"/>
      </w:rPr>
      <w:t>&lt;NoPE&gt;</w:t>
    </w:r>
    <w:r w:rsidRPr="00D33000">
      <w:t>754.694</w:t>
    </w:r>
    <w:r w:rsidRPr="005D599B">
      <w:rPr>
        <w:rStyle w:val="HideTWBExt"/>
      </w:rPr>
      <w:t>&lt;/NoPE&gt;&lt;Version&gt;</w:t>
    </w:r>
    <w:r w:rsidRPr="00D33000">
      <w:t>v01-00</w:t>
    </w:r>
    <w:r w:rsidRPr="005D599B">
      <w:rPr>
        <w:rStyle w:val="HideTWBExt"/>
      </w:rPr>
      <w:t>&lt;/Version&gt;</w:t>
    </w:r>
  </w:p>
  <w:p w:rsidR="00454591" w:rsidRPr="00D33000" w:rsidRDefault="00A924D7" w:rsidP="00A924D7">
    <w:pPr>
      <w:pStyle w:val="EPFooter2"/>
    </w:pPr>
    <w:r w:rsidRPr="00D33000">
      <w:t>LT</w:t>
    </w:r>
    <w:r w:rsidRPr="00D33000">
      <w:tab/>
    </w:r>
    <w:r w:rsidRPr="00D33000">
      <w:rPr>
        <w:b w:val="0"/>
        <w:i/>
        <w:color w:val="C0C0C0"/>
        <w:sz w:val="22"/>
      </w:rPr>
      <w:t>Suvienijusi įvairovę</w:t>
    </w:r>
    <w:r w:rsidRPr="00D33000">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13A7" w:rsidRPr="00D33000" w:rsidRDefault="001A1DA8">
      <w:r w:rsidRPr="00D33000">
        <w:separator/>
      </w:r>
    </w:p>
  </w:footnote>
  <w:footnote w:type="continuationSeparator" w:id="0">
    <w:p w:rsidR="001A13A7" w:rsidRPr="00D33000" w:rsidRDefault="001A1DA8">
      <w:r w:rsidRPr="00D3300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99B" w:rsidRDefault="005D59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99B" w:rsidRDefault="005D59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99B" w:rsidRDefault="005D59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85E0C75"/>
    <w:multiLevelType w:val="hybridMultilevel"/>
    <w:tmpl w:val="512ED8F6"/>
    <w:lvl w:ilvl="0" w:tplc="EDC43BB6">
      <w:start w:val="1"/>
      <w:numFmt w:val="lowerRoman"/>
      <w:lvlText w:val="(%1)"/>
      <w:lvlJc w:val="left"/>
      <w:pPr>
        <w:ind w:left="1440" w:hanging="720"/>
      </w:pPr>
      <w:rPr>
        <w:rFonts w:hint="default"/>
        <w:sz w:val="23"/>
      </w:rPr>
    </w:lvl>
    <w:lvl w:ilvl="1" w:tplc="1812C434" w:tentative="1">
      <w:start w:val="1"/>
      <w:numFmt w:val="lowerLetter"/>
      <w:lvlText w:val="%2."/>
      <w:lvlJc w:val="left"/>
      <w:pPr>
        <w:ind w:left="1800" w:hanging="360"/>
      </w:pPr>
    </w:lvl>
    <w:lvl w:ilvl="2" w:tplc="9E602FCE" w:tentative="1">
      <w:start w:val="1"/>
      <w:numFmt w:val="lowerRoman"/>
      <w:lvlText w:val="%3."/>
      <w:lvlJc w:val="right"/>
      <w:pPr>
        <w:ind w:left="2520" w:hanging="180"/>
      </w:pPr>
    </w:lvl>
    <w:lvl w:ilvl="3" w:tplc="665AEFD2" w:tentative="1">
      <w:start w:val="1"/>
      <w:numFmt w:val="decimal"/>
      <w:lvlText w:val="%4."/>
      <w:lvlJc w:val="left"/>
      <w:pPr>
        <w:ind w:left="3240" w:hanging="360"/>
      </w:pPr>
    </w:lvl>
    <w:lvl w:ilvl="4" w:tplc="FA7889D0" w:tentative="1">
      <w:start w:val="1"/>
      <w:numFmt w:val="lowerLetter"/>
      <w:lvlText w:val="%5."/>
      <w:lvlJc w:val="left"/>
      <w:pPr>
        <w:ind w:left="3960" w:hanging="360"/>
      </w:pPr>
    </w:lvl>
    <w:lvl w:ilvl="5" w:tplc="6974193A" w:tentative="1">
      <w:start w:val="1"/>
      <w:numFmt w:val="lowerRoman"/>
      <w:lvlText w:val="%6."/>
      <w:lvlJc w:val="right"/>
      <w:pPr>
        <w:ind w:left="4680" w:hanging="180"/>
      </w:pPr>
    </w:lvl>
    <w:lvl w:ilvl="6" w:tplc="36722782" w:tentative="1">
      <w:start w:val="1"/>
      <w:numFmt w:val="decimal"/>
      <w:lvlText w:val="%7."/>
      <w:lvlJc w:val="left"/>
      <w:pPr>
        <w:ind w:left="5400" w:hanging="360"/>
      </w:pPr>
    </w:lvl>
    <w:lvl w:ilvl="7" w:tplc="042AFAA2" w:tentative="1">
      <w:start w:val="1"/>
      <w:numFmt w:val="lowerLetter"/>
      <w:lvlText w:val="%8."/>
      <w:lvlJc w:val="left"/>
      <w:pPr>
        <w:ind w:left="6120" w:hanging="360"/>
      </w:pPr>
    </w:lvl>
    <w:lvl w:ilvl="8" w:tplc="E040874C" w:tentative="1">
      <w:start w:val="1"/>
      <w:numFmt w:val="lowerRoman"/>
      <w:lvlText w:val="%9."/>
      <w:lvlJc w:val="right"/>
      <w:pPr>
        <w:ind w:left="6840" w:hanging="180"/>
      </w:pPr>
    </w:lvl>
  </w:abstractNum>
  <w:abstractNum w:abstractNumId="11" w15:restartNumberingAfterBreak="0">
    <w:nsid w:val="1AA42AB8"/>
    <w:multiLevelType w:val="hybridMultilevel"/>
    <w:tmpl w:val="7CECC930"/>
    <w:lvl w:ilvl="0" w:tplc="C6D0CB3A">
      <w:start w:val="1"/>
      <w:numFmt w:val="lowerLetter"/>
      <w:lvlText w:val="(%1)"/>
      <w:lvlJc w:val="left"/>
      <w:pPr>
        <w:ind w:left="720" w:hanging="360"/>
      </w:pPr>
      <w:rPr>
        <w:rFonts w:hint="default"/>
      </w:rPr>
    </w:lvl>
    <w:lvl w:ilvl="1" w:tplc="F1DAF034" w:tentative="1">
      <w:start w:val="1"/>
      <w:numFmt w:val="lowerLetter"/>
      <w:lvlText w:val="%2."/>
      <w:lvlJc w:val="left"/>
      <w:pPr>
        <w:ind w:left="1440" w:hanging="360"/>
      </w:pPr>
    </w:lvl>
    <w:lvl w:ilvl="2" w:tplc="8EE0D284" w:tentative="1">
      <w:start w:val="1"/>
      <w:numFmt w:val="lowerRoman"/>
      <w:lvlText w:val="%3."/>
      <w:lvlJc w:val="right"/>
      <w:pPr>
        <w:ind w:left="2160" w:hanging="180"/>
      </w:pPr>
    </w:lvl>
    <w:lvl w:ilvl="3" w:tplc="CA0CB538" w:tentative="1">
      <w:start w:val="1"/>
      <w:numFmt w:val="decimal"/>
      <w:lvlText w:val="%4."/>
      <w:lvlJc w:val="left"/>
      <w:pPr>
        <w:ind w:left="2880" w:hanging="360"/>
      </w:pPr>
    </w:lvl>
    <w:lvl w:ilvl="4" w:tplc="AEAEE8EE" w:tentative="1">
      <w:start w:val="1"/>
      <w:numFmt w:val="lowerLetter"/>
      <w:lvlText w:val="%5."/>
      <w:lvlJc w:val="left"/>
      <w:pPr>
        <w:ind w:left="3600" w:hanging="360"/>
      </w:pPr>
    </w:lvl>
    <w:lvl w:ilvl="5" w:tplc="90B88F04" w:tentative="1">
      <w:start w:val="1"/>
      <w:numFmt w:val="lowerRoman"/>
      <w:lvlText w:val="%6."/>
      <w:lvlJc w:val="right"/>
      <w:pPr>
        <w:ind w:left="4320" w:hanging="180"/>
      </w:pPr>
    </w:lvl>
    <w:lvl w:ilvl="6" w:tplc="F190AAE2" w:tentative="1">
      <w:start w:val="1"/>
      <w:numFmt w:val="decimal"/>
      <w:lvlText w:val="%7."/>
      <w:lvlJc w:val="left"/>
      <w:pPr>
        <w:ind w:left="5040" w:hanging="360"/>
      </w:pPr>
    </w:lvl>
    <w:lvl w:ilvl="7" w:tplc="4CD4C9CA" w:tentative="1">
      <w:start w:val="1"/>
      <w:numFmt w:val="lowerLetter"/>
      <w:lvlText w:val="%8."/>
      <w:lvlJc w:val="left"/>
      <w:pPr>
        <w:ind w:left="5760" w:hanging="360"/>
      </w:pPr>
    </w:lvl>
    <w:lvl w:ilvl="8" w:tplc="03AC2550" w:tentative="1">
      <w:start w:val="1"/>
      <w:numFmt w:val="lowerRoman"/>
      <w:lvlText w:val="%9."/>
      <w:lvlJc w:val="right"/>
      <w:pPr>
        <w:ind w:left="6480" w:hanging="180"/>
      </w:pPr>
    </w:lvl>
  </w:abstractNum>
  <w:abstractNum w:abstractNumId="12" w15:restartNumberingAfterBreak="0">
    <w:nsid w:val="307F28B7"/>
    <w:multiLevelType w:val="hybridMultilevel"/>
    <w:tmpl w:val="933CEB48"/>
    <w:lvl w:ilvl="0" w:tplc="DCF4F8F8">
      <w:start w:val="1"/>
      <w:numFmt w:val="lowerRoman"/>
      <w:lvlText w:val="(%1)"/>
      <w:lvlJc w:val="left"/>
      <w:pPr>
        <w:ind w:left="1080" w:hanging="720"/>
      </w:pPr>
      <w:rPr>
        <w:rFonts w:hint="default"/>
        <w:sz w:val="23"/>
      </w:rPr>
    </w:lvl>
    <w:lvl w:ilvl="1" w:tplc="F84E68A8" w:tentative="1">
      <w:start w:val="1"/>
      <w:numFmt w:val="lowerLetter"/>
      <w:lvlText w:val="%2."/>
      <w:lvlJc w:val="left"/>
      <w:pPr>
        <w:ind w:left="1440" w:hanging="360"/>
      </w:pPr>
    </w:lvl>
    <w:lvl w:ilvl="2" w:tplc="6C88FA98" w:tentative="1">
      <w:start w:val="1"/>
      <w:numFmt w:val="lowerRoman"/>
      <w:lvlText w:val="%3."/>
      <w:lvlJc w:val="right"/>
      <w:pPr>
        <w:ind w:left="2160" w:hanging="180"/>
      </w:pPr>
    </w:lvl>
    <w:lvl w:ilvl="3" w:tplc="63205942" w:tentative="1">
      <w:start w:val="1"/>
      <w:numFmt w:val="decimal"/>
      <w:lvlText w:val="%4."/>
      <w:lvlJc w:val="left"/>
      <w:pPr>
        <w:ind w:left="2880" w:hanging="360"/>
      </w:pPr>
    </w:lvl>
    <w:lvl w:ilvl="4" w:tplc="9C0CF792" w:tentative="1">
      <w:start w:val="1"/>
      <w:numFmt w:val="lowerLetter"/>
      <w:lvlText w:val="%5."/>
      <w:lvlJc w:val="left"/>
      <w:pPr>
        <w:ind w:left="3600" w:hanging="360"/>
      </w:pPr>
    </w:lvl>
    <w:lvl w:ilvl="5" w:tplc="464C387A" w:tentative="1">
      <w:start w:val="1"/>
      <w:numFmt w:val="lowerRoman"/>
      <w:lvlText w:val="%6."/>
      <w:lvlJc w:val="right"/>
      <w:pPr>
        <w:ind w:left="4320" w:hanging="180"/>
      </w:pPr>
    </w:lvl>
    <w:lvl w:ilvl="6" w:tplc="00168312" w:tentative="1">
      <w:start w:val="1"/>
      <w:numFmt w:val="decimal"/>
      <w:lvlText w:val="%7."/>
      <w:lvlJc w:val="left"/>
      <w:pPr>
        <w:ind w:left="5040" w:hanging="360"/>
      </w:pPr>
    </w:lvl>
    <w:lvl w:ilvl="7" w:tplc="F1641054" w:tentative="1">
      <w:start w:val="1"/>
      <w:numFmt w:val="lowerLetter"/>
      <w:lvlText w:val="%8."/>
      <w:lvlJc w:val="left"/>
      <w:pPr>
        <w:ind w:left="5760" w:hanging="360"/>
      </w:pPr>
    </w:lvl>
    <w:lvl w:ilvl="8" w:tplc="D492884C" w:tentative="1">
      <w:start w:val="1"/>
      <w:numFmt w:val="lowerRoman"/>
      <w:lvlText w:val="%9."/>
      <w:lvlJc w:val="right"/>
      <w:pPr>
        <w:ind w:left="6480" w:hanging="180"/>
      </w:pPr>
    </w:lvl>
  </w:abstractNum>
  <w:abstractNum w:abstractNumId="13" w15:restartNumberingAfterBreak="0">
    <w:nsid w:val="3FD750AD"/>
    <w:multiLevelType w:val="hybridMultilevel"/>
    <w:tmpl w:val="653047FC"/>
    <w:lvl w:ilvl="0" w:tplc="384639B2">
      <w:start w:val="1"/>
      <w:numFmt w:val="lowerLetter"/>
      <w:lvlText w:val="(%1)"/>
      <w:lvlJc w:val="left"/>
      <w:pPr>
        <w:ind w:left="720" w:hanging="360"/>
      </w:pPr>
      <w:rPr>
        <w:rFonts w:hint="default"/>
      </w:rPr>
    </w:lvl>
    <w:lvl w:ilvl="1" w:tplc="B2CCE33C" w:tentative="1">
      <w:start w:val="1"/>
      <w:numFmt w:val="lowerLetter"/>
      <w:lvlText w:val="%2."/>
      <w:lvlJc w:val="left"/>
      <w:pPr>
        <w:ind w:left="1440" w:hanging="360"/>
      </w:pPr>
    </w:lvl>
    <w:lvl w:ilvl="2" w:tplc="27AC70FA" w:tentative="1">
      <w:start w:val="1"/>
      <w:numFmt w:val="lowerRoman"/>
      <w:lvlText w:val="%3."/>
      <w:lvlJc w:val="right"/>
      <w:pPr>
        <w:ind w:left="2160" w:hanging="180"/>
      </w:pPr>
    </w:lvl>
    <w:lvl w:ilvl="3" w:tplc="C3CAA2F0" w:tentative="1">
      <w:start w:val="1"/>
      <w:numFmt w:val="decimal"/>
      <w:lvlText w:val="%4."/>
      <w:lvlJc w:val="left"/>
      <w:pPr>
        <w:ind w:left="2880" w:hanging="360"/>
      </w:pPr>
    </w:lvl>
    <w:lvl w:ilvl="4" w:tplc="53D2291E" w:tentative="1">
      <w:start w:val="1"/>
      <w:numFmt w:val="lowerLetter"/>
      <w:lvlText w:val="%5."/>
      <w:lvlJc w:val="left"/>
      <w:pPr>
        <w:ind w:left="3600" w:hanging="360"/>
      </w:pPr>
    </w:lvl>
    <w:lvl w:ilvl="5" w:tplc="E708D1AC" w:tentative="1">
      <w:start w:val="1"/>
      <w:numFmt w:val="lowerRoman"/>
      <w:lvlText w:val="%6."/>
      <w:lvlJc w:val="right"/>
      <w:pPr>
        <w:ind w:left="4320" w:hanging="180"/>
      </w:pPr>
    </w:lvl>
    <w:lvl w:ilvl="6" w:tplc="50EE22B6" w:tentative="1">
      <w:start w:val="1"/>
      <w:numFmt w:val="decimal"/>
      <w:lvlText w:val="%7."/>
      <w:lvlJc w:val="left"/>
      <w:pPr>
        <w:ind w:left="5040" w:hanging="360"/>
      </w:pPr>
    </w:lvl>
    <w:lvl w:ilvl="7" w:tplc="FE00FCE6" w:tentative="1">
      <w:start w:val="1"/>
      <w:numFmt w:val="lowerLetter"/>
      <w:lvlText w:val="%8."/>
      <w:lvlJc w:val="left"/>
      <w:pPr>
        <w:ind w:left="5760" w:hanging="360"/>
      </w:pPr>
    </w:lvl>
    <w:lvl w:ilvl="8" w:tplc="9582052C" w:tentative="1">
      <w:start w:val="1"/>
      <w:numFmt w:val="lowerRoman"/>
      <w:lvlText w:val="%9."/>
      <w:lvlJc w:val="right"/>
      <w:pPr>
        <w:ind w:left="6480" w:hanging="180"/>
      </w:pPr>
    </w:lvl>
  </w:abstractNum>
  <w:abstractNum w:abstractNumId="14" w15:restartNumberingAfterBreak="0">
    <w:nsid w:val="62D12573"/>
    <w:multiLevelType w:val="hybridMultilevel"/>
    <w:tmpl w:val="5F22F0AE"/>
    <w:lvl w:ilvl="0" w:tplc="659A5F68">
      <w:start w:val="1"/>
      <w:numFmt w:val="lowerRoman"/>
      <w:lvlText w:val="(%1)"/>
      <w:lvlJc w:val="left"/>
      <w:pPr>
        <w:ind w:left="1080" w:hanging="720"/>
      </w:pPr>
      <w:rPr>
        <w:rFonts w:hint="default"/>
        <w:sz w:val="23"/>
      </w:rPr>
    </w:lvl>
    <w:lvl w:ilvl="1" w:tplc="9FC2479E" w:tentative="1">
      <w:start w:val="1"/>
      <w:numFmt w:val="lowerLetter"/>
      <w:lvlText w:val="%2."/>
      <w:lvlJc w:val="left"/>
      <w:pPr>
        <w:ind w:left="1440" w:hanging="360"/>
      </w:pPr>
    </w:lvl>
    <w:lvl w:ilvl="2" w:tplc="FBE0677E" w:tentative="1">
      <w:start w:val="1"/>
      <w:numFmt w:val="lowerRoman"/>
      <w:lvlText w:val="%3."/>
      <w:lvlJc w:val="right"/>
      <w:pPr>
        <w:ind w:left="2160" w:hanging="180"/>
      </w:pPr>
    </w:lvl>
    <w:lvl w:ilvl="3" w:tplc="C13A7DF4" w:tentative="1">
      <w:start w:val="1"/>
      <w:numFmt w:val="decimal"/>
      <w:lvlText w:val="%4."/>
      <w:lvlJc w:val="left"/>
      <w:pPr>
        <w:ind w:left="2880" w:hanging="360"/>
      </w:pPr>
    </w:lvl>
    <w:lvl w:ilvl="4" w:tplc="8C285160" w:tentative="1">
      <w:start w:val="1"/>
      <w:numFmt w:val="lowerLetter"/>
      <w:lvlText w:val="%5."/>
      <w:lvlJc w:val="left"/>
      <w:pPr>
        <w:ind w:left="3600" w:hanging="360"/>
      </w:pPr>
    </w:lvl>
    <w:lvl w:ilvl="5" w:tplc="349A83A4" w:tentative="1">
      <w:start w:val="1"/>
      <w:numFmt w:val="lowerRoman"/>
      <w:lvlText w:val="%6."/>
      <w:lvlJc w:val="right"/>
      <w:pPr>
        <w:ind w:left="4320" w:hanging="180"/>
      </w:pPr>
    </w:lvl>
    <w:lvl w:ilvl="6" w:tplc="A95845B2" w:tentative="1">
      <w:start w:val="1"/>
      <w:numFmt w:val="decimal"/>
      <w:lvlText w:val="%7."/>
      <w:lvlJc w:val="left"/>
      <w:pPr>
        <w:ind w:left="5040" w:hanging="360"/>
      </w:pPr>
    </w:lvl>
    <w:lvl w:ilvl="7" w:tplc="49D4BFBC" w:tentative="1">
      <w:start w:val="1"/>
      <w:numFmt w:val="lowerLetter"/>
      <w:lvlText w:val="%8."/>
      <w:lvlJc w:val="left"/>
      <w:pPr>
        <w:ind w:left="5760" w:hanging="360"/>
      </w:pPr>
    </w:lvl>
    <w:lvl w:ilvl="8" w:tplc="1B1C8646" w:tentative="1">
      <w:start w:val="1"/>
      <w:numFmt w:val="lowerRoman"/>
      <w:lvlText w:val="%9."/>
      <w:lvlJc w:val="right"/>
      <w:pPr>
        <w:ind w:left="6480" w:hanging="180"/>
      </w:pPr>
    </w:lvl>
  </w:abstractNum>
  <w:abstractNum w:abstractNumId="15" w15:restartNumberingAfterBreak="0">
    <w:nsid w:val="707B7F59"/>
    <w:multiLevelType w:val="hybridMultilevel"/>
    <w:tmpl w:val="7A908A8E"/>
    <w:lvl w:ilvl="0" w:tplc="FAA6526A">
      <w:start w:val="1"/>
      <w:numFmt w:val="lowerRoman"/>
      <w:lvlText w:val="(%1)"/>
      <w:lvlJc w:val="left"/>
      <w:pPr>
        <w:ind w:left="1440" w:hanging="720"/>
      </w:pPr>
      <w:rPr>
        <w:rFonts w:hint="default"/>
        <w:sz w:val="23"/>
      </w:rPr>
    </w:lvl>
    <w:lvl w:ilvl="1" w:tplc="21F88602" w:tentative="1">
      <w:start w:val="1"/>
      <w:numFmt w:val="lowerLetter"/>
      <w:lvlText w:val="%2."/>
      <w:lvlJc w:val="left"/>
      <w:pPr>
        <w:ind w:left="1800" w:hanging="360"/>
      </w:pPr>
    </w:lvl>
    <w:lvl w:ilvl="2" w:tplc="9A227B7A" w:tentative="1">
      <w:start w:val="1"/>
      <w:numFmt w:val="lowerRoman"/>
      <w:lvlText w:val="%3."/>
      <w:lvlJc w:val="right"/>
      <w:pPr>
        <w:ind w:left="2520" w:hanging="180"/>
      </w:pPr>
    </w:lvl>
    <w:lvl w:ilvl="3" w:tplc="6E2E67FE" w:tentative="1">
      <w:start w:val="1"/>
      <w:numFmt w:val="decimal"/>
      <w:lvlText w:val="%4."/>
      <w:lvlJc w:val="left"/>
      <w:pPr>
        <w:ind w:left="3240" w:hanging="360"/>
      </w:pPr>
    </w:lvl>
    <w:lvl w:ilvl="4" w:tplc="F49CA1D8" w:tentative="1">
      <w:start w:val="1"/>
      <w:numFmt w:val="lowerLetter"/>
      <w:lvlText w:val="%5."/>
      <w:lvlJc w:val="left"/>
      <w:pPr>
        <w:ind w:left="3960" w:hanging="360"/>
      </w:pPr>
    </w:lvl>
    <w:lvl w:ilvl="5" w:tplc="6824AEAC" w:tentative="1">
      <w:start w:val="1"/>
      <w:numFmt w:val="lowerRoman"/>
      <w:lvlText w:val="%6."/>
      <w:lvlJc w:val="right"/>
      <w:pPr>
        <w:ind w:left="4680" w:hanging="180"/>
      </w:pPr>
    </w:lvl>
    <w:lvl w:ilvl="6" w:tplc="B1F6D9A6" w:tentative="1">
      <w:start w:val="1"/>
      <w:numFmt w:val="decimal"/>
      <w:lvlText w:val="%7."/>
      <w:lvlJc w:val="left"/>
      <w:pPr>
        <w:ind w:left="5400" w:hanging="360"/>
      </w:pPr>
    </w:lvl>
    <w:lvl w:ilvl="7" w:tplc="5F2EE83A" w:tentative="1">
      <w:start w:val="1"/>
      <w:numFmt w:val="lowerLetter"/>
      <w:lvlText w:val="%8."/>
      <w:lvlJc w:val="left"/>
      <w:pPr>
        <w:ind w:left="6120" w:hanging="360"/>
      </w:pPr>
    </w:lvl>
    <w:lvl w:ilvl="8" w:tplc="9BAE107C" w:tentative="1">
      <w:start w:val="1"/>
      <w:numFmt w:val="lowerRoman"/>
      <w:lvlText w:val="%9."/>
      <w:lvlJc w:val="right"/>
      <w:pPr>
        <w:ind w:left="6840" w:hanging="180"/>
      </w:pPr>
    </w:lvl>
  </w:abstractNum>
  <w:abstractNum w:abstractNumId="16" w15:restartNumberingAfterBreak="0">
    <w:nsid w:val="76DC3A3B"/>
    <w:multiLevelType w:val="hybridMultilevel"/>
    <w:tmpl w:val="82B0F9EA"/>
    <w:lvl w:ilvl="0" w:tplc="AFA6FAC0">
      <w:start w:val="1"/>
      <w:numFmt w:val="lowerRoman"/>
      <w:lvlText w:val="(%1)"/>
      <w:lvlJc w:val="left"/>
      <w:pPr>
        <w:ind w:left="1080" w:hanging="720"/>
      </w:pPr>
      <w:rPr>
        <w:rFonts w:hint="default"/>
        <w:sz w:val="23"/>
      </w:rPr>
    </w:lvl>
    <w:lvl w:ilvl="1" w:tplc="522850F8" w:tentative="1">
      <w:start w:val="1"/>
      <w:numFmt w:val="lowerLetter"/>
      <w:lvlText w:val="%2."/>
      <w:lvlJc w:val="left"/>
      <w:pPr>
        <w:ind w:left="1440" w:hanging="360"/>
      </w:pPr>
    </w:lvl>
    <w:lvl w:ilvl="2" w:tplc="C8D657BA" w:tentative="1">
      <w:start w:val="1"/>
      <w:numFmt w:val="lowerRoman"/>
      <w:lvlText w:val="%3."/>
      <w:lvlJc w:val="right"/>
      <w:pPr>
        <w:ind w:left="2160" w:hanging="180"/>
      </w:pPr>
    </w:lvl>
    <w:lvl w:ilvl="3" w:tplc="EAD22314" w:tentative="1">
      <w:start w:val="1"/>
      <w:numFmt w:val="decimal"/>
      <w:lvlText w:val="%4."/>
      <w:lvlJc w:val="left"/>
      <w:pPr>
        <w:ind w:left="2880" w:hanging="360"/>
      </w:pPr>
    </w:lvl>
    <w:lvl w:ilvl="4" w:tplc="2BA26EB4" w:tentative="1">
      <w:start w:val="1"/>
      <w:numFmt w:val="lowerLetter"/>
      <w:lvlText w:val="%5."/>
      <w:lvlJc w:val="left"/>
      <w:pPr>
        <w:ind w:left="3600" w:hanging="360"/>
      </w:pPr>
    </w:lvl>
    <w:lvl w:ilvl="5" w:tplc="56B0F1DC" w:tentative="1">
      <w:start w:val="1"/>
      <w:numFmt w:val="lowerRoman"/>
      <w:lvlText w:val="%6."/>
      <w:lvlJc w:val="right"/>
      <w:pPr>
        <w:ind w:left="4320" w:hanging="180"/>
      </w:pPr>
    </w:lvl>
    <w:lvl w:ilvl="6" w:tplc="0F5E0962" w:tentative="1">
      <w:start w:val="1"/>
      <w:numFmt w:val="decimal"/>
      <w:lvlText w:val="%7."/>
      <w:lvlJc w:val="left"/>
      <w:pPr>
        <w:ind w:left="5040" w:hanging="360"/>
      </w:pPr>
    </w:lvl>
    <w:lvl w:ilvl="7" w:tplc="58BC8906" w:tentative="1">
      <w:start w:val="1"/>
      <w:numFmt w:val="lowerLetter"/>
      <w:lvlText w:val="%8."/>
      <w:lvlJc w:val="left"/>
      <w:pPr>
        <w:ind w:left="5760" w:hanging="360"/>
      </w:pPr>
    </w:lvl>
    <w:lvl w:ilvl="8" w:tplc="11320B12" w:tentative="1">
      <w:start w:val="1"/>
      <w:numFmt w:val="lowerRoman"/>
      <w:lvlText w:val="%9."/>
      <w:lvlJc w:val="right"/>
      <w:pPr>
        <w:ind w:left="6480" w:hanging="180"/>
      </w:pPr>
    </w:lvl>
  </w:abstractNum>
  <w:abstractNum w:abstractNumId="17" w15:restartNumberingAfterBreak="0">
    <w:nsid w:val="7983786A"/>
    <w:multiLevelType w:val="hybridMultilevel"/>
    <w:tmpl w:val="C3CE6002"/>
    <w:lvl w:ilvl="0" w:tplc="1B2495A0">
      <w:start w:val="1"/>
      <w:numFmt w:val="lowerLetter"/>
      <w:lvlText w:val="(%1)"/>
      <w:lvlJc w:val="left"/>
      <w:pPr>
        <w:ind w:left="720" w:hanging="360"/>
      </w:pPr>
      <w:rPr>
        <w:rFonts w:hint="default"/>
      </w:rPr>
    </w:lvl>
    <w:lvl w:ilvl="1" w:tplc="C5A292FE" w:tentative="1">
      <w:start w:val="1"/>
      <w:numFmt w:val="lowerLetter"/>
      <w:lvlText w:val="%2."/>
      <w:lvlJc w:val="left"/>
      <w:pPr>
        <w:ind w:left="1440" w:hanging="360"/>
      </w:pPr>
    </w:lvl>
    <w:lvl w:ilvl="2" w:tplc="968E39D0" w:tentative="1">
      <w:start w:val="1"/>
      <w:numFmt w:val="lowerRoman"/>
      <w:lvlText w:val="%3."/>
      <w:lvlJc w:val="right"/>
      <w:pPr>
        <w:ind w:left="2160" w:hanging="180"/>
      </w:pPr>
    </w:lvl>
    <w:lvl w:ilvl="3" w:tplc="61686DE4" w:tentative="1">
      <w:start w:val="1"/>
      <w:numFmt w:val="decimal"/>
      <w:lvlText w:val="%4."/>
      <w:lvlJc w:val="left"/>
      <w:pPr>
        <w:ind w:left="2880" w:hanging="360"/>
      </w:pPr>
    </w:lvl>
    <w:lvl w:ilvl="4" w:tplc="3C8C476E" w:tentative="1">
      <w:start w:val="1"/>
      <w:numFmt w:val="lowerLetter"/>
      <w:lvlText w:val="%5."/>
      <w:lvlJc w:val="left"/>
      <w:pPr>
        <w:ind w:left="3600" w:hanging="360"/>
      </w:pPr>
    </w:lvl>
    <w:lvl w:ilvl="5" w:tplc="DCFE939A" w:tentative="1">
      <w:start w:val="1"/>
      <w:numFmt w:val="lowerRoman"/>
      <w:lvlText w:val="%6."/>
      <w:lvlJc w:val="right"/>
      <w:pPr>
        <w:ind w:left="4320" w:hanging="180"/>
      </w:pPr>
    </w:lvl>
    <w:lvl w:ilvl="6" w:tplc="28466EE0" w:tentative="1">
      <w:start w:val="1"/>
      <w:numFmt w:val="decimal"/>
      <w:lvlText w:val="%7."/>
      <w:lvlJc w:val="left"/>
      <w:pPr>
        <w:ind w:left="5040" w:hanging="360"/>
      </w:pPr>
    </w:lvl>
    <w:lvl w:ilvl="7" w:tplc="20B083E2" w:tentative="1">
      <w:start w:val="1"/>
      <w:numFmt w:val="lowerLetter"/>
      <w:lvlText w:val="%8."/>
      <w:lvlJc w:val="left"/>
      <w:pPr>
        <w:ind w:left="5760" w:hanging="360"/>
      </w:pPr>
    </w:lvl>
    <w:lvl w:ilvl="8" w:tplc="1A385344"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4"/>
  </w:num>
  <w:num w:numId="42">
    <w:abstractNumId w:val="15"/>
  </w:num>
  <w:num w:numId="43">
    <w:abstractNumId w:val="10"/>
  </w:num>
  <w:num w:numId="44">
    <w:abstractNumId w:val="12"/>
  </w:num>
  <w:num w:numId="45">
    <w:abstractNumId w:val="16"/>
  </w:num>
  <w:num w:numId="46">
    <w:abstractNumId w:val="17"/>
  </w:num>
  <w:num w:numId="47">
    <w:abstractNumId w:val="13"/>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CON"/>
    <w:docVar w:name="CVA" w:val="1"/>
    <w:docVar w:name="DOCCODMNU" w:val=" 1"/>
    <w:docVar w:name="DOCDT" w:val="01/11/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89\fbidi \froman\fcharset238\fprq2 Times New Roman CE;}{\f290\fbidi \froman\fcharset204\fprq2 Times New Roman Cyr;}_x000d__x000a_{\f292\fbidi \froman\fcharset161\fprq2 Times New Roman Greek;}{\f293\fbidi \froman\fcharset162\fprq2 Times New Roman Tur;}{\f294\fbidi \froman\fcharset177\fprq2 Times New Roman (Hebrew);}{\f295\fbidi \froman\fcharset178\fprq2 Times New Roman (Arabic);}_x000d__x000a_{\f296\fbidi \froman\fcharset186\fprq2 Times New Roman Baltic;}{\f297\fbidi \froman\fcharset163\fprq2 Times New Roman (Vietnamese);}{\f299\fbidi \fswiss\fcharset238\fprq2 Arial CE;}{\f300\fbidi \fswiss\fcharset204\fprq2 Arial Cyr;}_x000d__x000a_{\f302\fbidi \fswiss\fcharset161\fprq2 Arial Greek;}{\f303\fbidi \fswiss\fcharset162\fprq2 Arial Tur;}{\f304\fbidi \fswiss\fcharset177\fprq2 Arial (Hebrew);}{\f305\fbidi \fswiss\fcharset178\fprq2 Arial (Arabic);}_x000d__x000a_{\f306\fbidi \fswiss\fcharset186\fprq2 Arial Baltic;}{\f307\fbidi \fswiss\fcharset163\fprq2 Arial (Vietnamese);}{\f629\fbidi \froman\fcharset238\fprq2 Cambria Math CE;}{\f630\fbidi \froman\fcharset204\fprq2 Cambria Math Cyr;}_x000d__x000a_{\f632\fbidi \froman\fcharset161\fprq2 Cambria Math Greek;}{\f633\fbidi \froman\fcharset162\fprq2 Cambria Math Tur;}{\f636\fbidi \froman\fcharset186\fprq2 Cambria Math Baltic;}{\f63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035073 HideTWBInt;}}{\*\rsidtbl \rsid24658\rsid223860\rsid735077\rsid1718133\rsid2035073\rsid2892074_x000d__x000a_\rsid3565327\rsid4666813\rsid6641733\rsid7823322\rsid9636012\rsid10377208\rsid11215221\rsid11549030\rsid12154954\rsid14382809\rsid14424199\rsid15204470\rsid15285974\rsid15950462\rsid16324206\rsid16386693\rsid16662270}{\mmathPr\mmathFont34\mbrkBin0_x000d__x000a_\mbrkBinSub0\msmallFrac0\mdispDef1\mlMargin0\mrMargin0\mdefJc1\mwrapIndent1440\mintLim0\mnaryLim1}{\info{\author CHIGNESSE Regine}{\operator CHIGNESSE Regine}{\creatim\yr2023\mo11\dy1\hr9\min16}{\revtim\yr2023\mo11\dy1\hr9\min16}{\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035073\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6386693 \chftnsep _x000d__x000a_\par }}{\*\ftnsepc \ltrpar \pard\plain \ltrpar\ql \li0\ri0\widctlpar\wrapdefault\aspalpha\aspnum\faauto\adjustright\rin0\lin0\itap0 \rtlch\fcs1 \af0\afs20\alang1025 \ltrch\fcs0 \fs24\lang2057\langfe2057\cgrid\langnp2057\langfenp2057 {\rtlch\fcs1 \af0 _x000d__x000a_\ltrch\fcs0 \insrsid16386693 \chftnsepc _x000d__x000a_\par }}{\*\aftnsep \ltrpar \pard\plain \ltrpar\ql \li0\ri0\widctlpar\wrapdefault\aspalpha\aspnum\faauto\adjustright\rin0\lin0\itap0 \rtlch\fcs1 \af0\afs20\alang1025 \ltrch\fcs0 \fs24\lang2057\langfe2057\cgrid\langnp2057\langfenp2057 {\rtlch\fcs1 \af0 _x000d__x000a_\ltrch\fcs0 \insrsid16386693 \chftnsep _x000d__x000a_\par }}{\*\aftnsepc \ltrpar \pard\plain \ltrpar\ql \li0\ri0\widctlpar\wrapdefault\aspalpha\aspnum\faauto\adjustright\rin0\lin0\itap0 \rtlch\fcs1 \af0\afs20\alang1025 \ltrch\fcs0 \fs24\lang2057\langfe2057\cgrid\langnp2057\langfenp2057 {\rtlch\fcs1 \af0 _x000d__x000a_\ltrch\fcs0 \insrsid1638669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2035073\charrsid7085899 {\*\bkmkstart ReplaceBookmark}#}{\rtlch\fcs1 \af1 \ltrch\fcs0 _x000d__x000a_\cs17\v\f1\fs20\cf15\insrsid2035073\charrsid7085899 &gt;&gt;&gt;CVAR@@AmendA}{\rtlch\fcs1 \af0 \ltrch\fcs0 \insrsid2035073\charrsid708589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e_x000d__x000a_4cb89b0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153340 HideTWBExt;}{\*\cs18 \additive \v\f1\fs20\cf15 _x000d__x000a_\spriority0 \styrsid12153340 HideTWBInt;}{\s19\ql \li0\ri0\sa120\nowidctlpar\wrapdefault\aspalpha\aspnum\faauto\adjustright\rin0\lin0\itap0 \rtlch\fcs1 \af0\afs20\alang1025 \ltrch\fcs0 \fs24\lang2057\langfe2057\cgrid\langnp2057\langfenp2057 _x000d__x000a_\sbasedon0 \snext19 \spriority0 \styrsid12153340 Normal6a;}{\s20\ql \li0\ri0\nowidctlpar\wrapdefault\aspalpha\aspnum\faauto\adjustright\rin0\lin0\itap0 \rtlch\fcs1 \af0\afs20\alang1025 \ltrch\fcs0 \b\fs24\lang2057\langfe2057\cgrid\langnp2057\langfenp2057 _x000d__x000a_\sbasedon0 \snext20 \spriority0 \styrsid12153340 NormalBold;}{\s21\qr \li0\ri0\sb240\sa240\nowidctlpar\wrapdefault\aspalpha\aspnum\faauto\adjustright\rin0\lin0\itap0 \rtlch\fcs1 \af0\afs20\alang1025 \ltrch\fcs0 _x000d__x000a_\fs24\lang2057\langfe2057\cgrid\langnp2057\langfenp2057 \sbasedon0 \snext21 \spriority0 \styrsid12153340 AmOrLang;}{\s22\qc \li0\ri0\sa240\nowidctlpar\wrapdefault\aspalpha\aspnum\faauto\adjustright\rin0\lin0\itap0 \rtlch\fcs1 \af0\afs20\alang1025 _x000d__x000a_\ltrch\fcs0 \i\fs24\lang2057\langfe2057\cgrid\langnp2057\langfenp2057 \sbasedon0 \snext22 \spriority0 \styrsid121533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153340 AmNumberTabs;}}{\*\rsidtbl \rsid24658\rsid223860\rsid735077\rsid1718133\rsid2892074\rsid3565327\rsid4666813\rsid6641733\rsid7823322_x000d__x000a_\rsid9636012\rsid10377208\rsid11215221\rsid11473010\rsid11549030\rsid12153340\rsid12154954\rsid14382809\rsid14424199\rsid15204470\rsid15285974\rsid15950462\rsid16324206\rsid16662270}{\mmathPr\mmathFont34\mbrkBin0\mbrkBinSub0\msmallFrac0\mdispDef1_x000d__x000a_\mlMargin0\mrMargin0\mdefJc1\mwrapIndent1440\mintLim0\mnaryLim1}{\info{\author CHIGNESSE Regine}{\operator CHIGNESSE Regine}{\creatim\yr2022\mo11\dy14\hr16\min3}{\revtim\yr2022\mo11\dy14\hr16\min3}{\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153340\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1473010 \chftnsep _x000d__x000a_\par }}{\*\ftnsepc \ltrpar \pard\plain \ltrpar\ql \li0\ri0\widctlpar\wrapdefault\aspalpha\aspnum\faauto\adjustright\rin0\lin0\itap0 \rtlch\fcs1 \af0\afs20\alang1025 \ltrch\fcs0 \fs24\lang2057\langfe2057\cgrid\langnp2057\langfenp2057 {\rtlch\fcs1 \af0 _x000d__x000a_\ltrch\fcs0 \insrsid11473010 \chftnsepc _x000d__x000a_\par }}{\*\aftnsep \ltrpar \pard\plain \ltrpar\ql \li0\ri0\widctlpar\wrapdefault\aspalpha\aspnum\faauto\adjustright\rin0\lin0\itap0 \rtlch\fcs1 \af0\afs20\alang1025 \ltrch\fcs0 \fs24\lang2057\langfe2057\cgrid\langnp2057\langfenp2057 {\rtlch\fcs1 \af0 _x000d__x000a_\ltrch\fcs0 \insrsid11473010 \chftnsep _x000d__x000a_\par }}{\*\aftnsepc \ltrpar \pard\plain \ltrpar\ql \li0\ri0\widctlpar\wrapdefault\aspalpha\aspnum\faauto\adjustright\rin0\lin0\itap0 \rtlch\fcs1 \af0\afs20\alang1025 \ltrch\fcs0 \fs24\lang2057\langfe2057\cgrid\langnp2057\langfenp2057 {\rtlch\fcs1 \af0 _x000d__x000a_\ltrch\fcs0 \insrsid114730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153340 \rtlch\fcs1 _x000d__x000a_\af0\afs20\alang1025 \ltrch\fcs0 \b\fs24\lang2057\langfe2057\cgrid\langnp2057\langfenp2057 {\rtlch\fcs1 \af0 \ltrch\fcs0 \cs17\b0\v\fs20\cf9\lang1024\langfe1024\loch\af1\hich\af1\dbch\af31501\noproof\insrsid12153340\charrsid1379581 {\*\bkmkstart restartA}_x000d__x000a_\hich\af1\dbch\af31501\loch\f1 &lt;AmendA&gt;}{\rtlch\fcs1 \af0 \ltrch\fcs0 \insrsid12153340\charrsid1379581 Amendment\tab \tab }{\rtlch\fcs1 \af0 \ltrch\fcs0 _x000d__x000a_\cs17\b0\v\fs20\cf9\lang1024\langfe1024\loch\af1\hich\af1\dbch\af31501\noproof\insrsid12153340\charrsid1379581 \hich\af1\dbch\af31501\loch\f1 &lt;NumAmA&gt;}{\rtlch\fcs1 \af0 \ltrch\fcs0 \insrsid12153340\charrsid1379581 #}{\rtlch\fcs1 \af1 \ltrch\fcs0 _x000d__x000a_\cs18\v\f1\fs20\cf15\insrsid12153340\charrsid1379581 ENMIENDA@NRAM@}{\rtlch\fcs1 \af0 \ltrch\fcs0 \insrsid12153340\charrsid1379581 #}{\rtlch\fcs1 \af0 \ltrch\fcs0 _x000d__x000a_\cs17\b0\v\fs20\cf9\lang1024\langfe1024\loch\af1\hich\af1\dbch\af31501\noproof\insrsid12153340\charrsid1379581 \hich\af1\dbch\af31501\loch\f1 &lt;/NumAmA&gt;}{\rtlch\fcs1 \af0 \ltrch\fcs0 \insrsid12153340\charrsid1379581 _x000d__x000a_\par }\pard\plain \ltrpar\s20\ql \li0\ri0\nowidctlpar\wrapdefault\aspalpha\aspnum\faauto\adjustright\rin0\lin0\itap0\pararsid12153340 \rtlch\fcs1 \af0\afs20\alang1025 \ltrch\fcs0 \b\fs24\lang2057\langfe2057\cgrid\langnp2057\langfenp2057 {\rtlch\fcs1 \af0 _x000d__x000a_\ltrch\fcs0 \cs17\b0\v\fs20\cf9\lang1024\langfe1024\loch\af1\hich\af1\dbch\af31501\noproof\insrsid12153340\charrsid1379581 \hich\af1\dbch\af31501\loch\f1 &lt;RepeatBlock-By&gt;}{\rtlch\fcs1 \af0 \ltrch\fcs0 \insrsid12153340\charrsid1379581 #}{\rtlch\fcs1 \af1 _x000d__x000a_\ltrch\fcs0 \cs18\v\f1\fs20\cf15\insrsid12153340\charrsid1379581 (MOD@InsideLoop()}{\rtlch\fcs1 \af0 \ltrch\fcs0 \insrsid12153340\charrsid1379581 ##}{\rtlch\fcs1 \af1 \ltrch\fcs0 \cs18\v\f1\fs20\cf15\insrsid12153340\charrsid1379581 &gt;&gt;&gt;@[ZMEMBERSMSG]@}{_x000d__x000a_\rtlch\fcs1 \af0 \ltrch\fcs0 \insrsid12153340\charrsid1379581 #}{\rtlch\fcs1 \af0 \ltrch\fcs0 \cs17\b0\v\fs20\cf9\lang1024\langfe1024\loch\af1\hich\af1\dbch\af31501\noproof\insrsid12153340\charrsid1379581 \hich\af1\dbch\af31501\loch\f1 &lt;Members&gt;}{_x000d__x000a_\rtlch\fcs1 \af0 \ltrch\fcs0 \insrsid12153340\charrsid1379581 #}{\rtlch\fcs1 \af1 \ltrch\fcs0 \cs18\v\f1\fs20\cf15\insrsid12153340\charrsid1379581 (MOD@InsideLoop(\'a7)}{\rtlch\fcs1 \af0 \ltrch\fcs0 \insrsid12153340\charrsid1379581 #}{\rtlch\fcs1 \af0 _x000d__x000a_\ltrch\fcs0 \cf10\insrsid12153340\charrsid1379581 \u9668\'3f}{\rtlch\fcs1 \af0 \ltrch\fcs0 \insrsid12153340\charrsid1379581 #}{\rtlch\fcs1 \af1 \ltrch\fcs0 \cs18\v\f1\fs20\cf15\insrsid12153340\charrsid1379581 TVTMEMBERS\'a7@MEMBERS@}{\rtlch\fcs1 \af0 _x000d__x000a_\ltrch\fcs0 \insrsid12153340\charrsid1379581 #}{\rtlch\fcs1 \af0 \ltrch\fcs0 \cf10\insrsid12153340\charrsid1379581 \u9658\'3f}{\rtlch\fcs1 \af0 \ltrch\fcs0 _x000d__x000a_\cs17\b0\v\fs20\cf9\lang1024\langfe1024\loch\af1\hich\af1\dbch\af31501\noproof\insrsid12153340\charrsid1379581 \hich\af1\dbch\af31501\loch\f1 &lt;/Members&gt;}{\rtlch\fcs1 \af0 \ltrch\fcs0 \insrsid12153340\charrsid1379581 _x000d__x000a_\par }\pard\plain \ltrpar\ql \li0\ri0\widctlpar\wrapdefault\aspalpha\aspnum\faauto\adjustright\rin0\lin0\itap0\pararsid12153340 \rtlch\fcs1 \af0\afs20\alang1025 \ltrch\fcs0 \fs24\lang2057\langfe2057\cgrid\langnp2057\langfenp2057 {\rtlch\fcs1 \af0 \ltrch\fcs0 _x000d__x000a_\cs17\v\fs20\cf9\lang1024\langfe1024\loch\af1\hich\af1\dbch\af31501\noproof\insrsid12153340\charrsid1379581 \hich\af1\dbch\af31501\loch\f1 &lt;AuNomDe&gt;&lt;OptDel&gt;}{\rtlch\fcs1 \af0 \ltrch\fcs0 \insrsid12153340\charrsid1379581 #}{\rtlch\fcs1 \af1 \ltrch\fcs0 _x000d__x000a_\cs18\v\f1\fs20\cf15\insrsid12153340\charrsid1379581 MNU[ONBEHALFYES][NOTAPP]@CHOICE@}{\rtlch\fcs1 \af0 \ltrch\fcs0 \insrsid12153340\charrsid1379581 #}{\rtlch\fcs1 \af0 \ltrch\fcs0 _x000d__x000a_\cs17\v\fs20\cf9\lang1024\langfe1024\loch\af1\hich\af1\dbch\af31501\noproof\insrsid12153340\charrsid1379581 \hich\af1\dbch\af31501\loch\f1 &lt;/OptDel&gt;&lt;/AuNomDe&gt;}{\rtlch\fcs1 \af0 \ltrch\fcs0 \insrsid12153340\charrsid1379581 _x000d__x000a_\par &lt;&lt;&lt;}{\rtlch\fcs1 \af0 \ltrch\fcs0 \cs17\v\fs20\cf9\lang1024\langfe1024\loch\af1\hich\af1\dbch\af31501\noproof\insrsid12153340\charrsid1379581 \hich\af1\dbch\af31501\loch\f1 &lt;/RepeatBlock-By&gt;}{\rtlch\fcs1 \af0 \ltrch\fcs0 \insrsid12153340\charrsid1379581 _x000d__x000a__x000d__x000a_\par }\pard\plain \ltrpar\s20\ql \li0\ri0\nowidctlpar\wrapdefault\aspalpha\aspnum\faauto\adjustright\rin0\lin0\itap0\pararsid12153340 \rtlch\fcs1 \af0\afs20\alang1025 \ltrch\fcs0 \b\fs24\lang2057\langfe2057\cgrid\langnp2057\langfenp2057 {\rtlch\fcs1 \af0 _x000d__x000a_\ltrch\fcs0 \cs17\b0\v\fs20\cf9\lang1024\langfe1024\loch\af1\hich\af1\dbch\af31501\noproof\insrsid12153340\charrsid1379581 \hich\af1\dbch\af31501\loch\f1 &lt;DocAmend&gt;}{\rtlch\fcs1 \af0 \ltrch\fcs0 \insrsid12153340\charrsid1379581 _x000d__x000a_Draft legislative resolution}{\rtlch\fcs1 \af0 \ltrch\fcs0 \cs17\b0\v\fs20\cf9\lang1024\langfe1024\loch\af1\hich\af1\dbch\af31501\noproof\insrsid12153340\charrsid1379581 \hich\af1\dbch\af31501\loch\f1 &lt;/DocAmend&gt;}{\rtlch\fcs1 \af0 \ltrch\fcs0 _x000d__x000a_\insrsid12153340\charrsid1379581 _x000d__x000a_\par }{\rtlch\fcs1 \af0 \ltrch\fcs0 \cs17\b0\v\fs20\cf9\lang1024\langfe1024\loch\af1\hich\af1\dbch\af31501\noproof\insrsid12153340\charrsid1379581 \hich\af1\dbch\af31501\loch\f1 &lt;Article&gt;}{\rtlch\fcs1 \af0 \ltrch\fcs0 \cf10\insrsid12153340\charrsid1379581 _x000d__x000a_\u9668\'3f}{\rtlch\fcs1 \af0 \ltrch\fcs0 \insrsid12153340\charrsid1379581 #}{\rtlch\fcs1 \af1 \ltrch\fcs0 \cs18\v\f1\fs20\cf15\insrsid12153340\charrsid1379581 TVTRESPART@RESPART@}{\rtlch\fcs1 \af0 \ltrch\fcs0 \insrsid12153340\charrsid1379581 #}{_x000d__x000a_\rtlch\fcs1 \af0 \ltrch\fcs0 \cf10\insrsid12153340\charrsid1379581 \u9658\'3f}{\rtlch\fcs1 \af0 \ltrch\fcs0 \cs17\b0\v\fs20\cf9\lang1024\langfe1024\loch\af1\hich\af1\dbch\af31501\noproof\insrsid12153340\charrsid1379581 \hich\af1\dbch\af31501\loch\f1 _x000d__x000a_&lt;/Article&gt;}{\rtlch\fcs1 \af0 \ltrch\fcs0 \insrsid12153340\charrsid137958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153340\charrsid1379581 \cell }\pard\plain \ltrpar\ql \li0\ri0\widctlpar\intbl\wrapdefault\aspalpha\aspnum\faauto\adjustright\rin0\lin0 \rtlch\fcs1 _x000d__x000a_\af0\afs20\alang1025 \ltrch\fcs0 \fs24\lang2057\langfe2057\cgrid\langnp2057\langfenp2057 {\rtlch\fcs1 \af0 \ltrch\fcs0 \insrsid12153340\charrsid137958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2153340\charrsid1379581 Draft legislative resolution\cell Amendment\cell }\pard\plain \ltrpar\ql \li0\ri0\widctlpar\intbl\wrapdefault\aspalpha\aspnum\faauto\adjustright\rin0\lin0 \rtlch\fcs1 \af0\afs20\alang1025 _x000d__x000a_\ltrch\fcs0 \fs24\lang2057\langfe2057\cgrid\langnp2057\langfenp2057 {\rtlch\fcs1 \af0 \ltrch\fcs0 \insrsid12153340\charrsid1379581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153340\charrsid1379581 ##\cell ##}{\rtlch\fcs1 \af0\afs24 \ltrch\fcs0 \insrsid12153340\charrsid1379581 \cell }\pard\plain \ltrpar\ql \li0\ri0\widctlpar\intbl\wrapdefault\aspalpha\aspnum\faauto\adjustright\rin0\lin0 \rtlch\fcs1 _x000d__x000a_\af0\afs20\alang1025 \ltrch\fcs0 \fs24\lang2057\langfe2057\cgrid\langnp2057\langfenp2057 {\rtlch\fcs1 \af0 \ltrch\fcs0 \insrsid12153340\charrsid1379581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2153340 \rtlch\fcs1 \af0\afs20\alang1025 \ltrch\fcs0 \fs24\lang2057\langfe2057\cgrid\langnp2057\langfenp2057 {\rtlch\fcs1 \af0 \ltrch\fcs0 _x000d__x000a_\insrsid12153340\charrsid1379581 Or. }{\rtlch\fcs1 \af0 \ltrch\fcs0 \cs17\v\fs20\cf9\lang1024\langfe1024\loch\af1\hich\af1\dbch\af31501\noproof\insrsid12153340\charrsid1379581 \hich\af1\dbch\af31501\loch\f1 &lt;Original&gt;}{\rtlch\fcs1 \af0 \ltrch\fcs0 _x000d__x000a_\insrsid12153340\charrsid1379581 #}{\rtlch\fcs1 \af1 \ltrch\fcs0 \cs18\v\f1\fs20\cf15\insrsid12153340\charrsid1379581 KEY(MAIN/LANGMIN)sh@ORLANGMSG@}{\rtlch\fcs1 \af0 \ltrch\fcs0 \insrsid12153340\charrsid1379581 #}{\rtlch\fcs1 \af0 \ltrch\fcs0 _x000d__x000a_\cs17\v\fs20\cf9\lang1024\langfe1024\loch\af1\hich\af1\dbch\af31501\noproof\insrsid12153340\charrsid1379581 \hich\af1\dbch\af31501\loch\f1 &lt;/Original&gt;}{\rtlch\fcs1 \af0 \ltrch\fcs0 \insrsid12153340\charrsid1379581 _x000d__x000a_\par }\pard\plain \ltrpar\ql \li0\ri0\widctlpar\wrapdefault\aspalpha\aspnum\faauto\adjustright\rin0\lin0\itap0\pararsid12153340 \rtlch\fcs1 \af0\afs20\alang1025 \ltrch\fcs0 \fs24\lang2057\langfe2057\cgrid\langnp2057\langfenp2057 {\rtlch\fcs1 \af0 \ltrch\fcs0 _x000d__x000a_\cs17\v\fs20\cf9\lang1024\langfe1024\loch\af1\hich\af1\dbch\af31501\noproof\insrsid12153340\charrsid13795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6d_x000d__x000a_dd503af8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52389 HideTWBExt;}{\*\cs18 \additive \v\f1\fs20\cf15 _x000d__x000a_\spriority0 \styrsid14552389 HideTWBInt;}{\s19\ql \li0\ri0\sa120\nowidctlpar\wrapdefault\aspalpha\aspnum\faauto\adjustright\rin0\lin0\itap0 \rtlch\fcs1 \af0\afs20\alang1025 \ltrch\fcs0 \fs24\lang2057\langfe2057\cgrid\langnp2057\langfenp2057 _x000d__x000a_\sbasedon0 \snext19 \spriority0 \styrsid14552389 Normal6a;}{\s20\ql \li0\ri0\nowidctlpar\wrapdefault\aspalpha\aspnum\faauto\adjustright\rin0\lin0\itap0 \rtlch\fcs1 \af0\afs20\alang1025 \ltrch\fcs0 \b\fs24\lang2057\langfe2057\cgrid\langnp2057\langfenp2057 _x000d__x000a_\sbasedon0 \snext20 \spriority0 \styrsid14552389 NormalBold;}{\s21\ql \li0\ri0\sa240\nowidctlpar\wrapdefault\aspalpha\aspnum\faauto\adjustright\rin0\lin0\itap0 \rtlch\fcs1 \af0\afs20\alang1025 \ltrch\fcs0 _x000d__x000a_\i\fs24\lang2057\langfe2057\cgrid\langnp2057\langfenp2057 \sbasedon0 \snext21 \spriority0 \styrsid14552389 AmJustText;}{\s22\qc \li0\ri0\sb240\sa240\nowidctlpar\wrapdefault\aspalpha\aspnum\faauto\adjustright\rin0\lin0\itap0 \rtlch\fcs1 _x000d__x000a_\af0\afs20\alang1025 \ltrch\fcs0 \i\fs24\lang2057\langfe2057\cgrid\langnp2057\langfenp2057 \sbasedon0 \snext22 \spriority0 \styrsid14552389 AmCrossRef;}{_x000d__x000a_\s23\qc \li0\ri0\sb240\sa240\keepn\nowidctlpar\wrapdefault\aspalpha\aspnum\faauto\adjustright\rin0\lin0\itap0 \rtlch\fcs1 \af0\afs20\alang1025 \ltrch\fcs0 \i\fs24\lang2057\langfe2057\cgrid\langnp2057\langfenp2057 _x000d__x000a_\sbasedon0 \snext21 \spriority0 \styrsid14552389 AmJustTitle;}{\s24\qr \li0\ri0\sb240\sa240\nowidctlpar\wrapdefault\aspalpha\aspnum\faauto\adjustright\rin0\lin0\itap0 \rtlch\fcs1 \af0\afs20\alang1025 \ltrch\fcs0 _x000d__x000a_\fs24\lang2057\langfe2057\cgrid\langnp2057\langfenp2057 \sbasedon0 \snext24 \spriority0 \styrsid14552389 AmOrLang;}{\s25\qc \li0\ri0\sa240\nowidctlpar\wrapdefault\aspalpha\aspnum\faauto\adjustright\rin0\lin0\itap0 \rtlch\fcs1 \af0\afs20\alang1025 _x000d__x000a_\ltrch\fcs0 \i\fs24\lang2057\langfe2057\cgrid\langnp2057\langfenp2057 \sbasedon0 \snext25 \spriority0 \styrsid1455238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52389 AmNumberTabs;}}{\*\rsidtbl \rsid24658\rsid223860\rsid735077\rsid1718133\rsid2892074\rsid3565327\rsid4666813\rsid6641733\rsid7823322_x000d__x000a_\rsid9636012\rsid10377208\rsid11215221\rsid11549030\rsid11957339\rsid12154954\rsid14382809\rsid14424199\rsid14552389\rsid15204470\rsid15285974\rsid15950462\rsid16324206\rsid16662270}{\mmathPr\mmathFont34\mbrkBin0\mbrkBinSub0\msmallFrac0\mdispDef1_x000d__x000a_\mlMargin0\mrMargin0\mdefJc1\mwrapIndent1440\mintLim0\mnaryLim1}{\info{\author CHIGNESSE Regine}{\operator CHIGNESSE Regine}{\creatim\yr2022\mo11\dy14\hr16\min3}{\revtim\yr2022\mo11\dy14\hr16\min3}{\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52389\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1957339 \chftnsep _x000d__x000a_\par }}{\*\ftnsepc \ltrpar \pard\plain \ltrpar\ql \li0\ri0\widctlpar\wrapdefault\aspalpha\aspnum\faauto\adjustright\rin0\lin0\itap0 \rtlch\fcs1 \af0\afs20\alang1025 \ltrch\fcs0 \fs24\lang2057\langfe2057\cgrid\langnp2057\langfenp2057 {\rtlch\fcs1 \af0 _x000d__x000a_\ltrch\fcs0 \insrsid11957339 \chftnsepc _x000d__x000a_\par }}{\*\aftnsep \ltrpar \pard\plain \ltrpar\ql \li0\ri0\widctlpar\wrapdefault\aspalpha\aspnum\faauto\adjustright\rin0\lin0\itap0 \rtlch\fcs1 \af0\afs20\alang1025 \ltrch\fcs0 \fs24\lang2057\langfe2057\cgrid\langnp2057\langfenp2057 {\rtlch\fcs1 \af0 _x000d__x000a_\ltrch\fcs0 \insrsid11957339 \chftnsep _x000d__x000a_\par }}{\*\aftnsepc \ltrpar \pard\plain \ltrpar\ql \li0\ri0\widctlpar\wrapdefault\aspalpha\aspnum\faauto\adjustright\rin0\lin0\itap0 \rtlch\fcs1 \af0\afs20\alang1025 \ltrch\fcs0 \fs24\lang2057\langfe2057\cgrid\langnp2057\langfenp2057 {\rtlch\fcs1 \af0 _x000d__x000a_\ltrch\fcs0 \insrsid119573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552389 \rtlch\fcs1 _x000d__x000a_\af0\afs20\alang1025 \ltrch\fcs0 \b\fs24\lang2057\langfe2057\cgrid\langnp2057\langfenp2057 {\rtlch\fcs1 \af0 \ltrch\fcs0 \cs17\b0\v\fs20\cf9\lang1024\langfe1024\loch\af1\hich\af1\dbch\af31501\noproof\insrsid14552389\charrsid1379581 {\*\bkmkstart restartB}_x000d__x000a_\hich\af1\dbch\af31501\loch\f1 &lt;AmendB&gt;}{\rtlch\fcs1 \af0 \ltrch\fcs0 \insrsid14552389\charrsid1379581 Amendment\tab \tab }{\rtlch\fcs1 \af0 \ltrch\fcs0 _x000d__x000a_\cs17\b0\v\fs20\cf9\lang1024\langfe1024\loch\af1\hich\af1\dbch\af31501\noproof\insrsid14552389\charrsid1379581 \hich\af1\dbch\af31501\loch\f1 &lt;NumAmB&gt;}{\rtlch\fcs1 \af0 \ltrch\fcs0 \insrsid14552389\charrsid1379581 #}{\rtlch\fcs1 \af1 \ltrch\fcs0 _x000d__x000a_\cs18\v\f1\fs20\cf15\insrsid14552389\charrsid1379581 ENMIENDA@NRAM@}{\rtlch\fcs1 \af0 \ltrch\fcs0 \insrsid14552389\charrsid1379581 #}{\rtlch\fcs1 \af0 \ltrch\fcs0 _x000d__x000a_\cs17\b0\v\fs20\cf9\lang1024\langfe1024\loch\af1\hich\af1\dbch\af31501\noproof\insrsid14552389\charrsid1379581 \hich\af1\dbch\af31501\loch\f1 &lt;/NumAmB&gt;}{\rtlch\fcs1 \af0 \ltrch\fcs0 \insrsid14552389\charrsid1379581 _x000d__x000a_\par }\pard\plain \ltrpar\s20\ql \li0\ri0\nowidctlpar\wrapdefault\aspalpha\aspnum\faauto\adjustright\rin0\lin0\itap0\pararsid14552389 \rtlch\fcs1 \af0\afs20\alang1025 \ltrch\fcs0 \b\fs24\lang2057\langfe2057\cgrid\langnp2057\langfenp2057 {\rtlch\fcs1 \af0 _x000d__x000a_\ltrch\fcs0 \cs17\b0\v\fs20\cf9\lang1024\langfe1024\loch\af1\hich\af1\dbch\af31501\noproof\insrsid14552389\charrsid1379581 \hich\af1\dbch\af31501\loch\f1 &lt;RepeatBlock-By&gt;}{\rtlch\fcs1 \af0 \ltrch\fcs0 \insrsid14552389\charrsid1379581 #}{\rtlch\fcs1 \af1 _x000d__x000a_\ltrch\fcs0 \cs18\v\f1\fs20\cf15\insrsid14552389\charrsid1379581 (MOD@InsideLoop()}{\rtlch\fcs1 \af0 \ltrch\fcs0 \insrsid14552389\charrsid1379581 ##}{\rtlch\fcs1 \af1 \ltrch\fcs0 \cs18\v\f1\fs20\cf15\insrsid14552389\charrsid1379581 &gt;&gt;&gt;@[ZMEMBERSMSG]@}{_x000d__x000a_\rtlch\fcs1 \af0 \ltrch\fcs0 \insrsid14552389\charrsid1379581 #}{\rtlch\fcs1 \af0 \ltrch\fcs0 \cs17\b0\v\fs20\cf9\lang1024\langfe1024\loch\af1\hich\af1\dbch\af31501\noproof\insrsid14552389\charrsid1379581 \hich\af1\dbch\af31501\loch\f1 &lt;Members&gt;}{_x000d__x000a_\rtlch\fcs1 \af0 \ltrch\fcs0 \insrsid14552389\charrsid1379581 #}{\rtlch\fcs1 \af1 \ltrch\fcs0 \cs18\v\f1\fs20\cf15\insrsid14552389\charrsid1379581 (MOD@InsideLoop(\'a7)}{\rtlch\fcs1 \af0 \ltrch\fcs0 \insrsid14552389\charrsid1379581 #}{\rtlch\fcs1 \af0 _x000d__x000a_\ltrch\fcs0 \cf10\insrsid14552389\charrsid1379581 \u9668\'3f}{\rtlch\fcs1 \af0 \ltrch\fcs0 \insrsid14552389\charrsid1379581 #}{\rtlch\fcs1 \af1 \ltrch\fcs0 \cs18\v\f1\fs20\cf15\insrsid14552389\charrsid1379581 TVTMEMBERS\'a7@MEMBERS@}{\rtlch\fcs1 \af0 _x000d__x000a_\ltrch\fcs0 \insrsid14552389\charrsid1379581 #}{\rtlch\fcs1 \af0 \ltrch\fcs0 \cf10\insrsid14552389\charrsid1379581 \u9658\'3f}{\rtlch\fcs1 \af0 \ltrch\fcs0 _x000d__x000a_\cs17\b0\v\fs20\cf9\lang1024\langfe1024\loch\af1\hich\af1\dbch\af31501\noproof\insrsid14552389\charrsid1379581 \hich\af1\dbch\af31501\loch\f1 &lt;/Members&gt;}{\rtlch\fcs1 \af0 \ltrch\fcs0 \insrsid14552389\charrsid1379581 _x000d__x000a_\par }\pard\plain \ltrpar\ql \li0\ri0\widctlpar\wrapdefault\aspalpha\aspnum\faauto\adjustright\rin0\lin0\itap0\pararsid14552389 \rtlch\fcs1 \af0\afs20\alang1025 \ltrch\fcs0 \fs24\lang2057\langfe2057\cgrid\langnp2057\langfenp2057 {\rtlch\fcs1 \af0 \ltrch\fcs0 _x000d__x000a_\cs17\v\fs20\cf9\lang1024\langfe1024\loch\af1\hich\af1\dbch\af31501\noproof\insrsid14552389\charrsid1379581 \hich\af1\dbch\af31501\loch\f1 &lt;AuNomDe&gt;&lt;OptDel&gt;}{\rtlch\fcs1 \af0 \ltrch\fcs0 \insrsid14552389\charrsid1379581 #}{\rtlch\fcs1 \af1 \ltrch\fcs0 _x000d__x000a_\cs18\v\f1\fs20\cf15\insrsid14552389\charrsid1379581 MNU[ONBEHALFYES][NOTAPP]@CHOICE@}{\rtlch\fcs1 \af0 \ltrch\fcs0 \insrsid14552389\charrsid1379581 #}{\rtlch\fcs1 \af0 \ltrch\fcs0 _x000d__x000a_\cs17\v\fs20\cf9\lang1024\langfe1024\loch\af1\hich\af1\dbch\af31501\noproof\insrsid14552389\charrsid1379581 \hich\af1\dbch\af31501\loch\f1 &lt;/OptDel&gt;&lt;/AuNomDe&gt;}{\rtlch\fcs1 \af0 \ltrch\fcs0 \insrsid14552389\charrsid1379581 _x000d__x000a_\par &lt;&lt;&lt;}{\rtlch\fcs1 \af0 \ltrch\fcs0 \cs17\v\fs20\cf9\lang1024\langfe1024\loch\af1\hich\af1\dbch\af31501\noproof\insrsid14552389\charrsid1379581 \hich\af1\dbch\af31501\loch\f1 &lt;/RepeatBlock-By&gt;}{\rtlch\fcs1 \af0 \ltrch\fcs0 \insrsid14552389\charrsid1379581 _x000d__x000a__x000d__x000a_\par }\pard\plain \ltrpar\s20\ql \li0\ri0\nowidctlpar\wrapdefault\aspalpha\aspnum\faauto\adjustright\rin0\lin0\itap0\pararsid14552389 \rtlch\fcs1 \af0\afs20\alang1025 \ltrch\fcs0 \b\fs24\lang2057\langfe2057\cgrid\langnp2057\langfenp2057 {\rtlch\fcs1 \af0 _x000d__x000a_\ltrch\fcs0 \cs17\b0\v\fs20\cf9\lang1024\langfe1024\loch\af1\hich\af1\dbch\af31501\noproof\insrsid14552389\charrsid1379581 \hich\af1\dbch\af31501\loch\f1 &lt;DocAmend&gt;}{\rtlch\fcs1 \af0 \ltrch\fcs0 \insrsid14552389\charrsid1379581 #}{\rtlch\fcs1 \af1 _x000d__x000a_\ltrch\fcs0 \cs18\v\f1\fs20\cf15\insrsid14552389\charrsid1379581 MNU[OPTPROPOSALCOD][OPTPROPOSALCNS][OPTPROPOSALNLE]@CHOICE@CODEMNU}{\rtlch\fcs1 \af0 \ltrch\fcs0 \insrsid14552389\charrsid1379581 #}{\rtlch\fcs1 \af0 \ltrch\fcs0 _x000d__x000a_\cs17\b0\v\fs20\cf9\lang1024\langfe1024\loch\af1\hich\af1\dbch\af31501\noproof\insrsid14552389\charrsid1379581 \hich\af1\dbch\af31501\loch\f1 &lt;/DocAmend&gt;}{\rtlch\fcs1 \af0 \ltrch\fcs0 \insrsid14552389\charrsid1379581 _x000d__x000a_\par }\pard \ltrpar\s20\ql \li0\ri0\keepn\nowidctlpar\wrapdefault\aspalpha\aspnum\faauto\adjustright\rin0\lin0\itap0\pararsid14552389 {\rtlch\fcs1 \af0 \ltrch\fcs0 _x000d__x000a_\cs17\b0\v\fs20\cf9\lang1024\langfe1024\loch\af1\hich\af1\dbch\af31501\noproof\insrsid14552389\charrsid1379581 \hich\af1\dbch\af31501\loch\f1 &lt;Article&gt;}{\rtlch\fcs1 \af0 \ltrch\fcs0 \insrsid14552389\charrsid1379581 #}{\rtlch\fcs1 \af1 \ltrch\fcs0 _x000d__x000a_\cs18\v\f1\fs20\cf15\insrsid14552389\charrsid1379581 MNU[AMACTPARTYES][AMACTPARTNO]@CHOICE@AMACTMNU}{\rtlch\fcs1 \af0 \ltrch\fcs0 \insrsid14552389\charrsid1379581 #}{\rtlch\fcs1 \af0 \ltrch\fcs0 _x000d__x000a_\cs17\b0\v\fs20\cf9\lang1024\langfe1024\loch\af1\hich\af1\dbch\af31501\noproof\insrsid14552389\charrsid1379581 \hich\af1\dbch\af31501\loch\f1 &lt;/Article&gt;}{\rtlch\fcs1 \af0 \ltrch\fcs0 \insrsid14552389\charrsid1379581 _x000d__x000a_\par }\pard\plain \ltrpar\ql \li0\ri0\keepn\widctlpar\wrapdefault\aspalpha\aspnum\faauto\adjustright\rin0\lin0\itap0\pararsid14552389 \rtlch\fcs1 \af0\afs20\alang1025 \ltrch\fcs0 \fs24\lang2057\langfe2057\cgrid\langnp2057\langfenp2057 {\rtlch\fcs1 \af0 _x000d__x000a_\ltrch\fcs0 \cs17\v\fs20\cf9\lang1024\langfe1024\loch\af1\hich\af1\dbch\af31501\noproof\insrsid14552389\charrsid1379581 \hich\af1\dbch\af31501\loch\f1 &lt;DocAmend2&gt;&lt;OptDel&gt;}{\rtlch\fcs1 \af0 \ltrch\fcs0 \insrsid14552389\charrsid1379581 #}{\rtlch\fcs1 \af1 _x000d__x000a_\ltrch\fcs0 \cs18\v\f1\fs20\cf15\insrsid14552389\charrsid1379581 MNU[OPTNRACTYES][NOTAPP]@CHOICE@AMACTMNU}{\rtlch\fcs1 \af0 \ltrch\fcs0 \insrsid14552389\charrsid1379581 #}{\rtlch\fcs1 \af0 \ltrch\fcs0 _x000d__x000a_\cs17\v\fs20\cf9\lang1024\langfe1024\loch\af1\hich\af1\dbch\af31501\noproof\insrsid14552389\charrsid1379581 \hich\af1\dbch\af31501\loch\f1 &lt;/OptDel&gt;&lt;/DocAmend2&gt;}{\rtlch\fcs1 \af0 \ltrch\fcs0 \insrsid14552389\charrsid1379581 _x000d__x000a_\par }\pard \ltrpar\ql \li0\ri0\widctlpar\wrapdefault\aspalpha\aspnum\faauto\adjustright\rin0\lin0\itap0\pararsid14552389 {\rtlch\fcs1 \af0 \ltrch\fcs0 \cs17\v\fs20\cf9\lang1024\langfe1024\loch\af1\hich\af1\dbch\af31501\noproof\insrsid14552389\charrsid1379581 _x000d__x000a_\hich\af1\dbch\af31501\loch\f1 &lt;Article2&gt;&lt;OptDel&gt;}{\rtlch\fcs1 \af0 \ltrch\fcs0 \insrsid14552389\charrsid1379581 #}{\rtlch\fcs1 \af1 \ltrch\fcs0 \cs18\v\f1\fs20\cf15\insrsid14552389\charrsid1379581 MNU[OPTACTPARTYES][NOTAPP]@CHOICE@AMACTMNU}{\rtlch\fcs1 _x000d__x000a_\af0 \ltrch\fcs0 \insrsid14552389\charrsid1379581 #}{\rtlch\fcs1 \af0 \ltrch\fcs0 \cs17\v\fs20\cf9\lang1024\langfe1024\loch\af1\hich\af1\dbch\af31501\noproof\insrsid14552389\charrsid1379581 \hich\af1\dbch\af31501\loch\f1 &lt;/OptDel&gt;&lt;/Article2&gt;}{\rtlch\fcs1 _x000d__x000a_\af0 \ltrch\fcs0 \insrsid14552389\charrsid137958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52389\charrsid1379581 \cell }\pard\plain \ltrpar\ql \li0\ri0\widctlpar\intbl\wrapdefault\aspalpha\aspnum\faauto\adjustright\rin0\lin0 \rtlch\fcs1 _x000d__x000a_\af0\afs20\alang1025 \ltrch\fcs0 \fs24\lang2057\langfe2057\cgrid\langnp2057\langfenp2057 {\rtlch\fcs1 \af0 \ltrch\fcs0 \insrsid14552389\charrsid137958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552389\charrsid1379581 #}{\rtlch\fcs1 \af1 \ltrch\fcs0 \cs18\v\f1\fs20\cf15\insrsid14552389\charrsid1379581 MNU[OPTLEFTAMACT][LEFTPROP]@CHOICE@AMACTMNU}{_x000d__x000a_\rtlch\fcs1 \af0 \ltrch\fcs0 \insrsid14552389\charrsid1379581 #\cell Amendment\cell }\pard\plain \ltrpar\ql \li0\ri0\widctlpar\intbl\wrapdefault\aspalpha\aspnum\faauto\adjustright\rin0\lin0 \rtlch\fcs1 \af0\afs20\alang1025 \ltrch\fcs0 _x000d__x000a_\fs24\lang2057\langfe2057\cgrid\langnp2057\langfenp2057 {\rtlch\fcs1 \af0 \ltrch\fcs0 \insrsid14552389\charrsid137958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552389\charrsid1379581 ##\cell ##}{\rtlch\fcs1 \af0\afs24 \ltrch\fcs0 \insrsid14552389\charrsid1379581 \cell }\pard\plain \ltrpar\ql \li0\ri0\widctlpar\intbl\wrapdefault\aspalpha\aspnum\faauto\adjustright\rin0\lin0 \rtlch\fcs1 _x000d__x000a_\af0\afs20\alang1025 \ltrch\fcs0 \fs24\lang2057\langfe2057\cgrid\langnp2057\langfenp2057 {\rtlch\fcs1 \af0 \ltrch\fcs0 \insrsid14552389\charrsid137958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552389 \rtlch\fcs1 \af0\afs20\alang1025 \ltrch\fcs0 \fs24\lang2057\langfe2057\cgrid\langnp2057\langfenp2057 {\rtlch\fcs1 \af0 \ltrch\fcs0 _x000d__x000a_\insrsid14552389\charrsid1379581 Or. }{\rtlch\fcs1 \af0 \ltrch\fcs0 \cs17\v\fs20\cf9\lang1024\langfe1024\loch\af1\hich\af1\dbch\af31501\noproof\insrsid14552389\charrsid1379581 \hich\af1\dbch\af31501\loch\f1 &lt;Original&gt;}{\rtlch\fcs1 \af0 \ltrch\fcs0 _x000d__x000a_\insrsid14552389\charrsid1379581 #}{\rtlch\fcs1 \af1 \ltrch\fcs0 \cs18\v\f1\fs20\cf15\insrsid14552389\charrsid1379581 KEY(MAIN/LANGMIN)sh@ORLANGMSG@}{\rtlch\fcs1 \af0 \ltrch\fcs0 \insrsid14552389\charrsid1379581 #}{\rtlch\fcs1 \af0 \ltrch\fcs0 _x000d__x000a_\cs17\v\fs20\cf9\lang1024\langfe1024\loch\af1\hich\af1\dbch\af31501\noproof\insrsid14552389\charrsid1379581 \hich\af1\dbch\af31501\loch\f1 &lt;/Original&gt;}{\rtlch\fcs1 \af0 \ltrch\fcs0 \insrsid14552389\charrsid1379581 _x000d__x000a_\par }\pard\plain \ltrpar\s22\qc \li0\ri0\sb240\sa240\nowidctlpar\wrapdefault\aspalpha\aspnum\faauto\adjustright\rin0\lin0\itap0\pararsid14552389 \rtlch\fcs1 \af0\afs20\alang1025 \ltrch\fcs0 \i\fs24\lang2057\langfe2057\cgrid\langnp2057\langfenp2057 {_x000d__x000a_\rtlch\fcs1 \af0 \ltrch\fcs0 \cs17\i0\v\fs20\cf9\lang1024\langfe1024\loch\af1\hich\af1\dbch\af31501\noproof\insrsid14552389\charrsid1379581 \hich\af1\dbch\af31501\loch\f1 &lt;OptDel&gt;}{\rtlch\fcs1 \af0 \ltrch\fcs0 \insrsid14552389\charrsid1379581 #}{_x000d__x000a_\rtlch\fcs1 \af1 \ltrch\fcs0 \cs18\v\f1\fs20\cf15\insrsid14552389\charrsid1379581 MNU[CROSSREFNO][CROSSREFYES]@CHOICE@}{\rtlch\fcs1 \af0 \ltrch\fcs0 \insrsid14552389\charrsid1379581 #}{\rtlch\fcs1 \af0 \ltrch\fcs0 _x000d__x000a_\cs17\i0\v\fs20\cf9\lang1024\langfe1024\loch\af1\hich\af1\dbch\af31501\noproof\insrsid14552389\charrsid1379581 \hich\af1\dbch\af31501\loch\f1 &lt;/OptDel&gt;}{\rtlch\fcs1 \af0 \ltrch\fcs0 \insrsid14552389\charrsid1379581 _x000d__x000a_\par }\pard\plain \ltrpar\s23\qc \li0\ri0\sb240\sa240\keepn\nowidctlpar\wrapdefault\aspalpha\aspnum\faauto\adjustright\rin0\lin0\itap0\pararsid14552389 \rtlch\fcs1 \af0\afs20\alang1025 \ltrch\fcs0 \i\fs24\lang2057\langfe2057\cgrid\langnp2057\langfenp2057 {_x000d__x000a_\rtlch\fcs1 \af0 \ltrch\fcs0 \cs17\i0\v\fs20\cf9\lang1024\langfe1024\loch\af1\hich\af1\dbch\af31501\noproof\insrsid14552389\charrsid1379581 \hich\af1\dbch\af31501\loch\f1 &lt;TitreJust&gt;}{\rtlch\fcs1 \af0 \ltrch\fcs0 \insrsid14552389\charrsid1379581 _x000d__x000a_Justification}{\rtlch\fcs1 \af0 \ltrch\fcs0 \cs17\i0\v\fs20\cf9\lang1024\langfe1024\loch\af1\hich\af1\dbch\af31501\noproof\insrsid14552389\charrsid1379581 \hich\af1\dbch\af31501\loch\f1 &lt;/TitreJust&gt;}{\rtlch\fcs1 \af0 \ltrch\fcs0 _x000d__x000a_\insrsid14552389\charrsid1379581 _x000d__x000a_\par }\pard\plain \ltrpar\s21\ql \li0\ri0\sa240\nowidctlpar\wrapdefault\aspalpha\aspnum\faauto\adjustright\rin0\lin0\itap0\pararsid14552389 \rtlch\fcs1 \af0\afs20\alang1025 \ltrch\fcs0 \i\fs24\lang2057\langfe2057\cgrid\langnp2057\langfenp2057 {\rtlch\fcs1 _x000d__x000a_\af0 \ltrch\fcs0 \cs17\i0\v\fs20\cf9\lang1024\langfe1024\loch\af1\hich\af1\dbch\af31501\noproof\insrsid14552389\charrsid1379581 \hich\af1\dbch\af31501\loch\f1 &lt;OptDelPrev&gt;}{\rtlch\fcs1 \af0 \ltrch\fcs0 \insrsid14552389\charrsid1379581 #}{\rtlch\fcs1 \af1 _x000d__x000a_\ltrch\fcs0 \cs18\v\f1\fs20\cf15\insrsid14552389\charrsid1379581 MNU[TEXTJUSTYES][TEXTJUSTNO]@CHOICE@}{\rtlch\fcs1 \af0 \ltrch\fcs0 \insrsid14552389\charrsid1379581 #}{\rtlch\fcs1 \af0 \ltrch\fcs0 _x000d__x000a_\cs17\i0\v\fs20\cf9\lang1024\langfe1024\loch\af1\hich\af1\dbch\af31501\noproof\insrsid14552389\charrsid1379581 \hich\af1\dbch\af31501\loch\f1 &lt;/OptDelPrev&gt;}{\rtlch\fcs1 \af0 \ltrch\fcs0 \insrsid14552389\charrsid1379581 _x000d__x000a_\par }\pard\plain \ltrpar\ql \li0\ri0\widctlpar\wrapdefault\aspalpha\aspnum\faauto\adjustright\rin0\lin0\itap0\pararsid14552389 \rtlch\fcs1 \af0\afs20\alang1025 \ltrch\fcs0 \fs24\lang2057\langfe2057\cgrid\langnp2057\langfenp2057 {\rtlch\fcs1 \af0 \ltrch\fcs0 _x000d__x000a_\cs17\v\fs20\cf9\lang1024\langfe1024\loch\af1\hich\af1\dbch\af31501\noproof\insrsid14552389\charrsid13795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0_x000d__x000a_23523af8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89\fbidi \froman\fcharset238\fprq2 Times New Roman CE;}{\f290\fbidi \froman\fcharset204\fprq2 Times New Roman Cyr;}_x000d__x000a_{\f292\fbidi \froman\fcharset161\fprq2 Times New Roman Greek;}{\f293\fbidi \froman\fcharset162\fprq2 Times New Roman Tur;}{\f294\fbidi \froman\fcharset177\fprq2 Times New Roman (Hebrew);}{\f295\fbidi \froman\fcharset178\fprq2 Times New Roman (Arabic);}_x000d__x000a_{\f296\fbidi \froman\fcharset186\fprq2 Times New Roman Baltic;}{\f297\fbidi \froman\fcharset163\fprq2 Times New Roman (Vietnamese);}{\f299\fbidi \fswiss\fcharset238\fprq2 Arial CE;}{\f300\fbidi \fswiss\fcharset204\fprq2 Arial Cyr;}_x000d__x000a_{\f302\fbidi \fswiss\fcharset161\fprq2 Arial Greek;}{\f303\fbidi \fswiss\fcharset162\fprq2 Arial Tur;}{\f304\fbidi \fswiss\fcharset177\fprq2 Arial (Hebrew);}{\f305\fbidi \fswiss\fcharset178\fprq2 Arial (Arabic);}_x000d__x000a_{\f306\fbidi \fswiss\fcharset186\fprq2 Arial Baltic;}{\f307\fbidi \fswiss\fcharset163\fprq2 Arial (Vietnamese);}{\f629\fbidi \froman\fcharset238\fprq2 Cambria Math CE;}{\f630\fbidi \froman\fcharset204\fprq2 Cambria Math Cyr;}_x000d__x000a_{\f632\fbidi \froman\fcharset161\fprq2 Cambria Math Greek;}{\f633\fbidi \froman\fcharset162\fprq2 Cambria Math Tur;}{\f636\fbidi \froman\fcharset186\fprq2 Cambria Math Baltic;}{\f63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16893 HideTWBExt;}{\*\cs18 \additive \v\f1\fs20\cf15 _x000d__x000a_\spriority0 \styrsid8616893 HideTWBInt;}{\s19\ql \li0\ri0\sa120\nowidctlpar\wrapdefault\aspalpha\aspnum\faauto\adjustright\rin0\lin0\itap0 \rtlch\fcs1 \af0\afs20\alang1025 \ltrch\fcs0 \fs24\lang2057\langfe2057\cgrid\langnp2057\langfenp2057 _x000d__x000a_\sbasedon0 \snext19 \spriority0 \styrsid8616893 Normal6a;}{\s20\ql \li0\ri0\nowidctlpar\wrapdefault\aspalpha\aspnum\faauto\adjustright\rin0\lin0\itap0 \rtlch\fcs1 \af0\afs20\alang1025 \ltrch\fcs0 \b\fs24\lang2057\langfe2057\cgrid\langnp2057\langfenp2057 _x000d__x000a_\sbasedon0 \snext20 \spriority0 \styrsid8616893 NormalBold;}{\s21\ql \li0\ri0\sa240\nowidctlpar\wrapdefault\aspalpha\aspnum\faauto\adjustright\rin0\lin0\itap0 \rtlch\fcs1 \af0\afs20\alang1025 \ltrch\fcs0 _x000d__x000a_\i\fs24\lang2057\langfe2057\cgrid\langnp2057\langfenp2057 \sbasedon0 \snext21 \spriority0 \styrsid8616893 AmJustText;}{\s22\qc \li0\ri0\sb240\sa240\nowidctlpar\wrapdefault\aspalpha\aspnum\faauto\adjustright\rin0\lin0\itap0 \rtlch\fcs1 _x000d__x000a_\af0\afs20\alang1025 \ltrch\fcs0 \i\fs24\lang2057\langfe2057\cgrid\langnp2057\langfenp2057 \sbasedon0 \snext22 \spriority0 \styrsid8616893 AmCrossRef;}{_x000d__x000a_\s23\qc \li0\ri0\sb240\sa240\keepn\nowidctlpar\wrapdefault\aspalpha\aspnum\faauto\adjustright\rin0\lin0\itap0 \rtlch\fcs1 \af0\afs20\alang1025 \ltrch\fcs0 \i\fs24\lang2057\langfe2057\cgrid\langnp2057\langfenp2057 _x000d__x000a_\sbasedon0 \snext21 \spriority0 \styrsid8616893 AmJustTitle;}{\s24\qr \li0\ri0\sb240\sa240\nowidctlpar\wrapdefault\aspalpha\aspnum\faauto\adjustright\rin0\lin0\itap0 \rtlch\fcs1 \af0\afs20\alang1025 \ltrch\fcs0 _x000d__x000a_\fs24\lang2057\langfe2057\cgrid\langnp2057\langfenp2057 \sbasedon0 \snext24 \spriority0 \styrsid8616893 AmOrLang;}{\s25\qc \li0\ri0\sa240\nowidctlpar\wrapdefault\aspalpha\aspnum\faauto\adjustright\rin0\lin0\itap0 \rtlch\fcs1 \af0\afs20\alang1025 _x000d__x000a_\ltrch\fcs0 \i\fs24\lang2057\langfe2057\cgrid\langnp2057\langfenp2057 \sbasedon0 \snext25 \spriority0 \styrsid861689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616893 AmNumberTabs;}}{\*\rsidtbl \rsid24658\rsid223860\rsid735077\rsid1718133\rsid2892074\rsid3565327\rsid4666813\rsid6641733\rsid7823322_x000d__x000a_\rsid8616893\rsid9636012\rsid10377208\rsid11215221\rsid11549030\rsid12154954\rsid14382809\rsid14424199\rsid15204470\rsid15276338\rsid15285974\rsid15950462\rsid16324206\rsid16662270}{\mmathPr\mmathFont34\mbrkBin0\mbrkBinSub0\msmallFrac0\mdispDef1\mlMargin0_x000d__x000a_\mrMargin0\mdefJc1\mwrapIndent1440\mintLim0\mnaryLim1}{\info{\author CHIGNESSE Regine}{\operator CHIGNESSE Regine}{\creatim\yr2023\mo11\dy1\hr9\min16}{\revtim\yr2023\mo11\dy1\hr9\min16}{\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16893\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5276338 \chftnsep _x000d__x000a_\par }}{\*\ftnsepc \ltrpar \pard\plain \ltrpar\ql \li0\ri0\widctlpar\wrapdefault\aspalpha\aspnum\faauto\adjustright\rin0\lin0\itap0 \rtlch\fcs1 \af0\afs20\alang1025 \ltrch\fcs0 \fs24\lang2057\langfe2057\cgrid\langnp2057\langfenp2057 {\rtlch\fcs1 \af0 _x000d__x000a_\ltrch\fcs0 \insrsid15276338 \chftnsepc _x000d__x000a_\par }}{\*\aftnsep \ltrpar \pard\plain \ltrpar\ql \li0\ri0\widctlpar\wrapdefault\aspalpha\aspnum\faauto\adjustright\rin0\lin0\itap0 \rtlch\fcs1 \af0\afs20\alang1025 \ltrch\fcs0 \fs24\lang2057\langfe2057\cgrid\langnp2057\langfenp2057 {\rtlch\fcs1 \af0 _x000d__x000a_\ltrch\fcs0 \insrsid15276338 \chftnsep _x000d__x000a_\par }}{\*\aftnsepc \ltrpar \pard\plain \ltrpar\ql \li0\ri0\widctlpar\wrapdefault\aspalpha\aspnum\faauto\adjustright\rin0\lin0\itap0 \rtlch\fcs1 \af0\afs20\alang1025 \ltrch\fcs0 \fs24\lang2057\langfe2057\cgrid\langnp2057\langfenp2057 {\rtlch\fcs1 \af0 _x000d__x000a_\ltrch\fcs0 \insrsid152763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616893 \rtlch\fcs1 _x000d__x000a_\af0\afs20\alang1025 \ltrch\fcs0 \b\fs24\lang2057\langfe2057\cgrid\langnp2057\langfenp2057 {\rtlch\fcs1 \af0 \ltrch\fcs0 \cs17\b0\v\fs20\cf9\lang1024\langfe1024\loch\af1\hich\af1\dbch\af31501\noproof\insrsid8616893\charrsid7085899 {\*\bkmkstart restart}_x000d__x000a_\hich\af1\dbch\af31501\loch\f1 &lt;}{\rtlch\fcs1 \af0 \ltrch\fcs0 \cs17\b0\v\fs20\cf9\lang1024\langfe1024\loch\af1\hich\af1\dbch\af31501\noproof\insrsid8616893 \hich\af1\dbch\af31501\loch\f1 Amend}{\rtlch\fcs1 \af0 \ltrch\fcs0 _x000d__x000a_\cs17\b0\v\fs20\cf9\lang1024\langfe1024\loch\af1\hich\af1\dbch\af31501\noproof\insrsid8616893\charrsid7085899 \hich\af1\dbch\af31501\loch\f1 &gt;}{\rtlch\fcs1 \af0 \ltrch\fcs0 \insrsid8616893\charrsid7085899 Amendment\tab \tab }{\rtlch\fcs1 \af0 \ltrch\fcs0 _x000d__x000a_\cs17\b0\v\fs20\cf9\lang1024\langfe1024\loch\af1\hich\af1\dbch\af31501\noproof\insrsid8616893\charrsid7085899 \hich\af1\dbch\af31501\loch\f1 &lt;}{\rtlch\fcs1 \af0 \ltrch\fcs0 _x000d__x000a_\cs17\b0\v\fs20\cf9\lang1024\langfe1024\loch\af1\hich\af1\dbch\af31501\noproof\insrsid8616893 \hich\af1\dbch\af31501\loch\f1 NumAm&gt;}{\rtlch\fcs1 \af0 \ltrch\fcs0 \insrsid8616893\charrsid7085899 #}{\rtlch\fcs1 \af1 \ltrch\fcs0 _x000d__x000a_\cs18\v\f1\fs20\cf15\insrsid8616893\charrsid7085899 ENMIENDA@NRAM@}{\rtlch\fcs1 \af0 \ltrch\fcs0 \insrsid8616893\charrsid7085899 #}{\rtlch\fcs1 \af0 \ltrch\fcs0 _x000d__x000a_\cs17\b0\v\fs20\cf9\lang1024\langfe1024\loch\af1\hich\af1\dbch\af31501\noproof\insrsid8616893\charrsid7085899 \hich\af1\dbch\af31501\loch\f1 &lt;/}{\rtlch\fcs1 \af0 \ltrch\fcs0 _x000d__x000a_\cs17\b0\v\fs20\cf9\lang1024\langfe1024\loch\af1\hich\af1\dbch\af31501\noproof\insrsid8616893 \hich\af1\dbch\af31501\loch\f1 NumAm&gt;}{\rtlch\fcs1 \af0 \ltrch\fcs0 \insrsid8616893\charrsid7085899 _x000d__x000a_\par }\pard\plain \ltrpar\s20\ql \li0\ri0\nowidctlpar\wrapdefault\aspalpha\aspnum\faauto\adjustright\rin0\lin0\itap0\pararsid8616893 \rtlch\fcs1 \af0\afs20\alang1025 \ltrch\fcs0 \b\fs24\lang2057\langfe2057\cgrid\langnp2057\langfenp2057 {\rtlch\fcs1 \af0 _x000d__x000a_\ltrch\fcs0 \cs17\b0\v\fs20\cf9\lang1024\langfe1024\loch\af1\hich\af1\dbch\af31501\noproof\insrsid8616893\charrsid7085899 \hich\af1\dbch\af31501\loch\f1 &lt;\hich\af1\dbch\af31501\loch\f1 RepeatBlock-By&gt;}{\rtlch\fcs1 \af0 \ltrch\fcs0 _x000d__x000a_\insrsid8616893\charrsid7085899 #}{\rtlch\fcs1 \af1 \ltrch\fcs0 \cs18\v\f1\fs20\cf15\insrsid8616893\charrsid7085899 (MOD@InsideLoop()}{\rtlch\fcs1 \af0 \ltrch\fcs0 \insrsid8616893\charrsid7085899 ##}{\rtlch\fcs1 \af1 \ltrch\fcs0 _x000d__x000a_\cs18\v\f1\fs20\cf15\insrsid8616893\charrsid7085899 &gt;&gt;&gt;@[ZMEMBERSMSG]@}{\rtlch\fcs1 \af0 \ltrch\fcs0 \insrsid8616893\charrsid7085899 #}{\rtlch\fcs1 \af0 \ltrch\fcs0 _x000d__x000a_\cs17\b0\v\fs20\cf9\lang1024\langfe1024\loch\af1\hich\af1\dbch\af31501\noproof\insrsid8616893\charrsid7085899 \hich\af1\dbch\af31501\loch\f1 &lt;Members&gt;}{\rtlch\fcs1 \af0 \ltrch\fcs0 \insrsid8616893\charrsid7085899 #}{\rtlch\fcs1 \af1 \ltrch\fcs0 _x000d__x000a_\cs18\v\f1\fs20\cf15\insrsid8616893\charrsid7085899 (MOD@InsideLoop(\'a7)}{\rtlch\fcs1 \af0 \ltrch\fcs0 \insrsid8616893\charrsid7085899 #}{\rtlch\fcs1 \af0 \ltrch\fcs0 \cf10\insrsid8616893\charrsid15224187 \u9668\'3f}{\rtlch\fcs1 \af0 \ltrch\fcs0 _x000d__x000a_\insrsid8616893\charrsid7085899 #}{\rtlch\fcs1 \af1 \ltrch\fcs0 \cs18\v\f1\fs20\cf15\insrsid8616893\charrsid7085899 TVTMEMBERS\'a7@MEMBERS@}{\rtlch\fcs1 \af0 \ltrch\fcs0 \insrsid8616893\charrsid7085899 #}{\rtlch\fcs1 \af0 \ltrch\fcs0 _x000d__x000a_\cf10\insrsid8616893\charrsid15224187 \u9658\'3f}{\rtlch\fcs1 \af0 \ltrch\fcs0 \cs17\b0\v\fs20\cf9\lang1024\langfe1024\loch\af1\hich\af1\dbch\af31501\noproof\insrsid8616893\charrsid7085899 \hich\af1\dbch\af31501\loch\f1 &lt;/Members&gt;}{\rtlch\fcs1 \af0 _x000d__x000a_\ltrch\fcs0 \insrsid8616893\charrsid7085899 _x000d__x000a_\par }\pard\plain \ltrpar\ql \li0\ri0\widctlpar\wrapdefault\aspalpha\aspnum\faauto\adjustright\rin0\lin0\itap0\pararsid8616893 \rtlch\fcs1 \af0\afs20\alang1025 \ltrch\fcs0 \fs24\lang2057\langfe2057\cgrid\langnp2057\langfenp2057 {\rtlch\fcs1 \af0 \ltrch\fcs0 _x000d__x000a_\cs17\v\fs20\cf9\lang1024\langfe1024\loch\af1\hich\af1\dbch\af31501\noproof\insrsid8616893\charrsid7085899 \hich\af1\dbch\af31501\loch\f1 &lt;AuNomDe&gt;&lt;OptDel&gt;}{\rtlch\fcs1 \af0 \ltrch\fcs0 \insrsid8616893\charrsid7085899 #}{\rtlch\fcs1 \af1 \ltrch\fcs0 _x000d__x000a_\cs18\v\f1\fs20\cf15\insrsid8616893\charrsid7085899 MNU[ONBEHALFYES][NOTAPP]@CHOICE@}{\rtlch\fcs1 \af0 \ltrch\fcs0 \insrsid8616893\charrsid7085899 #}{\rtlch\fcs1 \af0 \ltrch\fcs0 _x000d__x000a_\cs17\v\fs20\cf9\lang1024\langfe1024\loch\af1\hich\af1\dbch\af31501\noproof\insrsid8616893\charrsid7085899 \hich\af1\dbch\af31501\loch\f1 &lt;/OptDel&gt;&lt;/AuNomDe&gt;}{\rtlch\fcs1 \af0 \ltrch\fcs0 \insrsid8616893\charrsid7085899 _x000d__x000a_\par &lt;&lt;&lt;}{\rtlch\fcs1 \af0 \ltrch\fcs0 \cs17\v\fs20\cf9\lang1024\langfe1024\loch\af1\hich\af1\dbch\af31501\noproof\insrsid8616893\charrsid7085899 \hich\af1\dbch\af31501\loch\f1 &lt;/RepeatBlock-By&gt;}{\rtlch\fcs1 \af0 \ltrch\fcs0 \insrsid8616893\charrsid7085899 _x000d__x000a__x000d__x000a_\par }\pard\plain \ltrpar\s20\ql \li0\ri0\nowidctlpar\wrapdefault\aspalpha\aspnum\faauto\adjustright\rin0\lin0\itap0\pararsid8616893 \rtlch\fcs1 \af0\afs20\alang1025 \ltrch\fcs0 \b\fs24\lang2057\langfe2057\cgrid\langnp2057\langfenp2057 {\rtlch\fcs1 \af0 _x000d__x000a_\ltrch\fcs0 \cs17\b0\v\fs20\cf9\lang1024\langfe1024\loch\af1\hich\af1\dbch\af31501\noproof\insrsid8616893\charrsid7085899 \hich\af1\dbch\af31501\loch\f1 &lt;DocAmend&gt;}{\rtlch\fcs1 \af0 \ltrch\fcs0 \insrsid8616893\charrsid7085899 #}{\rtlch\fcs1 \af1 _x000d__x000a_\ltrch\fcs0 \cs18\v\f1\fs20\cf15\insrsid8616893\charrsid7085899 MNU[OPTPROPOSALCOD][OPTPROPOSALCNS][OPTPROPOSALNLE]@CHOICE@CODEMNU}{\rtlch\fcs1 \af0 \ltrch\fcs0 \insrsid8616893\charrsid7085899 #}{\rtlch\fcs1 \af0 \ltrch\fcs0 _x000d__x000a_\cs17\b0\v\fs20\cf9\lang1024\langfe1024\loch\af1\hich\af1\dbch\af31501\noproof\insrsid8616893\charrsid7085899 \hich\af1\dbch\af31501\loch\f1 &lt;/DocAmend&gt;}{\rtlch\fcs1 \af0 \ltrch\fcs0 \insrsid8616893\charrsid7085899 _x000d__x000a_\par }\pard \ltrpar\s20\ql \li0\ri0\keepn\nowidctlpar\wrapdefault\aspalpha\aspnum\faauto\adjustright\rin0\lin0\itap0\pararsid8616893 {\rtlch\fcs1 \af0 \ltrch\fcs0 _x000d__x000a_\cs17\b0\v\fs20\cf9\lang1024\langfe1024\loch\af1\hich\af1\dbch\af31501\noproof\insrsid8616893\charrsid7085899 \hich\af1\dbch\af31501\loch\f1 &lt;Article&gt;}{\rtlch\fcs1 \af0 \ltrch\fcs0 \insrsid8616893\charrsid7085899 #}{\rtlch\fcs1 \af1 \ltrch\fcs0 _x000d__x000a_\cs18\v\f1\fs20\cf15\insrsid8616893\charrsid7085899 MNU[AMACTPARTYES][AMACTPARTNO]@CHOICE@AMACTMNU}{\rtlch\fcs1 \af0 \ltrch\fcs0 \insrsid8616893\charrsid7085899 #}{\rtlch\fcs1 \af0 \ltrch\fcs0 _x000d__x000a_\cs17\b0\v\fs20\cf9\lang1024\langfe1024\loch\af1\hich\af1\dbch\af31501\noproof\insrsid8616893\charrsid7085899 \hich\af1\dbch\af31501\loch\f1 &lt;/Article&gt;}{\rtlch\fcs1 \af0 \ltrch\fcs0 \insrsid8616893\charrsid7085899 _x000d__x000a_\par }\pard\plain \ltrpar\ql \li0\ri0\keepn\widctlpar\wrapdefault\aspalpha\aspnum\faauto\adjustright\rin0\lin0\itap0\pararsid8616893 \rtlch\fcs1 \af0\afs20\alang1025 \ltrch\fcs0 \fs24\lang2057\langfe2057\cgrid\langnp2057\langfenp2057 {\rtlch\fcs1 \af0 _x000d__x000a_\ltrch\fcs0 \cs17\v\fs20\cf9\lang1024\langfe1024\loch\af1\hich\af1\dbch\af31501\noproof\insrsid8616893\charrsid7085899 \hich\af1\dbch\af31501\loch\f1 &lt;DocAmend2&gt;&lt;OptDel&gt;}{\rtlch\fcs1 \af0 \ltrch\fcs0 \insrsid8616893\charrsid7085899 #}{\rtlch\fcs1 \af1 _x000d__x000a_\ltrch\fcs0 \cs18\v\f1\fs20\cf15\insrsid8616893\charrsid7085899 MNU[OPTNRACTYES][NOTAPP]@CHOICE@AMACTMNU}{\rtlch\fcs1 \af0 \ltrch\fcs0 \insrsid8616893\charrsid7085899 #}{\rtlch\fcs1 \af0 \ltrch\fcs0 _x000d__x000a_\cs17\v\fs20\cf9\lang1024\langfe1024\loch\af1\hich\af1\dbch\af31501\noproof\insrsid8616893\charrsid7085899 \hich\af1\dbch\af31501\loch\f1 &lt;/OptDel&gt;&lt;/DocAmend2&gt;}{\rtlch\fcs1 \af0 \ltrch\fcs0 \insrsid8616893\charrsid7085899 _x000d__x000a_\par }\pard \ltrpar\ql \li0\ri0\widctlpar\wrapdefault\aspalpha\aspnum\faauto\adjustright\rin0\lin0\itap0\pararsid8616893 {\rtlch\fcs1 \af0 \ltrch\fcs0 \cs17\v\fs20\cf9\lang1024\langfe1024\loch\af1\hich\af1\dbch\af31501\noproof\insrsid8616893\charrsid7085899 _x000d__x000a_\hich\af1\dbch\af31501\loch\f1 &lt;Article2&gt;&lt;OptDel&gt;}{\rtlch\fcs1 \af0 \ltrch\fcs0 \insrsid8616893\charrsid7085899 #}{\rtlch\fcs1 \af1 \ltrch\fcs0 \cs18\v\f1\fs20\cf15\insrsid8616893\charrsid7085899 MNU[OPTACTPARTYES][NOTAPP]@CHOICE@AMACTMNU}{\rtlch\fcs1 _x000d__x000a_\af0 \ltrch\fcs0 \insrsid8616893\charrsid7085899 #}{\rtlch\fcs1 \af0 \ltrch\fcs0 \cs17\v\fs20\cf9\lang1024\langfe1024\loch\af1\hich\af1\dbch\af31501\noproof\insrsid8616893\charrsid7085899 \hich\af1\dbch\af31501\loch\f1 &lt;/OptDel&gt;&lt;/Article2&gt;}{\rtlch\fcs1 _x000d__x000a_\af0 \ltrch\fcs0 \insrsid8616893\charrsid70858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616893\charrsid7085899 \cell }\pard\plain \ltrpar\ql \li0\ri0\widctlpar\intbl\wrapdefault\aspalpha\aspnum\faauto\adjustright\rin0\lin0 \rtlch\fcs1 _x000d__x000a_\af0\afs20\alang1025 \ltrch\fcs0 \fs24\lang2057\langfe2057\cgrid\langnp2057\langfenp2057 {\rtlch\fcs1 \af0 \ltrch\fcs0 \insrsid8616893\charrsid70858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616893\charrsid7085899 #}{\rtlch\fcs1 \af1 \ltrch\fcs0 \cs18\v\f1\fs20\cf15\insrsid8616893\charrsid7085899 MNU[OPTLEFTAMACT][LEFTPROP]@CHOICE@AMACTMNU}{_x000d__x000a_\rtlch\fcs1 \af0 \ltrch\fcs0 \insrsid8616893\charrsid7085899 #\cell Amendment\cell }\pard\plain \ltrpar\ql \li0\ri0\widctlpar\intbl\wrapdefault\aspalpha\aspnum\faauto\adjustright\rin0\lin0 \rtlch\fcs1 \af0\afs20\alang1025 \ltrch\fcs0 _x000d__x000a_\fs24\lang2057\langfe2057\cgrid\langnp2057\langfenp2057 {\rtlch\fcs1 \af0 \ltrch\fcs0 \insrsid8616893\charrsid70858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616893\charrsid7085899 ##\cell ##}{\rtlch\fcs1 \af0\afs24 \ltrch\fcs0 \insrsid8616893\charrsid7085899 \cell }\pard\plain \ltrpar\ql \li0\ri0\widctlpar\intbl\wrapdefault\aspalpha\aspnum\faauto\adjustright\rin0\lin0 \rtlch\fcs1 _x000d__x000a_\af0\afs20\alang1025 \ltrch\fcs0 \fs24\lang2057\langfe2057\cgrid\langnp2057\langfenp2057 {\rtlch\fcs1 \af0 \ltrch\fcs0 \insrsid8616893\charrsid70858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616893 \rtlch\fcs1 \af0\afs20\alang1025 \ltrch\fcs0 \fs24\lang2057\langfe2057\cgrid\langnp2057\langfenp2057 {\rtlch\fcs1 \af0 \ltrch\fcs0 _x000d__x000a_\insrsid8616893\charrsid7085899 Or. }{\rtlch\fcs1 \af0 \ltrch\fcs0 \cs17\v\fs20\cf9\lang1024\langfe1024\loch\af1\hich\af1\dbch\af31501\noproof\insrsid8616893\charrsid7085899 \hich\af1\dbch\af31501\loch\f1 &lt;Original&gt;}{\rtlch\fcs1 \af0 \ltrch\fcs0 _x000d__x000a_\insrsid8616893\charrsid7085899 #}{\rtlch\fcs1 \af1 \ltrch\fcs0 \cs18\v\f1\fs20\cf15\insrsid8616893\charrsid7085899 KEY(MAIN/LANGMIN)sh@ORLANGMSG@}{\rtlch\fcs1 \af0 \ltrch\fcs0 \insrsid8616893\charrsid7085899 #}{\rtlch\fcs1 \af0 \ltrch\fcs0 _x000d__x000a_\cs17\v\fs20\cf9\lang1024\langfe1024\loch\af1\hich\af1\dbch\af31501\noproof\insrsid8616893\charrsid7085899 \hich\af1\dbch\af31501\loch\f1 &lt;/Original&gt;}{\rtlch\fcs1 \af0 \ltrch\fcs0 \insrsid8616893\charrsid7085899 _x000d__x000a_\par }\pard\plain \ltrpar\s22\qc \li0\ri0\sb240\sa240\nowidctlpar\wrapdefault\aspalpha\aspnum\faauto\adjustright\rin0\lin0\itap0\pararsid8616893 \rtlch\fcs1 \af0\afs20\alang1025 \ltrch\fcs0 \i\fs24\lang2057\langfe2057\cgrid\langnp2057\langfenp2057 {_x000d__x000a_\rtlch\fcs1 \af0 \ltrch\fcs0 \cs17\i0\v\fs20\cf9\lang1024\langfe1024\loch\af1\hich\af1\dbch\af31501\noproof\insrsid8616893\charrsid7085899 \hich\af1\dbch\af31501\loch\f1 &lt;OptDel&gt;}{\rtlch\fcs1 \af0 \ltrch\fcs0 \insrsid8616893\charrsid7085899 #}{_x000d__x000a_\rtlch\fcs1 \af1 \ltrch\fcs0 \cs18\v\f1\fs20\cf15\insrsid8616893\charrsid7085899 MNU[CROSSREFNO][CROSSREFYES]@CHOICE@}{\rtlch\fcs1 \af0 \ltrch\fcs0 \insrsid8616893\charrsid7085899 #}{\rtlch\fcs1 \af0 \ltrch\fcs0 _x000d__x000a_\cs17\i0\v\fs20\cf9\lang1024\langfe1024\loch\af1\hich\af1\dbch\af31501\noproof\insrsid8616893\charrsid7085899 \hich\af1\dbch\af31501\loch\f1 &lt;/OptDel&gt;}{\rtlch\fcs1 \af0 \ltrch\fcs0 \insrsid8616893\charrsid7085899 _x000d__x000a_\par }\pard\plain \ltrpar\s23\qc \li0\ri0\sb240\sa240\keepn\nowidctlpar\wrapdefault\aspalpha\aspnum\faauto\adjustright\rin0\lin0\itap0\pararsid8616893 \rtlch\fcs1 \af0\afs20\alang1025 \ltrch\fcs0 \i\fs24\lang2057\langfe2057\cgrid\langnp2057\langfenp2057 {_x000d__x000a_\rtlch\fcs1 \af0 \ltrch\fcs0 \cs17\i0\v\fs20\cf9\lang1024\langfe1024\loch\af1\hich\af1\dbch\af31501\noproof\insrsid8616893\charrsid7085899 \hich\af1\dbch\af31501\loch\f1 &lt;TitreJust&gt;}{\rtlch\fcs1 \af0 \ltrch\fcs0 \insrsid8616893\charrsid7085899 _x000d__x000a_Justification}{\rtlch\fcs1 \af0 \ltrch\fcs0 \cs17\i0\v\fs20\cf9\lang1024\langfe1024\loch\af1\hich\af1\dbch\af31501\noproof\insrsid8616893\charrsid7085899 \hich\af1\dbch\af31501\loch\f1 &lt;/TitreJust&gt;}{\rtlch\fcs1 \af0 \ltrch\fcs0 _x000d__x000a_\insrsid8616893\charrsid7085899 _x000d__x000a_\par }\pard\plain \ltrpar\s21\ql \li0\ri0\sa240\nowidctlpar\wrapdefault\aspalpha\aspnum\faauto\adjustright\rin0\lin0\itap0\pararsid8616893 \rtlch\fcs1 \af0\afs20\alang1025 \ltrch\fcs0 \i\fs24\lang2057\langfe2057\cgrid\langnp2057\langfenp2057 {\rtlch\fcs1 \af0 _x000d__x000a_\ltrch\fcs0 \cs17\i0\v\fs20\cf9\lang1024\langfe1024\loch\af1\hich\af1\dbch\af31501\noproof\insrsid8616893\charrsid7085899 \hich\af1\dbch\af31501\loch\f1 &lt;OptDelPrev&gt;}{\rtlch\fcs1 \af0 \ltrch\fcs0 \insrsid8616893\charrsid7085899 #}{\rtlch\fcs1 \af1 _x000d__x000a_\ltrch\fcs0 \cs18\v\f1\fs20\cf15\insrsid8616893\charrsid7085899 MNU[TEXTJUSTYES][TEXTJUSTNO]@CHOICE@}{\rtlch\fcs1 \af0 \ltrch\fcs0 \insrsid8616893\charrsid7085899 #}{\rtlch\fcs1 \af0 \ltrch\fcs0 _x000d__x000a_\cs17\i0\v\fs20\cf9\lang1024\langfe1024\loch\af1\hich\af1\dbch\af31501\noproof\insrsid8616893\charrsid7085899 \hich\af1\dbch\af31501\loch\f1 &lt;/OptDelPrev&gt;}{\rtlch\fcs1 \af0 \ltrch\fcs0 \insrsid8616893\charrsid7085899 _x000d__x000a_\par }\pard\plain \ltrpar\ql \li0\ri0\widctlpar\wrapdefault\aspalpha\aspnum\faauto\adjustright\rin0\lin0\itap0\pararsid8616893 \rtlch\fcs1 \af0\afs20\alang1025 \ltrch\fcs0 \fs24\lang2057\langfe2057\cgrid\langnp2057\langfenp2057 {\rtlch\fcs1 \af0 \ltrch\fcs0 _x000d__x000a_\cs17\v\fs20\cf9\lang1024\langfe1024\loch\af1\hich\af1\dbch\af31501\noproof\insrsid8616893\charrsid7085899 \hich\af1\dbch\af31501\loch\f1 &lt;/}{\rtlch\fcs1 \af0 \ltrch\fcs0 _x000d__x000a_\cs17\v\fs20\cf9\lang1024\langfe1024\loch\af1\hich\af1\dbch\af31501\noproof\insrsid8616893 \hich\af1\dbch\af31501\loch\f1 Amend}{\rtlch\fcs1 \af0 \ltrch\fcs0 _x000d__x000a_\cs17\v\fs20\cf9\lang1024\langfe1024\loch\af1\hich\af1\dbch\af31501\noproof\insrsid8616893\charrsid708589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e_x000d__x000a_66b99b0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7"/>
    <w:docVar w:name="TXTAUTHOR" w:val="Pedro Marques"/>
    <w:docVar w:name="TXTLANGUE" w:val="LT"/>
    <w:docVar w:name="TXTLANGUEMIN" w:val="lt"/>
    <w:docVar w:name="TXTNRC" w:val="xx"/>
    <w:docVar w:name="TXTNRCOM" w:val="xx"/>
    <w:docVar w:name="TXTNRFIRSTAM" w:val="56"/>
    <w:docVar w:name="TXTNRLASTAM" w:val="326"/>
    <w:docVar w:name="TXTNRPE" w:val="754.694"/>
    <w:docVar w:name="TXTNRPE2" w:val="12"/>
    <w:docVar w:name="TXTNRPROC" w:val="xx"/>
    <w:docVar w:name="TXTPEorAP" w:val="PE"/>
    <w:docVar w:name="TXTROUTE" w:val="AM\1287807LT.docx"/>
    <w:docVar w:name="TXTTITLE" w:val="Amending Regulation (EU) No 806/2014 as regards early intervention measures, conditions for resolution and funding of resolution action"/>
    <w:docVar w:name="TXTVERSION" w:val="01-00"/>
    <w:docVar w:name="TXTVERSION2" w:val="01-00"/>
  </w:docVars>
  <w:rsids>
    <w:rsidRoot w:val="006C1F4B"/>
    <w:rsid w:val="000111BD"/>
    <w:rsid w:val="00026B1B"/>
    <w:rsid w:val="000547C5"/>
    <w:rsid w:val="00073830"/>
    <w:rsid w:val="00075DBE"/>
    <w:rsid w:val="000760CA"/>
    <w:rsid w:val="000B0781"/>
    <w:rsid w:val="000D446F"/>
    <w:rsid w:val="000D5B74"/>
    <w:rsid w:val="000E7234"/>
    <w:rsid w:val="000E7A9E"/>
    <w:rsid w:val="000F2A80"/>
    <w:rsid w:val="000F7815"/>
    <w:rsid w:val="001014C5"/>
    <w:rsid w:val="00120BC4"/>
    <w:rsid w:val="00126BC4"/>
    <w:rsid w:val="00136881"/>
    <w:rsid w:val="00150057"/>
    <w:rsid w:val="001572DD"/>
    <w:rsid w:val="00161E19"/>
    <w:rsid w:val="00166CCB"/>
    <w:rsid w:val="001809DD"/>
    <w:rsid w:val="001A13A7"/>
    <w:rsid w:val="001A1DA8"/>
    <w:rsid w:val="001A4802"/>
    <w:rsid w:val="001B761C"/>
    <w:rsid w:val="001C2054"/>
    <w:rsid w:val="001C502E"/>
    <w:rsid w:val="001D13C9"/>
    <w:rsid w:val="001D5CC4"/>
    <w:rsid w:val="001D7A49"/>
    <w:rsid w:val="001F0FDD"/>
    <w:rsid w:val="0020367C"/>
    <w:rsid w:val="00212A57"/>
    <w:rsid w:val="00222325"/>
    <w:rsid w:val="00231EA7"/>
    <w:rsid w:val="00236619"/>
    <w:rsid w:val="0024492B"/>
    <w:rsid w:val="002574CB"/>
    <w:rsid w:val="00265C89"/>
    <w:rsid w:val="00280EA6"/>
    <w:rsid w:val="002A0D93"/>
    <w:rsid w:val="002A1C82"/>
    <w:rsid w:val="002B6A7B"/>
    <w:rsid w:val="002C41BC"/>
    <w:rsid w:val="002C5761"/>
    <w:rsid w:val="002E3F68"/>
    <w:rsid w:val="002E4311"/>
    <w:rsid w:val="002F0321"/>
    <w:rsid w:val="002F1C11"/>
    <w:rsid w:val="003003A7"/>
    <w:rsid w:val="00315664"/>
    <w:rsid w:val="00322475"/>
    <w:rsid w:val="003575AD"/>
    <w:rsid w:val="00363AD3"/>
    <w:rsid w:val="003743DE"/>
    <w:rsid w:val="0037660F"/>
    <w:rsid w:val="00384663"/>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54591"/>
    <w:rsid w:val="00461E32"/>
    <w:rsid w:val="00464338"/>
    <w:rsid w:val="0048317D"/>
    <w:rsid w:val="00495E20"/>
    <w:rsid w:val="004B0C84"/>
    <w:rsid w:val="004E0AAC"/>
    <w:rsid w:val="004E1C4C"/>
    <w:rsid w:val="004F03F0"/>
    <w:rsid w:val="004F2903"/>
    <w:rsid w:val="00511B38"/>
    <w:rsid w:val="005246D8"/>
    <w:rsid w:val="00547F73"/>
    <w:rsid w:val="0055669D"/>
    <w:rsid w:val="00557617"/>
    <w:rsid w:val="00571479"/>
    <w:rsid w:val="005A7205"/>
    <w:rsid w:val="005A7EB4"/>
    <w:rsid w:val="005B32E3"/>
    <w:rsid w:val="005C1996"/>
    <w:rsid w:val="005C5D07"/>
    <w:rsid w:val="005D565E"/>
    <w:rsid w:val="005D599B"/>
    <w:rsid w:val="005E50C2"/>
    <w:rsid w:val="00607ABE"/>
    <w:rsid w:val="006337D4"/>
    <w:rsid w:val="00637384"/>
    <w:rsid w:val="0066168A"/>
    <w:rsid w:val="00665DDA"/>
    <w:rsid w:val="00672807"/>
    <w:rsid w:val="006746CD"/>
    <w:rsid w:val="00686A76"/>
    <w:rsid w:val="00687070"/>
    <w:rsid w:val="00695CC1"/>
    <w:rsid w:val="006965BE"/>
    <w:rsid w:val="006A2838"/>
    <w:rsid w:val="006A7387"/>
    <w:rsid w:val="006B4B58"/>
    <w:rsid w:val="006B6438"/>
    <w:rsid w:val="006C1F4B"/>
    <w:rsid w:val="006C3C6F"/>
    <w:rsid w:val="006D6B15"/>
    <w:rsid w:val="006F3F81"/>
    <w:rsid w:val="006F4B73"/>
    <w:rsid w:val="007003AF"/>
    <w:rsid w:val="00702F62"/>
    <w:rsid w:val="00703FE6"/>
    <w:rsid w:val="007059E9"/>
    <w:rsid w:val="00706049"/>
    <w:rsid w:val="007152AF"/>
    <w:rsid w:val="00736FBA"/>
    <w:rsid w:val="0074160E"/>
    <w:rsid w:val="007659AC"/>
    <w:rsid w:val="0079060C"/>
    <w:rsid w:val="007A42AB"/>
    <w:rsid w:val="007B36A8"/>
    <w:rsid w:val="007C71DE"/>
    <w:rsid w:val="007E054B"/>
    <w:rsid w:val="00806FC0"/>
    <w:rsid w:val="00822C94"/>
    <w:rsid w:val="00826384"/>
    <w:rsid w:val="00827A66"/>
    <w:rsid w:val="008363E4"/>
    <w:rsid w:val="00851460"/>
    <w:rsid w:val="0087052C"/>
    <w:rsid w:val="00870CF2"/>
    <w:rsid w:val="00874862"/>
    <w:rsid w:val="00875A9C"/>
    <w:rsid w:val="00887FDC"/>
    <w:rsid w:val="008A3DA2"/>
    <w:rsid w:val="008A56DF"/>
    <w:rsid w:val="008B251A"/>
    <w:rsid w:val="008D6D06"/>
    <w:rsid w:val="008F0DDD"/>
    <w:rsid w:val="00900CAE"/>
    <w:rsid w:val="00904AD5"/>
    <w:rsid w:val="00907CCA"/>
    <w:rsid w:val="009154FF"/>
    <w:rsid w:val="00917A85"/>
    <w:rsid w:val="0093678E"/>
    <w:rsid w:val="00966038"/>
    <w:rsid w:val="0097763B"/>
    <w:rsid w:val="00991D2E"/>
    <w:rsid w:val="009A65D8"/>
    <w:rsid w:val="009B0305"/>
    <w:rsid w:val="009F230F"/>
    <w:rsid w:val="009F278D"/>
    <w:rsid w:val="00A15973"/>
    <w:rsid w:val="00A233E9"/>
    <w:rsid w:val="00A31D9D"/>
    <w:rsid w:val="00A46736"/>
    <w:rsid w:val="00A507FC"/>
    <w:rsid w:val="00A5426B"/>
    <w:rsid w:val="00A845EF"/>
    <w:rsid w:val="00A84E16"/>
    <w:rsid w:val="00A924D7"/>
    <w:rsid w:val="00A93389"/>
    <w:rsid w:val="00A93886"/>
    <w:rsid w:val="00A93F8C"/>
    <w:rsid w:val="00AA0426"/>
    <w:rsid w:val="00AB74D6"/>
    <w:rsid w:val="00AC6B27"/>
    <w:rsid w:val="00AC7149"/>
    <w:rsid w:val="00AD730A"/>
    <w:rsid w:val="00AE4459"/>
    <w:rsid w:val="00AE5932"/>
    <w:rsid w:val="00AF25FC"/>
    <w:rsid w:val="00AF2819"/>
    <w:rsid w:val="00B0638A"/>
    <w:rsid w:val="00B10564"/>
    <w:rsid w:val="00B24B84"/>
    <w:rsid w:val="00B41B4D"/>
    <w:rsid w:val="00B77A45"/>
    <w:rsid w:val="00B8066A"/>
    <w:rsid w:val="00B85286"/>
    <w:rsid w:val="00B90B7F"/>
    <w:rsid w:val="00B9188F"/>
    <w:rsid w:val="00BA48D2"/>
    <w:rsid w:val="00BC1B1F"/>
    <w:rsid w:val="00BE0C84"/>
    <w:rsid w:val="00BE5062"/>
    <w:rsid w:val="00BE6571"/>
    <w:rsid w:val="00C10F61"/>
    <w:rsid w:val="00C22CC4"/>
    <w:rsid w:val="00C2336C"/>
    <w:rsid w:val="00C35E35"/>
    <w:rsid w:val="00C37729"/>
    <w:rsid w:val="00C41E32"/>
    <w:rsid w:val="00C51798"/>
    <w:rsid w:val="00C92798"/>
    <w:rsid w:val="00CB34F1"/>
    <w:rsid w:val="00CB6A15"/>
    <w:rsid w:val="00CB7B07"/>
    <w:rsid w:val="00CC3983"/>
    <w:rsid w:val="00CE2B4E"/>
    <w:rsid w:val="00CF44D5"/>
    <w:rsid w:val="00D00CC7"/>
    <w:rsid w:val="00D100D1"/>
    <w:rsid w:val="00D14CB3"/>
    <w:rsid w:val="00D14FCE"/>
    <w:rsid w:val="00D15308"/>
    <w:rsid w:val="00D1583C"/>
    <w:rsid w:val="00D15D1E"/>
    <w:rsid w:val="00D33000"/>
    <w:rsid w:val="00D42398"/>
    <w:rsid w:val="00D44842"/>
    <w:rsid w:val="00D677D5"/>
    <w:rsid w:val="00D755F1"/>
    <w:rsid w:val="00D767AC"/>
    <w:rsid w:val="00D82FCC"/>
    <w:rsid w:val="00D87B31"/>
    <w:rsid w:val="00DB429F"/>
    <w:rsid w:val="00DB65C2"/>
    <w:rsid w:val="00DC4160"/>
    <w:rsid w:val="00DC6A1B"/>
    <w:rsid w:val="00DE31A3"/>
    <w:rsid w:val="00DE672F"/>
    <w:rsid w:val="00DF5FCD"/>
    <w:rsid w:val="00E0736F"/>
    <w:rsid w:val="00E14FBF"/>
    <w:rsid w:val="00E15A86"/>
    <w:rsid w:val="00E25DC5"/>
    <w:rsid w:val="00E44BB0"/>
    <w:rsid w:val="00E471BE"/>
    <w:rsid w:val="00E57F50"/>
    <w:rsid w:val="00E660E2"/>
    <w:rsid w:val="00E84D7B"/>
    <w:rsid w:val="00EA25AE"/>
    <w:rsid w:val="00EB3A71"/>
    <w:rsid w:val="00EC5BC9"/>
    <w:rsid w:val="00EE011D"/>
    <w:rsid w:val="00EE3E0D"/>
    <w:rsid w:val="00EF03A3"/>
    <w:rsid w:val="00EF11AD"/>
    <w:rsid w:val="00F03139"/>
    <w:rsid w:val="00F27170"/>
    <w:rsid w:val="00F459F7"/>
    <w:rsid w:val="00F75AFB"/>
    <w:rsid w:val="00F92B49"/>
    <w:rsid w:val="00FA192C"/>
    <w:rsid w:val="00FB3BB8"/>
    <w:rsid w:val="00FC1B08"/>
    <w:rsid w:val="00FD05BD"/>
    <w:rsid w:val="00FD675F"/>
    <w:rsid w:val="00FE03B4"/>
    <w:rsid w:val="00FF5BE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0B3827"/>
  <w15:chartTrackingRefBased/>
  <w15:docId w15:val="{343F7B6A-2F16-4376-9C37-6C609A78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lt-L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link w:val="NormalBold"/>
    <w:locked/>
    <w:rsid w:val="00E84D7B"/>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customStyle="1" w:styleId="msonormal0">
    <w:name w:val="msonormal"/>
    <w:basedOn w:val="Normal"/>
    <w:rsid w:val="00E84D7B"/>
    <w:pPr>
      <w:widowControl/>
      <w:spacing w:before="100" w:beforeAutospacing="1" w:after="100" w:afterAutospacing="1"/>
    </w:pPr>
    <w:rPr>
      <w:szCs w:val="24"/>
    </w:rPr>
  </w:style>
  <w:style w:type="character" w:customStyle="1" w:styleId="FooterChar">
    <w:name w:val="Footer Char"/>
    <w:basedOn w:val="DefaultParagraphFont"/>
    <w:link w:val="Footer"/>
    <w:semiHidden/>
    <w:rsid w:val="00E84D7B"/>
    <w:rPr>
      <w:sz w:val="22"/>
    </w:rPr>
  </w:style>
  <w:style w:type="paragraph" w:styleId="Footer">
    <w:name w:val="footer"/>
    <w:link w:val="FooterChar"/>
    <w:semiHidden/>
    <w:unhideWhenUsed/>
    <w:rsid w:val="00E84D7B"/>
    <w:pPr>
      <w:tabs>
        <w:tab w:val="center" w:pos="4536"/>
        <w:tab w:val="right" w:pos="9072"/>
      </w:tabs>
      <w:spacing w:before="240" w:after="240" w:line="220" w:lineRule="auto"/>
    </w:pPr>
    <w:rPr>
      <w:sz w:val="22"/>
    </w:rPr>
  </w:style>
  <w:style w:type="character" w:customStyle="1" w:styleId="Normal12Char">
    <w:name w:val="Normal12 Char"/>
    <w:link w:val="Normal12"/>
    <w:locked/>
    <w:rsid w:val="00E84D7B"/>
    <w:rPr>
      <w:noProof/>
      <w:sz w:val="24"/>
    </w:rPr>
  </w:style>
  <w:style w:type="paragraph" w:customStyle="1" w:styleId="Normal12">
    <w:name w:val="Normal12"/>
    <w:basedOn w:val="Normal"/>
    <w:link w:val="Normal12Char"/>
    <w:rsid w:val="00E84D7B"/>
    <w:pPr>
      <w:spacing w:after="240"/>
    </w:pPr>
    <w:rPr>
      <w:noProof/>
    </w:rPr>
  </w:style>
  <w:style w:type="paragraph" w:customStyle="1" w:styleId="CommitteeAM">
    <w:name w:val="CommitteeAM"/>
    <w:basedOn w:val="Normal"/>
    <w:rsid w:val="00E84D7B"/>
    <w:pPr>
      <w:spacing w:before="240" w:after="600"/>
      <w:jc w:val="center"/>
    </w:pPr>
    <w:rPr>
      <w:i/>
    </w:rPr>
  </w:style>
  <w:style w:type="paragraph" w:customStyle="1" w:styleId="ZDateAM">
    <w:name w:val="ZDateAM"/>
    <w:basedOn w:val="Normal"/>
    <w:rsid w:val="00E84D7B"/>
    <w:pPr>
      <w:tabs>
        <w:tab w:val="right" w:pos="9356"/>
      </w:tabs>
      <w:spacing w:after="480"/>
    </w:pPr>
    <w:rPr>
      <w:noProof/>
    </w:rPr>
  </w:style>
  <w:style w:type="paragraph" w:customStyle="1" w:styleId="ProjRap">
    <w:name w:val="ProjRap"/>
    <w:basedOn w:val="Normal"/>
    <w:rsid w:val="00E84D7B"/>
    <w:pPr>
      <w:tabs>
        <w:tab w:val="right" w:pos="9356"/>
      </w:tabs>
    </w:pPr>
    <w:rPr>
      <w:b/>
      <w:noProof/>
    </w:rPr>
  </w:style>
  <w:style w:type="paragraph" w:customStyle="1" w:styleId="PELeft">
    <w:name w:val="PELeft"/>
    <w:basedOn w:val="Normal"/>
    <w:rsid w:val="00E84D7B"/>
    <w:pPr>
      <w:spacing w:before="40" w:after="40"/>
    </w:pPr>
    <w:rPr>
      <w:rFonts w:ascii="Arial" w:hAnsi="Arial" w:cs="Arial"/>
      <w:sz w:val="22"/>
      <w:szCs w:val="22"/>
      <w:lang w:val="fr-FR"/>
    </w:rPr>
  </w:style>
  <w:style w:type="paragraph" w:customStyle="1" w:styleId="PERight">
    <w:name w:val="PERight"/>
    <w:basedOn w:val="Normal"/>
    <w:next w:val="Normal"/>
    <w:rsid w:val="00E84D7B"/>
    <w:pPr>
      <w:jc w:val="right"/>
    </w:pPr>
    <w:rPr>
      <w:rFonts w:ascii="Arial" w:hAnsi="Arial" w:cs="Arial"/>
      <w:sz w:val="22"/>
      <w:szCs w:val="22"/>
      <w:lang w:val="fr-FR"/>
    </w:rPr>
  </w:style>
  <w:style w:type="character" w:customStyle="1" w:styleId="Normal6Char">
    <w:name w:val="Normal6 Char"/>
    <w:link w:val="Normal6"/>
    <w:locked/>
    <w:rsid w:val="00E84D7B"/>
    <w:rPr>
      <w:sz w:val="24"/>
      <w:lang w:val="fr-FR"/>
    </w:rPr>
  </w:style>
  <w:style w:type="paragraph" w:customStyle="1" w:styleId="Normal6">
    <w:name w:val="Normal6"/>
    <w:basedOn w:val="Normal"/>
    <w:link w:val="Normal6Char"/>
    <w:rsid w:val="00E84D7B"/>
    <w:pPr>
      <w:spacing w:after="120"/>
    </w:pPr>
    <w:rPr>
      <w:lang w:val="fr-FR"/>
    </w:rPr>
  </w:style>
  <w:style w:type="paragraph" w:customStyle="1" w:styleId="Normal12Italic">
    <w:name w:val="Normal12Italic"/>
    <w:basedOn w:val="Normal12"/>
    <w:rsid w:val="00E84D7B"/>
    <w:rPr>
      <w:i/>
      <w:lang w:val="fr-FR"/>
    </w:rPr>
  </w:style>
  <w:style w:type="paragraph" w:customStyle="1" w:styleId="JustificationTitle">
    <w:name w:val="JustificationTitle"/>
    <w:basedOn w:val="Normal"/>
    <w:next w:val="Normal12"/>
    <w:rsid w:val="00E84D7B"/>
    <w:pPr>
      <w:keepNext/>
      <w:spacing w:before="240" w:after="240"/>
      <w:jc w:val="center"/>
    </w:pPr>
    <w:rPr>
      <w:i/>
      <w:noProof/>
      <w:lang w:val="fr-FR"/>
    </w:rPr>
  </w:style>
  <w:style w:type="paragraph" w:customStyle="1" w:styleId="Olang">
    <w:name w:val="Olang"/>
    <w:basedOn w:val="Normal"/>
    <w:rsid w:val="00E84D7B"/>
    <w:pPr>
      <w:spacing w:before="240" w:after="240"/>
      <w:jc w:val="right"/>
    </w:pPr>
    <w:rPr>
      <w:noProof/>
      <w:szCs w:val="24"/>
      <w:lang w:val="fr-FR"/>
    </w:rPr>
  </w:style>
  <w:style w:type="paragraph" w:customStyle="1" w:styleId="ColumnHeading">
    <w:name w:val="ColumnHeading"/>
    <w:basedOn w:val="Normal"/>
    <w:rsid w:val="00E84D7B"/>
    <w:pPr>
      <w:spacing w:after="240"/>
      <w:jc w:val="center"/>
    </w:pPr>
    <w:rPr>
      <w:i/>
      <w:lang w:val="fr-FR"/>
    </w:rPr>
  </w:style>
  <w:style w:type="paragraph" w:customStyle="1" w:styleId="AMNumberTabs0">
    <w:name w:val="AMNumberTabs"/>
    <w:basedOn w:val="Normal"/>
    <w:rsid w:val="00E84D7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E84D7B"/>
    <w:pPr>
      <w:spacing w:before="240"/>
    </w:pPr>
    <w:rPr>
      <w:b/>
      <w:lang w:val="fr-FR"/>
    </w:rPr>
  </w:style>
  <w:style w:type="paragraph" w:customStyle="1" w:styleId="CrossRef">
    <w:name w:val="CrossRef"/>
    <w:basedOn w:val="Normal"/>
    <w:rsid w:val="00E84D7B"/>
    <w:pPr>
      <w:spacing w:before="240"/>
      <w:jc w:val="center"/>
    </w:pPr>
    <w:rPr>
      <w:i/>
      <w:lang w:val="fr-FR"/>
    </w:rPr>
  </w:style>
  <w:style w:type="paragraph" w:customStyle="1" w:styleId="Footer2">
    <w:name w:val="Footer2"/>
    <w:basedOn w:val="Normal12"/>
    <w:rsid w:val="00E84D7B"/>
    <w:pPr>
      <w:tabs>
        <w:tab w:val="center" w:pos="4535"/>
        <w:tab w:val="right" w:pos="9923"/>
      </w:tabs>
      <w:spacing w:line="480" w:lineRule="auto"/>
      <w:ind w:left="-851"/>
    </w:pPr>
    <w:rPr>
      <w:rFonts w:ascii="Arial" w:cs="Arial"/>
      <w:b/>
      <w:sz w:val="48"/>
    </w:rPr>
  </w:style>
  <w:style w:type="paragraph" w:customStyle="1" w:styleId="EntPE">
    <w:name w:val="EntPE"/>
    <w:basedOn w:val="Normal12"/>
    <w:rsid w:val="00E84D7B"/>
    <w:pPr>
      <w:jc w:val="center"/>
    </w:pPr>
    <w:rPr>
      <w:noProof w:val="0"/>
      <w:sz w:val="56"/>
    </w:rPr>
  </w:style>
  <w:style w:type="character" w:styleId="CommentReference">
    <w:name w:val="annotation reference"/>
    <w:basedOn w:val="DefaultParagraphFont"/>
    <w:rsid w:val="000760CA"/>
    <w:rPr>
      <w:sz w:val="16"/>
      <w:szCs w:val="16"/>
    </w:rPr>
  </w:style>
  <w:style w:type="paragraph" w:styleId="CommentText">
    <w:name w:val="annotation text"/>
    <w:basedOn w:val="Normal"/>
    <w:link w:val="CommentTextChar"/>
    <w:rsid w:val="000760CA"/>
    <w:rPr>
      <w:sz w:val="20"/>
    </w:rPr>
  </w:style>
  <w:style w:type="character" w:customStyle="1" w:styleId="CommentTextChar">
    <w:name w:val="Comment Text Char"/>
    <w:basedOn w:val="DefaultParagraphFont"/>
    <w:link w:val="CommentText"/>
    <w:rsid w:val="000760CA"/>
  </w:style>
  <w:style w:type="paragraph" w:styleId="CommentSubject">
    <w:name w:val="annotation subject"/>
    <w:basedOn w:val="CommentText"/>
    <w:next w:val="CommentText"/>
    <w:link w:val="CommentSubjectChar"/>
    <w:semiHidden/>
    <w:unhideWhenUsed/>
    <w:rsid w:val="000760CA"/>
    <w:rPr>
      <w:b/>
      <w:bCs/>
    </w:rPr>
  </w:style>
  <w:style w:type="character" w:customStyle="1" w:styleId="CommentSubjectChar">
    <w:name w:val="Comment Subject Char"/>
    <w:basedOn w:val="CommentTextChar"/>
    <w:link w:val="CommentSubject"/>
    <w:semiHidden/>
    <w:rsid w:val="000760CA"/>
    <w:rPr>
      <w:b/>
      <w:bCs/>
    </w:rPr>
  </w:style>
  <w:style w:type="paragraph" w:styleId="BalloonText">
    <w:name w:val="Balloon Text"/>
    <w:basedOn w:val="Normal"/>
    <w:link w:val="BalloonTextChar"/>
    <w:semiHidden/>
    <w:unhideWhenUsed/>
    <w:rsid w:val="000760CA"/>
    <w:rPr>
      <w:rFonts w:ascii="Segoe UI" w:hAnsi="Segoe UI" w:cs="Segoe UI"/>
      <w:sz w:val="18"/>
      <w:szCs w:val="18"/>
    </w:rPr>
  </w:style>
  <w:style w:type="character" w:customStyle="1" w:styleId="BalloonTextChar">
    <w:name w:val="Balloon Text Char"/>
    <w:basedOn w:val="DefaultParagraphFont"/>
    <w:link w:val="BalloonText"/>
    <w:semiHidden/>
    <w:rsid w:val="000760CA"/>
    <w:rPr>
      <w:rFonts w:ascii="Segoe UI" w:hAnsi="Segoe UI" w:cs="Segoe UI"/>
      <w:sz w:val="18"/>
      <w:szCs w:val="18"/>
    </w:rPr>
  </w:style>
  <w:style w:type="paragraph" w:styleId="Revision">
    <w:name w:val="Revision"/>
    <w:hidden/>
    <w:uiPriority w:val="99"/>
    <w:semiHidden/>
    <w:rsid w:val="005C1996"/>
    <w:rPr>
      <w:sz w:val="24"/>
    </w:rPr>
  </w:style>
  <w:style w:type="paragraph" w:customStyle="1" w:styleId="Default">
    <w:name w:val="Default"/>
    <w:rsid w:val="00806FC0"/>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IGN~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4B754-C2C3-48B7-B0D3-EAEAF6307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2</TotalTime>
  <Pages>186</Pages>
  <Words>41348</Words>
  <Characters>282560</Characters>
  <Application>Microsoft Office Word</Application>
  <DocSecurity>0</DocSecurity>
  <Lines>10271</Lines>
  <Paragraphs>3281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2023-11-24T11:45:00Z</dcterms:created>
  <dcterms:modified xsi:type="dcterms:W3CDTF">2023-11-24T11:45:00Z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1287807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Bookout">
    <vt:lpwstr>OK - 2023/11/24 12:43</vt:lpwstr>
  </property>
  <property fmtid="{D5CDD505-2E9C-101B-9397-08002B2CF9AE}" pid="9" name="Created with">
    <vt:lpwstr>9.16.1 Build [20230920]</vt:lpwstr>
  </property>
  <property fmtid="{D5CDD505-2E9C-101B-9397-08002B2CF9AE}" pid="10" name="FooterPath">
    <vt:lpwstr>AM\1287807LT.docx</vt:lpwstr>
  </property>
  <property fmtid="{D5CDD505-2E9C-101B-9397-08002B2CF9AE}" pid="11" name="LastEdited with">
    <vt:lpwstr>9.16.1 Build [20230915]</vt:lpwstr>
  </property>
  <property fmtid="{D5CDD505-2E9C-101B-9397-08002B2CF9AE}" pid="12" name="PE number">
    <vt:lpwstr>754.694</vt:lpwstr>
  </property>
  <property fmtid="{D5CDD505-2E9C-101B-9397-08002B2CF9AE}" pid="13" name="SendToEpades">
    <vt:lpwstr>OK(AMNUM) - 2023/11/06 10:59</vt:lpwstr>
  </property>
</Properties>
</file>