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757F9" w:rsidRPr="00872462" w:rsidTr="000760CA">
        <w:trPr>
          <w:trHeight w:hRule="exact" w:val="1418"/>
        </w:trPr>
        <w:tc>
          <w:tcPr>
            <w:tcW w:w="6804" w:type="dxa"/>
            <w:shd w:val="clear" w:color="auto" w:fill="auto"/>
            <w:vAlign w:val="center"/>
          </w:tcPr>
          <w:p w:rsidR="00BE5062" w:rsidRPr="00872462" w:rsidRDefault="00D37F84" w:rsidP="000760CA">
            <w:pPr>
              <w:pStyle w:val="EPName"/>
            </w:pPr>
            <w:r w:rsidRPr="00872462">
              <w:t>Europaparlamentet</w:t>
            </w:r>
          </w:p>
          <w:p w:rsidR="00BE5062" w:rsidRPr="00872462" w:rsidRDefault="00D37F84" w:rsidP="00E84D7B">
            <w:pPr>
              <w:pStyle w:val="EPTerm"/>
            </w:pPr>
            <w:r w:rsidRPr="00872462">
              <w:t>2019-2024</w:t>
            </w:r>
          </w:p>
        </w:tc>
        <w:tc>
          <w:tcPr>
            <w:tcW w:w="2268" w:type="dxa"/>
            <w:shd w:val="clear" w:color="auto" w:fill="auto"/>
          </w:tcPr>
          <w:p w:rsidR="00BE5062" w:rsidRPr="00872462" w:rsidRDefault="00D37F84" w:rsidP="000760CA">
            <w:pPr>
              <w:pStyle w:val="EPLogo"/>
            </w:pPr>
            <w:r w:rsidRPr="00872462">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72462" w:rsidRDefault="000E7234" w:rsidP="000E7234">
      <w:pPr>
        <w:pStyle w:val="LineTop"/>
      </w:pPr>
    </w:p>
    <w:p w:rsidR="000E7234" w:rsidRPr="00872462" w:rsidRDefault="00D37F84" w:rsidP="000E7234">
      <w:pPr>
        <w:pStyle w:val="EPBody"/>
      </w:pPr>
      <w:r w:rsidRPr="00872462">
        <w:rPr>
          <w:rStyle w:val="HideTWBExt"/>
          <w:i w:val="0"/>
          <w:szCs w:val="20"/>
        </w:rPr>
        <w:t>&lt;Commission&gt;</w:t>
      </w:r>
      <w:r w:rsidRPr="00872462">
        <w:rPr>
          <w:rStyle w:val="HideTWBInt"/>
          <w:i w:val="0"/>
          <w:szCs w:val="20"/>
        </w:rPr>
        <w:t>{ECON}</w:t>
      </w:r>
      <w:r w:rsidRPr="00872462">
        <w:t>Utskottet för ekonomi och valutafrågor</w:t>
      </w:r>
      <w:r w:rsidRPr="00872462">
        <w:rPr>
          <w:rStyle w:val="HideTWBExt"/>
          <w:i w:val="0"/>
          <w:szCs w:val="20"/>
        </w:rPr>
        <w:t>&lt;/Commission&gt;</w:t>
      </w:r>
    </w:p>
    <w:p w:rsidR="000E7234" w:rsidRPr="00872462" w:rsidRDefault="000E7234" w:rsidP="000E7234">
      <w:pPr>
        <w:pStyle w:val="LineBottom"/>
      </w:pPr>
    </w:p>
    <w:p w:rsidR="00B85286" w:rsidRPr="00872462" w:rsidRDefault="00D37F84">
      <w:pPr>
        <w:pStyle w:val="CoverReference"/>
      </w:pPr>
      <w:r w:rsidRPr="00872462">
        <w:rPr>
          <w:rStyle w:val="HideTWBExt"/>
          <w:b w:val="0"/>
        </w:rPr>
        <w:t>&lt;RefProc&gt;</w:t>
      </w:r>
      <w:r w:rsidRPr="00872462">
        <w:t>2023/0111</w:t>
      </w:r>
      <w:r w:rsidRPr="00872462">
        <w:rPr>
          <w:rStyle w:val="HideTWBExt"/>
          <w:b w:val="0"/>
        </w:rPr>
        <w:t>&lt;/RefProc&gt;&lt;RefTypeProc&gt;</w:t>
      </w:r>
      <w:r w:rsidRPr="00872462">
        <w:t>(COD)</w:t>
      </w:r>
      <w:r w:rsidRPr="00872462">
        <w:rPr>
          <w:rStyle w:val="HideTWBExt"/>
          <w:b w:val="0"/>
        </w:rPr>
        <w:t>&lt;/RefTypeProc&gt;</w:t>
      </w:r>
    </w:p>
    <w:p w:rsidR="00B85286" w:rsidRPr="00872462" w:rsidRDefault="00D37F84">
      <w:pPr>
        <w:pStyle w:val="CoverDate"/>
      </w:pPr>
      <w:r w:rsidRPr="00872462">
        <w:rPr>
          <w:rStyle w:val="HideTWBExt"/>
        </w:rPr>
        <w:t>&lt;Date&gt;</w:t>
      </w:r>
      <w:r w:rsidRPr="00872462">
        <w:rPr>
          <w:rStyle w:val="HideTWBInt"/>
        </w:rPr>
        <w:t>{06/11/2023}</w:t>
      </w:r>
      <w:r w:rsidRPr="00872462">
        <w:t>6.11.2023</w:t>
      </w:r>
      <w:r w:rsidRPr="00872462">
        <w:rPr>
          <w:rStyle w:val="HideTWBExt"/>
        </w:rPr>
        <w:t>&lt;/Date&gt;</w:t>
      </w:r>
    </w:p>
    <w:p w:rsidR="009B0305" w:rsidRPr="00872462" w:rsidRDefault="00D37F84" w:rsidP="009B0305">
      <w:pPr>
        <w:pStyle w:val="CoverDocType"/>
      </w:pPr>
      <w:r w:rsidRPr="00872462">
        <w:rPr>
          <w:rStyle w:val="HideTWBExt"/>
          <w:b w:val="0"/>
        </w:rPr>
        <w:t>&lt;TypeAM&gt;</w:t>
      </w:r>
      <w:r w:rsidRPr="00872462">
        <w:t>ÄNDRINGS</w:t>
      </w:r>
      <w:bookmarkStart w:id="0" w:name="_GoBack"/>
      <w:bookmarkEnd w:id="0"/>
      <w:r w:rsidRPr="00872462">
        <w:t>FÖRSLAG</w:t>
      </w:r>
      <w:r w:rsidRPr="00872462">
        <w:rPr>
          <w:rStyle w:val="HideTWBExt"/>
          <w:b w:val="0"/>
        </w:rPr>
        <w:t>&lt;/TypeAM&gt;</w:t>
      </w:r>
    </w:p>
    <w:p w:rsidR="00B85286" w:rsidRPr="00872462" w:rsidRDefault="00D37F84" w:rsidP="001C2054">
      <w:pPr>
        <w:pStyle w:val="CoverDocType24a"/>
      </w:pPr>
      <w:r w:rsidRPr="00872462">
        <w:rPr>
          <w:rStyle w:val="HideTWBExt"/>
          <w:b w:val="0"/>
        </w:rPr>
        <w:t>&lt;RangeAM&gt;</w:t>
      </w:r>
      <w:r w:rsidRPr="00872462">
        <w:t>56 - 326</w:t>
      </w:r>
      <w:r w:rsidRPr="00872462">
        <w:rPr>
          <w:rStyle w:val="HideTWBExt"/>
          <w:b w:val="0"/>
        </w:rPr>
        <w:t>&lt;/RangeAM&gt;</w:t>
      </w:r>
    </w:p>
    <w:p w:rsidR="001C2054" w:rsidRPr="00872462" w:rsidRDefault="00D37F84" w:rsidP="00A93F8C">
      <w:pPr>
        <w:pStyle w:val="CoverBold"/>
      </w:pPr>
      <w:r w:rsidRPr="00872462">
        <w:rPr>
          <w:rStyle w:val="HideTWBExt"/>
          <w:b w:val="0"/>
        </w:rPr>
        <w:t>&lt;TitreType&gt;</w:t>
      </w:r>
      <w:r w:rsidRPr="00872462">
        <w:t>Förslag till betänkande</w:t>
      </w:r>
      <w:r w:rsidRPr="00872462">
        <w:rPr>
          <w:rStyle w:val="HideTWBExt"/>
          <w:b w:val="0"/>
        </w:rPr>
        <w:t>&lt;/TitreType&gt;</w:t>
      </w:r>
    </w:p>
    <w:p w:rsidR="00B85286" w:rsidRPr="00872462" w:rsidRDefault="00D37F84" w:rsidP="00A93F8C">
      <w:pPr>
        <w:pStyle w:val="CoverBold"/>
      </w:pPr>
      <w:r w:rsidRPr="00872462">
        <w:rPr>
          <w:rStyle w:val="HideTWBExt"/>
          <w:b w:val="0"/>
        </w:rPr>
        <w:t>&lt;Rapporteur&gt;</w:t>
      </w:r>
      <w:r w:rsidRPr="00872462">
        <w:t>Pedro Marques</w:t>
      </w:r>
      <w:r w:rsidRPr="00872462">
        <w:rPr>
          <w:rStyle w:val="HideTWBExt"/>
          <w:b w:val="0"/>
        </w:rPr>
        <w:t>&lt;/Rapporteur&gt;</w:t>
      </w:r>
    </w:p>
    <w:p w:rsidR="00B85286" w:rsidRPr="00872462" w:rsidRDefault="00D37F84">
      <w:pPr>
        <w:pStyle w:val="CoverNormal24a"/>
      </w:pPr>
      <w:r w:rsidRPr="00872462">
        <w:rPr>
          <w:rStyle w:val="HideTWBExt"/>
        </w:rPr>
        <w:t>&lt;DocRefPE&gt;</w:t>
      </w:r>
      <w:r w:rsidRPr="00872462">
        <w:t>(PE753.695v01-00)</w:t>
      </w:r>
      <w:r w:rsidRPr="00872462">
        <w:rPr>
          <w:rStyle w:val="HideTWBExt"/>
        </w:rPr>
        <w:t>&lt;/DocRefPE&gt;</w:t>
      </w:r>
    </w:p>
    <w:p w:rsidR="00B85286" w:rsidRPr="00872462" w:rsidRDefault="00D37F84">
      <w:pPr>
        <w:pStyle w:val="CoverNormal24a"/>
      </w:pPr>
      <w:r w:rsidRPr="00872462">
        <w:rPr>
          <w:rStyle w:val="HideTWBExt"/>
        </w:rPr>
        <w:t>&lt;Titre&gt;</w:t>
      </w:r>
      <w:r w:rsidRPr="00872462">
        <w:t>Ändring av förordning (EU) nr 806/2014 vad gäller åtgärder för tidigt ingripande, villkor för resolution och finansiering av resolutionsåtgärder</w:t>
      </w:r>
      <w:r w:rsidRPr="00872462">
        <w:rPr>
          <w:rStyle w:val="HideTWBExt"/>
        </w:rPr>
        <w:t>&lt;/Titre&gt;</w:t>
      </w:r>
    </w:p>
    <w:p w:rsidR="006337D4" w:rsidRPr="00872462" w:rsidRDefault="00D37F84" w:rsidP="006337D4">
      <w:pPr>
        <w:pStyle w:val="CoverNormal"/>
      </w:pPr>
      <w:r w:rsidRPr="00872462">
        <w:rPr>
          <w:rStyle w:val="HideTWBExt"/>
        </w:rPr>
        <w:t>&lt;DocAmend&gt;</w:t>
      </w:r>
      <w:r w:rsidRPr="00872462">
        <w:t>Förslag till förordning</w:t>
      </w:r>
      <w:r w:rsidRPr="00872462">
        <w:rPr>
          <w:rStyle w:val="HideTWBExt"/>
        </w:rPr>
        <w:t>&lt;/DocAmend&gt;</w:t>
      </w:r>
    </w:p>
    <w:p w:rsidR="00B85286" w:rsidRPr="00872462" w:rsidRDefault="00D37F84">
      <w:pPr>
        <w:pStyle w:val="CoverNormal24a"/>
      </w:pPr>
      <w:r w:rsidRPr="00872462">
        <w:rPr>
          <w:rStyle w:val="HideTWBExt"/>
        </w:rPr>
        <w:t>&lt;DocRef&gt;</w:t>
      </w:r>
      <w:r w:rsidRPr="00872462">
        <w:t>(COM(2023)0226 – C9-0139/2023 – 2023/0111(COD))</w:t>
      </w:r>
      <w:r w:rsidRPr="00872462">
        <w:rPr>
          <w:rStyle w:val="HideTWBExt"/>
        </w:rPr>
        <w:t>&lt;/DocRef&gt;</w:t>
      </w:r>
    </w:p>
    <w:p w:rsidR="00B85286" w:rsidRPr="00872462" w:rsidRDefault="00D37F84" w:rsidP="00E660E2">
      <w:pPr>
        <w:widowControl/>
        <w:tabs>
          <w:tab w:val="center" w:pos="4677"/>
        </w:tabs>
      </w:pPr>
      <w:r w:rsidRPr="00872462">
        <w:br w:type="page"/>
      </w:r>
      <w:r w:rsidRPr="00872462">
        <w:lastRenderedPageBreak/>
        <w:t>AM_Com_LegReport</w:t>
      </w:r>
    </w:p>
    <w:p w:rsidR="00D16657" w:rsidRPr="00872462" w:rsidRDefault="00D37F84" w:rsidP="00D16657">
      <w:pPr>
        <w:pStyle w:val="AMNumberTabs0"/>
        <w:keepNext/>
      </w:pPr>
      <w:r w:rsidRPr="00872462">
        <w:br w:type="page"/>
      </w:r>
      <w:r w:rsidR="00D16657" w:rsidRPr="00872462">
        <w:rPr>
          <w:rStyle w:val="HideTWBExt"/>
          <w:b w:val="0"/>
        </w:rPr>
        <w:t>&lt;RepeatBlock-Amend&gt;&lt;Amend&gt;</w:t>
      </w:r>
      <w:r w:rsidR="00D16657" w:rsidRPr="00872462">
        <w:t>Ändringsförslag</w:t>
      </w:r>
      <w:r w:rsidR="00D16657" w:rsidRPr="00872462">
        <w:tab/>
      </w:r>
      <w:r w:rsidR="00D16657" w:rsidRPr="00872462">
        <w:tab/>
      </w:r>
      <w:r w:rsidR="00D16657" w:rsidRPr="00872462">
        <w:rPr>
          <w:rStyle w:val="HideTWBExt"/>
          <w:b w:val="0"/>
        </w:rPr>
        <w:t>&lt;NumAm&gt;</w:t>
      </w:r>
      <w:r w:rsidR="00D16657" w:rsidRPr="00872462">
        <w:t>56</w:t>
      </w:r>
      <w:r w:rsidR="00D16657"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(1a)</w:t>
            </w:r>
            <w:r w:rsidRPr="00872462">
              <w:rPr>
                <w:b/>
                <w:i/>
              </w:rPr>
              <w:tab/>
              <w:t>Den gemensamma resolutionsmekanismen är, tillsammans med den gemensamma tillsynsmekanismen och det europeiska insättningsgarantisystemet som fortfarande saknas, en av pelarna i bankunionen. Den pågående översynen av unionens ram för krishantering och insättningsgaranti är avsedd att bana väg för fullbordandet av bankunionen, som borde ha ägt rum för länge sedan, inbegripet inrättandet av ett europeiskt insättningsgarantisystem. Ett första steg i denna riktning är inrättandet av en EU-kreditlina som tillhandahålls av en särskild fond, som förvaltas av den gemensamma resolutionsnämnden (SRB), för uttömda eller nästan uttömda nationella insättningsgarantisystem. Denna nya fond bör finansieras genom successiv överföring av bankernas bidrag som samlats in av deltagande insättningsgarantisystem.</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rPr>
          <w:rStyle w:val="HideTWBExt"/>
          <w:b w:val="0"/>
        </w:rPr>
        <w:t>&lt;NumAm&gt;</w:t>
      </w:r>
      <w:r w:rsidRPr="00872462">
        <w:t>57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Lídia Pereira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(1a)</w:t>
            </w:r>
            <w:r w:rsidRPr="00872462">
              <w:rPr>
                <w:b/>
                <w:i/>
              </w:rPr>
              <w:tab/>
              <w:t xml:space="preserve">Bankunionen är en grundläggande pelare i Ekonomiska och monetära unionen (EMU) och dess utveckling har varit avgörande för att garantera stabilitet och motståndskraft inom banksektorn, bland annat genom den gemensamma tillsynsmekanismen och den gemensamma resolutionsmekanismen. Dessvärre är bankunionen ännu inte fullbordad, på grund av det långsamma antagandet av ett europeiskt insättningsgarantisystem (EDIS). </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{PT}</w:t>
      </w:r>
      <w:r w:rsidRPr="00872462">
        <w:t>pt</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58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w:t>
            </w:r>
            <w:r w:rsidRPr="00872462">
              <w:tab/>
              <w:t xml:space="preserve">Flera år efter genomförandet av unionens resolutionsram, såsom den för närvarande är tillämplig, ger inte önskvärda resultat med avseende på vissa av dessa mål. Även om institut och enheter har gjort betydande framsteg mot möjligheten till resolution och har avsatt betydande resurser för detta ändamål, särskilt genom uppbyggnad av förlustabsorberings- och rekapitaliseringskapacitet och komplettering av finansieringsarrangemang för resolution, används sällan unionens resolutionsram. </w:t>
            </w:r>
            <w:r w:rsidRPr="00872462">
              <w:rPr>
                <w:b/>
                <w:i/>
              </w:rPr>
              <w:t>Misslyckanden i vissa mindre och medelstora institut och enheter hanteras i stället främst genom nationella åtgärder som inte är harmoniserade. Skattebetalarnas pengar används snarare än finansieringsarrangemang för resolution. Denna situation förefaller bero på otillräckliga incitament. Dessa otillräckliga incitament är en följd av samspelet mellan unionens resolutionsram och nationella regler, vilket innebär att det stora utrymmet för skönsmässig bedömning vid bedömningen av allmänintresset inte alltid utövas på ett sätt som återspeglar hur unionens resolutionsram var avsedd att tillämpas. Samtidigt användes unionens resolutionsram i liten utsträckning på grund av riskerna för insättare i inlåningsfinansierade institut att bära förluster för att säkerställa att dessa institut kan få tillgång till extern finansiering vid resolution, särskilt i avsaknad av andra nedskrivningsbara skulder. Slutligen har det faktum att det finns mindre stränga regler för tillgång till finansiering utanför resolution än vid resolution avskräckt från att tillämpa unionens resolutionsram till förmån för andra lösningar, vilket ofta innebär att skattebetalarnas pengar används i stället för institutets eller enhetens egna medel eller branschfinansierade skyddsnät. Denna situation medför i sin tur risker för fragmentering, risker för suboptimala resultat i förvaltningen av institut och enheters fallissemang, särskilt när det gäller små och medelstora institut och enheter, och alternativkostnader från outnyttjade finansiella resurser.</w:t>
            </w:r>
            <w:r w:rsidRPr="00872462">
              <w:t xml:space="preserve"> Det är därför nödvändigt att säkerställa en mer effektiv och konsekvent tillämpning av unionens resolutionsram och säkerställa att den kan tillämpas närhelst det ligger i allmänhetens intresse</w:t>
            </w:r>
            <w:r w:rsidRPr="00872462">
              <w:rPr>
                <w:b/>
                <w:i/>
              </w:rPr>
              <w:t>, inbegripet för små och medelstora institut som primärt finansieras genom insättningar och utan tillräckliga andra nedskrivningsbara skulder</w:t>
            </w:r>
            <w:r w:rsidRPr="00872462">
              <w:t>.</w:t>
            </w:r>
          </w:p>
        </w:tc>
        <w:tc>
          <w:tcPr>
            <w:tcW w:w="4876" w:type="dxa"/>
            <w:hideMark/>
          </w:tcPr>
          <w:p w:rsidR="00D16657" w:rsidRPr="00872462" w:rsidRDefault="00D16657" w:rsidP="00610A50">
            <w:pPr>
              <w:pStyle w:val="Normal6"/>
              <w:rPr>
                <w:szCs w:val="24"/>
              </w:rPr>
            </w:pPr>
            <w:r w:rsidRPr="00872462">
              <w:t>(2)</w:t>
            </w:r>
            <w:r w:rsidRPr="00872462">
              <w:tab/>
              <w:t>Flera år efter genomförandet av unionens resolutionsram, såsom den för närvarande är tillämplig, ger inte önskvärda resultat med avseende på vissa av dessa mål. Även om institut och enheter har gjort betydande framsteg mot möjligheten till resolution och har avsatt betydande resurser för detta ändamål, särskilt genom uppbyggnad av förlustabsorberings- och rekapitaliseringskapacitet och komplettering av finansieringsarrangemang för resolution, används sällan unionens resolutionsram. Det är därför nödvändigt att säkerställa en mer effektiv och konsekvent tillämpning av unionens resolutionsram och säkerställa att den kan tillämpas närhelst det ligger i allmänhetens intresse.</w:t>
            </w:r>
          </w:p>
        </w:tc>
      </w:tr>
    </w:tbl>
    <w:p w:rsidR="00D16657" w:rsidRPr="00872462" w:rsidRDefault="00D16657" w:rsidP="00D16657">
      <w:pPr>
        <w:pStyle w:val="Olang"/>
        <w:rPr>
          <w:lang w:val="en-GB"/>
        </w:rPr>
      </w:pPr>
      <w:r w:rsidRPr="00872462">
        <w:rPr>
          <w:lang w:val="en-GB"/>
        </w:rPr>
        <w:t xml:space="preserve">Or. </w:t>
      </w:r>
      <w:r w:rsidRPr="00872462">
        <w:rPr>
          <w:rStyle w:val="HideTWBExt"/>
        </w:rPr>
        <w:t>&lt;Original&gt;</w:t>
      </w:r>
      <w:r w:rsidRPr="00872462">
        <w:rPr>
          <w:rStyle w:val="HideTWBInt"/>
          <w:rFonts w:eastAsiaTheme="majorEastAsia"/>
        </w:rPr>
        <w:t>{EN}</w:t>
      </w:r>
      <w:r w:rsidRPr="00872462">
        <w:rPr>
          <w:lang w:val="en-GB"/>
        </w:rPr>
        <w:t>en</w:t>
      </w:r>
      <w:r w:rsidRPr="00872462">
        <w:rPr>
          <w:rStyle w:val="HideTWBExt"/>
        </w:rPr>
        <w:t>&lt;/Original&gt;</w:t>
      </w:r>
    </w:p>
    <w:p w:rsidR="00D16657" w:rsidRPr="00872462" w:rsidRDefault="00D16657" w:rsidP="00D16657">
      <w:pPr>
        <w:pStyle w:val="JustificationTitle"/>
        <w:rPr>
          <w:noProof w:val="0"/>
          <w:lang w:val="en-GB"/>
        </w:rPr>
      </w:pPr>
      <w:r w:rsidRPr="00872462">
        <w:rPr>
          <w:rStyle w:val="HideTWBExt"/>
          <w:i w:val="0"/>
        </w:rPr>
        <w:t>&lt;TitreJust&gt;</w:t>
      </w:r>
      <w:r w:rsidRPr="00872462">
        <w:rPr>
          <w:lang w:val="en-GB"/>
        </w:rPr>
        <w:t>Motivering</w:t>
      </w:r>
      <w:r w:rsidRPr="00872462">
        <w:rPr>
          <w:rStyle w:val="HideTWBExt"/>
          <w:i w:val="0"/>
        </w:rPr>
        <w:t>&lt;/TitreJust&gt;</w:t>
      </w:r>
    </w:p>
    <w:p w:rsidR="00D16657" w:rsidRPr="00872462" w:rsidRDefault="00D16657" w:rsidP="00D16657">
      <w:pPr>
        <w:pStyle w:val="Normal12Italic"/>
        <w:rPr>
          <w:noProof w:val="0"/>
          <w:lang w:val="en-GB"/>
        </w:rPr>
      </w:pPr>
      <w:r w:rsidRPr="00872462">
        <w:rPr>
          <w:lang w:val="en-GB"/>
        </w:rPr>
        <w:t>Justification: 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rsidR="00D16657" w:rsidRPr="00872462" w:rsidRDefault="00D16657" w:rsidP="00D16657">
      <w:pPr>
        <w:rPr>
          <w:lang w:val="en-GB"/>
        </w:rPr>
      </w:pPr>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59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w:t>
            </w:r>
            <w:r w:rsidRPr="00872462">
              <w:tab/>
              <w:t xml:space="preserve">Flera år efter genomförandet av unionens resolutionsram, såsom den för närvarande är tillämplig, ger inte önskvärda resultat med avseende på vissa av dessa mål. Även om institut och enheter har gjort betydande framsteg mot möjligheten till resolution och har avsatt betydande resurser för detta ändamål, särskilt genom uppbyggnad av förlustabsorberings- och rekapitaliseringskapacitet och komplettering av finansieringsarrangemang för resolution, används sällan unionens resolutionsram. </w:t>
            </w:r>
            <w:r w:rsidRPr="00872462">
              <w:rPr>
                <w:b/>
                <w:i/>
              </w:rPr>
              <w:t>Misslyckanden i vissa mindre och medelstora institut och enheter hanteras i stället främst genom nationella åtgärder som inte är harmoniserade. Skattebetalarnas pengar används snarare än finansieringsarrangemang för resolution. Denna situation förefaller bero på otillräckliga incitament. Dessa otillräckliga incitament är en följd av samspelet mellan unionens resolutionsram och nationella regler, vilket innebär att det stora utrymmet för skönsmässig bedömning vid bedömningen av allmänintresset inte alltid utövas på ett sätt som återspeglar hur unionens resolutionsram var avsedd att tillämpas. Samtidigt användes unionens resolutionsram i liten utsträckning på grund av riskerna för insättare i inlåningsfinansierade institut att bära förluster för att säkerställa att dessa institut kan få tillgång till extern finansiering vid resolution, särskilt i avsaknad av andra nedskrivningsbara skulder. Slutligen har det faktum att det finns mindre stränga regler för tillgång till finansiering utanför resolution än vid resolution avskräckt från att tillämpa unionens resolutionsram till förmån för andra lösningar, vilket ofta innebär att skattebetalarnas pengar används i stället för institutets eller enhetens egna medel eller branschfinansierade skyddsnät. Denna situation medför i sin tur risker för fragmentering, risker för suboptimala resultat i förvaltningen av institut och enheters fallissemang, särskilt när det gäller små och medelstora institut och enheter, och alternativkostnader från outnyttjade finansiella resurser.</w:t>
            </w:r>
            <w:r w:rsidRPr="00872462">
              <w:t xml:space="preserve"> Det är därför nödvändigt att säkerställa en mer effektiv och konsekvent tillämpning av unionens resolutionsram och säkerställa att den kan tillämpas närhelst det ligger i allmänhetens intresse, inbegripet för små och medelstora institut som primärt finansieras genom insättningar och utan tillräckliga andra nedskrivningsbara skulder.</w:t>
            </w:r>
          </w:p>
        </w:tc>
        <w:tc>
          <w:tcPr>
            <w:tcW w:w="4876" w:type="dxa"/>
            <w:hideMark/>
          </w:tcPr>
          <w:p w:rsidR="00D16657" w:rsidRPr="00872462" w:rsidRDefault="00D16657" w:rsidP="00610A50">
            <w:pPr>
              <w:pStyle w:val="Normal6"/>
              <w:rPr>
                <w:szCs w:val="24"/>
              </w:rPr>
            </w:pPr>
            <w:r w:rsidRPr="00872462">
              <w:t>(2)</w:t>
            </w:r>
            <w:r w:rsidRPr="00872462">
              <w:tab/>
              <w:t>Flera år efter genomförandet av unionens resolutionsram, såsom den för närvarande är tillämplig, ger inte önskvärda resultat med avseende på vissa av dessa mål. Även om institut och enheter har gjort betydande framsteg mot möjligheten till resolution och har avsatt betydande resurser för detta ändamål, särskilt genom uppbyggnad av förlustabsorberings- och rekapitaliseringskapacitet och komplettering av finansieringsarrangemang för resolution, används sällan unionens resolutionsram. Det är därför nödvändigt att säkerställa en mer effektiv och konsekvent tillämpning av unionens resolutionsram och säkerställa att den kan tillämpas närhelst det ligger i allmänhetens intresse, inbegripet för små och medelstora institut som primärt finansieras genom insättningar och utan tillräckliga andra nedskrivningsbara skulder.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w:t>
            </w:r>
            <w:r w:rsidRPr="00872462">
              <w:tab/>
              <w:t xml:space="preserve">Flera år efter genomförandet av unionens resolutionsram, såsom den för närvarande är tillämplig, ger inte önskvärda resultat med avseende på vissa av dessa mål. Även om institut och enheter har gjort betydande framsteg mot möjligheten till resolution och har avsatt betydande resurser för detta ändamål, särskilt genom uppbyggnad av förlustabsorberings- och rekapitaliseringskapacitet och komplettering av finansieringsarrangemang för resolution, används sällan unionens resolutionsram. Misslyckanden i vissa mindre och medelstora institut och enheter hanteras i stället främst genom nationella åtgärder som inte är harmoniserade. Skattebetalarnas pengar används snarare än finansieringsarrangemang för resolution. Denna situation förefaller bero på otillräckliga incitament. Dessa otillräckliga incitament är en följd av samspelet mellan unionens resolutionsram och nationella regler, vilket innebär att det stora utrymmet för skönsmässig bedömning vid bedömningen av allmänintresset inte alltid utövas på ett sätt som återspeglar hur unionens resolutionsram var avsedd att tillämpas. </w:t>
            </w:r>
            <w:r w:rsidRPr="00872462">
              <w:rPr>
                <w:b/>
                <w:i/>
              </w:rPr>
              <w:t>Samtidigt användes unionens resolutionsram i liten utsträckning på grund av riskerna för insättare i inlåningsfinansierade institut att bära förluster för att säkerställa att dessa institut kan få tillgång till extern finansiering vid resolution, särskilt i avsaknad av andra nedskrivningsbara skulder.</w:t>
            </w:r>
            <w:r w:rsidRPr="00872462">
              <w:t xml:space="preserve"> Slutligen har det faktum att det finns mindre stränga regler för tillgång till finansiering utanför resolution än vid resolution avskräckt från att tillämpa unionens resolutionsram till förmån för andra lösningar, vilket ofta innebär att skattebetalarnas pengar används i stället för institutets eller enhetens egna medel eller branschfinansierade skyddsnät. Denna situation medför i sin tur risker för fragmentering, risker för suboptimala resultat i förvaltningen av institut och enheters fallissemang, särskilt när det gäller små och medelstora institut och enheter, och alternativkostnader från outnyttjade finansiella resurser. Det är därför nödvändigt att säkerställa en mer effektiv och konsekvent tillämpning av unionens resolutionsram och säkerställa att den kan tillämpas närhelst det ligger i allmänhetens intresse, inbegripet för små och medelstora institut</w:t>
            </w:r>
            <w:r w:rsidRPr="00872462">
              <w:rPr>
                <w:b/>
                <w:i/>
              </w:rPr>
              <w:t xml:space="preserve"> som primärt finansieras genom insättningar och utan tillräckliga andra nedskrivningsbara skulder</w:t>
            </w:r>
            <w:r w:rsidRPr="00872462">
              <w:t>.</w:t>
            </w:r>
          </w:p>
        </w:tc>
        <w:tc>
          <w:tcPr>
            <w:tcW w:w="4876" w:type="dxa"/>
            <w:hideMark/>
          </w:tcPr>
          <w:p w:rsidR="00D16657" w:rsidRPr="00872462" w:rsidRDefault="00D16657" w:rsidP="00610A50">
            <w:pPr>
              <w:pStyle w:val="Normal6"/>
              <w:rPr>
                <w:szCs w:val="24"/>
              </w:rPr>
            </w:pPr>
            <w:r w:rsidRPr="00872462">
              <w:t>(2)</w:t>
            </w:r>
            <w:r w:rsidRPr="00872462">
              <w:tab/>
              <w:t>Flera år efter genomförandet av unionens resolutionsram, såsom den för närvarande är tillämplig, ger inte önskvärda resultat med avseende på vissa av dessa mål. Även om institut och enheter har gjort betydande framsteg mot möjligheten till resolution och har avsatt betydande resurser för detta ändamål, särskilt genom uppbyggnad av förlustabsorberings- och rekapitaliseringskapacitet och komplettering av finansieringsarrangemang för resolution, används sällan unionens resolutionsram. Misslyckanden i vissa mindre och medelstora institut och enheter hanteras i stället främst genom nationella åtgärder som inte är harmoniserade. Skattebetalarnas pengar används snarare än finansieringsarrangemang för resolution. Denna situation förefaller bero på otillräckliga incitament. Dessa otillräckliga incitament är en följd av samspelet mellan unionens resolutionsram och nationella regler, vilket innebär att det stora utrymmet för skönsmässig bedömning vid bedömningen av allmänintresset inte alltid utövas på ett sätt som återspeglar hur unionens resolutionsram var avsedd att tillämpas. Slutligen har det faktum att det finns mindre stränga regler för tillgång till finansiering utanför resolution än vid resolution avskräckt från att tillämpa unionens resolutionsram till förmån för andra lösningar, vilket ofta innebär att skattebetalarnas pengar används i stället för institutets eller enhetens egna medel eller branschfinansierade skyddsnät. Denna situation medför i sin tur risker för fragmentering, risker för suboptimala resultat i förvaltningen av institut och enheters fallissemang, särskilt när det gäller små och medelstora institut och enheter, och alternativkostnader från outnyttjade finansiella resurser. Det är därför nödvändigt att säkerställa en mer effektiv och konsekvent tillämpning av unionens resolutionsram och säkerställa att den kan tillämpas närhelst det ligger i allmänhetens intresse, inbegripet för små och medelstora institut.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w:t>
            </w:r>
            <w:r w:rsidRPr="00872462">
              <w:tab/>
              <w:t>Flera år efter genomförandet av unionens resolutionsram, såsom den för närvarande är tillämplig, ger inte önskvärda resultat med avseende på vissa av dessa mål. Även om institut och enheter har gjort betydande framsteg mot möjligheten till resolution och har avsatt betydande resurser för detta ändamål, särskilt genom uppbyggnad av förlustabsorberings- och rekapitaliseringskapacitet och komplettering av finansieringsarrangemang för resolution, används sällan unionens resolutionsram. Misslyckanden i vissa mindre och medelstora institut och enheter hanteras i stället främst genom nationella åtgärder som inte är harmoniserade. Skattebetalarnas pengar används snarare än finansieringsarrangemang för resolution. Denna situation förefaller bero på otillräckliga incitament. Dessa otillräckliga incitament är en följd av samspelet mellan unionens resolutionsram och nationella regler, vilket innebär att det stora utrymmet för skönsmässig bedömning vid bedömningen av allmänintresset inte alltid utövas på ett sätt som återspeglar hur unionens resolutionsram var avsedd att tillämpas. Samtidigt användes unionens resolutionsram i liten utsträckning på grund av riskerna för insättare i inlåningsfinansierade institut att bära förluster för att säkerställa att dessa institut kan få tillgång till extern finansiering vid resolution, särskilt i avsaknad av andra nedskrivningsbara skulder. Slutligen har det faktum att det finns mindre stränga regler för tillgång till finansiering utanför resolution än vid resolution avskräckt från att tillämpa unionens resolutionsram till förmån för andra lösningar, vilket ofta innebär att skattebetalarnas pengar används i stället för institutets eller enhetens egna medel eller branschfinansierade skyddsnät. Denna situation medför i sin tur risker för fragmentering, risker för suboptimala resultat i förvaltningen av institut och enheters fallissemang, särskilt när det gäller små och medelstora institut och enheter, och alternativkostnader från outnyttjade finansiella resurser. Det är därför nödvändigt att säkerställa en mer effektiv och konsekvent tillämpning av unionens resolutionsram och säkerställa att den kan tillämpas närhelst det ligger i allmänhetens intresse, inbegripet för små och medelstora institut som primärt finansieras genom insättningar och utan tillräckliga andra nedskrivningsbara skulder.</w:t>
            </w:r>
          </w:p>
        </w:tc>
        <w:tc>
          <w:tcPr>
            <w:tcW w:w="4876" w:type="dxa"/>
            <w:hideMark/>
          </w:tcPr>
          <w:p w:rsidR="00D16657" w:rsidRPr="00872462" w:rsidRDefault="00D16657" w:rsidP="00610A50">
            <w:pPr>
              <w:pStyle w:val="Normal6"/>
              <w:rPr>
                <w:szCs w:val="24"/>
              </w:rPr>
            </w:pPr>
            <w:r w:rsidRPr="00872462">
              <w:t>(2)</w:t>
            </w:r>
            <w:r w:rsidRPr="00872462">
              <w:tab/>
              <w:t xml:space="preserve">Flera år efter genomförandet av unionens resolutionsram, såsom den för närvarande är tillämplig, ger inte önskvärda resultat med avseende på vissa av dessa mål. Även om institut och enheter har gjort betydande framsteg mot möjligheten till resolution och har avsatt betydande resurser för detta ändamål, särskilt genom uppbyggnad av förlustabsorberings- och rekapitaliseringskapacitet och komplettering av finansieringsarrangemang för resolution, används sällan unionens resolutionsram. Misslyckanden i vissa mindre och medelstora institut och enheter hanteras i stället främst genom nationella åtgärder som inte är harmoniserade. Skattebetalarnas pengar används snarare än finansieringsarrangemang för resolution. Denna situation förefaller bero på otillräckliga incitament. Dessa otillräckliga incitament är en följd av samspelet mellan unionens resolutionsram och nationella regler, vilket innebär att det stora utrymmet för skönsmässig bedömning vid bedömningen av allmänintresset inte alltid utövas på ett sätt som återspeglar hur unionens resolutionsram var avsedd att tillämpas. Samtidigt användes unionens resolutionsram i liten utsträckning på grund av riskerna för insättare i inlåningsfinansierade institut att bära förluster för att säkerställa att dessa institut kan få tillgång till extern finansiering vid resolution, särskilt i avsaknad av andra nedskrivningsbara skulder. Slutligen har det faktum att det finns mindre stränga regler för tillgång till finansiering utanför resolution än vid resolution avskräckt från att tillämpa unionens resolutionsram till förmån för andra lösningar, vilket ofta innebär att skattebetalarnas pengar används i stället för institutets eller enhetens egna medel eller branschfinansierade skyddsnät. Denna situation medför i sin tur risker för fragmentering, risker för suboptimala resultat i förvaltningen av institut och enheters fallissemang, särskilt när det gäller små och medelstora institut och enheter, och alternativkostnader från outnyttjade finansiella resurser. Det är därför nödvändigt att säkerställa en mer effektiv och konsekvent tillämpning av unionens resolutionsram och säkerställa att den kan tillämpas närhelst det ligger i allmänhetens intresse, inbegripet för små och medelstora institut som primärt finansieras genom insättningar och utan tillräckliga andra nedskrivningsbara skulder </w:t>
            </w:r>
            <w:r w:rsidRPr="00872462">
              <w:rPr>
                <w:b/>
                <w:i/>
              </w:rPr>
              <w:t>än insättningar</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(2a)</w:t>
            </w:r>
            <w:r w:rsidRPr="00872462">
              <w:rPr>
                <w:b/>
                <w:i/>
              </w:rPr>
              <w:tab/>
              <w:t>Den pågående översynen av lagstiftningen syftar till att stärka villkoren för en ordnad bankresolution som ger insättarna större skydd. Den upprätthåller stadigt försäkringen för garanterade insättningar och förbättrar samtidigt den politiska verktygslådan för resolution, vilket möjliggör smidigare alternativ som ger ytterligare skydd för insättare och finansiell stabilitet.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Roberts Zīle</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(2a)</w:t>
            </w:r>
            <w:r w:rsidRPr="00872462">
              <w:rPr>
                <w:b/>
                <w:i/>
              </w:rPr>
              <w:tab/>
              <w:t>Den pågående översynen av lagstiftningen syftar till att stärka villkoren för en ordnad bankresolution som ger insättarna större skydd. Den upprätthåller stadigt försäkringen för garanterade insättningar och stärker samtidigt den politiska verktygslådan för resolution, vilket möjliggör smidigare alternativ som ger ytterligare skydd för insättare och finansiell stabilitet.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(4)</w:t>
            </w:r>
            <w:r w:rsidRPr="00872462">
              <w:tab/>
              <w:t xml:space="preserve">Arbetets intensitet och detaljnivå med avseende på dotterbolag som inte är resolutionsenheter kan variera beroende på de berörda institutens och enheternas storlek och riskprofil, förekomsten av kritiska funktioner och koncernresolutionsstrategin. Den gemensamma resolutionsnämnden (nämnden) bör därför kunna beakta dessa faktorer när den fastställer vilka åtgärder som ska vidtas med avseende på sådana dotterbolag och </w:t>
            </w:r>
            <w:r w:rsidRPr="00872462">
              <w:rPr>
                <w:b/>
                <w:bCs/>
                <w:i/>
                <w:iCs/>
              </w:rPr>
              <w:t>vid behov</w:t>
            </w:r>
            <w:r w:rsidRPr="00872462">
              <w:t xml:space="preserve"> följa en förenklad metod.</w:t>
            </w:r>
          </w:p>
        </w:tc>
        <w:tc>
          <w:tcPr>
            <w:tcW w:w="4876" w:type="dxa"/>
            <w:hideMark/>
          </w:tcPr>
          <w:p w:rsidR="00D16657" w:rsidRPr="00872462" w:rsidRDefault="00D16657" w:rsidP="00610A50">
            <w:pPr>
              <w:pStyle w:val="Normal6"/>
              <w:rPr>
                <w:szCs w:val="24"/>
              </w:rPr>
            </w:pPr>
            <w:r w:rsidRPr="00872462">
              <w:t>(4)</w:t>
            </w:r>
            <w:r w:rsidRPr="00872462">
              <w:tab/>
              <w:t xml:space="preserve">Arbetets intensitet och detaljnivå med avseende på dotterbolag som inte är resolutionsenheter kan variera beroende på de berörda institutens och enheternas storlek och riskprofil, förekomsten av kritiska funktioner och koncernresolutionsstrategin. Den gemensamma resolutionsnämnden (nämnden) bör därför kunna beakta dessa faktorer när den fastställer vilka åtgärder som ska vidtas med avseende på sådana dotterbolag och </w:t>
            </w:r>
            <w:r w:rsidRPr="00872462">
              <w:rPr>
                <w:b/>
                <w:i/>
              </w:rPr>
              <w:t>den bör kunna besluta att</w:t>
            </w:r>
            <w:r w:rsidRPr="00872462">
              <w:t xml:space="preserve"> följa en förenklad metod</w:t>
            </w:r>
            <w:r w:rsidRPr="00872462">
              <w:rPr>
                <w:b/>
                <w:i/>
              </w:rPr>
              <w:t>, vid behov efter samråd med respektive nationell myndighet, så länge den förenklade metoden inte under några omständigheter leder till en minskning av de standarder som krävs</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Roberts Zīle</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(4)</w:t>
            </w:r>
            <w:r w:rsidRPr="00872462">
              <w:tab/>
              <w:t>Arbetets intensitet och detaljnivå med avseende på dotterbolag som inte är resolutionsenheter kan variera beroende på de berörda institutens och enheternas storlek och riskprofil, förekomsten av kritiska funktioner och koncernresolutionsstrategin. Den gemensamma resolutionsnämnden (nämnden) bör därför kunna beakta dessa faktorer när den fastställer vilka åtgärder som ska vidtas med avseende på sådana dotterbolag och vid behov följa en förenklad metod.</w:t>
            </w:r>
          </w:p>
        </w:tc>
        <w:tc>
          <w:tcPr>
            <w:tcW w:w="4876" w:type="dxa"/>
            <w:hideMark/>
          </w:tcPr>
          <w:p w:rsidR="00D16657" w:rsidRPr="00872462" w:rsidRDefault="00D16657" w:rsidP="00610A50">
            <w:pPr>
              <w:pStyle w:val="Normal6"/>
              <w:rPr>
                <w:szCs w:val="24"/>
              </w:rPr>
            </w:pPr>
            <w:r w:rsidRPr="00872462">
              <w:t>(4)</w:t>
            </w:r>
            <w:r w:rsidRPr="00872462">
              <w:tab/>
              <w:t>Arbetets intensitet och detaljnivå med avseende på dotterbolag som inte är resolutionsenheter kan variera beroende på de berörda institutens och enheternas storlek och riskprofil, förekomsten av kritiska funktioner och koncernresolutionsstrategin. Den gemensamma resolutionsnämnden (nämnden) bör därför kunna beakta dessa faktorer när den fastställer vilka åtgärder som ska vidtas med avseende på sådana dotterbolag och vid behov följa en förenklad metod</w:t>
            </w:r>
            <w:r w:rsidRPr="00872462">
              <w:rPr>
                <w:b/>
                <w:i/>
              </w:rPr>
              <w:t>, så länge den förenklade metoden inte under några omständigheter leder till en minskning av de standarder som krävs</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9</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(9)</w:t>
            </w:r>
            <w:r w:rsidRPr="00872462">
              <w:tab/>
              <w:t>Reglerna för fastställande av minimikravet för kapitalbas och kvalificerade skulder är främst inriktade på att fastställa en lämplig nivå på minimikravet för kapitalbas och kvalificerade skulder med antagandet att skuldnedskrivningsverktyget är den föredragna resolutionsstrategin. Enligt förordning (EU) nr 806/2014 får nämnden dock använda andra resolutionsverktyg, nämligen sådana som är beroende av att verksamheten i institutet under resolution överförs till en privat köpare eller till ett broinstitut. Det bör därför specificeras att nämnden, om resolutionsplanen föreskriver användning av verktyget försäljning av verksamhet eller broinstitutverktyget och resolutionsenhetens utträde från marknaden, bör fastställa nivån på minimikravet för kapitalbas och kvalificerade skulder för den berörda resolutionsenheten på grundval av särdragen hos dessa resolutionsverktyg och de olika förlustabsorberings- och rekapitaliseringsbehov som dessa verktyg medför.</w:t>
            </w:r>
          </w:p>
        </w:tc>
        <w:tc>
          <w:tcPr>
            <w:tcW w:w="4876" w:type="dxa"/>
            <w:hideMark/>
          </w:tcPr>
          <w:p w:rsidR="00D16657" w:rsidRPr="00872462" w:rsidRDefault="00D16657" w:rsidP="00610A50">
            <w:pPr>
              <w:pStyle w:val="Normal6"/>
              <w:rPr>
                <w:szCs w:val="24"/>
              </w:rPr>
            </w:pPr>
            <w:r w:rsidRPr="00872462">
              <w:t>(9)</w:t>
            </w:r>
            <w:r w:rsidRPr="00872462">
              <w:tab/>
              <w:t>Reglerna för fastställande av minimikravet för kapitalbas och kvalificerade skulder är främst inriktade på att fastställa en lämplig nivå på minimikravet för kapitalbas och kvalificerade skulder med antagandet att skuldnedskrivningsverktyget är den föredragna resolutionsstrategin. Enligt förordning (EU) nr 806/2014 får nämnden dock använda andra resolutionsverktyg, nämligen sådana som är beroende av att verksamheten i institutet under resolution överförs till en privat köpare eller till ett broinstitut</w:t>
            </w:r>
            <w:r w:rsidRPr="00872462">
              <w:rPr>
                <w:b/>
                <w:i/>
              </w:rPr>
              <w:t>, som ett fristående verktyg eller i kombination med andra verktyg, inbegripet skuldnedskrivning</w:t>
            </w:r>
            <w:r w:rsidRPr="00872462">
              <w:t xml:space="preserve">. Det bör därför specificeras </w:t>
            </w:r>
            <w:r w:rsidRPr="00872462">
              <w:rPr>
                <w:b/>
                <w:i/>
              </w:rPr>
              <w:t>ytterligare</w:t>
            </w:r>
            <w:r w:rsidRPr="00872462">
              <w:t xml:space="preserve"> att nämnden, om resolutionsplanen föreskriver användning av </w:t>
            </w:r>
            <w:r w:rsidRPr="00872462">
              <w:rPr>
                <w:b/>
                <w:i/>
              </w:rPr>
              <w:t>en kombination av verktyg eller</w:t>
            </w:r>
            <w:r w:rsidRPr="00872462">
              <w:t xml:space="preserve"> verktyget försäljning av verksamhet eller broinstitutverktyget och resolutionsenhetens utträde från marknaden, </w:t>
            </w:r>
            <w:r w:rsidRPr="00872462">
              <w:rPr>
                <w:b/>
                <w:i/>
              </w:rPr>
              <w:t>alltid</w:t>
            </w:r>
            <w:r w:rsidRPr="00872462">
              <w:t xml:space="preserve"> bör fastställa nivån på minimikravet för kapitalbas och kvalificerade skulder för den berörda resolutionsenheten på grundval av särdragen hos dessa resolutionsverktyg och de olika förlustabsorberings- och rekapitaliseringsbehov som dessa verktyg medför</w:t>
            </w:r>
            <w:r w:rsidRPr="00872462">
              <w:rPr>
                <w:b/>
                <w:i/>
              </w:rPr>
              <w:t>, med beaktande av den minskning av storleken och komplexiteten som följer av genomförandet av återhämtningsalternativen inför resolutionen och av resolutionsåtgärderna</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Principen om att anpassa målet för minimikravet för kapitalbas och kvalificerade skulder till särdragen i den föredragna resolutionsstrategin måste genomföras horisontellt för alla verktyg och kombinationer av verktyg.</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(10)</w:t>
            </w:r>
            <w:r w:rsidRPr="00872462">
              <w:tab/>
              <w:t xml:space="preserve">Nivån på minimikravet för kapitalbas och kvalificerade skulder för resolutionsenheter är summan av de förluster som förväntas vid resolution och det rekapitaliseringsbelopp som gör det möjligt för </w:t>
            </w:r>
            <w:r w:rsidRPr="00872462">
              <w:rPr>
                <w:b/>
                <w:i/>
              </w:rPr>
              <w:t>resolutionsenheten</w:t>
            </w:r>
            <w:r w:rsidRPr="00872462">
              <w:t xml:space="preserve"> att fortsätta att uppfylla sina auktorisationsvillkor och göra det möjligt för den att bedriva sin verksamhet under en lämplig period. Vissa föredragna resolutionsstrategier innebär överföring av tillgångar, rättigheter och skulder till en mottagande enhet och marknadsutträde, särskilt verktyget för försäljning av verksamhet. I dessa fall kan det hända att de mål som eftersträvas med rekapitaliseringskomponenten inte är tillämpliga i samma utsträckning som för en skuldnedskrivningsstrategi för öppna banker, eftersom nämnden inte kommer att vara skyldig att säkerställa att resolutionsenheten återställer efterlevnaden av sina kapitalbaskrav efter resolutionsåtgärden. Förlusterna förväntas dock i sådana fall överstiga resolutionsenhetens kapitalbaskrav. Det är därför lämpligt att fastställa att nivån på minimikravet för kapitalbas och kvalificerade skulder för dessa resolutionsenheter fortsätter att omfatta ett rekapitaliseringsbelopp som justeras på ett sätt som står i proportion till resolutionsstrategin.</w:t>
            </w:r>
          </w:p>
        </w:tc>
        <w:tc>
          <w:tcPr>
            <w:tcW w:w="4876" w:type="dxa"/>
            <w:hideMark/>
          </w:tcPr>
          <w:p w:rsidR="00D16657" w:rsidRPr="00872462" w:rsidRDefault="00D16657" w:rsidP="00610A50">
            <w:pPr>
              <w:pStyle w:val="Normal6"/>
              <w:rPr>
                <w:szCs w:val="24"/>
              </w:rPr>
            </w:pPr>
            <w:r w:rsidRPr="00872462">
              <w:t>(10)</w:t>
            </w:r>
            <w:r w:rsidRPr="00872462">
              <w:tab/>
              <w:t xml:space="preserve">Nivån på minimikravet för kapitalbas och kvalificerade skulder för resolutionsenheter är summan av de förluster som förväntas vid resolution och det rekapitaliseringsbelopp som gör det möjligt för </w:t>
            </w:r>
            <w:r w:rsidRPr="00872462">
              <w:rPr>
                <w:b/>
                <w:i/>
              </w:rPr>
              <w:t>enheten efter resolutionen</w:t>
            </w:r>
            <w:r w:rsidRPr="00872462">
              <w:t xml:space="preserve"> att fortsätta att uppfylla sina auktorisationsvillkor och göra det möjligt för den att bedriva sin verksamhet under en lämplig period. Vissa föredragna resolutionsstrategier innebär överföring av tillgångar, rättigheter och skulder till en mottagande enhet och marknadsutträde, särskilt verktyget för försäljning av verksamhet. I dessa fall kan det hända att de mål som eftersträvas med rekapitaliseringskomponenten inte är tillämpliga i samma utsträckning som för en skuldnedskrivningsstrategi för öppna banker, eftersom nämnden inte kommer att vara skyldig att säkerställa att resolutionsenheten återställer efterlevnaden av sina kapitalbaskrav efter resolutionsåtgärden</w:t>
            </w:r>
            <w:r w:rsidRPr="00872462">
              <w:rPr>
                <w:b/>
                <w:i/>
              </w:rPr>
              <w:t>, även om förvärvaren kan begära att transaktionen ska vara kapitalneutral</w:t>
            </w:r>
            <w:r w:rsidRPr="00872462">
              <w:t xml:space="preserve">. Förlusterna förväntas dock i sådana fall överstiga resolutionsenhetens kapitalbaskrav. Det är därför lämpligt att fastställa att nivån på minimikravet för kapitalbas och kvalificerade skulder för dessa resolutionsenheter fortsätter att omfatta ett rekapitaliseringsbelopp som justeras på ett sätt som står i proportion till resolutionsstrategin </w:t>
            </w:r>
            <w:r w:rsidRPr="00872462">
              <w:rPr>
                <w:b/>
                <w:i/>
              </w:rPr>
              <w:t>och som är föremål för ett lämpligt golv</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Anpassningen av målet för minimikravet för kapitalbas och kvalificerade skulder för överföringsverktyget med marknadsutträde måste vara tillräckligt försiktig och robust.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(10)</w:t>
            </w:r>
            <w:r w:rsidRPr="00872462">
              <w:tab/>
              <w:t xml:space="preserve">Nivån på minimikravet för kapitalbas och kvalificerade skulder för resolutionsenheter är summan av de förluster som förväntas vid resolution och det rekapitaliseringsbelopp som gör det möjligt för resolutionsenheten att fortsätta att uppfylla sina auktorisationsvillkor och göra det möjligt för den att bedriva sin verksamhet under en lämplig period. Vissa föredragna resolutionsstrategier innebär överföring av tillgångar, rättigheter och skulder till en mottagande enhet och marknadsutträde, särskilt verktyget för försäljning av verksamhet. I dessa fall kan det hända att de mål som eftersträvas med rekapitaliseringskomponenten inte är tillämpliga i samma utsträckning som för en skuldnedskrivningsstrategi för öppna banker, eftersom nämnden inte kommer att vara skyldig att säkerställa att resolutionsenheten återställer efterlevnaden av sina kapitalbaskrav efter resolutionsåtgärden. </w:t>
            </w:r>
            <w:r w:rsidRPr="00872462">
              <w:rPr>
                <w:b/>
                <w:i/>
              </w:rPr>
              <w:t>Förlusterna förväntas dock i sådana fall överstiga resolutionsenhetens kapitalbaskrav.</w:t>
            </w:r>
            <w:r w:rsidRPr="00872462">
              <w:t xml:space="preserve"> Det är därför lämpligt att fastställa att nivån på minimikravet för kapitalbas och kvalificerade skulder för dessa resolutionsenheter fortsätter att omfatta ett rekapitaliseringsbelopp som justeras på ett sätt som står i proportion till resolutionsstrategin.</w:t>
            </w:r>
          </w:p>
        </w:tc>
        <w:tc>
          <w:tcPr>
            <w:tcW w:w="4876" w:type="dxa"/>
            <w:hideMark/>
          </w:tcPr>
          <w:p w:rsidR="00D16657" w:rsidRPr="00872462" w:rsidRDefault="00D16657" w:rsidP="00610A50">
            <w:pPr>
              <w:pStyle w:val="Normal6"/>
              <w:rPr>
                <w:szCs w:val="24"/>
              </w:rPr>
            </w:pPr>
            <w:r w:rsidRPr="00872462">
              <w:t>(10)</w:t>
            </w:r>
            <w:r w:rsidRPr="00872462">
              <w:tab/>
              <w:t>Nivån på minimikravet för kapitalbas och kvalificerade skulder för resolutionsenheter är summan av de förluster som förväntas vid resolution och det rekapitaliseringsbelopp som gör det möjligt för resolutionsenheten att fortsätta att uppfylla sina auktorisationsvillkor och göra det möjligt för den att bedriva sin verksamhet under en lämplig period. Vissa föredragna resolutionsstrategier innebär överföring av tillgångar, rättigheter och skulder till en mottagande enhet och marknadsutträde, särskilt verktyget för försäljning av verksamhet. I dessa fall kan det hända att de mål som eftersträvas med rekapitaliseringskomponenten inte är tillämpliga i samma utsträckning som för en skuldnedskrivningsstrategi för öppna banker, eftersom nämnden inte kommer att vara skyldig att säkerställa att resolutionsenheten återställer efterlevnaden av sina kapitalbaskrav efter resolutionsåtgärden. Det är därför lämpligt att fastställa att nivån på minimikravet för kapitalbas och kvalificerade skulder för dessa resolutionsenheter fortsätter att omfatta ett rekapitaliseringsbelopp som justeras på ett sätt som står i proportion till resolutionsstrategin.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69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(10)</w:t>
            </w:r>
            <w:r w:rsidRPr="00872462">
              <w:tab/>
              <w:t xml:space="preserve">Nivån på minimikravet för kapitalbas och kvalificerade skulder för resolutionsenheter är summan av de förluster som förväntas vid resolution och det rekapitaliseringsbelopp som gör det möjligt för resolutionsenheten att fortsätta att uppfylla sina auktorisationsvillkor och göra det möjligt för den att bedriva sin verksamhet under en lämplig period. Vissa föredragna resolutionsstrategier innebär överföring av tillgångar, rättigheter och skulder till en mottagande enhet och marknadsutträde, särskilt verktyget för försäljning av verksamhet. I dessa fall kan det hända att de mål som eftersträvas med rekapitaliseringskomponenten inte är tillämpliga i samma utsträckning som för en skuldnedskrivningsstrategi för öppna banker, eftersom nämnden inte kommer att vara skyldig att säkerställa att resolutionsenheten återställer efterlevnaden av sina kapitalbaskrav efter resolutionsåtgärden. Förlusterna förväntas dock i sådana fall överstiga resolutionsenhetens kapitalbaskrav. Det är därför lämpligt att fastställa att nivån på minimikravet för kapitalbas och kvalificerade skulder för dessa resolutionsenheter fortsätter att omfatta ett rekapitaliseringsbelopp som justeras på ett sätt som </w:t>
            </w:r>
            <w:r w:rsidRPr="00872462">
              <w:rPr>
                <w:b/>
                <w:i/>
              </w:rPr>
              <w:t>står i proportion till</w:t>
            </w:r>
            <w:r w:rsidRPr="00872462">
              <w:t xml:space="preserve"> resolutionsstrategin.</w:t>
            </w:r>
          </w:p>
        </w:tc>
        <w:tc>
          <w:tcPr>
            <w:tcW w:w="4876" w:type="dxa"/>
            <w:hideMark/>
          </w:tcPr>
          <w:p w:rsidR="00D16657" w:rsidRPr="00872462" w:rsidRDefault="00D16657" w:rsidP="00610A50">
            <w:pPr>
              <w:pStyle w:val="Normal6"/>
              <w:rPr>
                <w:szCs w:val="24"/>
              </w:rPr>
            </w:pPr>
            <w:r w:rsidRPr="00872462">
              <w:t>(10)</w:t>
            </w:r>
            <w:r w:rsidRPr="00872462">
              <w:tab/>
              <w:t xml:space="preserve">Nivån på minimikravet för kapitalbas och kvalificerade skulder för resolutionsenheter är summan av de förluster som förväntas vid resolution och det rekapitaliseringsbelopp som gör det möjligt för resolutionsenheten att fortsätta att uppfylla sina auktorisationsvillkor och göra det möjligt för den att bedriva sin verksamhet under en lämplig period. Vissa föredragna resolutionsstrategier innebär överföring av tillgångar, rättigheter och skulder till en mottagande enhet och marknadsutträde, särskilt verktyget för försäljning av verksamhet. I dessa fall kan det hända att de mål som eftersträvas med rekapitaliseringskomponenten inte är tillämpliga i samma utsträckning som för en skuldnedskrivningsstrategi för öppna banker, eftersom nämnden inte kommer att vara skyldig att säkerställa att resolutionsenheten återställer efterlevnaden av sina kapitalbaskrav efter resolutionsåtgärden. Förlusterna förväntas dock i sådana fall överstiga resolutionsenhetens kapitalbaskrav. Det är därför lämpligt att fastställa att nivån på minimikravet för kapitalbas och kvalificerade skulder för dessa resolutionsenheter fortsätter att omfatta ett rekapitaliseringsbelopp som justeras på ett sätt som </w:t>
            </w:r>
            <w:r w:rsidRPr="00872462">
              <w:rPr>
                <w:b/>
                <w:i/>
              </w:rPr>
              <w:t>stöder</w:t>
            </w:r>
            <w:r w:rsidRPr="00872462">
              <w:t xml:space="preserve"> resolutionsstrategin.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(11)</w:t>
            </w:r>
            <w:r w:rsidRPr="00872462">
              <w:tab/>
              <w:t xml:space="preserve">Om resolutionsstrategin planerar användning av andra resolutionsverktyg än skuldnedskrivning kommer den berörda enhetens rekapitaliseringsbehov generellt vara mindre efter resolution än i fallet med skuldnedskrivning för öppna banker. Kalibreringen av minimikravet för kapitalbas och kvalificerade skulder bör i sådana fall ta detta i beaktande när rekapitaliseringskravet uppskattas. När nämnden justerar nivån på minimikravet för kapitalbas och kvalificerade skulder för resolutionsenheter vars resolutionsplan omfattar försäljning av affärsverktyget eller broinstitutverktyget och dess utträde från marknaden,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 </w:t>
            </w:r>
            <w:r w:rsidRPr="00872462">
              <w:rPr>
                <w:b/>
                <w:i/>
              </w:rPr>
              <w:t>Eftersom resolutionsmyndigheten måste besluta från fall till fall om eventuell användning vid resolution av medel från insättningsgarantisystemet och eftersom ett sådant beslut inte med säkerhet kan antas på förhand, bör nämnden inte beakta insättningsgarantisystemets potentiella bidrag (vid resolution vid kalibreringen av nivån på minimikravet för kapitalbas och kvalificerade skulder).</w:t>
            </w:r>
          </w:p>
        </w:tc>
        <w:tc>
          <w:tcPr>
            <w:tcW w:w="4876" w:type="dxa"/>
            <w:hideMark/>
          </w:tcPr>
          <w:p w:rsidR="00D16657" w:rsidRPr="00872462" w:rsidRDefault="00D16657" w:rsidP="00610A50">
            <w:pPr>
              <w:pStyle w:val="Normal6"/>
              <w:rPr>
                <w:szCs w:val="24"/>
              </w:rPr>
            </w:pPr>
            <w:r w:rsidRPr="00872462">
              <w:t>(11)</w:t>
            </w:r>
            <w:r w:rsidRPr="00872462">
              <w:tab/>
              <w:t>Om resolutionsstrategin planerar användning av andra resolutionsverktyg än skuldnedskrivning kommer den berörda enhetens rekapitaliseringsbehov generellt vara mindre efter resolution än i fallet med skuldnedskrivning för öppna banker. Kalibreringen av minimikravet för kapitalbas och kvalificerade skulder bör i sådana fall ta detta i beaktande när rekapitaliseringskravet uppskattas. När nämnden justerar nivån på minimikravet för kapitalbas och kvalificerade skulder för resolutionsenheter vars resolutionsplan omfattar försäljning av affärsverktyget eller broinstitutverktyget och dess utträde från marknaden,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(11)</w:t>
            </w:r>
            <w:r w:rsidRPr="00872462">
              <w:tab/>
              <w:t xml:space="preserve">Om resolutionsstrategin planerar användning av andra resolutionsverktyg än skuldnedskrivning kommer den berörda enhetens rekapitaliseringsbehov generellt vara mindre efter resolution än i fallet med skuldnedskrivning för öppna banker. Kalibreringen av minimikravet för kapitalbas och kvalificerade skulder bör i sådana fall ta detta i beaktande när rekapitaliseringskravet uppskattas. När nämnden justerar nivån på minimikravet för kapitalbas och kvalificerade skulder för resolutionsenheter vars resolutionsplan omfattar försäljning av affärsverktyget eller broinstitutverktyget </w:t>
            </w:r>
            <w:r w:rsidRPr="00872462">
              <w:rPr>
                <w:b/>
                <w:i/>
              </w:rPr>
              <w:t>och</w:t>
            </w:r>
            <w:r w:rsidRPr="00872462">
              <w:t xml:space="preserve"> dess utträde från marknaden,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 </w:t>
            </w:r>
            <w:r w:rsidRPr="00872462">
              <w:rPr>
                <w:b/>
                <w:i/>
              </w:rPr>
              <w:t>Eftersom resolutionsmyndigheten måste besluta från fall till fall om eventuell användning vid resolution av medel från insättningsgarantisystemet och eftersom ett sådant beslut inte med säkerhet kan antas på förhand, bör nämnden inte beakta insättningsgarantisystemets potentiella bidrag (vid resolution vid kalibreringen av nivån på minimikravet för kapitalbas och kvalificerade skulder).</w:t>
            </w:r>
          </w:p>
        </w:tc>
        <w:tc>
          <w:tcPr>
            <w:tcW w:w="4876" w:type="dxa"/>
            <w:hideMark/>
          </w:tcPr>
          <w:p w:rsidR="00D16657" w:rsidRPr="00872462" w:rsidRDefault="00D16657" w:rsidP="00610A50">
            <w:pPr>
              <w:pStyle w:val="Normal6"/>
              <w:rPr>
                <w:szCs w:val="24"/>
              </w:rPr>
            </w:pPr>
            <w:r w:rsidRPr="00872462">
              <w:t>(11)</w:t>
            </w:r>
            <w:r w:rsidRPr="00872462">
              <w:tab/>
              <w:t>Om resolutionsstrategin planerar användning av andra resolutionsverktyg än skuldnedskrivning kommer den berörda enhetens rekapitaliseringsbehov generellt vara mindre efter resolution än i fallet med skuldnedskrivning för öppna banker. Kalibreringen av minimikravet för kapitalbas och kvalificerade skulder bör i sådana fall ta detta i beaktande när rekapitaliseringskravet uppskattas. När nämnden justerar nivån på minimikravet för kapitalbas och kvalificerade skulder för resolutionsenheter vars resolutionsplan omfattar försäljning av affärsverktyget eller broinstitutverktyget</w:t>
            </w:r>
            <w:r w:rsidRPr="00872462">
              <w:rPr>
                <w:b/>
                <w:i/>
              </w:rPr>
              <w:t>, alternativt</w:t>
            </w:r>
            <w:r w:rsidRPr="00872462">
              <w:t xml:space="preserve"> dess utträde från marknaden,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Roberts Zīle</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(11)</w:t>
            </w:r>
            <w:r w:rsidRPr="00872462">
              <w:tab/>
              <w:t>Om resolutionsstrategin planerar användning av andra resolutionsverktyg än skuldnedskrivning kommer den berörda enhetens rekapitaliseringsbehov generellt vara mindre efter resolution än i fallet med skuldnedskrivning för öppna banker. Kalibreringen av minimikravet för kapitalbas och kvalificerade skulder bör i sådana fall ta detta i beaktande när rekapitaliseringskravet uppskattas. När nämnden justerar nivån på minimikravet för kapitalbas och kvalificerade skulder för resolutionsenheter vars resolutionsplan omfattar försäljning av affärsverktyget eller broinstitutverktyget och dess utträde från marknaden,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 Eftersom resolutionsmyndigheten måste besluta från fall till fall om eventuell användning vid resolution av medel från insättningsgarantisystemet och eftersom ett sådant beslut inte med säkerhet kan antas på förhand, bör nämnden inte beakta insättningsgarantisystemets potentiella bidrag (vid resolution vid kalibreringen av nivån på minimikravet för kapitalbas och kvalificerade skulder).</w:t>
            </w:r>
          </w:p>
        </w:tc>
        <w:tc>
          <w:tcPr>
            <w:tcW w:w="4876" w:type="dxa"/>
            <w:hideMark/>
          </w:tcPr>
          <w:p w:rsidR="00D16657" w:rsidRPr="00872462" w:rsidRDefault="00D16657" w:rsidP="00610A50">
            <w:pPr>
              <w:pStyle w:val="Normal6"/>
              <w:rPr>
                <w:szCs w:val="24"/>
              </w:rPr>
            </w:pPr>
            <w:r w:rsidRPr="00872462">
              <w:t>(11)</w:t>
            </w:r>
            <w:r w:rsidRPr="00872462">
              <w:tab/>
              <w:t xml:space="preserve">Om resolutionsstrategin planerar användning av andra resolutionsverktyg än skuldnedskrivning kommer den berörda enhetens rekapitaliseringsbehov generellt vara mindre efter resolution än i fallet med skuldnedskrivning för öppna banker. Kalibreringen av minimikravet för kapitalbas och kvalificerade skulder bör i sådana fall ta detta i beaktande när rekapitaliseringskravet uppskattas. När nämnden justerar nivån på minimikravet för kapitalbas och kvalificerade skulder för resolutionsenheter vars resolutionsplan omfattar försäljning av affärsverktyget eller broinstitutverktyget och dess utträde från marknaden,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 Eftersom resolutionsmyndigheten måste besluta från fall till fall om eventuell användning vid resolution av medel från insättningsgarantisystemet och eftersom ett sådant beslut inte med säkerhet kan antas på förhand, bör nämnden inte beakta insättningsgarantisystemets potentiella bidrag (vid resolution vid kalibreringen av nivån på minimikravet för kapitalbas och kvalificerade skulder). </w:t>
            </w:r>
            <w:r w:rsidRPr="00872462">
              <w:rPr>
                <w:b/>
                <w:i/>
              </w:rPr>
              <w:t>Denna metod minskar också sannolikheten för moralisk risk genom att säkerställa att enheter inte i förväg antar att medel från respektive insättningsgarantisystem kommer att användas för att nå målet på 8 % totala skulder och kapitalbas.</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(11)</w:t>
            </w:r>
            <w:r w:rsidRPr="00872462">
              <w:tab/>
              <w:t xml:space="preserve">Om resolutionsstrategin planerar användning av andra resolutionsverktyg än skuldnedskrivning kommer den berörda enhetens rekapitaliseringsbehov generellt vara mindre efter resolution än i fallet med skuldnedskrivning för öppna banker. Kalibreringen av minimikravet för kapitalbas och kvalificerade skulder bör i sådana fall ta detta i beaktande när rekapitaliseringskravet uppskattas. När nämnden justerar nivån på minimikravet för kapitalbas och kvalificerade skulder för resolutionsenheter vars resolutionsplan omfattar försäljning av affärsverktyget eller broinstitutverktyget och dess utträde från marknaden,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 Eftersom resolutionsmyndigheten måste besluta från fall till fall om eventuell användning vid resolution av medel från insättningsgarantisystemet och eftersom ett sådant beslut inte med säkerhet kan antas på förhand, </w:t>
            </w:r>
            <w:r w:rsidRPr="00872462">
              <w:rPr>
                <w:b/>
                <w:i/>
              </w:rPr>
              <w:t>bör</w:t>
            </w:r>
            <w:r w:rsidRPr="00872462">
              <w:t xml:space="preserve"> nämnden inte beakta insättningsgarantisystemets potentiella bidrag </w:t>
            </w:r>
            <w:r w:rsidRPr="00872462">
              <w:rPr>
                <w:b/>
                <w:i/>
              </w:rPr>
              <w:t>(</w:t>
            </w:r>
            <w:r w:rsidRPr="00872462">
              <w:t>vid resolution vid kalibreringen av nivån på minimikravet för kapitalbas och kvalificerade skulder</w:t>
            </w:r>
            <w:r w:rsidRPr="00872462">
              <w:rPr>
                <w:b/>
                <w:i/>
              </w:rPr>
              <w:t>)</w:t>
            </w:r>
            <w:r w:rsidRPr="00872462">
              <w:t>.</w:t>
            </w:r>
          </w:p>
        </w:tc>
        <w:tc>
          <w:tcPr>
            <w:tcW w:w="4876" w:type="dxa"/>
            <w:hideMark/>
          </w:tcPr>
          <w:p w:rsidR="00D16657" w:rsidRPr="00872462" w:rsidRDefault="00D16657" w:rsidP="00610A50">
            <w:pPr>
              <w:pStyle w:val="Normal6"/>
              <w:rPr>
                <w:szCs w:val="24"/>
              </w:rPr>
            </w:pPr>
            <w:r w:rsidRPr="00872462">
              <w:t>(11)</w:t>
            </w:r>
            <w:r w:rsidRPr="00872462">
              <w:tab/>
              <w:t xml:space="preserve">Om resolutionsstrategin planerar användning av andra resolutionsverktyg än skuldnedskrivning kommer den berörda enhetens rekapitaliseringsbehov generellt vara mindre efter resolution än i fallet med skuldnedskrivning för öppna banker. Kalibreringen av minimikravet för kapitalbas och kvalificerade skulder bör i sådana fall ta detta i beaktande när rekapitaliseringskravet uppskattas. När nämnden justerar nivån på minimikravet för kapitalbas och kvalificerade skulder för resolutionsenheter vars resolutionsplan omfattar försäljning av affärsverktyget eller broinstitutverktyget och </w:t>
            </w:r>
            <w:r w:rsidRPr="00872462">
              <w:rPr>
                <w:b/>
                <w:i/>
              </w:rPr>
              <w:t>eventuellt</w:t>
            </w:r>
            <w:r w:rsidRPr="00872462">
              <w:t xml:space="preserve"> dess utträde från marknaden,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 Eftersom resolutionsmyndigheten måste besluta från fall till fall om eventuell användning vid resolution av medel från insättningsgarantisystemet och eftersom ett sådant beslut inte med säkerhet kan antas på förhand, </w:t>
            </w:r>
            <w:r w:rsidRPr="00872462">
              <w:rPr>
                <w:b/>
                <w:i/>
              </w:rPr>
              <w:t>får</w:t>
            </w:r>
            <w:r w:rsidRPr="00872462">
              <w:t xml:space="preserve"> nämnden inte beakta insättningsgarantisystemets potentiella bidrag vid resolution vid kalibreringen av nivån på minimikravet för kapitalbas och kvalificerade skulder. </w:t>
            </w:r>
            <w:r w:rsidRPr="00872462">
              <w:rPr>
                <w:b/>
                <w:i/>
              </w:rPr>
              <w:t>Detta tillvägagångssätt minskar också sannolikheten för moraliskt risktagande.</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(11)</w:t>
            </w:r>
            <w:r w:rsidRPr="00872462">
              <w:tab/>
              <w:t xml:space="preserve">Om resolutionsstrategin planerar användning av andra resolutionsverktyg än skuldnedskrivning kommer den berörda enhetens rekapitaliseringsbehov generellt vara mindre efter resolution än i fallet med </w:t>
            </w:r>
            <w:r w:rsidRPr="00872462">
              <w:rPr>
                <w:b/>
                <w:bCs/>
                <w:i/>
                <w:iCs/>
              </w:rPr>
              <w:t>skuldnedskrivning</w:t>
            </w:r>
            <w:r w:rsidRPr="00872462">
              <w:t xml:space="preserve"> för öppna banker. Kalibreringen av minimikravet för kapitalbas och kvalificerade skulder bör i sådana fall ta detta i beaktande när rekapitaliseringskravet uppskattas. När nämnden justerar nivån på minimikravet för kapitalbas och kvalificerade skulder för resolutionsenheter </w:t>
            </w:r>
            <w:r w:rsidRPr="00872462">
              <w:rPr>
                <w:b/>
                <w:i/>
              </w:rPr>
              <w:t>vars resolutionsplan omfattar försäljning av affärsverktyget eller broinstitutverktyget och dess utträde från marknaden,</w:t>
            </w:r>
            <w:r w:rsidRPr="00872462">
              <w:t xml:space="preserve">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 Eftersom resolutionsmyndigheten måste besluta från fall till fall om eventuell användning vid resolution av medel från insättningsgarantisystemet och eftersom ett sådant beslut inte med säkerhet kan antas på förhand, bör nämnden inte beakta insättningsgarantisystemets potentiella bidrag (vid resolution vid kalibreringen av nivån på minimikravet för kapitalbas och kvalificerade skulder).</w:t>
            </w:r>
          </w:p>
        </w:tc>
        <w:tc>
          <w:tcPr>
            <w:tcW w:w="4876" w:type="dxa"/>
            <w:hideMark/>
          </w:tcPr>
          <w:p w:rsidR="00D16657" w:rsidRPr="00872462" w:rsidRDefault="00D16657" w:rsidP="00610A50">
            <w:pPr>
              <w:pStyle w:val="Normal6"/>
              <w:rPr>
                <w:szCs w:val="24"/>
              </w:rPr>
            </w:pPr>
            <w:r w:rsidRPr="00872462">
              <w:t>(11)</w:t>
            </w:r>
            <w:r w:rsidRPr="00872462">
              <w:tab/>
              <w:t xml:space="preserve">Om resolutionsstrategin planerar användning av andra resolutionsverktyg än skuldnedskrivning </w:t>
            </w:r>
            <w:r w:rsidRPr="00872462">
              <w:rPr>
                <w:b/>
                <w:i/>
              </w:rPr>
              <w:t>eller tillsammans med skuldnedskrivning</w:t>
            </w:r>
            <w:r w:rsidRPr="00872462">
              <w:t xml:space="preserve"> kommer den berörda enhetens rekapitaliseringsbehov generellt vara mindre efter resolution än i fallet med </w:t>
            </w:r>
            <w:r w:rsidRPr="00872462">
              <w:rPr>
                <w:b/>
                <w:i/>
              </w:rPr>
              <w:t>den enda skuldnedskrivningsstrategin</w:t>
            </w:r>
            <w:r w:rsidRPr="00872462">
              <w:t xml:space="preserve"> för öppna banker. Kalibreringen av minimikravet för kapitalbas och kvalificerade skulder bör i sådana fall ta detta i beaktande när rekapitaliseringskravet uppskattas. När nämnden justerar nivån på minimikravet för kapitalbas och kvalificerade skulder för </w:t>
            </w:r>
            <w:r w:rsidRPr="00872462">
              <w:rPr>
                <w:b/>
                <w:i/>
              </w:rPr>
              <w:t>sådana</w:t>
            </w:r>
            <w:r w:rsidRPr="00872462">
              <w:t xml:space="preserve"> resolutionsenheter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 </w:t>
            </w:r>
            <w:r w:rsidRPr="00872462">
              <w:rPr>
                <w:b/>
                <w:i/>
              </w:rPr>
              <w:t>eller något annat verktyg</w:t>
            </w:r>
            <w:r w:rsidRPr="00872462">
              <w:t>. Eftersom resolutionsmyndigheten måste besluta från fall till fall om eventuell användning vid resolution av medel från insättningsgarantisystemet och eftersom ett sådant beslut inte med säkerhet kan antas på förhand, bör nämnden</w:t>
            </w:r>
            <w:r w:rsidRPr="00872462">
              <w:rPr>
                <w:b/>
                <w:i/>
              </w:rPr>
              <w:t>, när det gäller överföringsverktyget med marknadsutträde,</w:t>
            </w:r>
            <w:r w:rsidRPr="00872462">
              <w:t xml:space="preserve"> inte beakta insättningsgarantisystemets potentiella bidrag (vid resolution vid kalibreringen av nivån på minimikravet för kapitalbas och kvalificerade skulder).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Principen om att anpassa målet för minimikravet för kapitalbas och kvalificerade skulder till särdragen i den föredragna resolutionsstrategin måste genomföras horisontellt för alla verktyg och kombinationer av verktyg.</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12</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(12)</w:t>
            </w:r>
            <w:r w:rsidRPr="00872462">
              <w:rPr>
                <w:b/>
                <w:i/>
              </w:rPr>
              <w:tab/>
              <w:t>Det är nödvändigt att säkerställa lika incitament för att bygga upp tillräckliga belopp av minimikravet för kapitalbas och kvalificerade skulder för institut och enheter som skulle omfattas av överföringsstrategier både inom och utanför resolution. Fastställandet av nivån på minimikravet för kapitalbas och kvalificerade skulder för institut och enheter som kan bli föremål för åtgärder i samband med nationella insolvensförfaranden i enlighet med artikel 11.5 i Europaparlamentets och rådets direktiv 2014/49/EU</w:t>
            </w:r>
            <w:r w:rsidRPr="00872462">
              <w:rPr>
                <w:b/>
                <w:i/>
                <w:vertAlign w:val="superscript"/>
              </w:rPr>
              <w:t>32</w:t>
            </w:r>
            <w:r w:rsidRPr="00872462">
              <w:rPr>
                <w:b/>
                <w:i/>
              </w:rPr>
              <w:t xml:space="preserve"> bör därför följa samma regler som de som är tillämpliga på fastställandet av minimikravet för kapitalbas och kvalificerade skulder för resolutionsenheter vars föredragna resolutionsstrategi föreskriver försäljning av verksamhet eller överföring till ett broinstitut som leder till att det lämnar marknaden.</w:t>
            </w:r>
          </w:p>
        </w:tc>
        <w:tc>
          <w:tcPr>
            <w:tcW w:w="4876" w:type="dxa"/>
            <w:hideMark/>
          </w:tcPr>
          <w:p w:rsidR="00D16657" w:rsidRPr="00872462" w:rsidRDefault="00D16657" w:rsidP="00610A50">
            <w:pPr>
              <w:pStyle w:val="Normal6"/>
              <w:rPr>
                <w:szCs w:val="24"/>
              </w:rPr>
            </w:pPr>
            <w:r w:rsidRPr="00872462">
              <w:rPr>
                <w:b/>
                <w:i/>
              </w:rPr>
              <w:t>utgår</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__________________</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vertAlign w:val="superscript"/>
              </w:rPr>
              <w:t>32</w:t>
            </w:r>
            <w:r w:rsidRPr="00872462">
              <w:t xml:space="preserve"> </w:t>
            </w:r>
            <w:r w:rsidRPr="00872462">
              <w:rPr>
                <w:b/>
                <w:i/>
              </w:rPr>
              <w:t>Europaparlamentets och rådets direktiv 2014/49/EU av den 16 april 2014 om insättningsgarantisystem (EUT L 173, 12.6.2014, s. 149).</w:t>
            </w:r>
          </w:p>
        </w:tc>
        <w:tc>
          <w:tcPr>
            <w:tcW w:w="4876" w:type="dxa"/>
          </w:tcPr>
          <w:p w:rsidR="00D16657" w:rsidRPr="00872462" w:rsidRDefault="00D16657" w:rsidP="00610A50">
            <w:pPr>
              <w:pStyle w:val="Normal6"/>
              <w:rPr>
                <w:szCs w:val="24"/>
              </w:rPr>
            </w:pP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Roberts Zīle</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14a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(14a)</w:t>
            </w:r>
            <w:r w:rsidRPr="00872462">
              <w:rPr>
                <w:b/>
                <w:i/>
              </w:rPr>
              <w:tab/>
              <w:t>Om nämnden kräver information som är nödvändig för att uppdatera resolutionsplaner, förbereda en eventuell resolution av en enhet eller utföra en värdering, bör ECB eller de relevanta nationella behöriga myndigheterna förse nämnden med denna information i den mån den är tillgänglig för dem. Om den relevanta informationen inte redan är tillgänglig för ECB eller de relevanta nationella behöriga myndigheterna ska nämnden och ECB eller de relevanta nationella behöriga myndigheterna samarbeta och samordna för att samla in den information som anses nödvändig av nämnden. Inom ramen för ett sådant samarbete bör myndigheterna samla in nödvändig information med vederbörlig hänsyn till proportionalitetsprincipen.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17</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(17)</w:t>
            </w:r>
            <w:r w:rsidRPr="00872462">
              <w:tab/>
              <w:t xml:space="preserve">Resolutionsramen är avsedd att </w:t>
            </w:r>
            <w:r w:rsidRPr="00872462">
              <w:rPr>
                <w:b/>
                <w:i/>
              </w:rPr>
              <w:t>i princip</w:t>
            </w:r>
            <w:r w:rsidRPr="00872462">
              <w:t xml:space="preserve"> tillämpas </w:t>
            </w:r>
            <w:r w:rsidRPr="00872462">
              <w:rPr>
                <w:b/>
                <w:i/>
              </w:rPr>
              <w:t>på</w:t>
            </w:r>
            <w:r w:rsidRPr="00872462">
              <w:t xml:space="preserve"> alla institut eller enheter</w:t>
            </w:r>
            <w:r w:rsidRPr="00872462">
              <w:rPr>
                <w:b/>
                <w:i/>
              </w:rPr>
              <w:t>, oavsett storlek och affärsmodell, om</w:t>
            </w:r>
            <w:r w:rsidRPr="00872462">
              <w:t xml:space="preserve"> de verktyg som finns tillgängliga enligt nationell lagstiftning inte är lämpliga för att hantera deras fallissemang. För att säkerställa ett sådant resultat bör kriterierna för att tillämpa bedömningen av allmänintresset på </w:t>
            </w:r>
            <w:r w:rsidRPr="00872462">
              <w:rPr>
                <w:b/>
                <w:i/>
              </w:rPr>
              <w:t>ett</w:t>
            </w:r>
            <w:r w:rsidRPr="00872462">
              <w:t xml:space="preserve"> fallerande institut eller </w:t>
            </w:r>
            <w:r w:rsidRPr="00872462">
              <w:rPr>
                <w:b/>
                <w:i/>
              </w:rPr>
              <w:t>en enhet</w:t>
            </w:r>
            <w:r w:rsidRPr="00872462">
              <w:t xml:space="preserve"> specificeras.</w:t>
            </w:r>
          </w:p>
        </w:tc>
        <w:tc>
          <w:tcPr>
            <w:tcW w:w="4876" w:type="dxa"/>
            <w:hideMark/>
          </w:tcPr>
          <w:p w:rsidR="00D16657" w:rsidRPr="00872462" w:rsidRDefault="00D16657" w:rsidP="00610A50">
            <w:pPr>
              <w:pStyle w:val="Normal6"/>
              <w:rPr>
                <w:szCs w:val="24"/>
              </w:rPr>
            </w:pPr>
            <w:r w:rsidRPr="00872462">
              <w:t>(17)</w:t>
            </w:r>
            <w:r w:rsidRPr="00872462">
              <w:tab/>
              <w:t xml:space="preserve">Resolutionsramen är avsedd att tillämpas </w:t>
            </w:r>
            <w:r w:rsidRPr="00872462">
              <w:rPr>
                <w:b/>
                <w:i/>
              </w:rPr>
              <w:t>för att hantera fallissemang för</w:t>
            </w:r>
            <w:r w:rsidRPr="00872462">
              <w:t xml:space="preserve"> alla institut eller enheter </w:t>
            </w:r>
            <w:r w:rsidRPr="00872462">
              <w:rPr>
                <w:b/>
                <w:i/>
              </w:rPr>
              <w:t>för vilka allmänintresset har bedömts som positivt, bland annat när</w:t>
            </w:r>
            <w:r w:rsidRPr="00872462">
              <w:t xml:space="preserve"> de verktyg som finns tillgängliga enligt nationell lagstiftning inte är lämpliga för att hantera deras fallissemang. För att säkerställa ett sådant resultat bör kriterierna för att tillämpa bedömningen av allmänintresset på </w:t>
            </w:r>
            <w:r w:rsidRPr="00872462">
              <w:rPr>
                <w:b/>
                <w:i/>
              </w:rPr>
              <w:t>alla</w:t>
            </w:r>
            <w:r w:rsidRPr="00872462">
              <w:t xml:space="preserve"> fallerande institut eller </w:t>
            </w:r>
            <w:r w:rsidRPr="00872462">
              <w:rPr>
                <w:b/>
                <w:i/>
              </w:rPr>
              <w:t>enheter</w:t>
            </w:r>
            <w:r w:rsidRPr="00872462">
              <w:t xml:space="preserve"> specificeras.</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17</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(17)</w:t>
            </w:r>
            <w:r w:rsidRPr="00872462">
              <w:tab/>
              <w:t xml:space="preserve">Resolutionsramen är avsedd att </w:t>
            </w:r>
            <w:r w:rsidRPr="00872462">
              <w:rPr>
                <w:b/>
                <w:i/>
              </w:rPr>
              <w:t>i princip</w:t>
            </w:r>
            <w:r w:rsidRPr="00872462">
              <w:t xml:space="preserve"> tillämpas </w:t>
            </w:r>
            <w:r w:rsidRPr="00872462">
              <w:rPr>
                <w:b/>
                <w:i/>
              </w:rPr>
              <w:t>på</w:t>
            </w:r>
            <w:r w:rsidRPr="00872462">
              <w:t xml:space="preserve"> alla institut eller enheter</w:t>
            </w:r>
            <w:r w:rsidRPr="00872462">
              <w:rPr>
                <w:b/>
                <w:i/>
              </w:rPr>
              <w:t>, oavsett storlek och affärsmodell, om</w:t>
            </w:r>
            <w:r w:rsidRPr="00872462">
              <w:t xml:space="preserve"> de verktyg som finns tillgängliga enligt nationell lagstiftning inte är lämpliga för att hantera deras fallissemang. För att säkerställa ett sådant resultat bör kriterierna för att tillämpa bedömningen av allmänintresset på </w:t>
            </w:r>
            <w:r w:rsidRPr="00872462">
              <w:rPr>
                <w:b/>
                <w:i/>
              </w:rPr>
              <w:t>ett</w:t>
            </w:r>
            <w:r w:rsidRPr="00872462">
              <w:t xml:space="preserve"> fallerande institut eller </w:t>
            </w:r>
            <w:r w:rsidRPr="00872462">
              <w:rPr>
                <w:b/>
                <w:i/>
              </w:rPr>
              <w:t>en enhet</w:t>
            </w:r>
            <w:r w:rsidRPr="00872462">
              <w:t xml:space="preserve"> specificeras.</w:t>
            </w:r>
          </w:p>
        </w:tc>
        <w:tc>
          <w:tcPr>
            <w:tcW w:w="4876" w:type="dxa"/>
            <w:hideMark/>
          </w:tcPr>
          <w:p w:rsidR="00D16657" w:rsidRPr="00872462" w:rsidRDefault="00D16657" w:rsidP="00610A50">
            <w:pPr>
              <w:pStyle w:val="Normal6"/>
              <w:rPr>
                <w:szCs w:val="24"/>
              </w:rPr>
            </w:pPr>
            <w:r w:rsidRPr="00872462">
              <w:t>(17)</w:t>
            </w:r>
            <w:r w:rsidRPr="00872462">
              <w:tab/>
              <w:t xml:space="preserve">Resolutionsramen är avsedd att tillämpas </w:t>
            </w:r>
            <w:r w:rsidRPr="00872462">
              <w:rPr>
                <w:b/>
                <w:i/>
              </w:rPr>
              <w:t>för att hantera fallissemang för</w:t>
            </w:r>
            <w:r w:rsidRPr="00872462">
              <w:t xml:space="preserve"> alla institut eller enheter </w:t>
            </w:r>
            <w:r w:rsidRPr="00872462">
              <w:rPr>
                <w:b/>
                <w:i/>
              </w:rPr>
              <w:t>för vilka allmänintresset har bedömts som positivt, bland annat när</w:t>
            </w:r>
            <w:r w:rsidRPr="00872462">
              <w:t xml:space="preserve"> de verktyg som finns tillgängliga enligt nationell lagstiftning inte är lämpliga för att hantera deras fallissemang. För att säkerställa ett sådant resultat bör kriterierna för att tillämpa bedömningen av allmänintresset på </w:t>
            </w:r>
            <w:r w:rsidRPr="00872462">
              <w:rPr>
                <w:b/>
                <w:i/>
              </w:rPr>
              <w:t>alla</w:t>
            </w:r>
            <w:r w:rsidRPr="00872462">
              <w:t xml:space="preserve"> fallerande institut eller </w:t>
            </w:r>
            <w:r w:rsidRPr="00872462">
              <w:rPr>
                <w:b/>
                <w:i/>
              </w:rPr>
              <w:t>enheter</w:t>
            </w:r>
            <w:r w:rsidRPr="00872462">
              <w:t xml:space="preserve"> specificeras.</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79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17</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(17)</w:t>
            </w:r>
            <w:r w:rsidRPr="00872462">
              <w:tab/>
              <w:t xml:space="preserve">Resolutionsramen är avsedd att i princip tillämpas på alla institut eller enheter, </w:t>
            </w:r>
            <w:r w:rsidRPr="00872462">
              <w:rPr>
                <w:b/>
                <w:i/>
              </w:rPr>
              <w:t>oavsett storlek och affärsmodell,</w:t>
            </w:r>
            <w:r w:rsidRPr="00872462">
              <w:t xml:space="preserve"> om de verktyg som finns tillgängliga enligt nationell lagstiftning inte är lämpliga för att hantera deras fallissemang. För att säkerställa ett sådant resultat bör kriterierna för att tillämpa bedömningen av allmänintresset på ett fallerande institut eller en enhet specificeras.</w:t>
            </w:r>
          </w:p>
        </w:tc>
        <w:tc>
          <w:tcPr>
            <w:tcW w:w="4876" w:type="dxa"/>
            <w:hideMark/>
          </w:tcPr>
          <w:p w:rsidR="00D16657" w:rsidRPr="00872462" w:rsidRDefault="00D16657" w:rsidP="00610A50">
            <w:pPr>
              <w:pStyle w:val="Normal6"/>
              <w:rPr>
                <w:szCs w:val="24"/>
              </w:rPr>
            </w:pPr>
            <w:r w:rsidRPr="00872462">
              <w:t>(17)</w:t>
            </w:r>
            <w:r w:rsidRPr="00872462">
              <w:tab/>
              <w:t>Resolutionsramen är avsedd att i princip tillämpas på alla institut eller enheter, om de verktyg som finns tillgängliga enligt nationell lagstiftning inte är lämpliga för att hantera deras fallissemang. För att säkerställa ett sådant resultat bör kriterierna för att tillämpa bedömningen av allmänintresset på ett fallerande institut eller en enhet specificeras.</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Roberts Zīle</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17a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(17a)</w:t>
            </w:r>
            <w:r w:rsidRPr="00872462">
              <w:rPr>
                <w:b/>
                <w:i/>
              </w:rPr>
              <w:tab/>
              <w:t>Resolutionsramen är avsedd att tillämpas för att hantera fallissemang för alla institut eller enheter för vilka allmänintresset har bedömts som positivt, bland annat när de verktyg som finns tillgängliga enligt nationell lagstiftning inte är lämpliga. För att säkerställa ett sådant resultat bör kriterierna för att tillämpa bedömningen av allmänintresset på alla fallerande institut eller enheter specificeras.</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18</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(18)</w:t>
            </w:r>
            <w:r w:rsidRPr="00872462">
              <w:rPr>
                <w:b/>
                <w:i/>
              </w:rPr>
              <w:tab/>
              <w:t>Bedömningen av huruvida resolutionen av ett institut eller en enhet ligger i allmänhetens intresse bör återspegla övervägandet att insättarna är bättre skyddade när insättningsgarantisystemets medel används mer effektivt och förlusterna för dessa medel minimeras. Vid bedömningen av allmänintresset bör därför resolutionsmålet att skydda insättare anses ha uppnåtts bättre vid resolution om valet av insolvens skulle vara mer kostsamt för insättningsgarantisystemet.</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18</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(18)</w:t>
            </w:r>
            <w:r w:rsidRPr="00872462">
              <w:rPr>
                <w:b/>
                <w:i/>
              </w:rPr>
              <w:tab/>
              <w:t>Bedömningen av huruvida resolutionen av ett institut eller en enhet ligger i allmänhetens intresse bör återspegla övervägandet att insättarna är bättre skyddade när insättningsgarantisystemets medel används mer effektivt och förlusterna för dessa medel minimeras. Vid bedömningen av allmänintresset bör därför resolutionsmålet att skydda insättare anses ha uppnåtts bättre vid resolution om valet av insolvens skulle vara mer kostsamt för insättningsgarantisystemet.</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18</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(18)</w:t>
            </w:r>
            <w:r w:rsidRPr="00872462">
              <w:tab/>
              <w:t xml:space="preserve">Bedömningen av huruvida resolutionen av ett institut eller en enhet ligger i allmänhetens intresse bör återspegla övervägandet att insättarna är bättre skyddade när insättningsgarantisystemets medel används mer effektivt </w:t>
            </w:r>
            <w:r w:rsidRPr="00872462">
              <w:rPr>
                <w:b/>
                <w:i/>
              </w:rPr>
              <w:t>och förlusterna för dessa medel minimeras</w:t>
            </w:r>
            <w:r w:rsidRPr="00872462">
              <w:t>.</w:t>
            </w:r>
            <w:r w:rsidRPr="00872462">
              <w:rPr>
                <w:b/>
                <w:i/>
              </w:rPr>
              <w:t xml:space="preserve"> Vid bedömningen av allmänintresset bör därför resolutionsmålet att skydda insättare anses ha uppnåtts bättre vid resolution om valet av insolvens skulle vara mer kostsamt för insättningsgarantisystemet.</w:t>
            </w:r>
          </w:p>
        </w:tc>
        <w:tc>
          <w:tcPr>
            <w:tcW w:w="4876" w:type="dxa"/>
            <w:hideMark/>
          </w:tcPr>
          <w:p w:rsidR="00D16657" w:rsidRPr="00872462" w:rsidRDefault="00D16657" w:rsidP="00610A50">
            <w:pPr>
              <w:pStyle w:val="Normal6"/>
              <w:rPr>
                <w:szCs w:val="24"/>
              </w:rPr>
            </w:pPr>
            <w:r w:rsidRPr="00872462">
              <w:t>(18)</w:t>
            </w:r>
            <w:r w:rsidRPr="00872462">
              <w:tab/>
              <w:t xml:space="preserve">Bedömningen av huruvida resolutionen av ett institut eller en enhet ligger i allmänhetens intresse bör </w:t>
            </w:r>
            <w:r w:rsidRPr="00872462">
              <w:rPr>
                <w:b/>
                <w:i/>
              </w:rPr>
              <w:t>bland annat</w:t>
            </w:r>
            <w:r w:rsidRPr="00872462">
              <w:t xml:space="preserve"> återspegla övervägandet att insättarna är bättre skyddade när insättningsgarantisystemets medel används mer effektivt</w:t>
            </w:r>
            <w:r w:rsidRPr="00872462">
              <w:rPr>
                <w:b/>
                <w:i/>
              </w:rPr>
              <w:t>, efter en helhetsbedömning</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18</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(18)</w:t>
            </w:r>
            <w:r w:rsidRPr="00872462">
              <w:tab/>
              <w:t xml:space="preserve">Bedömningen av huruvida resolutionen av ett institut eller en enhet ligger i allmänhetens intresse bör återspegla övervägandet att insättarna är bättre skyddade när insättningsgarantisystemets medel används mer effektivt </w:t>
            </w:r>
            <w:r w:rsidRPr="00872462">
              <w:rPr>
                <w:b/>
                <w:i/>
              </w:rPr>
              <w:t>och förlusterna för dessa medel minimeras</w:t>
            </w:r>
            <w:r w:rsidRPr="00872462">
              <w:t xml:space="preserve">. Vid bedömningen av allmänintresset </w:t>
            </w:r>
            <w:r w:rsidRPr="00872462">
              <w:rPr>
                <w:b/>
                <w:i/>
              </w:rPr>
              <w:t>bör</w:t>
            </w:r>
            <w:r w:rsidRPr="00872462">
              <w:t xml:space="preserve"> därför </w:t>
            </w:r>
            <w:r w:rsidRPr="00872462">
              <w:rPr>
                <w:b/>
                <w:i/>
              </w:rPr>
              <w:t>resolutionsmålet att skydda</w:t>
            </w:r>
            <w:r w:rsidRPr="00872462">
              <w:t xml:space="preserve"> insättare anses ha uppnåtts bättre vid resolution om valet av insolvens skulle vara mer kostsamt för insättningsgarantisystemet.</w:t>
            </w:r>
          </w:p>
        </w:tc>
        <w:tc>
          <w:tcPr>
            <w:tcW w:w="4876" w:type="dxa"/>
            <w:hideMark/>
          </w:tcPr>
          <w:p w:rsidR="00D16657" w:rsidRPr="00872462" w:rsidRDefault="00D16657" w:rsidP="00610A50">
            <w:pPr>
              <w:pStyle w:val="Normal6"/>
              <w:rPr>
                <w:szCs w:val="24"/>
              </w:rPr>
            </w:pPr>
            <w:r w:rsidRPr="00872462">
              <w:t>(18)</w:t>
            </w:r>
            <w:r w:rsidRPr="00872462">
              <w:tab/>
              <w:t xml:space="preserve">Bedömningen av huruvida resolutionen av ett institut eller en enhet ligger i allmänhetens intresse bör återspegla övervägandet att insättarna är bättre skyddade när insättningsgarantisystemets medel används mer effektivt. Vid bedömningen av allmänintresset </w:t>
            </w:r>
            <w:r w:rsidRPr="00872462">
              <w:rPr>
                <w:b/>
                <w:i/>
              </w:rPr>
              <w:t>får</w:t>
            </w:r>
            <w:r w:rsidRPr="00872462">
              <w:t xml:space="preserve"> därför </w:t>
            </w:r>
            <w:r w:rsidRPr="00872462">
              <w:rPr>
                <w:b/>
                <w:i/>
              </w:rPr>
              <w:t>skyddet av</w:t>
            </w:r>
            <w:r w:rsidRPr="00872462">
              <w:t xml:space="preserve"> insättare anses ha uppnåtts bättre vid resolution om valet av insolvens skulle vara mer kostsamt för insättningsgarantisystemet.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18</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(18)</w:t>
            </w:r>
            <w:r w:rsidRPr="00872462">
              <w:tab/>
              <w:t xml:space="preserve">Bedömningen av huruvida resolutionen av ett institut eller en enhet ligger i allmänhetens intresse bör återspegla övervägandet att insättarna är bättre skyddade när insättningsgarantisystemets medel används mer effektivt </w:t>
            </w:r>
            <w:r w:rsidRPr="00872462">
              <w:rPr>
                <w:b/>
                <w:i/>
              </w:rPr>
              <w:t>och förlusterna för dessa medel minimeras</w:t>
            </w:r>
            <w:r w:rsidRPr="00872462">
              <w:t xml:space="preserve">. Vid bedömningen av allmänintresset bör därför </w:t>
            </w:r>
            <w:r w:rsidRPr="00872462">
              <w:rPr>
                <w:b/>
                <w:i/>
              </w:rPr>
              <w:t>resolutionsmålet</w:t>
            </w:r>
            <w:r w:rsidRPr="00872462">
              <w:t xml:space="preserve"> att </w:t>
            </w:r>
            <w:r w:rsidRPr="00872462">
              <w:rPr>
                <w:b/>
                <w:i/>
              </w:rPr>
              <w:t>skydda</w:t>
            </w:r>
            <w:r w:rsidRPr="00872462">
              <w:t xml:space="preserve"> insättare </w:t>
            </w:r>
            <w:r w:rsidRPr="00872462">
              <w:rPr>
                <w:b/>
                <w:i/>
              </w:rPr>
              <w:t>anses ha uppnåtts</w:t>
            </w:r>
            <w:r w:rsidRPr="00872462">
              <w:t xml:space="preserve"> bättre vid resolution om valet av insolvens skulle vara mer kostsamt för insättningsgarantisystemet.</w:t>
            </w:r>
          </w:p>
        </w:tc>
        <w:tc>
          <w:tcPr>
            <w:tcW w:w="4876" w:type="dxa"/>
            <w:hideMark/>
          </w:tcPr>
          <w:p w:rsidR="00D16657" w:rsidRPr="00872462" w:rsidRDefault="00D16657" w:rsidP="00610A50">
            <w:pPr>
              <w:pStyle w:val="Normal6"/>
              <w:rPr>
                <w:szCs w:val="24"/>
              </w:rPr>
            </w:pPr>
            <w:r w:rsidRPr="00872462">
              <w:t>(18)</w:t>
            </w:r>
            <w:r w:rsidRPr="00872462">
              <w:tab/>
              <w:t xml:space="preserve">Bedömningen av huruvida resolutionen av ett institut eller en enhet ligger i allmänhetens intresse bör </w:t>
            </w:r>
            <w:r w:rsidRPr="00872462">
              <w:rPr>
                <w:b/>
                <w:i/>
              </w:rPr>
              <w:t>bland annat</w:t>
            </w:r>
            <w:r w:rsidRPr="00872462">
              <w:t xml:space="preserve"> återspegla övervägandet att insättarna är bättre skyddade när insättningsgarantisystemets medel används mer effektivt</w:t>
            </w:r>
            <w:r w:rsidRPr="00872462">
              <w:rPr>
                <w:b/>
                <w:i/>
              </w:rPr>
              <w:t>, efter en helhetsbedömning</w:t>
            </w:r>
            <w:r w:rsidRPr="00872462">
              <w:t xml:space="preserve">. Vid bedömningen av allmänintresset bör </w:t>
            </w:r>
            <w:r w:rsidRPr="00872462">
              <w:rPr>
                <w:b/>
                <w:i/>
              </w:rPr>
              <w:t>det</w:t>
            </w:r>
            <w:r w:rsidRPr="00872462">
              <w:t xml:space="preserve"> därför </w:t>
            </w:r>
            <w:r w:rsidRPr="00872462">
              <w:rPr>
                <w:b/>
                <w:i/>
              </w:rPr>
              <w:t>anses</w:t>
            </w:r>
            <w:r w:rsidRPr="00872462">
              <w:t xml:space="preserve"> att </w:t>
            </w:r>
            <w:r w:rsidRPr="00872462">
              <w:rPr>
                <w:b/>
                <w:i/>
              </w:rPr>
              <w:t>skydd av</w:t>
            </w:r>
            <w:r w:rsidRPr="00872462">
              <w:t xml:space="preserve"> insättare</w:t>
            </w:r>
            <w:r w:rsidRPr="00872462">
              <w:rPr>
                <w:b/>
                <w:i/>
              </w:rPr>
              <w:t>, från fall till fall, kan uppnås</w:t>
            </w:r>
            <w:r w:rsidRPr="00872462">
              <w:t xml:space="preserve"> bättre vid resolution om valet av insolvens skulle vara mer kostsamt för insättningsgarantisystemet.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18</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(18)</w:t>
            </w:r>
            <w:r w:rsidRPr="00872462">
              <w:tab/>
              <w:t>Bedömningen av huruvida resolutionen av ett institut eller en enhet ligger i allmänhetens intresse bör återspegla övervägandet att insättarna är bättre skyddade när insättningsgarantisystemets medel används mer effektivt och förlusterna för dessa medel minimeras. Vid bedömningen av allmänintresset bör därför resolutionsmålet att skydda insättare anses ha uppnåtts bättre vid resolution om valet av insolvens skulle vara mer kostsamt för insättningsgarantisystemet.</w:t>
            </w:r>
          </w:p>
        </w:tc>
        <w:tc>
          <w:tcPr>
            <w:tcW w:w="4876" w:type="dxa"/>
            <w:hideMark/>
          </w:tcPr>
          <w:p w:rsidR="00D16657" w:rsidRPr="00872462" w:rsidRDefault="00D16657" w:rsidP="00610A50">
            <w:pPr>
              <w:pStyle w:val="Normal6"/>
              <w:rPr>
                <w:szCs w:val="24"/>
              </w:rPr>
            </w:pPr>
            <w:r w:rsidRPr="00872462">
              <w:t>(18)</w:t>
            </w:r>
            <w:r w:rsidRPr="00872462">
              <w:tab/>
              <w:t xml:space="preserve">Bedömningen av huruvida en resolution av ett institut eller en enhet ligger i allmänintresset bör återspegla övervägandet att insättarna är bättre skyddade när medel från insättningsgarantisystem används mer effektivt och förlusterna för dessa medel minimeras. Vid bedömningen av allmänintresset bör därför resolutionsmålet att skydda </w:t>
            </w:r>
            <w:r w:rsidRPr="00872462">
              <w:rPr>
                <w:b/>
                <w:i/>
              </w:rPr>
              <w:t>garanterade</w:t>
            </w:r>
            <w:r w:rsidRPr="00872462">
              <w:t xml:space="preserve"> insättare anses uppnås på ett bättre sätt genom en resolution om valet av insolvens skulle vara dyrare för insättningsgarantisystemet.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Det finns inget behov av att erkänna alla typer av insättningar i bedömningen av allmänintresset. Stora företag eller, i framtiden, statliga organ behöver till exempel inte det skydd som skulle beviljas dem med den allmänna preferensen för enhetligt insättarföreträde. Tvärtom kommer den allmänna preferensen för enhetligt insättarföreträde sannolikt att skapa moralisk risk på insättarsidan. Av dessa skäl är specialbehandling av alla insättningar inte motiverad och bör därför bygga på garanterade insättningar.</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19</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(19)</w:t>
            </w:r>
            <w:r w:rsidRPr="00872462">
              <w:rPr>
                <w:b/>
                <w:i/>
              </w:rPr>
              <w:tab/>
              <w:t>Bedömningen av huruvida en resolution av ett institut eller en enhet ligger i allmänhetens intresse bör i möjligaste mån också återspegla skillnaden mellan å ena sidan finansiering som tillhandahålls genom branschfinansierade skyddsnät (finansieringsarrangemang för resolution eller insättningsgarantisystem) och å andra sidan finansiering som medlemsstaterna tillhandahåller genom skattebetalarnas pengar. Finansiering från medlemsstaterna medför en större risk för överdrivet risktagande och lägre incitament för marknadsdisciplin.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Ur ett statligt stödperspektiv är allt extraordinärt offentligt finansiellt stöd statligt stöd, oavsett om det kommer från en medlemsstats budget eller inte. Det finns inget behov av att separera de olika typerna av extraordinärt offentligt finansiellt stöd.</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19</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(19)</w:t>
            </w:r>
            <w:r w:rsidRPr="00872462">
              <w:tab/>
              <w:t xml:space="preserve">Bedömningen av huruvida en resolution av ett institut eller en enhet ligger i allmänhetens intresse bör i möjligaste mån också återspegla skillnaden mellan å ena sidan finansiering som tillhandahålls genom branschfinansierade skyddsnät (finansieringsarrangemang för resolution eller insättningsgarantisystem) och å andra sidan finansiering som medlemsstaterna tillhandahåller genom skattebetalarnas pengar. </w:t>
            </w:r>
            <w:r w:rsidRPr="00872462">
              <w:rPr>
                <w:b/>
                <w:i/>
              </w:rPr>
              <w:t>Finansiering från medlemsstaterna medför en större risk för överdrivet risktagande och lägre incitament för marknadsdisciplin.</w:t>
            </w:r>
            <w:r w:rsidRPr="00872462">
              <w:t xml:space="preserve">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w:t>
            </w:r>
          </w:p>
        </w:tc>
        <w:tc>
          <w:tcPr>
            <w:tcW w:w="4876" w:type="dxa"/>
            <w:hideMark/>
          </w:tcPr>
          <w:p w:rsidR="00D16657" w:rsidRPr="00872462" w:rsidRDefault="00D16657" w:rsidP="00610A50">
            <w:pPr>
              <w:pStyle w:val="Normal6"/>
              <w:rPr>
                <w:szCs w:val="24"/>
              </w:rPr>
            </w:pPr>
            <w:r w:rsidRPr="00872462">
              <w:t>(19)</w:t>
            </w:r>
            <w:r w:rsidRPr="00872462">
              <w:tab/>
              <w:t xml:space="preserve">Bedömningen av huruvida en resolution av ett institut eller en enhet ligger i allmänhetens intresse bör i möjligaste mån också återspegla skillnaden mellan å ena sidan finansiering som tillhandahålls genom branschfinansierade skyddsnät (finansieringsarrangemang för resolution eller insättningsgarantisystem) och å andra sidan finansiering som medlemsstaterna tillhandahåller genom skattebetalarnas pengar.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 </w:t>
            </w:r>
            <w:r w:rsidRPr="00872462">
              <w:rPr>
                <w:b/>
                <w:i/>
              </w:rPr>
              <w:t>Detta bör dock inte leda till förväntningar om att kraven på bördefördelning kommer att minska, eftersom bördefördelning mellan aktieägare och borgenärer bör förbli den främsta finansieringskällan.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89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19</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(19)</w:t>
            </w:r>
            <w:r w:rsidRPr="00872462">
              <w:tab/>
              <w:t xml:space="preserve">Bedömningen av huruvida en resolution av ett institut eller en enhet ligger i allmänhetens intresse bör </w:t>
            </w:r>
            <w:r w:rsidRPr="00872462">
              <w:rPr>
                <w:b/>
                <w:i/>
              </w:rPr>
              <w:t>i möjligaste mån</w:t>
            </w:r>
            <w:r w:rsidRPr="00872462">
              <w:t xml:space="preserve"> också återspegla </w:t>
            </w:r>
            <w:r w:rsidRPr="00872462">
              <w:rPr>
                <w:b/>
                <w:i/>
              </w:rPr>
              <w:t>skillnaden mellan å ena sidan finansiering som tillhandahålls genom</w:t>
            </w:r>
            <w:r w:rsidRPr="00872462">
              <w:t xml:space="preserve"> branschfinansierade skyddsnät (finansieringsarrangemang för resolution eller insättningsgarantisystem) </w:t>
            </w:r>
            <w:r w:rsidRPr="00872462">
              <w:rPr>
                <w:b/>
                <w:i/>
              </w:rPr>
              <w:t>och å andra sidan</w:t>
            </w:r>
            <w:r w:rsidRPr="00872462">
              <w:t xml:space="preserve"> finansiering som medlemsstaterna tillhandahåller genom skattebetalarnas pengar. Finansiering från medlemsstaterna medför en större risk för överdrivet risktagande och lägre incitament för marknadsdisciplin.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w:t>
            </w:r>
          </w:p>
        </w:tc>
        <w:tc>
          <w:tcPr>
            <w:tcW w:w="4876" w:type="dxa"/>
            <w:hideMark/>
          </w:tcPr>
          <w:p w:rsidR="00D16657" w:rsidRPr="00872462" w:rsidRDefault="00D16657" w:rsidP="00610A50">
            <w:pPr>
              <w:pStyle w:val="Normal6"/>
              <w:rPr>
                <w:szCs w:val="24"/>
              </w:rPr>
            </w:pPr>
            <w:r w:rsidRPr="00872462">
              <w:t>(19)</w:t>
            </w:r>
            <w:r w:rsidRPr="00872462">
              <w:tab/>
              <w:t xml:space="preserve">Bedömningen av huruvida en resolution av ett institut eller en enhet ligger i allmänhetens intresse bör också återspegla </w:t>
            </w:r>
            <w:r w:rsidRPr="00872462">
              <w:rPr>
                <w:b/>
                <w:i/>
              </w:rPr>
              <w:t>prioriteringen att använda</w:t>
            </w:r>
            <w:r w:rsidRPr="00872462">
              <w:t xml:space="preserve"> branschfinansierade skyddsnät (finansieringsarrangemang för resolution eller insättningsgarantisystem) </w:t>
            </w:r>
            <w:r w:rsidRPr="00872462">
              <w:rPr>
                <w:b/>
                <w:i/>
              </w:rPr>
              <w:t>i stället för</w:t>
            </w:r>
            <w:r w:rsidRPr="00872462">
              <w:t xml:space="preserve"> finansiering som medlemsstaterna tillhandahåller genom skattebetalarnas pengar</w:t>
            </w:r>
            <w:r w:rsidRPr="00872462">
              <w:rPr>
                <w:b/>
                <w:i/>
              </w:rPr>
              <w:t>, med undantag för extraordinära omständigheter av systemkaraktär eller som rör mycket stor ekonomisk oro</w:t>
            </w:r>
            <w:r w:rsidRPr="00872462">
              <w:t>. Finansiering från medlemsstaterna medför en större risk för överdrivet risktagande och lägre incitament för marknadsdisciplin.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19</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(19)</w:t>
            </w:r>
            <w:r w:rsidRPr="00872462">
              <w:tab/>
              <w:t xml:space="preserve">Bedömningen av huruvida en resolution av ett institut eller en enhet ligger i allmänhetens intresse bör </w:t>
            </w:r>
            <w:r w:rsidRPr="00872462">
              <w:rPr>
                <w:b/>
                <w:i/>
              </w:rPr>
              <w:t>i möjligaste mån</w:t>
            </w:r>
            <w:r w:rsidRPr="00872462">
              <w:t xml:space="preserve"> också återspegla </w:t>
            </w:r>
            <w:r w:rsidRPr="00872462">
              <w:rPr>
                <w:b/>
                <w:i/>
              </w:rPr>
              <w:t>skillnaden mellan å ena sidan finansiering som tillhandahålls genom</w:t>
            </w:r>
            <w:r w:rsidRPr="00872462">
              <w:t xml:space="preserve"> branschfinansierade skyddsnät (finansieringsarrangemang för resolution eller insättningsgarantisystem) </w:t>
            </w:r>
            <w:r w:rsidRPr="00872462">
              <w:rPr>
                <w:b/>
                <w:i/>
              </w:rPr>
              <w:t>och å andra sidan</w:t>
            </w:r>
            <w:r w:rsidRPr="00872462">
              <w:t xml:space="preserve"> finansiering som medlemsstaterna tillhandahåller genom skattebetalarnas pengar. Finansiering från medlemsstaterna medför en större risk för överdrivet risktagande och lägre incitament för marknadsdisciplin.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w:t>
            </w:r>
          </w:p>
        </w:tc>
        <w:tc>
          <w:tcPr>
            <w:tcW w:w="4876" w:type="dxa"/>
            <w:hideMark/>
          </w:tcPr>
          <w:p w:rsidR="00D16657" w:rsidRPr="00872462" w:rsidRDefault="00D16657" w:rsidP="00610A50">
            <w:pPr>
              <w:pStyle w:val="Normal6"/>
              <w:rPr>
                <w:szCs w:val="24"/>
              </w:rPr>
            </w:pPr>
            <w:r w:rsidRPr="00872462">
              <w:t>(19)</w:t>
            </w:r>
            <w:r w:rsidRPr="00872462">
              <w:tab/>
              <w:t xml:space="preserve">Bedömningen av huruvida en resolution av ett institut eller en enhet ligger i allmänhetens intresse bör också återspegla </w:t>
            </w:r>
            <w:r w:rsidRPr="00872462">
              <w:rPr>
                <w:b/>
                <w:i/>
              </w:rPr>
              <w:t>prioriteringen att använda</w:t>
            </w:r>
            <w:r w:rsidRPr="00872462">
              <w:t xml:space="preserve"> branschfinansierade skyddsnät (finansieringsarrangemang för resolution eller insättningsgarantisystem) </w:t>
            </w:r>
            <w:r w:rsidRPr="00872462">
              <w:rPr>
                <w:b/>
                <w:i/>
              </w:rPr>
              <w:t>i stället för</w:t>
            </w:r>
            <w:r w:rsidRPr="00872462">
              <w:t xml:space="preserve"> finansiering som medlemsstaterna tillhandahåller genom skattebetalarnas pengar</w:t>
            </w:r>
            <w:r w:rsidRPr="00872462">
              <w:rPr>
                <w:b/>
                <w:i/>
              </w:rPr>
              <w:t>, med undantag för extraordinära omständigheter av systemkaraktär eller som rör mycket stor ekonomisk oro</w:t>
            </w:r>
            <w:r w:rsidRPr="00872462">
              <w:t>. Finansiering från medlemsstaterna medför en större risk för överdrivet risktagande och lägre incitament för marknadsdisciplin.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19</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(19)</w:t>
            </w:r>
            <w:r w:rsidRPr="00872462">
              <w:tab/>
              <w:t xml:space="preserve">Bedömningen av huruvida en resolution av ett institut eller en enhet ligger i allmänhetens intresse bör i möjligaste mån också återspegla skillnaden mellan å ena sidan finansiering som tillhandahålls genom branschfinansierade skyddsnät (finansieringsarrangemang för resolution eller insättningsgarantisystem) och å andra sidan finansiering som medlemsstaterna tillhandahåller genom skattebetalarnas pengar. </w:t>
            </w:r>
            <w:r w:rsidRPr="00872462">
              <w:rPr>
                <w:b/>
                <w:i/>
              </w:rPr>
              <w:t>Finansiering från medlemsstaterna medför en större risk för överdrivet risktagande och lägre incitament för marknadsdisciplin.</w:t>
            </w:r>
            <w:r w:rsidRPr="00872462">
              <w:t xml:space="preserve">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w:t>
            </w:r>
          </w:p>
        </w:tc>
        <w:tc>
          <w:tcPr>
            <w:tcW w:w="4876" w:type="dxa"/>
            <w:hideMark/>
          </w:tcPr>
          <w:p w:rsidR="00D16657" w:rsidRPr="00872462" w:rsidRDefault="00D16657" w:rsidP="00610A50">
            <w:pPr>
              <w:pStyle w:val="Normal6"/>
              <w:rPr>
                <w:szCs w:val="24"/>
              </w:rPr>
            </w:pPr>
            <w:r w:rsidRPr="00872462">
              <w:t>(19)</w:t>
            </w:r>
            <w:r w:rsidRPr="00872462">
              <w:tab/>
              <w:t xml:space="preserve">Bedömningen av huruvida en resolution av ett institut eller en enhet ligger i allmänhetens intresse bör i möjligaste mån också återspegla skillnaden mellan å ena sidan finansiering som tillhandahålls genom branschfinansierade skyddsnät (finansieringsarrangemang för resolution eller insättningsgarantisystem) och å andra sidan finansiering som medlemsstaterna tillhandahåller genom skattebetalarnas pengar.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 </w:t>
            </w:r>
            <w:r w:rsidRPr="00872462">
              <w:rPr>
                <w:b/>
                <w:i/>
              </w:rPr>
              <w:t>Bördefördelning mellan aktieägare och borgenärer måste dock förbli den främsta finansieringskällan.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(20)</w:t>
            </w:r>
            <w:r w:rsidRPr="00872462">
              <w:rPr>
                <w:b/>
                <w:i/>
              </w:rPr>
              <w:tab/>
              <w:t>För att säkerställa att resolutionsmålen uppnås på effektivast möjliga sätt bör resultatet av bedömningen av allmänintresset vara negativt endast om avvecklingen av det fallerande institutet eller enheten enligt normala insolvensförfaranden skulle uppnå resolutionsmålen på ett effektivare sätt och inte bara i samma utsträckning som resolution.</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(20)</w:t>
            </w:r>
            <w:r w:rsidRPr="00872462">
              <w:rPr>
                <w:b/>
                <w:i/>
              </w:rPr>
              <w:tab/>
              <w:t>För att säkerställa att resolutionsmålen uppnås på effektivast möjliga sätt bör resultatet av bedömningen av allmänintresset vara negativt endast om avvecklingen av det fallerande institutet eller enheten enligt normala insolvensförfaranden skulle uppnå resolutionsmålen på ett effektivare sätt och inte bara i samma utsträckning som resolution.</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(20)</w:t>
            </w:r>
            <w:r w:rsidRPr="00872462">
              <w:tab/>
              <w:t xml:space="preserve">För att säkerställa att resolutionsmålen uppnås på effektivast möjliga sätt bör </w:t>
            </w:r>
            <w:r w:rsidRPr="00872462">
              <w:rPr>
                <w:b/>
                <w:i/>
              </w:rPr>
              <w:t>resultatet av</w:t>
            </w:r>
            <w:r w:rsidRPr="00872462">
              <w:t xml:space="preserve"> bedömningen av allmänintresset </w:t>
            </w:r>
            <w:r w:rsidRPr="00872462">
              <w:rPr>
                <w:b/>
                <w:i/>
              </w:rPr>
              <w:t>vara negativt endast</w:t>
            </w:r>
            <w:r w:rsidRPr="00872462">
              <w:t xml:space="preserve"> om avvecklingen av det fallerande institutet eller enheten enligt normala insolvensförfaranden skulle uppnå resolutionsmålen </w:t>
            </w:r>
            <w:r w:rsidRPr="00872462">
              <w:rPr>
                <w:b/>
                <w:i/>
              </w:rPr>
              <w:t>på ett effektivare sätt och inte bara</w:t>
            </w:r>
            <w:r w:rsidRPr="00872462">
              <w:t xml:space="preserve"> i samma utsträckning som resolution.</w:t>
            </w:r>
          </w:p>
        </w:tc>
        <w:tc>
          <w:tcPr>
            <w:tcW w:w="4876" w:type="dxa"/>
            <w:hideMark/>
          </w:tcPr>
          <w:p w:rsidR="00D16657" w:rsidRPr="00872462" w:rsidRDefault="00D16657" w:rsidP="00610A50">
            <w:pPr>
              <w:pStyle w:val="Normal6"/>
              <w:rPr>
                <w:szCs w:val="24"/>
              </w:rPr>
            </w:pPr>
            <w:r w:rsidRPr="00872462">
              <w:t>(20)</w:t>
            </w:r>
            <w:r w:rsidRPr="00872462">
              <w:tab/>
              <w:t xml:space="preserve">För att säkerställa att resolutionsmålen uppnås på effektivast möjliga sätt bör bedömningen av allmänintresset </w:t>
            </w:r>
            <w:r w:rsidRPr="00872462">
              <w:rPr>
                <w:b/>
                <w:i/>
              </w:rPr>
              <w:t>ta hänsyn till</w:t>
            </w:r>
            <w:r w:rsidRPr="00872462">
              <w:t xml:space="preserve"> om avvecklingen av det fallerande institutet eller enheten enligt normala insolvensförfaranden skulle uppnå resolutionsmålen i samma utsträckning som resolution.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(20)</w:t>
            </w:r>
            <w:r w:rsidRPr="00872462">
              <w:tab/>
              <w:t xml:space="preserve">För att säkerställa att resolutionsmålen uppnås på effektivast möjliga sätt bör </w:t>
            </w:r>
            <w:r w:rsidRPr="00872462">
              <w:rPr>
                <w:b/>
                <w:i/>
              </w:rPr>
              <w:t>resultatet av</w:t>
            </w:r>
            <w:r w:rsidRPr="00872462">
              <w:t xml:space="preserve"> bedömningen av allmänintresset </w:t>
            </w:r>
            <w:r w:rsidRPr="00872462">
              <w:rPr>
                <w:b/>
                <w:i/>
              </w:rPr>
              <w:t>vara negativt endast</w:t>
            </w:r>
            <w:r w:rsidRPr="00872462">
              <w:t xml:space="preserve"> om avvecklingen av det fallerande institutet eller enheten enligt normala insolvensförfaranden skulle uppnå resolutionsmålen </w:t>
            </w:r>
            <w:r w:rsidRPr="00872462">
              <w:rPr>
                <w:b/>
                <w:i/>
              </w:rPr>
              <w:t>på ett effektivare sätt och inte bara</w:t>
            </w:r>
            <w:r w:rsidRPr="00872462">
              <w:t xml:space="preserve"> i samma utsträckning som resolution.</w:t>
            </w:r>
          </w:p>
        </w:tc>
        <w:tc>
          <w:tcPr>
            <w:tcW w:w="4876" w:type="dxa"/>
            <w:hideMark/>
          </w:tcPr>
          <w:p w:rsidR="00D16657" w:rsidRPr="00872462" w:rsidRDefault="00D16657" w:rsidP="00610A50">
            <w:pPr>
              <w:pStyle w:val="Normal6"/>
              <w:rPr>
                <w:szCs w:val="24"/>
              </w:rPr>
            </w:pPr>
            <w:r w:rsidRPr="00872462">
              <w:t>(20)</w:t>
            </w:r>
            <w:r w:rsidRPr="00872462">
              <w:tab/>
              <w:t xml:space="preserve">För att säkerställa att resolutionsmålen uppnås på effektivast möjliga sätt bör bedömningen av allmänintresset </w:t>
            </w:r>
            <w:r w:rsidRPr="00872462">
              <w:rPr>
                <w:b/>
                <w:i/>
              </w:rPr>
              <w:t>ta hänsyn till</w:t>
            </w:r>
            <w:r w:rsidRPr="00872462">
              <w:t xml:space="preserve"> om avvecklingen av det fallerande institutet eller enheten enligt normala insolvensförfaranden skulle uppnå resolutionsmålen i samma utsträckning som resolution.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(20)</w:t>
            </w:r>
            <w:r w:rsidRPr="00872462">
              <w:tab/>
              <w:t xml:space="preserve">För att säkerställa att resolutionsmålen uppnås på effektivast möjliga sätt bör </w:t>
            </w:r>
            <w:r w:rsidRPr="00872462">
              <w:rPr>
                <w:b/>
                <w:i/>
              </w:rPr>
              <w:t>resultatet av</w:t>
            </w:r>
            <w:r w:rsidRPr="00872462">
              <w:t xml:space="preserve"> bedömningen av allmänintresset </w:t>
            </w:r>
            <w:r w:rsidRPr="00872462">
              <w:rPr>
                <w:b/>
                <w:i/>
              </w:rPr>
              <w:t>vara negativt endast</w:t>
            </w:r>
            <w:r w:rsidRPr="00872462">
              <w:t xml:space="preserve"> om avvecklingen av det fallerande institutet eller enheten enligt normala insolvensförfaranden skulle uppnå resolutionsmålen </w:t>
            </w:r>
            <w:r w:rsidRPr="00872462">
              <w:rPr>
                <w:b/>
                <w:i/>
              </w:rPr>
              <w:t>på ett effektivare sätt och inte bara</w:t>
            </w:r>
            <w:r w:rsidRPr="00872462">
              <w:t xml:space="preserve"> i samma utsträckning som resolution.</w:t>
            </w:r>
          </w:p>
        </w:tc>
        <w:tc>
          <w:tcPr>
            <w:tcW w:w="4876" w:type="dxa"/>
            <w:hideMark/>
          </w:tcPr>
          <w:p w:rsidR="00D16657" w:rsidRPr="00872462" w:rsidRDefault="00D16657" w:rsidP="00610A50">
            <w:pPr>
              <w:pStyle w:val="Normal6"/>
              <w:rPr>
                <w:szCs w:val="24"/>
              </w:rPr>
            </w:pPr>
            <w:r w:rsidRPr="00872462">
              <w:t>(20)</w:t>
            </w:r>
            <w:r w:rsidRPr="00872462">
              <w:tab/>
              <w:t xml:space="preserve">För att säkerställa att resolutionsmålen uppnås på effektivast möjliga sätt bör bedömningen av allmänintresset </w:t>
            </w:r>
            <w:r w:rsidRPr="00872462">
              <w:rPr>
                <w:b/>
                <w:i/>
              </w:rPr>
              <w:t>ta hänsyn till</w:t>
            </w:r>
            <w:r w:rsidRPr="00872462">
              <w:t xml:space="preserve"> om avvecklingen av det fallerande institutet eller enheten enligt normala insolvensförfaranden skulle uppnå resolutionsmålen i samma utsträckning som resolution.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(20)</w:t>
            </w:r>
            <w:r w:rsidRPr="00872462">
              <w:tab/>
              <w:t xml:space="preserve">För att säkerställa att resolutionsmålen uppnås på effektivast möjliga sätt bör resultatet av bedömningen av allmänintresset vara negativt </w:t>
            </w:r>
            <w:r w:rsidRPr="00872462">
              <w:rPr>
                <w:b/>
                <w:i/>
              </w:rPr>
              <w:t>endast</w:t>
            </w:r>
            <w:r w:rsidRPr="00872462">
              <w:t xml:space="preserve"> om avvecklingen av det fallerande institutet eller enheten enligt normala insolvensförfaranden skulle uppnå resolutionsmålen </w:t>
            </w:r>
            <w:r w:rsidRPr="00872462">
              <w:rPr>
                <w:b/>
                <w:i/>
              </w:rPr>
              <w:t>på ett effektivare sätt och inte bara</w:t>
            </w:r>
            <w:r w:rsidRPr="00872462">
              <w:t xml:space="preserve"> i samma utsträckning som resolution.</w:t>
            </w:r>
          </w:p>
        </w:tc>
        <w:tc>
          <w:tcPr>
            <w:tcW w:w="4876" w:type="dxa"/>
            <w:hideMark/>
          </w:tcPr>
          <w:p w:rsidR="00D16657" w:rsidRPr="00872462" w:rsidRDefault="00D16657" w:rsidP="00610A50">
            <w:pPr>
              <w:pStyle w:val="Normal6"/>
              <w:rPr>
                <w:szCs w:val="24"/>
              </w:rPr>
            </w:pPr>
            <w:r w:rsidRPr="00872462">
              <w:t>(20)</w:t>
            </w:r>
            <w:r w:rsidRPr="00872462">
              <w:tab/>
              <w:t xml:space="preserve">För att säkerställa att resolutionsmålen uppnås på effektivast möjliga sätt bör resultatet av bedömningen av allmänintresset vara negativt om avvecklingen av det fallerande institutet eller enheten enligt normala insolvensförfaranden skulle uppnå resolutionsmålen i samma utsträckning som </w:t>
            </w:r>
            <w:r w:rsidRPr="00872462">
              <w:rPr>
                <w:b/>
                <w:i/>
              </w:rPr>
              <w:t>vid</w:t>
            </w:r>
            <w:r w:rsidRPr="00872462">
              <w:t xml:space="preserve"> resolution.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(21)</w:t>
            </w:r>
            <w:r w:rsidRPr="00872462">
              <w:tab/>
              <w:t>Mot bakgrund av de erfarenheter som gjorts vid genomförandet av direktiv 2014/59/EU, förordning (EU) nr 806/2014 och direktiv 2014/49/EU, är det nödvändigt att närmare ange på vilka villkor säkerhetsåtgärder som berättigar till extraordinärt offentligt finansiellt stöd i undantagsfall får beviljas. För att minimera snedvridningen av konkurrensen till följd av skillnader i arten av insättningsgarantisystem i unionen bör ingripanden från sådana system i samband med förebyggande åtgärder som uppfyller kraven i direktiv 2014/49/EU och som kan betecknas som extraordinärt offentligt finansiellt stöd undantagsvis tillåtas om det mottagande institutet eller den mottagande enheten inte uppfyller något av villkoren för att anses fallera eller sannolikt komma att fallera. Det bör säkerställas att säkerhetsåtgärder vidtas tillräckligt tidigt. ECB grundar för närvarande sin bedömning på att ett institut eller en enhet är solvent, för förebyggande rekapitalisering, på en framåtblickande bedömning för de följande 12 månaderna av huruvida institutet eller enheten kan uppfylla de kapitalbaskrav som anges i förordning (EU) nr 575/2013 eller i förordning (EU) 2019/2033 och det krav på ytterligare kapitalbas som fastställs i direktiv 2013/36/EU eller direktiv (EU) 2019/2034. Denna praxis bör fastställas i förordning (EU) nr 806/2014. Dessutom kan åtgärder för att tillhandahålla lättnader för värdeminskade tillgångar, inbegripet tillgångsförvaltningsenheter eller tillgångsgarantisystem, visa sig vara ändamålsenliga och effektiva när det gäller att hantera orsakerna till eventuella finansiella svårigheter som institut och enheter ställs inför och förhindra deras fallissemang och kan därför utgöra relevanta säkerhetsåtgärder. Det bör därför anges att sådana säkerhetsåtgärder kan ta formen av åtgärder för övertagande av värdeminskade tillgångar.</w:t>
            </w:r>
          </w:p>
        </w:tc>
        <w:tc>
          <w:tcPr>
            <w:tcW w:w="4876" w:type="dxa"/>
            <w:hideMark/>
          </w:tcPr>
          <w:p w:rsidR="00D16657" w:rsidRPr="00872462" w:rsidRDefault="00D16657" w:rsidP="00610A50">
            <w:pPr>
              <w:pStyle w:val="Normal6"/>
              <w:rPr>
                <w:szCs w:val="24"/>
              </w:rPr>
            </w:pPr>
            <w:r w:rsidRPr="00872462">
              <w:t>(21)</w:t>
            </w:r>
            <w:r w:rsidRPr="00872462">
              <w:tab/>
              <w:t xml:space="preserve">Mot bakgrund av de erfarenheter som gjorts vid genomförandet av direktiv 2014/59/EU, förordning (EU) nr 806/2014 och direktiv 2014/49/EU, </w:t>
            </w:r>
            <w:r w:rsidRPr="00872462">
              <w:rPr>
                <w:b/>
                <w:i/>
              </w:rPr>
              <w:t>och utan att det påverkar frågan om huruvida en förebyggande åtgärd utgör extraordinärt offentligt finansiellt stöd,</w:t>
            </w:r>
            <w:r w:rsidRPr="00872462">
              <w:t xml:space="preserve"> är det nödvändigt att närmare ange på vilka villkor </w:t>
            </w:r>
            <w:r w:rsidRPr="00872462">
              <w:rPr>
                <w:b/>
                <w:i/>
              </w:rPr>
              <w:t>förebyggande</w:t>
            </w:r>
            <w:r w:rsidRPr="00872462">
              <w:t xml:space="preserve"> säkerhetsåtgärder som berättigar till extraordinärt offentligt finansiellt stöd i undantagsfall får beviljas. För att minimera snedvridningen av konkurrensen till följd av skillnader i arten av insättningsgarantisystem i unionen bör ingripanden från sådana system i samband med förebyggande åtgärder som uppfyller kraven i direktiv 2014/49/EU och som kan betecknas som extraordinärt offentligt finansiellt stöd undantagsvis tillåtas om det mottagande institutet eller den mottagande enheten inte uppfyller något av villkoren för att anses fallera eller sannolikt komma att fallera. Det bör säkerställas att säkerhetsåtgärder vidtas tillräckligt tidigt. ECB grundar för närvarande sin bedömning på att ett institut eller en enhet är solvent, för förebyggande rekapitalisering, på en framåtblickande bedömning för de följande 12 månaderna av huruvida institutet eller enheten kan uppfylla de kapitalbaskrav som anges i förordning (EU) nr 575/2013 eller i förordning (EU) 2019/2033 och det krav på ytterligare kapitalbas som fastställs i direktiv 2013/36/EU eller direktiv (EU) 2019/2034. Denna praxis bör fastställas i förordning (EU) nr 806/2014. Dessutom kan åtgärder för att tillhandahålla lättnader för värdeminskade tillgångar, inbegripet tillgångsförvaltningsenheter eller tillgångsgarantisystem, visa sig vara ändamålsenliga och effektiva när det gäller att hantera orsakerna till eventuella finansiella svårigheter som institut och enheter ställs inför och förhindra deras fallissemang och kan därför utgöra relevanta säkerhetsåtgärder. Det bör därför anges att sådana säkerhetsåtgärder kan ta formen av åtgärder för övertagande av värdeminskade tillgångar.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Det bör klargöras att inga av de nyligen införda reglerna om statligt stöd, särskilt artikel 18a i utkastet till förordningen om den gemensamma resolutionsmekanismen, är avsedda att klassificera säkerhetsåtgärder i sig som statligt stöd. Det bör därför klargöras att denna fråga inte berörs.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99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(21)</w:t>
            </w:r>
            <w:r w:rsidRPr="00872462">
              <w:tab/>
              <w:t xml:space="preserve">Mot bakgrund av de erfarenheter som gjorts vid genomförandet av direktiv 2014/59/EU, förordning (EU) nr 806/2014 och direktiv 2014/49/EU, är det nödvändigt att närmare ange på vilka villkor säkerhetsåtgärder som berättigar till extraordinärt offentligt finansiellt stöd i undantagsfall får beviljas. För att minimera snedvridningen av konkurrensen till följd av skillnader i arten av insättningsgarantisystem i unionen bör ingripanden från sådana system i samband med förebyggande åtgärder som uppfyller kraven i direktiv 2014/49/EU och som kan betecknas som extraordinärt offentligt finansiellt stöd undantagsvis tillåtas om det mottagande institutet eller den mottagande enheten inte </w:t>
            </w:r>
            <w:r w:rsidRPr="00872462">
              <w:rPr>
                <w:b/>
                <w:i/>
              </w:rPr>
              <w:t>uppfyller något av villkoren för att anses</w:t>
            </w:r>
            <w:r w:rsidRPr="00872462">
              <w:t xml:space="preserve"> fallera eller sannolikt komma att fallera. Det bör säkerställas att säkerhetsåtgärder vidtas tillräckligt tidigt. ECB grundar för närvarande sin bedömning på att ett institut eller en enhet är solvent, för förebyggande rekapitalisering, på en framåtblickande bedömning för de följande 12 månaderna av huruvida institutet eller enheten kan uppfylla de kapitalbaskrav som anges i förordning (EU) nr 575/2013 eller i förordning (EU) 2019/2033 och det krav på ytterligare kapitalbas som fastställs i direktiv 2013/36/EU eller direktiv (EU) 2019/2034. Denna praxis bör </w:t>
            </w:r>
            <w:r w:rsidRPr="00872462">
              <w:rPr>
                <w:b/>
                <w:i/>
              </w:rPr>
              <w:t>fastställas</w:t>
            </w:r>
            <w:r w:rsidRPr="00872462">
              <w:t xml:space="preserve"> i förordning (EU) nr 806/2014. Dessutom kan åtgärder för att tillhandahålla lättnader för värdeminskade tillgångar, inbegripet tillgångsförvaltningsenheter eller tillgångsgarantisystem, visa sig vara ändamålsenliga och effektiva när det gäller att hantera orsakerna till eventuella finansiella svårigheter som institut och enheter ställs inför och förhindra deras fallissemang och kan därför utgöra relevanta säkerhetsåtgärder. Det bör därför anges att sådana säkerhetsåtgärder kan ta formen av åtgärder för övertagande av värdeminskade tillgångar.</w:t>
            </w:r>
          </w:p>
        </w:tc>
        <w:tc>
          <w:tcPr>
            <w:tcW w:w="4876" w:type="dxa"/>
            <w:hideMark/>
          </w:tcPr>
          <w:p w:rsidR="00D16657" w:rsidRPr="00872462" w:rsidRDefault="00D16657" w:rsidP="00610A50">
            <w:pPr>
              <w:pStyle w:val="Normal6"/>
              <w:rPr>
                <w:szCs w:val="24"/>
              </w:rPr>
            </w:pPr>
            <w:r w:rsidRPr="00872462">
              <w:t>(21)</w:t>
            </w:r>
            <w:r w:rsidRPr="00872462">
              <w:tab/>
              <w:t xml:space="preserve">Mot bakgrund av de erfarenheter som gjorts vid genomförandet av direktiv 2014/59/EU, förordning (EU) nr 806/2014 och direktiv 2014/49/EU, är det nödvändigt att närmare ange på vilka villkor säkerhetsåtgärder som berättigar till extraordinärt offentligt finansiellt stöd i undantagsfall får beviljas. För att minimera snedvridningen av konkurrensen till följd av skillnader i arten av insättningsgarantisystem i unionen bör ingripanden från sådana system i samband med förebyggande åtgärder som uppfyller kraven i direktiv 2014/49/EU och som kan betecknas som extraordinärt offentligt finansiellt stöd undantagsvis tillåtas om det mottagande institutet eller den mottagande enheten inte </w:t>
            </w:r>
            <w:r w:rsidRPr="00872462">
              <w:rPr>
                <w:b/>
                <w:i/>
              </w:rPr>
              <w:t>har förklarats</w:t>
            </w:r>
            <w:r w:rsidRPr="00872462">
              <w:t xml:space="preserve"> fallera eller sannolikt komma att fallera.</w:t>
            </w:r>
            <w:r w:rsidRPr="00872462">
              <w:rPr>
                <w:b/>
                <w:i/>
              </w:rPr>
              <w:t xml:space="preserve"> Det bör säkerställas att säkerhetsåtgärder vidtas tillräckligt tidigt vid fallissemang eller sannolikt fallissemang.</w:t>
            </w:r>
            <w:r w:rsidRPr="00872462">
              <w:t xml:space="preserve"> Det bör säkerställas att säkerhetsåtgärder vidtas tillräckligt tidigt. ECB grundar för närvarande sin bedömning på att ett institut eller en enhet är solvent, för förebyggande rekapitalisering, på en framåtblickande bedömning för de följande 12 månaderna av huruvida institutet eller enheten kan uppfylla de kapitalbaskrav som anges i förordning (EU) nr 575/2013 eller i förordning (EU) 2019/2033 och det krav på ytterligare kapitalbas som fastställs i direktiv 2013/36/EU eller direktiv (EU) 2019/2034. Denna praxis bör </w:t>
            </w:r>
            <w:r w:rsidRPr="00872462">
              <w:rPr>
                <w:b/>
                <w:i/>
              </w:rPr>
              <w:t>ses över</w:t>
            </w:r>
            <w:r w:rsidRPr="00872462">
              <w:t xml:space="preserve"> i förordning (EU) nr 806/2014. Dessutom kan åtgärder för att tillhandahålla lättnader för värdeminskade tillgångar, inbegripet tillgångsförvaltningsenheter eller tillgångsgarantisystem, visa sig vara ändamålsenliga och effektiva när det gäller att hantera orsakerna till eventuella finansiella svårigheter som institut och enheter ställs inför och förhindra deras fallissemang och kan därför utgöra relevanta säkerhetsåtgärder. Det bör därför anges att sådana säkerhetsåtgärder kan ta formen av åtgärder för övertagande av värdeminskade tillgångar.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(21)</w:t>
            </w:r>
            <w:r w:rsidRPr="00872462">
              <w:tab/>
              <w:t xml:space="preserve">Mot bakgrund av de erfarenheter som gjorts vid genomförandet av direktiv 2014/59/EU, förordning (EU) nr 806/2014 och direktiv 2014/49/EU, är det nödvändigt att närmare ange på vilka villkor säkerhetsåtgärder som berättigar till extraordinärt offentligt finansiellt stöd i undantagsfall får beviljas. För att minimera snedvridningen av konkurrensen till följd av skillnader i arten av insättningsgarantisystem i unionen bör ingripanden från sådana system i samband med förebyggande åtgärder som uppfyller kraven i direktiv 2014/49/EU och som kan betecknas som extraordinärt offentligt finansiellt stöd undantagsvis tillåtas om det mottagande institutet eller den mottagande enheten inte </w:t>
            </w:r>
            <w:r w:rsidRPr="00872462">
              <w:rPr>
                <w:b/>
                <w:i/>
              </w:rPr>
              <w:t>uppfyller något av villkoren för att anses</w:t>
            </w:r>
            <w:r w:rsidRPr="00872462">
              <w:t xml:space="preserve"> fallera eller sannolikt komma att fallera. Det bör säkerställas att säkerhetsåtgärder vidtas tillräckligt tidigt. ECB grundar för närvarande sin bedömning på att ett institut eller en enhet är solvent, för förebyggande rekapitalisering, på en framåtblickande bedömning för de följande 12 månaderna av huruvida institutet eller enheten kan uppfylla de kapitalbaskrav som anges i förordning (EU) nr 575/2013 eller i förordning (EU) 2019/2033 och det krav på ytterligare kapitalbas som fastställs i direktiv 2013/36/EU eller direktiv (EU) 2019/2034. Denna praxis bör </w:t>
            </w:r>
            <w:r w:rsidRPr="00872462">
              <w:rPr>
                <w:b/>
                <w:i/>
              </w:rPr>
              <w:t>fastställas</w:t>
            </w:r>
            <w:r w:rsidRPr="00872462">
              <w:t xml:space="preserve"> i förordning (EU) nr 806/2014. Dessutom kan åtgärder för att tillhandahålla lättnader för värdeminskade tillgångar, inbegripet tillgångsförvaltningsenheter eller tillgångsgarantisystem, visa sig vara ändamålsenliga och effektiva när det gäller att hantera orsakerna till eventuella finansiella svårigheter som institut och enheter ställs inför och förhindra deras fallissemang och kan därför utgöra relevanta säkerhetsåtgärder. Det bör därför anges att sådana säkerhetsåtgärder kan ta formen av åtgärder för övertagande av värdeminskade tillgångar.</w:t>
            </w:r>
          </w:p>
        </w:tc>
        <w:tc>
          <w:tcPr>
            <w:tcW w:w="4876" w:type="dxa"/>
            <w:hideMark/>
          </w:tcPr>
          <w:p w:rsidR="00D16657" w:rsidRPr="00872462" w:rsidRDefault="00D16657" w:rsidP="00610A50">
            <w:pPr>
              <w:pStyle w:val="Normal6"/>
              <w:rPr>
                <w:szCs w:val="24"/>
              </w:rPr>
            </w:pPr>
            <w:r w:rsidRPr="00872462">
              <w:t>(21)</w:t>
            </w:r>
            <w:r w:rsidRPr="00872462">
              <w:tab/>
              <w:t xml:space="preserve">Mot bakgrund av de erfarenheter som gjorts vid genomförandet av direktiv 2014/59/EU, förordning (EU) nr 806/2014 och direktiv 2014/49/EU, är det nödvändigt att närmare ange på vilka villkor säkerhetsåtgärder som berättigar till extraordinärt offentligt finansiellt stöd i undantagsfall får beviljas. För att minimera snedvridningen av konkurrensen till följd av skillnader i arten av insättningsgarantisystem i unionen bör ingripanden från sådana system i samband med förebyggande åtgärder som uppfyller kraven i direktiv 2014/49/EU och som kan betecknas som extraordinärt offentligt finansiellt stöd undantagsvis tillåtas om det mottagande institutet eller den mottagande enheten inte </w:t>
            </w:r>
            <w:r w:rsidRPr="00872462">
              <w:rPr>
                <w:b/>
                <w:i/>
              </w:rPr>
              <w:t>har förklarats</w:t>
            </w:r>
            <w:r w:rsidRPr="00872462">
              <w:t xml:space="preserve"> fallera eller sannolikt komma att fallera. Det bör säkerställas att säkerhetsåtgärder vidtas tillräckligt tidigt. ECB grundar för närvarande sin bedömning på att ett institut eller en enhet är solvent, för förebyggande rekapitalisering, på en framåtblickande bedömning för de följande 12 månaderna av huruvida institutet eller enheten kan uppfylla de kapitalbaskrav som anges i förordning (EU) nr 575/2013 eller i förordning (EU) 2019/2033 och det krav på ytterligare kapitalbas som fastställs i direktiv 2013/36/EU eller direktiv (EU) 2019/2034. Denna praxis bör </w:t>
            </w:r>
            <w:r w:rsidRPr="00872462">
              <w:rPr>
                <w:b/>
                <w:i/>
              </w:rPr>
              <w:t>ses över</w:t>
            </w:r>
            <w:r w:rsidRPr="00872462">
              <w:t xml:space="preserve"> i förordning (EU) nr 806/2014. Dessutom kan åtgärder för att tillhandahålla lättnader för värdeminskade tillgångar, inbegripet tillgångsförvaltningsenheter eller tillgångsgarantisystem, visa sig vara ändamålsenliga och effektiva när det gäller att hantera orsakerna till eventuella finansiella svårigheter som institut och enheter ställs inför och förhindra deras fallissemang och kan därför utgöra relevanta säkerhetsåtgärder. Det bör därför anges att sådana säkerhetsåtgärder kan ta formen av åtgärder för övertagande av värdeminskade tillgångar.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22</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(22)</w:t>
            </w:r>
            <w:r w:rsidRPr="00872462">
              <w:tab/>
              <w:t xml:space="preserve">För att bevara marknadsdisciplinen, skydda offentliga medel och undvika snedvridning av konkurrensen bör säkerhetsåtgärder förbli undantag och endast tillämpas för att hantera allvarliga störningar på marknaden eller för att bevara den finansiella stabiliteten. Dessutom bör säkerhetsåtgärder inte användas för att hantera uppkomna eller sannolika förluster. Det mest tillförlitliga instrumentet för att identifiera uppkomna eller sannolika förluster är en översyn av tillgångarnas kvalitet som utförs av ECB, Europeiska tillsynsmyndigheten (Europeiska bankmyndigheten) (EBA), inrättad genom Europaparlamentets och rådets förordning (EU) nr 1093/2010 eller </w:t>
            </w:r>
            <w:r w:rsidRPr="00872462">
              <w:rPr>
                <w:b/>
                <w:i/>
                <w:vertAlign w:val="superscript"/>
              </w:rPr>
              <w:t>34</w:t>
            </w:r>
            <w:r w:rsidRPr="00872462">
              <w:t xml:space="preserve"> nationella behöriga myndigheter. ECB och de nationella behöriga myndigheterna bör använda en sådan översyn för att identifiera uppkomna eller sannolika förluster om en sådan översyn kan genomföras inom rimlig tid. Om detta inte är möjligt bör ECB och de nationella behöriga myndigheterna identifiera uppkomna eller sannolika förluster på det mest tillförlitliga sättet under rådande omständigheter, på grundval av inspektioner på plats där så är lämpligt.</w:t>
            </w:r>
          </w:p>
        </w:tc>
        <w:tc>
          <w:tcPr>
            <w:tcW w:w="4876" w:type="dxa"/>
            <w:hideMark/>
          </w:tcPr>
          <w:p w:rsidR="00D16657" w:rsidRPr="00872462" w:rsidRDefault="00D16657" w:rsidP="00610A50">
            <w:pPr>
              <w:pStyle w:val="Normal6"/>
              <w:rPr>
                <w:szCs w:val="24"/>
              </w:rPr>
            </w:pPr>
            <w:r w:rsidRPr="00872462">
              <w:t>(22)</w:t>
            </w:r>
            <w:r w:rsidRPr="00872462">
              <w:tab/>
              <w:t xml:space="preserve">För att bevara marknadsdisciplinen, skydda offentliga medel och undvika snedvridning av konkurrensen bör säkerhetsåtgärder förbli undantag och endast tillämpas för att hantera allvarliga störningar på marknaden eller för att bevara den finansiella stabiliteten </w:t>
            </w:r>
            <w:r w:rsidRPr="00872462">
              <w:rPr>
                <w:b/>
                <w:i/>
              </w:rPr>
              <w:t>och endast använda medel som finns tillgängliga i branschfinansierade skyddsnät</w:t>
            </w:r>
            <w:r w:rsidRPr="00872462">
              <w:t xml:space="preserve">. Dessutom bör säkerhetsåtgärder inte användas för att hantera uppkomna eller sannolika förluster. Det mest tillförlitliga instrumentet för att identifiera uppkomna eller sannolika förluster är en översyn av tillgångarnas kvalitet som utförs av ECB, Europeiska tillsynsmyndigheten (Europeiska bankmyndigheten) (EBA), inrättad genom Europaparlamentets och rådets förordning (EU) nr 1093/2010 eller nationella behöriga myndigheter. ECB och de nationella behöriga myndigheterna bör använda en sådan översyn för att identifiera uppkomna eller sannolika förluster om en sådan översyn kan genomföras inom rimlig tid. Om detta inte är möjligt bör ECB och de nationella behöriga myndigheterna identifiera uppkomna eller sannolika förluster på det mest tillförlitliga sättet under rådande omständigheter, på grundval av inspektioner på plats där så är lämpligt. </w:t>
            </w:r>
          </w:p>
        </w:tc>
      </w:tr>
      <w:tr w:rsidR="00872462" w:rsidRPr="00872462" w:rsidTr="00610A50">
        <w:trPr>
          <w:jc w:val="center"/>
        </w:trPr>
        <w:tc>
          <w:tcPr>
            <w:tcW w:w="4876" w:type="dxa"/>
            <w:hideMark/>
          </w:tcPr>
          <w:p w:rsidR="00D16657" w:rsidRPr="00872462" w:rsidRDefault="00D16657" w:rsidP="00610A50">
            <w:pPr>
              <w:pStyle w:val="Normal6"/>
            </w:pPr>
            <w:r w:rsidRPr="00872462">
              <w:t>__________________</w:t>
            </w:r>
          </w:p>
        </w:tc>
        <w:tc>
          <w:tcPr>
            <w:tcW w:w="4876" w:type="dxa"/>
            <w:hideMark/>
          </w:tcPr>
          <w:p w:rsidR="00D16657" w:rsidRPr="00872462" w:rsidRDefault="00D16657" w:rsidP="00610A50">
            <w:pPr>
              <w:pStyle w:val="Normal6"/>
              <w:rPr>
                <w:szCs w:val="24"/>
              </w:rPr>
            </w:pPr>
            <w:r w:rsidRPr="00872462">
              <w:t>__________________</w:t>
            </w:r>
          </w:p>
        </w:tc>
      </w:tr>
      <w:tr w:rsidR="00872462" w:rsidRPr="00872462" w:rsidTr="00610A50">
        <w:trPr>
          <w:jc w:val="center"/>
        </w:trPr>
        <w:tc>
          <w:tcPr>
            <w:tcW w:w="4876" w:type="dxa"/>
            <w:hideMark/>
          </w:tcPr>
          <w:p w:rsidR="00D16657" w:rsidRPr="00872462" w:rsidRDefault="00D16657" w:rsidP="00610A50">
            <w:pPr>
              <w:pStyle w:val="Normal6"/>
            </w:pPr>
            <w:r w:rsidRPr="00872462">
              <w:rPr>
                <w:vertAlign w:val="superscript"/>
              </w:rPr>
              <w:t>34</w:t>
            </w:r>
            <w:r w:rsidRPr="00872462">
              <w:t xml:space="preserve"> Europaparlamentets och rådets förordning (EU) nr 1093/2010 av den 24 november 2010 om inrättande av en europeisk tillsynsmyndighet (Europeiska bankmyndigheten), om ändring av beslut nr 716/2009/EG och om upphävande av kommissionens beslut 2009/78/EG (EUT L 331, 15.12.2010, s. 12).</w:t>
            </w:r>
          </w:p>
        </w:tc>
        <w:tc>
          <w:tcPr>
            <w:tcW w:w="4876" w:type="dxa"/>
            <w:hideMark/>
          </w:tcPr>
          <w:p w:rsidR="00D16657" w:rsidRPr="00872462" w:rsidRDefault="00D16657" w:rsidP="00610A50">
            <w:pPr>
              <w:pStyle w:val="Normal6"/>
              <w:rPr>
                <w:szCs w:val="24"/>
              </w:rPr>
            </w:pPr>
            <w:r w:rsidRPr="00872462">
              <w:rPr>
                <w:vertAlign w:val="superscript"/>
              </w:rPr>
              <w:t>34</w:t>
            </w:r>
            <w:r w:rsidRPr="00872462">
              <w:t xml:space="preserve"> Europaparlamentets och rådets förordning (EU) nr 1093/2010 av den 24 november 2010 om inrättande av en europeisk tillsynsmyndighet (Europeiska bankmyndigheten), om ändring av beslut nr 716/2009/EG och om upphävande av kommissionens beslut 2009/78/EG (EUT L 331, 15.12.2010, s. 12).</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23</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(23)</w:t>
            </w:r>
            <w:r w:rsidRPr="00872462">
              <w:tab/>
              <w:t xml:space="preserve">Syftet med förebyggande rekapitalisering är att stödja lönsamma institut och enheter som sannolikt kommer att stöta på tillfälliga svårigheter inom en nära framtid och förhindra att deras situation förvärras ytterligare. För att undvika att offentliga subventioner beviljas företag som redan är olönsamma när stödet beviljas, bör säkerhetsåtgärder som beviljas i form av förvärv av kapitalbasinstrument eller andra kapitalinstrument eller genom åtgärder för övertagande av värdeminskade tillgångar inte överstiga det belopp som är nödvändigt för att täcka kapitalunderskott enligt det negativa scenariot i ett stresstest eller motsvarande. För att säkerställa att den offentliga finansieringen i slutändan avbryts bör dessa säkerhetsåtgärder också vara tidsbegränsade och innehålla en tydlig tidsplan för deras avslutande (exitstrategi). </w:t>
            </w:r>
            <w:r w:rsidRPr="00872462">
              <w:rPr>
                <w:b/>
                <w:i/>
              </w:rPr>
              <w:t>Eviga instrument, inbegripet kärnprimärkapital, bör endast användas under exceptionella omständigheter och omfattas av vissa kvantitativa begränsningar eftersom de till sin natur inte är väl lämpade för att uppfylla villkoret om tidsbegränsning.</w:t>
            </w:r>
          </w:p>
        </w:tc>
        <w:tc>
          <w:tcPr>
            <w:tcW w:w="4876" w:type="dxa"/>
            <w:hideMark/>
          </w:tcPr>
          <w:p w:rsidR="00D16657" w:rsidRPr="00872462" w:rsidRDefault="00D16657" w:rsidP="00610A50">
            <w:pPr>
              <w:pStyle w:val="Normal6"/>
              <w:rPr>
                <w:szCs w:val="24"/>
              </w:rPr>
            </w:pPr>
            <w:r w:rsidRPr="00872462">
              <w:t>(23)</w:t>
            </w:r>
            <w:r w:rsidRPr="00872462">
              <w:tab/>
              <w:t>Syftet med förebyggande rekapitalisering är att stödja lönsamma institut och enheter som sannolikt kommer att stöta på tillfälliga svårigheter inom en nära framtid och förhindra att deras situation förvärras ytterligare. För att undvika att offentliga subventioner beviljas företag som redan är olönsamma när stödet beviljas, bör säkerhetsåtgärder som beviljas i form av förvärv av kapitalbasinstrument eller andra kapitalinstrument eller genom åtgärder för övertagande av värdeminskade tillgångar inte överstiga det belopp som är nödvändigt för att täcka kapitalunderskott enligt det negativa scenariot i ett stresstest eller motsvarande. För att säkerställa att den offentliga finansieringen i slutändan avbryts bör dessa säkerhetsåtgärder också vara tidsbegränsade och innehålla en tydlig tidsplan för deras avslutande (exitstrategi).</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23</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(23)</w:t>
            </w:r>
            <w:r w:rsidRPr="00872462">
              <w:tab/>
              <w:t xml:space="preserve">Syftet med förebyggande rekapitalisering är att stödja lönsamma institut och enheter som sannolikt kommer att stöta på tillfälliga svårigheter inom en nära framtid och förhindra att deras situation förvärras ytterligare. För att undvika att </w:t>
            </w:r>
            <w:r w:rsidRPr="00872462">
              <w:rPr>
                <w:b/>
                <w:i/>
              </w:rPr>
              <w:t>offentliga subventioner</w:t>
            </w:r>
            <w:r w:rsidRPr="00872462">
              <w:t xml:space="preserve"> beviljas företag som redan är olönsamma när stödet beviljas, bör säkerhetsåtgärder som beviljas i form av förvärv av kapitalbasinstrument eller andra kapitalinstrument eller genom åtgärder för övertagande av värdeminskade tillgångar inte överstiga det belopp som är nödvändigt för att täcka kapitalunderskott enligt det negativa scenariot i ett stresstest eller motsvarande. För att säkerställa att den offentliga finansieringen i slutändan avbryts bör dessa säkerhetsåtgärder också vara tidsbegränsade och innehålla en tydlig tidsplan för deras avslutande (exitstrategi). Eviga instrument, inbegripet kärnprimärkapital, bör endast användas under exceptionella omständigheter och omfattas av vissa kvantitativa begränsningar eftersom de till sin natur inte är väl lämpade för att uppfylla villkoret om tidsbegränsning.</w:t>
            </w:r>
          </w:p>
        </w:tc>
        <w:tc>
          <w:tcPr>
            <w:tcW w:w="4876" w:type="dxa"/>
            <w:hideMark/>
          </w:tcPr>
          <w:p w:rsidR="00D16657" w:rsidRPr="00872462" w:rsidRDefault="00D16657" w:rsidP="00610A50">
            <w:pPr>
              <w:pStyle w:val="Normal6"/>
              <w:rPr>
                <w:szCs w:val="24"/>
              </w:rPr>
            </w:pPr>
            <w:r w:rsidRPr="00872462">
              <w:t>(23)</w:t>
            </w:r>
            <w:r w:rsidRPr="00872462">
              <w:tab/>
              <w:t xml:space="preserve">Syftet med förebyggande rekapitalisering är att stödja lönsamma institut och enheter som sannolikt kommer att stöta på tillfälliga svårigheter inom en nära framtid och förhindra att deras situation förvärras ytterligare. För att undvika att </w:t>
            </w:r>
            <w:r w:rsidRPr="00872462">
              <w:rPr>
                <w:b/>
                <w:i/>
              </w:rPr>
              <w:t>branschfinansierade skyddsnät</w:t>
            </w:r>
            <w:r w:rsidRPr="00872462">
              <w:t xml:space="preserve"> beviljas företag som redan är olönsamma när stödet beviljas, bör säkerhetsåtgärder som beviljas i form av förvärv av kapitalbasinstrument eller andra kapitalinstrument eller genom åtgärder för övertagande av värdeminskade tillgångar inte överstiga det belopp som är nödvändigt för att täcka kapitalunderskott enligt det negativa scenariot i ett stresstest eller motsvarande. För att säkerställa att den offentliga finansieringen i slutändan avbryts bör dessa säkerhetsåtgärder också vara tidsbegränsade och innehålla en tydlig tidsplan för deras avslutande (exitstrategi). Eviga instrument, inbegripet kärnprimärkapital, bör endast användas under exceptionella omständigheter och omfattas av vissa kvantitativa begränsningar eftersom de till sin natur inte är väl lämpade för att uppfylla villkoret om tidsbegränsning.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24</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(24)</w:t>
            </w:r>
            <w:r w:rsidRPr="00872462">
              <w:tab/>
              <w:t>Säkerhetsåtgärder bör begränsas till det belopp som institutet eller enheten skulle behöva för att upprätthålla sin solvens i händelse av ett negativt scenario enligt vad som fastställts i ett stresstest eller motsvarande. När det gäller säkerhetsåtgärder i form av åtgärder för övertagande av värdeminskade tillgångar bör det mottagande institutet eller den mottagande enheten kunna använda detta belopp för att täcka förluster på de överförda tillgångarna eller i kombination med ett förvärv av kapitalinstrument, förutsatt att det totala beloppet för det konstaterade underskottet inte överskrids. Det är också nödvändigt att säkerställa att sådana säkerhetsåtgärder i form av åtgärder för övertagande av värdeminskade tillgångar är förenliga med befintliga regler för statligt stöd och bästa praxis, att de återställer institutets eller enhetens långsiktiga lönsamhet, att statligt stöd begränsas till vad som är absolut nödvändigt och att snedvridning av konkurrensen undviks. Av dessa skäl bör de berörda myndigheterna, när det gäller säkerhetsåtgärder i form av åtgärder för övertagande av värdeminskade tillgångar, beakta den särskilda vägledningen, inbegripet planen för kapitalförvaltningsbolag</w:t>
            </w:r>
            <w:r w:rsidRPr="00872462">
              <w:rPr>
                <w:vertAlign w:val="superscript"/>
              </w:rPr>
              <w:t>35</w:t>
            </w:r>
            <w:r w:rsidRPr="00872462">
              <w:t xml:space="preserve"> och meddelandet om hantering av nödlidande lån</w:t>
            </w:r>
            <w:r w:rsidRPr="00872462">
              <w:rPr>
                <w:vertAlign w:val="superscript"/>
              </w:rPr>
              <w:t>36</w:t>
            </w:r>
            <w:r w:rsidRPr="00872462">
              <w:t xml:space="preserve">. Dessa säkerhetsåtgärder i form av åtgärder för övertagande av värdeminskade tillgångar alltid omfattas av det överskuggande kravet på att vara av tillfällig natur. Offentliga garantier som beviljats för en viss period med avseende på de värdeminskade tillgångarna i det berörda institutet eller den berörda enheten förväntas säkerställa bättre efterlevnad av kravet på att vara av tillfällig natur än överföringar av sådana tillgångar till en offentligt understödd enhet. </w:t>
            </w:r>
            <w:r w:rsidRPr="00872462">
              <w:rPr>
                <w:b/>
                <w:i/>
              </w:rPr>
              <w:t>För att säkerställa att institut och enheter som, trots det mottagna stödet inte visar sig vara lönsamma, lämnar marknaden är det nödvändigt att fastställa att om det berörda institutet eller den berörda enheten inte följer de villkor för stödåtgärder som specificerades vid den tidpunkt då åtgärderna beviljades resulterar i att det berörda institutet eller den berörda enheten anses fallera eller sannolikt kommer att fallera.</w:t>
            </w:r>
          </w:p>
        </w:tc>
        <w:tc>
          <w:tcPr>
            <w:tcW w:w="4876" w:type="dxa"/>
            <w:hideMark/>
          </w:tcPr>
          <w:p w:rsidR="00D16657" w:rsidRPr="00872462" w:rsidRDefault="00D16657" w:rsidP="00610A50">
            <w:pPr>
              <w:pStyle w:val="Normal6"/>
              <w:rPr>
                <w:szCs w:val="24"/>
              </w:rPr>
            </w:pPr>
            <w:r w:rsidRPr="00872462">
              <w:t>(24)</w:t>
            </w:r>
            <w:r w:rsidRPr="00872462">
              <w:tab/>
              <w:t>Säkerhetsåtgärder bör begränsas till det belopp som institutet eller enheten skulle behöva för att upprätthålla sin solvens i händelse av ett negativt scenario enligt vad som fastställts i ett stresstest eller motsvarande. När det gäller säkerhetsåtgärder i form av åtgärder för övertagande av värdeminskade tillgångar bör det mottagande institutet eller den mottagande enheten kunna använda detta belopp för att täcka förluster på de överförda tillgångarna eller i kombination med ett förvärv av kapitalinstrument, förutsatt att det totala beloppet för det konstaterade underskottet inte överskrids. Det är också nödvändigt att säkerställa att sådana säkerhetsåtgärder i form av åtgärder för övertagande av värdeminskade tillgångar är förenliga med befintliga regler för statligt stöd och bästa praxis, att de återställer institutets eller enhetens långsiktiga lönsamhet, att statligt stöd begränsas till vad som är absolut nödvändigt och att snedvridning av konkurrensen undviks. Av dessa skäl bör de berörda myndigheterna, när det gäller säkerhetsåtgärder i form av åtgärder för övertagande av värdeminskade tillgångar, beakta den särskilda vägledningen, inbegripet planen för kapitalförvaltningsbolag</w:t>
            </w:r>
            <w:r w:rsidRPr="00872462">
              <w:rPr>
                <w:vertAlign w:val="superscript"/>
              </w:rPr>
              <w:t>35</w:t>
            </w:r>
            <w:r w:rsidRPr="00872462">
              <w:t xml:space="preserve"> och meddelandet om hantering av nödlidande lån</w:t>
            </w:r>
            <w:r w:rsidRPr="00872462">
              <w:rPr>
                <w:vertAlign w:val="superscript"/>
              </w:rPr>
              <w:t>36</w:t>
            </w:r>
            <w:r w:rsidRPr="00872462">
              <w:t>. Dessa säkerhetsåtgärder i form av åtgärder för övertagande av värdeminskade tillgångar alltid omfattas av det överskuggande kravet på att vara av tillfällig natur. Offentliga garantier som beviljats för en viss period med avseende på de värdeminskade tillgångarna i det berörda institutet eller den berörda enheten förväntas säkerställa bättre efterlevnad av kravet på att vara av tillfällig natur än överföringar av sådana tillgångar till en offentligt understödd enhet.</w:t>
            </w:r>
          </w:p>
        </w:tc>
      </w:tr>
      <w:tr w:rsidR="00872462" w:rsidRPr="00872462" w:rsidTr="00610A50">
        <w:trPr>
          <w:jc w:val="center"/>
        </w:trPr>
        <w:tc>
          <w:tcPr>
            <w:tcW w:w="4876" w:type="dxa"/>
            <w:hideMark/>
          </w:tcPr>
          <w:p w:rsidR="00D16657" w:rsidRPr="00872462" w:rsidRDefault="00D16657" w:rsidP="00610A50">
            <w:pPr>
              <w:pStyle w:val="Normal6"/>
            </w:pPr>
            <w:r w:rsidRPr="00872462">
              <w:t>__________________</w:t>
            </w:r>
          </w:p>
        </w:tc>
        <w:tc>
          <w:tcPr>
            <w:tcW w:w="4876" w:type="dxa"/>
            <w:hideMark/>
          </w:tcPr>
          <w:p w:rsidR="00D16657" w:rsidRPr="00872462" w:rsidRDefault="00D16657" w:rsidP="00610A50">
            <w:pPr>
              <w:pStyle w:val="Normal6"/>
              <w:rPr>
                <w:szCs w:val="24"/>
              </w:rPr>
            </w:pPr>
            <w:r w:rsidRPr="00872462">
              <w:t>__________________</w:t>
            </w:r>
          </w:p>
        </w:tc>
      </w:tr>
      <w:tr w:rsidR="00872462" w:rsidRPr="00872462" w:rsidTr="00610A50">
        <w:trPr>
          <w:jc w:val="center"/>
        </w:trPr>
        <w:tc>
          <w:tcPr>
            <w:tcW w:w="4876" w:type="dxa"/>
            <w:hideMark/>
          </w:tcPr>
          <w:p w:rsidR="00D16657" w:rsidRPr="00872462" w:rsidRDefault="00D16657" w:rsidP="00610A50">
            <w:pPr>
              <w:pStyle w:val="Normal6"/>
            </w:pPr>
            <w:r w:rsidRPr="00872462">
              <w:rPr>
                <w:vertAlign w:val="superscript"/>
              </w:rPr>
              <w:t>35</w:t>
            </w:r>
            <w:r w:rsidRPr="00872462">
              <w:t xml:space="preserve"> COM(2018) 133 final.</w:t>
            </w:r>
          </w:p>
        </w:tc>
        <w:tc>
          <w:tcPr>
            <w:tcW w:w="4876" w:type="dxa"/>
            <w:hideMark/>
          </w:tcPr>
          <w:p w:rsidR="00D16657" w:rsidRPr="00872462" w:rsidRDefault="00D16657" w:rsidP="00610A50">
            <w:pPr>
              <w:pStyle w:val="Normal6"/>
              <w:rPr>
                <w:szCs w:val="24"/>
              </w:rPr>
            </w:pPr>
            <w:r w:rsidRPr="00872462">
              <w:rPr>
                <w:vertAlign w:val="superscript"/>
              </w:rPr>
              <w:t>35</w:t>
            </w:r>
            <w:r w:rsidRPr="00872462">
              <w:t xml:space="preserve"> COM(2018) 133 final.</w:t>
            </w:r>
          </w:p>
        </w:tc>
      </w:tr>
      <w:tr w:rsidR="00872462" w:rsidRPr="00872462" w:rsidTr="00610A50">
        <w:trPr>
          <w:jc w:val="center"/>
        </w:trPr>
        <w:tc>
          <w:tcPr>
            <w:tcW w:w="4876" w:type="dxa"/>
            <w:hideMark/>
          </w:tcPr>
          <w:p w:rsidR="00D16657" w:rsidRPr="00872462" w:rsidRDefault="00D16657" w:rsidP="00610A50">
            <w:pPr>
              <w:pStyle w:val="Normal6"/>
            </w:pPr>
            <w:r w:rsidRPr="00872462">
              <w:rPr>
                <w:vertAlign w:val="superscript"/>
              </w:rPr>
              <w:t>36</w:t>
            </w:r>
            <w:r w:rsidRPr="00872462">
              <w:t xml:space="preserve"> COM(2020) 822 final.</w:t>
            </w:r>
          </w:p>
        </w:tc>
        <w:tc>
          <w:tcPr>
            <w:tcW w:w="4876" w:type="dxa"/>
            <w:hideMark/>
          </w:tcPr>
          <w:p w:rsidR="00D16657" w:rsidRPr="00872462" w:rsidRDefault="00D16657" w:rsidP="00610A50">
            <w:pPr>
              <w:pStyle w:val="Normal6"/>
              <w:rPr>
                <w:szCs w:val="24"/>
              </w:rPr>
            </w:pPr>
            <w:r w:rsidRPr="00872462">
              <w:rPr>
                <w:vertAlign w:val="superscript"/>
              </w:rPr>
              <w:t>36</w:t>
            </w:r>
            <w:r w:rsidRPr="00872462">
              <w:t xml:space="preserve"> COM(2020) 822 final.</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31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(31)</w:t>
            </w:r>
            <w:r w:rsidRPr="00872462">
              <w:rPr>
                <w:b/>
                <w:i/>
              </w:rPr>
              <w:tab/>
              <w:t>Under vissa omständigheter får nämnden, efter det att den gemensamma resolutionsfonden har lämnat ett bidrag på högst 5 % av institutets eller enhetens totala skulder inklusive kapitalbas, använda ytterligare finansieringskällor för att ytterligare stödja sina resolutionsåtgärder. Det bör anges tydligare under vilka omständigheter den gemensamma resolutionsfonden får ge ytterligare stöd om alla skulder med lägre prioritet än insättningar som inte är obligatoriska eller diskretionärt undantagna från skuldnedskrivning har skrivits ned eller konverterats fullt ut.</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Det finns inget behov av att se över den nuvarande ramen på denna punkt.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31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(31)</w:t>
            </w:r>
            <w:r w:rsidRPr="00872462">
              <w:tab/>
              <w:t xml:space="preserve">Under vissa omständigheter får nämnden, efter det att den gemensamma resolutionsfonden har lämnat ett bidrag på högst 5 % av institutets eller enhetens totala skulder inklusive kapitalbas, använda ytterligare finansieringskällor för att ytterligare stödja sina resolutionsåtgärder. </w:t>
            </w:r>
            <w:r w:rsidRPr="00872462">
              <w:rPr>
                <w:b/>
                <w:i/>
              </w:rPr>
              <w:t>Det bör anges tydligare under vilka omständigheter den gemensamma resolutionsfonden får ge ytterligare stöd om alla skulder med lägre prioritet än insättningar som inte är obligatoriska eller diskretionärt undantagna från skuldnedskrivning har skrivits ned eller konverterats fullt ut.</w:t>
            </w:r>
          </w:p>
        </w:tc>
        <w:tc>
          <w:tcPr>
            <w:tcW w:w="4876" w:type="dxa"/>
            <w:hideMark/>
          </w:tcPr>
          <w:p w:rsidR="00D16657" w:rsidRPr="00872462" w:rsidRDefault="00D16657" w:rsidP="00610A50">
            <w:pPr>
              <w:pStyle w:val="Normal6"/>
              <w:rPr>
                <w:szCs w:val="24"/>
              </w:rPr>
            </w:pPr>
            <w:r w:rsidRPr="00872462">
              <w:t>(31)</w:t>
            </w:r>
            <w:r w:rsidRPr="00872462">
              <w:tab/>
              <w:t>Under vissa omständigheter får nämnden, efter det att den gemensamma resolutionsfonden har lämnat ett bidrag på högst 5 % av institutets eller enhetens totala skulder inklusive kapitalbas, använda ytterligare finansieringskällor för att ytterligare stödja sina resolutionsåtgärder.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35</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(35)</w:t>
            </w:r>
            <w:r w:rsidRPr="00872462">
              <w:rPr>
                <w:b/>
                <w:i/>
              </w:rPr>
              <w:tab/>
              <w:t>För att säkerställa institutionell kontinuitet och uppbyggnad av institutionell expertis bör ordföranden, vice ordföranden och övriga heltidsledamöter i nämnden tillåtas att tjänstgöra under två på varandra följande mandatperioder i sina respektive befattningar. Det bör därför vara möjligt att förnya deras mandatperiod med en femårsperiod, på grundval av en utvärdering av kommissionen av deras tjänsteutövning under den första mandatperioden.</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35</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(35)</w:t>
            </w:r>
            <w:r w:rsidRPr="00872462">
              <w:rPr>
                <w:b/>
                <w:i/>
              </w:rPr>
              <w:tab/>
              <w:t>För att säkerställa institutionell kontinuitet och uppbyggnad av institutionell expertis bör ordföranden, vice ordföranden och övriga heltidsledamöter i nämnden tillåtas att tjänstgöra under två på varandra följande mandatperioder i sina respektive befattningar. Det bör därför vara möjligt att förnya deras mandatperiod med en femårsperiod, på grundval av en utvärdering av kommissionen av deras tjänsteutövning under den första mandatperioden.</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109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37</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(37)</w:t>
            </w:r>
            <w:r w:rsidRPr="00872462">
              <w:tab/>
              <w:t xml:space="preserve">Efter den inledande uppbyggnadsperioden för den gemensamma resolutionsfonden som avses i artikel 69.1 i förordning (EU) nr 806/2014 </w:t>
            </w:r>
            <w:r w:rsidRPr="00872462">
              <w:rPr>
                <w:b/>
                <w:i/>
              </w:rPr>
              <w:t>kan dess tillgängliga finansiella medel komma att minska något under målnivån, särskilt till följd av en ökning av garanterade insättningar. De</w:t>
            </w:r>
            <w:r w:rsidRPr="00872462">
              <w:t xml:space="preserve"> förhandsbidrag </w:t>
            </w:r>
            <w:r w:rsidRPr="00872462">
              <w:rPr>
                <w:b/>
                <w:i/>
              </w:rPr>
              <w:t>som sannolikt kommer att krävas in under dessa omständigheter kommer därför sannolikt att vara små</w:t>
            </w:r>
            <w:r w:rsidRPr="00872462">
              <w:t>.</w:t>
            </w:r>
            <w:r w:rsidRPr="00872462">
              <w:rPr>
                <w:b/>
                <w:i/>
              </w:rPr>
              <w:t xml:space="preserve"> Det kan således vara möjligt att beloppet för dessa förhandsbidrag under några år inte längre står i proportion till kostnaden för att samla in dessa bidrag.</w:t>
            </w:r>
            <w:r w:rsidRPr="00872462">
              <w:t xml:space="preserve"> </w:t>
            </w:r>
            <w:r w:rsidRPr="00872462">
              <w:rPr>
                <w:b/>
                <w:i/>
              </w:rPr>
              <w:t>Nämnden bör därför kunna skjuta upp insamlingen av förhandsbidrag under ett eller flera år till dess att det belopp som ska samlas in når ett belopp som står i proportion till kostnaden för indrivningsprocessen, förutsatt att ett sådant uppskjutande inte väsentligt påverkar nämndens förmåga att använda den gemensamma resolutionsfonden.</w:t>
            </w:r>
          </w:p>
        </w:tc>
        <w:tc>
          <w:tcPr>
            <w:tcW w:w="4876" w:type="dxa"/>
            <w:hideMark/>
          </w:tcPr>
          <w:p w:rsidR="00D16657" w:rsidRPr="00872462" w:rsidRDefault="00D16657" w:rsidP="00610A50">
            <w:pPr>
              <w:pStyle w:val="Normal6"/>
              <w:rPr>
                <w:szCs w:val="24"/>
              </w:rPr>
            </w:pPr>
            <w:r w:rsidRPr="00872462">
              <w:t>(37)</w:t>
            </w:r>
            <w:r w:rsidRPr="00872462">
              <w:tab/>
              <w:t xml:space="preserve">Efter den inledande uppbyggnadsperioden för den gemensamma resolutionsfonden som avses i artikel 69.1 i förordning (EU) nr 806/2014 </w:t>
            </w:r>
            <w:r w:rsidRPr="00872462">
              <w:rPr>
                <w:b/>
                <w:i/>
              </w:rPr>
              <w:t>avslutas insamlingen av</w:t>
            </w:r>
            <w:r w:rsidRPr="00872462">
              <w:t xml:space="preserve"> förhandsbidrag </w:t>
            </w:r>
            <w:r w:rsidRPr="00872462">
              <w:rPr>
                <w:b/>
                <w:i/>
              </w:rPr>
              <w:t>när målnivån på 1 % av de garanterade insättningarna har nåtts</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37</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(37)</w:t>
            </w:r>
            <w:r w:rsidRPr="00872462">
              <w:tab/>
              <w:t xml:space="preserve">Efter den inledande uppbyggnadsperioden för den gemensamma resolutionsfonden som avses i artikel 69.1 i förordning (EU) nr 806/2014 </w:t>
            </w:r>
            <w:r w:rsidRPr="00872462">
              <w:rPr>
                <w:b/>
                <w:i/>
              </w:rPr>
              <w:t>kan dess tillgängliga finansiella medel komma att minska något under</w:t>
            </w:r>
            <w:r w:rsidRPr="00872462">
              <w:t xml:space="preserve"> målnivån</w:t>
            </w:r>
            <w:r w:rsidRPr="00872462">
              <w:rPr>
                <w:b/>
                <w:i/>
              </w:rPr>
              <w:t>, särskilt till följd av en ökning av</w:t>
            </w:r>
            <w:r w:rsidRPr="00872462">
              <w:t xml:space="preserve"> garanterade insättningar.</w:t>
            </w:r>
            <w:r w:rsidRPr="00872462">
              <w:rPr>
                <w:b/>
                <w:i/>
              </w:rPr>
              <w:t xml:space="preserve"> De förhandsbidrag som sannolikt kommer att krävas in under dessa omständigheter kommer därför sannolikt att vara små. Det kan således vara möjligt att beloppet för dessa förhandsbidrag under några år inte längre står i proportion till kostnaden för att samla in dessa bidrag.</w:t>
            </w:r>
            <w:r w:rsidRPr="00872462">
              <w:t xml:space="preserve"> </w:t>
            </w:r>
            <w:r w:rsidRPr="00872462">
              <w:rPr>
                <w:b/>
                <w:i/>
              </w:rPr>
              <w:t>Nämnden bör därför kunna skjuta upp insamlingen av förhandsbidrag under ett eller flera år till dess att det belopp som ska samlas in når ett belopp som står i proportion till kostnaden för indrivningsprocessen, förutsatt att ett sådant uppskjutande inte väsentligt påverkar nämndens förmåga att använda den gemensamma resolutionsfonden.</w:t>
            </w:r>
          </w:p>
        </w:tc>
        <w:tc>
          <w:tcPr>
            <w:tcW w:w="4876" w:type="dxa"/>
            <w:hideMark/>
          </w:tcPr>
          <w:p w:rsidR="00D16657" w:rsidRPr="00872462" w:rsidRDefault="00D16657" w:rsidP="00610A50">
            <w:pPr>
              <w:pStyle w:val="Normal6"/>
              <w:rPr>
                <w:szCs w:val="24"/>
              </w:rPr>
            </w:pPr>
            <w:r w:rsidRPr="00872462">
              <w:t>(37)</w:t>
            </w:r>
            <w:r w:rsidRPr="00872462">
              <w:tab/>
              <w:t xml:space="preserve">Efter den inledande uppbyggnadsperioden för den gemensamma resolutionsfonden som avses i artikel 69.1 i förordning (EU) nr 806/2014 </w:t>
            </w:r>
            <w:r w:rsidRPr="00872462">
              <w:rPr>
                <w:b/>
                <w:i/>
              </w:rPr>
              <w:t>avslutas den regelbundna insamlingen av bidrag när</w:t>
            </w:r>
            <w:r w:rsidRPr="00872462">
              <w:t xml:space="preserve"> målnivån </w:t>
            </w:r>
            <w:r w:rsidRPr="00872462">
              <w:rPr>
                <w:b/>
                <w:i/>
              </w:rPr>
              <w:t>på 1 % av beloppet för</w:t>
            </w:r>
            <w:r w:rsidRPr="00872462">
              <w:t xml:space="preserve"> garanterade insättningar </w:t>
            </w:r>
            <w:r w:rsidRPr="00872462">
              <w:rPr>
                <w:b/>
                <w:i/>
              </w:rPr>
              <w:t>i alla kreditinstitut som är auktoriserade i alla medlemsstater har nåtts för första gången</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38</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(38)</w:t>
            </w:r>
            <w:r w:rsidRPr="00872462">
              <w:tab/>
              <w:t xml:space="preserve">Oåterkalleliga betalningsåtaganden är en av komponenterna i den gemensamma resolutionsfondens tillgängliga finansiella medel. Det är därför nödvändigt att specificera de omständigheter under vilka dessa betalningsåtaganden kan infordras och det tillämpliga förfarandet när åtagandena avslutas om ett institut eller en enhet upphör att omfattas av skyldigheten att betala bidrag till den gemensamma resolutionsfonden. För att öka transparensen och säkerheten när det gäller andelen oåterkalleliga betalningsåtaganden av det totala beloppet av förhandsbidrag som ska samlas in klargörs det dessutom att nämnden bör </w:t>
            </w:r>
            <w:r w:rsidRPr="00872462">
              <w:rPr>
                <w:b/>
                <w:i/>
              </w:rPr>
              <w:t>fastställa</w:t>
            </w:r>
            <w:r w:rsidRPr="00872462">
              <w:t xml:space="preserve"> en sådan andel </w:t>
            </w:r>
            <w:r w:rsidRPr="00872462">
              <w:rPr>
                <w:b/>
                <w:i/>
              </w:rPr>
              <w:t>på årsbasis, med förbehåll för tillämpliga gränser</w:t>
            </w:r>
            <w:r w:rsidRPr="00872462">
              <w:t>.</w:t>
            </w:r>
          </w:p>
        </w:tc>
        <w:tc>
          <w:tcPr>
            <w:tcW w:w="4876" w:type="dxa"/>
            <w:hideMark/>
          </w:tcPr>
          <w:p w:rsidR="00D16657" w:rsidRPr="00872462" w:rsidRDefault="00D16657" w:rsidP="00610A50">
            <w:pPr>
              <w:pStyle w:val="Normal6"/>
              <w:rPr>
                <w:szCs w:val="24"/>
              </w:rPr>
            </w:pPr>
            <w:r w:rsidRPr="00872462">
              <w:t>(38)</w:t>
            </w:r>
            <w:r w:rsidRPr="00872462">
              <w:tab/>
              <w:t xml:space="preserve">Oåterkalleliga betalningsåtaganden är en av komponenterna i den gemensamma resolutionsfondens tillgängliga finansiella medel. Det är därför nödvändigt att specificera de omständigheter under vilka dessa betalningsåtaganden kan infordras och det tillämpliga förfarandet när åtagandena avslutas om ett institut eller en enhet upphör att omfattas av skyldigheten att betala bidrag till den gemensamma resolutionsfonden. För att öka transparensen och säkerheten när det gäller andelen oåterkalleliga betalningsåtaganden av det totala beloppet av förhandsbidrag som ska samlas in klargörs det dessutom att nämnden bör </w:t>
            </w:r>
            <w:r w:rsidRPr="00872462">
              <w:rPr>
                <w:b/>
                <w:i/>
              </w:rPr>
              <w:t>bevilja</w:t>
            </w:r>
            <w:r w:rsidRPr="00872462">
              <w:t xml:space="preserve"> en sådan andel </w:t>
            </w:r>
            <w:r w:rsidRPr="00872462">
              <w:rPr>
                <w:b/>
                <w:i/>
              </w:rPr>
              <w:t>av hela beloppet i enlighet med artikel 70.3 i förordning (EU) nr 806/2014</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Europeiska kommissionens förslag om att öka andelen oåterkalleliga betalningsåtaganden (artikel 70.3) är i princip en bra idé, men beslutet om att bevilja det och andelens storlek omfattas fortfarande av nämndens bedömning. För att förbättra planeringskapaciteten bör institutionerna alltid ha möjlighet att använda oåterkalleliga betalningsåtaganden till 50 %.</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40</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(40)</w:t>
            </w:r>
            <w:r w:rsidRPr="00872462">
              <w:rPr>
                <w:b/>
                <w:i/>
              </w:rPr>
              <w:tab/>
              <w:t>Den gemensamma resolutionsfonden kan användas för att stödja tillämpningen av verktyget för försäljning av verksamhet eller broinstitutverktyget, varigenom en uppsättning tillgångar, rättigheter och skulder i institutet under resolution överförs till en mottagande enhet. I så fall kan nämnden ha en fordran på det återstående institutet eller enheten vid dess efterföljande avveckling enligt normala insolvensförfaranden. Detta kan inträffa när den gemensamma resolutionsfonden används i samband med förluster som borgenärer annars skulle ha burit, inbegripet i form av garantier för tillgångar och skulder, eller täckning av skillnaden mellan de överförda tillgångarna och skulderna. För att säkerställa att aktieägare och borgenärer som hamnar på efterkälken i det återstående institutet eller enheten effektivt absorberar institutets förluster under resolution och förbättrar möjligheterna till återbetalningar vid insolvens till nämnden, bör nämndens fordringar på det återstående institutet eller den återstående enheten, och fordringar som uppstår till följd av rimliga regelrätta kostnader som nämnden ådragit sig, ges samma prioritet vid insolvens som rangordningen av fordringarna i de nationella finansieringsarrangemangen för resolution i varje deltagande medlemsstat, som bör vara högre än rangordningen av insättningar och insättningsgarantisystem. Eftersom ersättningar som betalas till aktieägare och borgenärer från den gemensamma resolutionsfonden på grund av överträdelser av principen om ”inte sämre villkor för borgenär” syftar till att kompensera för resultaten av resolutionsåtgärderna bör dessa ersättningar inte ge upphov till några fordringar från nämnden.</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Den föreslagna utvidgningen av samfinansieringen genom insättningsgarantifonder (som behandlas genom hänvisning till utkastet till direktiv om återhämtning och resolution av banker) bör förkastas. Särskilt i samband med den föreslagna utvidgningen av insättningsgarantin till oskyddade insättningar – vilket strider mot mandatet – kan detta få allvarliga konsekvenser för finansieringsbehoven och leda till en finansiell utarmning av insättningsgarantisystemen. Därför bör alla motsvarande regler som leder till finansiell utarmning av insättningsgarantisystem utgå.</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40a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(40a)</w:t>
            </w:r>
            <w:r w:rsidRPr="00872462">
              <w:rPr>
                <w:b/>
                <w:i/>
              </w:rPr>
              <w:tab/>
              <w:t>Med tanke på översynen av borgenärshierarkin kanske marknadsvillkoren inte är lika gynnsamma för insättningsgarantisystem som söker sådana alternativa finansieringsarrangemang. För att förhindra tillfällig finansiering från medlemsstaterna och för att säkerställa att detta förblir en sista utväg bör nämnden därför kunna tillhandahålla antingen en kreditlina eller en garanti, baserad på den gemensamma resolutionsfonden, till ett insättningsgarantisystem i syfte att underlätta dess tillträde till marknader med gynnsamma finansieringsvillkor. Den gemensamma resolutionsfondens stöd bör tillhandahållas när insättningsgarantisystemet måste ingripa vid resolution, men tillgängliga finansiella medel är otillräckliga för att tillgodose behoven i samband med sådana åtgärder.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40a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(40a)</w:t>
            </w:r>
            <w:r w:rsidRPr="00872462">
              <w:rPr>
                <w:b/>
                <w:i/>
              </w:rPr>
              <w:tab/>
              <w:t>Med tanke på översynen av borgenärshierarkin kanske marknadsvillkoren inte är lika gynnsamma för insättningsgarantisystem som söker sådana alternativa finansieringsarrangemang. För att förhindra tillfällig finansiering från medlemsstaterna och för att säkerställa att detta förblir en sista utväg bör nämnden därför kunna tillhandahålla antingen en kreditlina eller en garanti, baserad på den gemensamma resolutionsfonden, till ett insättningsgarantisystem i syfte att underlätta dess tillträde till marknader med gynnsamma finansieringsvillkor. Den gemensamma resolutionsfondens stöd bör tillhandahållas när insättningsgarantisystemet måste ingripa vid resolution, men tillgängliga finansiella medel är otillräckliga för att tillgodose behoven i samband med sådana åtgärder.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Roberts Zīle</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40a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(40a)</w:t>
            </w:r>
            <w:r w:rsidRPr="00872462">
              <w:rPr>
                <w:b/>
                <w:i/>
              </w:rPr>
              <w:tab/>
              <w:t>Trots att en överenskommelse har nåtts om att Europeiska stabilitetsmekanismen (ESM) ska införa en säkerhetsmekanism för den gemensamma resolutionsnämnden har den ännu inte genomförts. Den gemensamma resolutionsnämndens ytterligare funktion att tillhandahålla garantier till insättningsgarantisystemen motiverar därför ytterligare skyddsåtgärder för de förstnämnda, såsom ratificeringen av ESM:s säkerhetsmekanism för den gemensamma resolutionsnämnden.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41</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(41)</w:t>
            </w:r>
            <w:r w:rsidRPr="00872462">
              <w:rPr>
                <w:b/>
                <w:i/>
              </w:rPr>
              <w:tab/>
              <w:t>Eftersom vissa av bestämmelserna i förordning (EU) nr 806/2014 om den roll som insättningsgarantisystem kan spela vid resolution liknar dem i direktiv 2014/59/EU, bör de ändringar av dessa bestämmelser i direktiv 2014/59/EU som gjorts senast den [Publikationsbyrån: för in numret på direktivet om ändring av direktiv 2014/59/EU] återspeglas i förordning (EU) nr 806/2014.</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Den föreslagna utvidgningen av samfinansieringen genom insättningsgarantifonder (som behandlas genom hänvisning till utkastet till direktiv om återhämtning och resolution av banker) bör förkastas. Särskilt i samband med den föreslagna utvidgningen av insättningsgarantin till oskyddade insättningar – vilket strider mot mandatet – kan detta få allvarliga konsekvenser för finansieringsbehoven och leda till en finansiell utarmning av insättningsgarantisystemen. Därför bör alla motsvarande regler som leder till finansiell utarmning av insättningsgarantisystem utgå.</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41a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(41a)</w:t>
            </w:r>
            <w:r w:rsidRPr="00872462">
              <w:rPr>
                <w:b/>
                <w:i/>
              </w:rPr>
              <w:tab/>
              <w:t>Eftersom insättningsgarantisystem har ytterligare uppgifter och ansvarsskyldigheter och med tanke på att en direkt konsekvens av denna översyn av EU:s ram för krishantering och insättningsgaranti är att göra insättningsgarantisystemets medel mer tillgängliga för resolution ökar risken för att de helt eller delvis blir uttömda. Därför är det nu dags att gå mot en mer europeisk modell, varigenom en insättningsgarantifond inrättas, finansieras genom överföring från nationella insättningsgarantisystem och förvaltas av nämnden för att ge lån till uttömda eller nästan uttömda nationella insättningsgarantisystem. Bidragen till denna fond bör beräknas enligt en riskbaserad metod. Nationella insättningsgarantisystem bör tidigt informera nämnden om det förutser att det kommer att behöva utnyttja EU:s kreditlina som erbjuds av insättningsgarantifonden.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41b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(41b)</w:t>
            </w:r>
            <w:r w:rsidRPr="00872462">
              <w:rPr>
                <w:b/>
                <w:i/>
              </w:rPr>
              <w:tab/>
              <w:t>Två år efter det att denna ändringsförordning har trätt i kraft bör kommissionen utarbeta en rapport till Europaparlamentet och rådet för att bedöma huruvida och på vilka villkor insättningsgarantifonden också ska täcka förluster som uppstår i nationella insättningsgarantisystem.</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119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Lídia Pereira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Skäl 42a (nytt)</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(42a)</w:t>
            </w:r>
            <w:r w:rsidRPr="00872462">
              <w:rPr>
                <w:b/>
                <w:i/>
              </w:rPr>
              <w:tab/>
              <w:t>Fonden bör garantera en hög grad av insyn för att på lämpligt sätt skydda allmänintresset, särskilt när offentliga medel används för tillämpning av resolutionsverktyg. Fonden bör därför eftersträva att offentliggöra regelbundna rapporter om de resolutionsprocesser för vilka dessa medel använts, med uppgift om det totala beloppet, återbetalade belopp och tidsramen för framtida återbetalningar.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{PT}</w:t>
      </w:r>
      <w:r w:rsidRPr="00872462">
        <w:t>pt</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Pedro Marques, Jonás Fernández, Aurore Lalucq, René Repasi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 – led -a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3 – punkt 1 – led 24</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w:t>
            </w:r>
            <w:r w:rsidRPr="00872462">
              <w:rPr>
                <w:b/>
                <w:i/>
              </w:rPr>
              <w:tab/>
              <w:t>Led 24 ska ersättas med följande:</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24) gränsöverskridande koncern: koncern </w:t>
            </w:r>
            <w:r w:rsidRPr="00872462">
              <w:rPr>
                <w:b/>
                <w:i/>
              </w:rPr>
              <w:t>som har</w:t>
            </w:r>
            <w:r w:rsidRPr="00872462">
              <w:t xml:space="preserve"> enheter som avses i artikel 2 som är etablerade i mer än en deltagande medlemsstat.</w:t>
            </w:r>
          </w:p>
        </w:tc>
        <w:tc>
          <w:tcPr>
            <w:tcW w:w="4876" w:type="dxa"/>
            <w:hideMark/>
          </w:tcPr>
          <w:p w:rsidR="00D16657" w:rsidRPr="00872462" w:rsidRDefault="00D16657" w:rsidP="00610A50">
            <w:pPr>
              <w:pStyle w:val="Normal6"/>
              <w:rPr>
                <w:szCs w:val="24"/>
              </w:rPr>
            </w:pPr>
            <w:r w:rsidRPr="00872462">
              <w:rPr>
                <w:b/>
                <w:i/>
              </w:rPr>
              <w:t>”</w:t>
            </w:r>
            <w:r w:rsidRPr="00872462">
              <w:t xml:space="preserve">24) gränsöverskridande koncern: koncern </w:t>
            </w:r>
            <w:r w:rsidRPr="00872462">
              <w:rPr>
                <w:b/>
                <w:i/>
              </w:rPr>
              <w:t>vars moderföretag och minst ett av dess dotterföretag är</w:t>
            </w:r>
            <w:r w:rsidRPr="00872462">
              <w:t xml:space="preserve"> enheter som avses i artikel 2 som är etablerade i mer än en deltagande medlemsstat.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(Förordning (EU) nr 806/2014)</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 – led ca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3 – punkt 1 – led 55a–55c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(ca)</w:t>
            </w:r>
            <w:r w:rsidRPr="00872462">
              <w:rPr>
                <w:b/>
                <w:i/>
              </w:rPr>
              <w:tab/>
              <w:t>Följande led ska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55a) utvecklingsbank: ett företag eller en enhet som inrättas av en medlemsstat på central, regional eller lokal nivå och som beviljar subventionerade lån eller subventionerade garantier, vars främsta mål inte är att generera vinst eller maximera marknadsandelen utan att främja statens allmänpolitiska mål, förutsatt att den staten, inom ramen för reglerna för statligt stöd, har en skyldighet att skydda företagets eller enhetens ekonomiska grund och upprätthålla dess existens under hela dess livslängd eller förutsatt att åtminstone 90 % av företagets eller enhetens ursprungliga kapital eller finansiering eller dess subventionerade beviljade lån direkt eller indirekt garanteras av medlemsstaten på central, regional eller lokal nivå.</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55b) subventionerat lån: ett lån som beviljas av en utvecklingsbank eller via ett mellanvarande institut och som beviljas på icke-konkurrensutsatt och icke-vinstdrivande grund, med syfte att främja allmänpolitiska mål på central eller regional nivå i en medlemsstat.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55c) mellanvarande institut: ett kreditinstitut som förmedlar subventionerade lån, förutsatt att det inte beviljar dem som kredit till en slutkund.</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(Se ordalydelsen i delegerad förordning (EU) 2015/63, artikel 3.27–29. I stället för definitionen i artikel 3.27 i den delegerade förordningen används definitionen av ”utvecklingsenhet” enligt definitionen i artikel 4.1.19 i kapitalkravsförordningen (förordning (EU) nr 575/2013).</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 – led ca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3 – punkt 1 – led 55a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(ca)</w:t>
            </w:r>
            <w:r w:rsidRPr="00872462">
              <w:rPr>
                <w:b/>
                <w:i/>
              </w:rPr>
              <w:tab/>
              <w:t>Följande led ska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”55a) kritiska funktioner: aktiviteter, tjänster eller transaktioner som om de upphörde sannolikt i en eller flera medlemsstater skulle leda till störningar av tjänster som är avgörande för realekonomin eller störa den finansiella stabiliteten på nationell nivå, eller i betydande omfattning på regional nivå, på grund av ett instituts eller en koncerns storlek, marknadsandel, externa och interna sammanlänkning, komplexitet eller gränsöverskridande verksamhet, särskilt med avseende på dessa aktiviteters, tjänsters eller transaktioners utbytbarhet.”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keepNext/>
        <w:rPr>
          <w:rStyle w:val="HideTWBExt"/>
        </w:rPr>
      </w:pPr>
      <w:r w:rsidRPr="00872462">
        <w:rPr>
          <w:rStyle w:val="HideTWBExt"/>
        </w:rPr>
        <w:t>&lt;Article&gt;</w:t>
      </w:r>
      <w:r w:rsidRPr="00872462">
        <w:rPr>
          <w:b/>
        </w:rPr>
        <w:t>Artikel 1 – stycke 1 – led 1 – led ca (nytt)</w:t>
      </w:r>
      <w:r w:rsidRPr="00872462">
        <w:rPr>
          <w:rStyle w:val="HideTWBExt"/>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3 – punkt 1 – led 55a (nytt)</w:t>
      </w:r>
      <w:r w:rsidRPr="00872462">
        <w:rPr>
          <w:rStyle w:val="HideTWBExt"/>
        </w:rPr>
        <w:t>&lt;/Article2&gt;</w:t>
      </w:r>
    </w:p>
    <w:p w:rsidR="00D16657" w:rsidRPr="00872462" w:rsidRDefault="00D16657" w:rsidP="00D16657">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(ca)</w:t>
            </w:r>
            <w:r w:rsidRPr="00872462">
              <w:rPr>
                <w:b/>
                <w:i/>
              </w:rPr>
              <w:tab/>
              <w:t>Följande led ska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”55a) kritiska funktioner: aktiviteter, tjänster eller transaktioner som om de upphörde sannolikt i en eller flera medlemsstater skulle leda till störningar av tjänster som är avgörande för realekonomin eller störa den finansiella stabiliteten på nationell nivå, eller i betydande omfattning på regional nivå, på grund av ett instituts eller en koncerns storlek, marknadsandel, externa och interna sammanlänkning, komplexitet eller gränsöverskridande verksamhet, särskilt med avseende på dessa aktiviteters, tjänsters eller transaktioners utbytbarhet.”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2 – stycke 1a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Nämnden får utfärda instruktioner till de nationella resolutionsmyndigheterna att utöva de befogenheter som avses i artikel 10.8 i direktiv 2014/59/EU. De nationella resolutionsmyndigheterna ska genomföra nämndens instruktioner i enlighet med artikel 29 i denna förordning.</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aa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6 – stycke 3</w:t>
      </w:r>
      <w:r w:rsidRPr="008724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(aa)</w:t>
            </w:r>
            <w:r w:rsidRPr="00872462">
              <w:rPr>
                <w:b/>
                <w:i/>
              </w:rPr>
              <w:tab/>
              <w:t>I punkt 6 ska tredje stycket ersättas med följande:</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Nämnden ska när den upprättar och uppdaterar resolutionsplanen identifiera alla väsentliga hinder för möjlighet till resolution och när så är </w:t>
            </w:r>
            <w:r w:rsidRPr="00872462">
              <w:rPr>
                <w:b/>
                <w:i/>
              </w:rPr>
              <w:t>nödvändigt och proportionerligt</w:t>
            </w:r>
            <w:r w:rsidRPr="00872462">
              <w:t>, beskriva relevanta åtgärder för hur de hindren ska kunna undanröjas, i enlighet med artikel 10.</w:t>
            </w:r>
          </w:p>
        </w:tc>
        <w:tc>
          <w:tcPr>
            <w:tcW w:w="4876" w:type="dxa"/>
            <w:hideMark/>
          </w:tcPr>
          <w:p w:rsidR="00D16657" w:rsidRPr="00872462" w:rsidRDefault="00D16657" w:rsidP="00610A50">
            <w:pPr>
              <w:pStyle w:val="Normal6"/>
              <w:rPr>
                <w:szCs w:val="24"/>
              </w:rPr>
            </w:pPr>
            <w:r w:rsidRPr="00872462">
              <w:t xml:space="preserve">Nämnden ska när den upprättar och uppdaterar resolutionsplanen identifiera alla väsentliga hinder för möjlighet till resolution och när så är </w:t>
            </w:r>
            <w:r w:rsidRPr="00872462">
              <w:rPr>
                <w:b/>
                <w:i/>
              </w:rPr>
              <w:t>lämpligt</w:t>
            </w:r>
            <w:r w:rsidRPr="00872462">
              <w:t>, beskriva relevanta åtgärder för hur de hindren ska kunna undanröjas, i enlighet med artikel 10.</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(https://eur-lex.europa.eu/legal-content/SV/TXT/?uri=celex%3A32014R0806)</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aa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6 – stycke 5 – led ca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(aa)</w:t>
            </w:r>
            <w:r w:rsidRPr="00872462">
              <w:rPr>
                <w:b/>
                <w:i/>
              </w:rPr>
              <w:tab/>
              <w:t>I punkt 6 femte stycket ska följande led införas: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”ca) All användning av insättningsgarantisystem.”</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Interna resurser bör förbli första försvarslinjen. Följaktligen bör all extern finansiering, inbegripet användningen av insättningsgarantisystem vid resolution, endast användas vid oplanerade resursbrister, med förbehåll för tillämpliga villkor. Som en konsekvens bör resolutionsplanering och kalibrering av minimikravet för kapitalbas och kvalificerade skulder inte förutsätta någon användning av insättningsgarantisystemsmedel vid resolution.</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ab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7</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p>
        </w:tc>
        <w:tc>
          <w:tcPr>
            <w:tcW w:w="4876" w:type="dxa"/>
            <w:hideMark/>
          </w:tcPr>
          <w:p w:rsidR="00D16657" w:rsidRPr="00872462" w:rsidRDefault="00D16657" w:rsidP="00610A50">
            <w:pPr>
              <w:pStyle w:val="Normal6"/>
              <w:rPr>
                <w:b/>
                <w:i/>
                <w:szCs w:val="24"/>
              </w:rPr>
            </w:pPr>
            <w:r w:rsidRPr="00872462">
              <w:rPr>
                <w:b/>
                <w:i/>
              </w:rPr>
              <w:t>(ab) Punkt 7 ska ersättas med följande:</w:t>
            </w:r>
          </w:p>
        </w:tc>
      </w:tr>
      <w:tr w:rsidR="00872462" w:rsidRPr="00872462" w:rsidTr="00610A50">
        <w:trPr>
          <w:jc w:val="center"/>
        </w:trPr>
        <w:tc>
          <w:tcPr>
            <w:tcW w:w="4876" w:type="dxa"/>
          </w:tcPr>
          <w:p w:rsidR="00D16657" w:rsidRPr="00872462" w:rsidRDefault="00D16657" w:rsidP="00610A50">
            <w:pPr>
              <w:pStyle w:val="Normal6"/>
            </w:pPr>
            <w:r w:rsidRPr="00872462">
              <w:t>7. Resolutionsplanen ska innehålla en analys av hur och när ett institut, i enlighet med de villkor som anges i planen, får ansöka om att få utnyttja centralbanksfaciliteter och ska identifiera de tillgångarna som kan förväntas godtas som säkerhet.</w:t>
            </w:r>
          </w:p>
        </w:tc>
        <w:tc>
          <w:tcPr>
            <w:tcW w:w="4876" w:type="dxa"/>
          </w:tcPr>
          <w:p w:rsidR="00D16657" w:rsidRPr="00872462" w:rsidRDefault="00D16657" w:rsidP="00610A50">
            <w:pPr>
              <w:pStyle w:val="Normal6"/>
              <w:rPr>
                <w:b/>
                <w:i/>
                <w:szCs w:val="24"/>
              </w:rPr>
            </w:pPr>
            <w:r w:rsidRPr="00872462">
              <w:t xml:space="preserve">7. Resolutionsplanen ska innehålla en analys av hur och när ett institut, i enlighet med de villkor som anges i planen, får ansöka om att få utnyttja centralbanksfaciliteter och ska identifiera de tillgångarna som kan förväntas godtas som säkerhet </w:t>
            </w:r>
            <w:r w:rsidRPr="00872462">
              <w:rPr>
                <w:b/>
                <w:i/>
              </w:rPr>
              <w:t>jämte en försiktig uppskattning av dess genomsnittliga årliga värde totalt sett för centralbankslikviditetssyften med hänsyn tagen till de relevanta nedsättningarna</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ac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9</w:t>
      </w:r>
      <w:r w:rsidRPr="008724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(ac) Punkt 9 ska ersättas med följande:</w:t>
            </w:r>
          </w:p>
        </w:tc>
      </w:tr>
      <w:tr w:rsidR="00872462" w:rsidRPr="00872462" w:rsidTr="00610A50">
        <w:trPr>
          <w:jc w:val="center"/>
        </w:trPr>
        <w:tc>
          <w:tcPr>
            <w:tcW w:w="4876" w:type="dxa"/>
            <w:hideMark/>
          </w:tcPr>
          <w:p w:rsidR="00D16657" w:rsidRPr="00872462" w:rsidRDefault="00D16657" w:rsidP="00610A50">
            <w:pPr>
              <w:pStyle w:val="Normal6"/>
            </w:pPr>
            <w:r w:rsidRPr="00872462">
              <w:t>9. Enheters resolutionsplaner ska innehålla följande, kvantifierat när så är lämpligt och möjligt:</w:t>
            </w:r>
          </w:p>
        </w:tc>
        <w:tc>
          <w:tcPr>
            <w:tcW w:w="4876" w:type="dxa"/>
            <w:hideMark/>
          </w:tcPr>
          <w:p w:rsidR="00D16657" w:rsidRPr="00872462" w:rsidRDefault="00D16657" w:rsidP="00610A50">
            <w:pPr>
              <w:pStyle w:val="Normal6"/>
              <w:rPr>
                <w:szCs w:val="24"/>
              </w:rPr>
            </w:pPr>
            <w:r w:rsidRPr="00872462">
              <w:t>9. Enheters resolutionsplaner ska innehålla följande, kvantifierat när så är lämpligt och möjligt:</w:t>
            </w:r>
          </w:p>
        </w:tc>
      </w:tr>
      <w:tr w:rsidR="00872462" w:rsidRPr="00872462" w:rsidTr="00610A50">
        <w:trPr>
          <w:jc w:val="center"/>
        </w:trPr>
        <w:tc>
          <w:tcPr>
            <w:tcW w:w="4876" w:type="dxa"/>
            <w:hideMark/>
          </w:tcPr>
          <w:p w:rsidR="00D16657" w:rsidRPr="00872462" w:rsidRDefault="00D16657" w:rsidP="00610A50">
            <w:pPr>
              <w:pStyle w:val="Normal6"/>
            </w:pPr>
            <w:r w:rsidRPr="00872462">
              <w:t>a) En sammanfattning av huvudinslagen i planen.</w:t>
            </w:r>
          </w:p>
        </w:tc>
        <w:tc>
          <w:tcPr>
            <w:tcW w:w="4876" w:type="dxa"/>
            <w:hideMark/>
          </w:tcPr>
          <w:p w:rsidR="00D16657" w:rsidRPr="00872462" w:rsidRDefault="00D16657" w:rsidP="00610A50">
            <w:pPr>
              <w:pStyle w:val="Normal6"/>
              <w:rPr>
                <w:szCs w:val="24"/>
              </w:rPr>
            </w:pPr>
            <w:r w:rsidRPr="00872462">
              <w:t>a) En sammanfattning av huvudinslagen i planen.</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aa) I tillämpliga fall, en detaljerad beskrivning av skälen för att fastställa att ett institut ska kvalificeras som en likvidationsenhet.</w:t>
            </w:r>
          </w:p>
        </w:tc>
      </w:tr>
      <w:tr w:rsidR="00872462" w:rsidRPr="00872462" w:rsidTr="00610A50">
        <w:trPr>
          <w:jc w:val="center"/>
        </w:trPr>
        <w:tc>
          <w:tcPr>
            <w:tcW w:w="4876" w:type="dxa"/>
            <w:hideMark/>
          </w:tcPr>
          <w:p w:rsidR="00D16657" w:rsidRPr="00872462" w:rsidRDefault="00D16657" w:rsidP="00610A50">
            <w:pPr>
              <w:pStyle w:val="Normal6"/>
            </w:pPr>
            <w:r w:rsidRPr="00872462">
              <w:t>b) En sammanfattning av de väsentliga förändringar för institutet som inträffat sedan den senaste resolutionsinformationen lämnades in.</w:t>
            </w:r>
          </w:p>
        </w:tc>
        <w:tc>
          <w:tcPr>
            <w:tcW w:w="4876" w:type="dxa"/>
            <w:hideMark/>
          </w:tcPr>
          <w:p w:rsidR="00D16657" w:rsidRPr="00872462" w:rsidRDefault="00D16657" w:rsidP="00610A50">
            <w:pPr>
              <w:pStyle w:val="Normal6"/>
              <w:rPr>
                <w:szCs w:val="24"/>
              </w:rPr>
            </w:pPr>
            <w:r w:rsidRPr="00872462">
              <w:t>b) En sammanfattning av de väsentliga förändringar för institutet som inträffat sedan den senaste resolutionsinformationen lämnades in.</w:t>
            </w:r>
          </w:p>
        </w:tc>
      </w:tr>
      <w:tr w:rsidR="00872462" w:rsidRPr="00872462" w:rsidTr="00610A50">
        <w:trPr>
          <w:jc w:val="center"/>
        </w:trPr>
        <w:tc>
          <w:tcPr>
            <w:tcW w:w="4876" w:type="dxa"/>
            <w:hideMark/>
          </w:tcPr>
          <w:p w:rsidR="00D16657" w:rsidRPr="00872462" w:rsidRDefault="00D16657" w:rsidP="00610A50">
            <w:pPr>
              <w:pStyle w:val="Normal6"/>
            </w:pPr>
            <w:r w:rsidRPr="00872462">
              <w:t>c) En beskrivning av hur kritiska funktioner och kärnaffärsområden, i den utsträckning som krävs, skulle kunna avskiljas juridiskt och ekonomiskt från övriga funktioner för att säkerställa fortsatt verksamhet efter institutets fallissemang.</w:t>
            </w:r>
          </w:p>
        </w:tc>
        <w:tc>
          <w:tcPr>
            <w:tcW w:w="4876" w:type="dxa"/>
          </w:tcPr>
          <w:p w:rsidR="00D16657" w:rsidRPr="00872462" w:rsidRDefault="00D16657" w:rsidP="00610A50">
            <w:pPr>
              <w:pStyle w:val="Normal6"/>
              <w:rPr>
                <w:szCs w:val="24"/>
              </w:rPr>
            </w:pPr>
            <w:r w:rsidRPr="00872462">
              <w:t>c) En beskrivning av hur kritiska funktioner och kärnaffärsområden, i den utsträckning som krävs, skulle kunna avskiljas juridiskt och ekonomiskt från övriga funktioner för att säkerställa fortsatt verksamhet efter institutets fallissemang.</w:t>
            </w:r>
          </w:p>
        </w:tc>
      </w:tr>
      <w:tr w:rsidR="00872462" w:rsidRPr="00872462" w:rsidTr="00610A50">
        <w:trPr>
          <w:jc w:val="center"/>
        </w:trPr>
        <w:tc>
          <w:tcPr>
            <w:tcW w:w="4876" w:type="dxa"/>
            <w:hideMark/>
          </w:tcPr>
          <w:p w:rsidR="00D16657" w:rsidRPr="00872462" w:rsidRDefault="00D16657" w:rsidP="00610A50">
            <w:pPr>
              <w:pStyle w:val="Normal6"/>
            </w:pPr>
            <w:r w:rsidRPr="00872462">
              <w:t>d) En uppskattning av tidsramen för att genomföra varje väsentlig del av planen.</w:t>
            </w:r>
          </w:p>
        </w:tc>
        <w:tc>
          <w:tcPr>
            <w:tcW w:w="4876" w:type="dxa"/>
          </w:tcPr>
          <w:p w:rsidR="00D16657" w:rsidRPr="00872462" w:rsidRDefault="00D16657" w:rsidP="00610A50">
            <w:pPr>
              <w:pStyle w:val="Normal6"/>
              <w:rPr>
                <w:szCs w:val="24"/>
              </w:rPr>
            </w:pPr>
            <w:r w:rsidRPr="00872462">
              <w:t xml:space="preserve">d) En uppskattning av tidsramen för att genomföra varje väsentlig del av planen. </w:t>
            </w:r>
          </w:p>
        </w:tc>
      </w:tr>
      <w:tr w:rsidR="00872462" w:rsidRPr="00872462" w:rsidTr="00610A50">
        <w:trPr>
          <w:jc w:val="center"/>
        </w:trPr>
        <w:tc>
          <w:tcPr>
            <w:tcW w:w="4876" w:type="dxa"/>
            <w:hideMark/>
          </w:tcPr>
          <w:p w:rsidR="00D16657" w:rsidRPr="00872462" w:rsidRDefault="00D16657" w:rsidP="00610A50">
            <w:pPr>
              <w:pStyle w:val="Normal6"/>
            </w:pPr>
            <w:r w:rsidRPr="00872462">
              <w:t>e) En detaljerad beskrivning av den bedömning av möjligheterna till resolution som gjorts i enlighet med artikel 10.</w:t>
            </w:r>
          </w:p>
        </w:tc>
        <w:tc>
          <w:tcPr>
            <w:tcW w:w="4876" w:type="dxa"/>
            <w:hideMark/>
          </w:tcPr>
          <w:p w:rsidR="00D16657" w:rsidRPr="00872462" w:rsidRDefault="00D16657" w:rsidP="00610A50">
            <w:pPr>
              <w:pStyle w:val="Normal6"/>
              <w:rPr>
                <w:szCs w:val="24"/>
              </w:rPr>
            </w:pPr>
            <w:r w:rsidRPr="00872462">
              <w:t xml:space="preserve">e) En detaljerad beskrivning av den bedömning av möjligheterna till resolution som gjorts i enlighet med artikel 10. </w:t>
            </w:r>
          </w:p>
        </w:tc>
      </w:tr>
      <w:tr w:rsidR="00872462" w:rsidRPr="00872462" w:rsidTr="00610A50">
        <w:trPr>
          <w:jc w:val="center"/>
        </w:trPr>
        <w:tc>
          <w:tcPr>
            <w:tcW w:w="4876" w:type="dxa"/>
            <w:hideMark/>
          </w:tcPr>
          <w:p w:rsidR="00D16657" w:rsidRPr="00872462" w:rsidRDefault="00D16657" w:rsidP="00610A50">
            <w:pPr>
              <w:pStyle w:val="Normal6"/>
            </w:pPr>
            <w:r w:rsidRPr="00872462">
              <w:t>f) En beskrivning av alla åtgärder som krävs enligt artikel 10.7 för att åtgärda eller avlägsna identifierade hinder för resolution som ett resultat av den bedömning som gjorts i enlighet med artikel 10.</w:t>
            </w:r>
          </w:p>
        </w:tc>
        <w:tc>
          <w:tcPr>
            <w:tcW w:w="4876" w:type="dxa"/>
            <w:hideMark/>
          </w:tcPr>
          <w:p w:rsidR="00D16657" w:rsidRPr="00872462" w:rsidRDefault="00D16657" w:rsidP="00610A50">
            <w:pPr>
              <w:pStyle w:val="Normal6"/>
              <w:rPr>
                <w:szCs w:val="24"/>
              </w:rPr>
            </w:pPr>
            <w:r w:rsidRPr="00872462">
              <w:t xml:space="preserve">f) En beskrivning av alla åtgärder som krävs enligt artikel 10.7 för att åtgärda eller avlägsna identifierade hinder för resolution som ett resultat av den bedömning som gjorts i enlighet med artikel 10. </w:t>
            </w:r>
          </w:p>
        </w:tc>
      </w:tr>
      <w:tr w:rsidR="00872462" w:rsidRPr="00872462" w:rsidTr="00610A50">
        <w:trPr>
          <w:jc w:val="center"/>
        </w:trPr>
        <w:tc>
          <w:tcPr>
            <w:tcW w:w="4876" w:type="dxa"/>
            <w:hideMark/>
          </w:tcPr>
          <w:p w:rsidR="00D16657" w:rsidRPr="00872462" w:rsidRDefault="00D16657" w:rsidP="00610A50">
            <w:pPr>
              <w:pStyle w:val="Normal6"/>
            </w:pPr>
            <w:r w:rsidRPr="00872462">
              <w:t>g) En detaljerad beskrivning av förfarandena för att fastställa värdet och möjligheten att sälja ut institutets kritiska funktioner, kärnaffärsområden och tillgångar.</w:t>
            </w:r>
          </w:p>
        </w:tc>
        <w:tc>
          <w:tcPr>
            <w:tcW w:w="4876" w:type="dxa"/>
            <w:hideMark/>
          </w:tcPr>
          <w:p w:rsidR="00D16657" w:rsidRPr="00872462" w:rsidRDefault="00D16657" w:rsidP="00610A50">
            <w:pPr>
              <w:pStyle w:val="Normal6"/>
              <w:rPr>
                <w:szCs w:val="24"/>
              </w:rPr>
            </w:pPr>
            <w:r w:rsidRPr="00872462">
              <w:t xml:space="preserve">g) En detaljerad beskrivning av förfarandena för att fastställa värdet och möjligheten att sälja ut institutets kritiska funktioner, kärnaffärsområden och tillgångar. </w:t>
            </w:r>
          </w:p>
        </w:tc>
      </w:tr>
      <w:tr w:rsidR="00872462" w:rsidRPr="00872462" w:rsidTr="00610A50">
        <w:trPr>
          <w:jc w:val="center"/>
        </w:trPr>
        <w:tc>
          <w:tcPr>
            <w:tcW w:w="4876" w:type="dxa"/>
            <w:hideMark/>
          </w:tcPr>
          <w:p w:rsidR="00D16657" w:rsidRPr="00872462" w:rsidRDefault="00D16657" w:rsidP="00610A50">
            <w:pPr>
              <w:pStyle w:val="Normal6"/>
            </w:pPr>
            <w:r w:rsidRPr="00872462">
              <w:t>h) En detaljerad beskrivning av arrangemangen för att säkerställa att den begärda informationen enligt artikel 11 i direktiv 2014/59/EU är aktuell och att den alltid är tillgänglig för resolutionsmyndigheterna.</w:t>
            </w:r>
          </w:p>
        </w:tc>
        <w:tc>
          <w:tcPr>
            <w:tcW w:w="4876" w:type="dxa"/>
            <w:hideMark/>
          </w:tcPr>
          <w:p w:rsidR="00D16657" w:rsidRPr="00872462" w:rsidRDefault="00D16657" w:rsidP="00610A50">
            <w:pPr>
              <w:pStyle w:val="Normal6"/>
              <w:rPr>
                <w:szCs w:val="24"/>
              </w:rPr>
            </w:pPr>
            <w:r w:rsidRPr="00872462">
              <w:t xml:space="preserve">h) En detaljerad beskrivning av arrangemangen för att säkerställa att den begärda informationen enligt artikel 11 i direktiv 2014/59/EU är aktuell och att den alltid är tillgänglig för resolutionsmyndigheterna. </w:t>
            </w:r>
          </w:p>
        </w:tc>
      </w:tr>
      <w:tr w:rsidR="00872462" w:rsidRPr="00872462" w:rsidTr="00610A50">
        <w:trPr>
          <w:jc w:val="center"/>
        </w:trPr>
        <w:tc>
          <w:tcPr>
            <w:tcW w:w="4876" w:type="dxa"/>
            <w:hideMark/>
          </w:tcPr>
          <w:p w:rsidR="00D16657" w:rsidRPr="00872462" w:rsidRDefault="00D16657" w:rsidP="00610A50">
            <w:pPr>
              <w:pStyle w:val="Normal6"/>
            </w:pPr>
            <w:r w:rsidRPr="00872462">
              <w:t>i) En förklaring från resolutionsmyndigheten av hur resolutionsalternativen skulle kunna finansieras utan ett antagande om något av följande:</w:t>
            </w:r>
          </w:p>
        </w:tc>
        <w:tc>
          <w:tcPr>
            <w:tcW w:w="4876" w:type="dxa"/>
            <w:hideMark/>
          </w:tcPr>
          <w:p w:rsidR="00D16657" w:rsidRPr="00872462" w:rsidRDefault="00D16657" w:rsidP="00610A50">
            <w:pPr>
              <w:pStyle w:val="Normal6"/>
              <w:rPr>
                <w:szCs w:val="24"/>
              </w:rPr>
            </w:pPr>
            <w:r w:rsidRPr="00872462">
              <w:t xml:space="preserve">i) En förklaring från resolutionsmyndigheten av hur resolutionsalternativen skulle kunna finansieras utan ett antagande om något av följande: </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i) Extraordinärt offentligt finansiellt stöd, förutom användning av </w:t>
            </w:r>
            <w:r w:rsidRPr="00872462">
              <w:rPr>
                <w:b/>
                <w:i/>
              </w:rPr>
              <w:t>fonden</w:t>
            </w:r>
            <w:r w:rsidRPr="00872462">
              <w:t xml:space="preserve"> som inrättats i enlighet med artikel 67.</w:t>
            </w:r>
          </w:p>
        </w:tc>
        <w:tc>
          <w:tcPr>
            <w:tcW w:w="4876" w:type="dxa"/>
            <w:hideMark/>
          </w:tcPr>
          <w:p w:rsidR="00D16657" w:rsidRPr="00872462" w:rsidRDefault="00D16657" w:rsidP="00610A50">
            <w:pPr>
              <w:pStyle w:val="Normal6"/>
              <w:rPr>
                <w:szCs w:val="24"/>
              </w:rPr>
            </w:pPr>
            <w:r w:rsidRPr="00872462">
              <w:t xml:space="preserve">i) Extraordinärt offentligt finansiellt stöd </w:t>
            </w:r>
            <w:r w:rsidRPr="00872462">
              <w:rPr>
                <w:b/>
                <w:i/>
              </w:rPr>
              <w:t>till den eller de resolutionsenheter som förvärvar dess verksamhet</w:t>
            </w:r>
            <w:r w:rsidRPr="00872462">
              <w:t xml:space="preserve">, förutom användning av </w:t>
            </w:r>
            <w:r w:rsidRPr="00872462">
              <w:rPr>
                <w:b/>
                <w:i/>
              </w:rPr>
              <w:t>de finansieringsarrangemang</w:t>
            </w:r>
            <w:r w:rsidRPr="00872462">
              <w:t xml:space="preserve"> som inrättats i enlighet med artikel 67. </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ii) Akut likviditetsstöd från centralbanker. </w:t>
            </w:r>
          </w:p>
        </w:tc>
        <w:tc>
          <w:tcPr>
            <w:tcW w:w="4876" w:type="dxa"/>
            <w:hideMark/>
          </w:tcPr>
          <w:p w:rsidR="00D16657" w:rsidRPr="00872462" w:rsidRDefault="00D16657" w:rsidP="00610A50">
            <w:pPr>
              <w:pStyle w:val="Normal6"/>
              <w:rPr>
                <w:szCs w:val="24"/>
              </w:rPr>
            </w:pPr>
            <w:r w:rsidRPr="00872462">
              <w:t>ii) Akut likv</w:t>
            </w:r>
            <w:r w:rsidR="00872462">
              <w:t>iditetsstöd från centralbanker.</w:t>
            </w:r>
          </w:p>
        </w:tc>
      </w:tr>
      <w:tr w:rsidR="00872462" w:rsidRPr="00872462" w:rsidTr="00610A50">
        <w:trPr>
          <w:jc w:val="center"/>
        </w:trPr>
        <w:tc>
          <w:tcPr>
            <w:tcW w:w="4876" w:type="dxa"/>
            <w:hideMark/>
          </w:tcPr>
          <w:p w:rsidR="00D16657" w:rsidRPr="00872462" w:rsidRDefault="00D16657" w:rsidP="00610A50">
            <w:pPr>
              <w:pStyle w:val="Normal6"/>
            </w:pPr>
            <w:r w:rsidRPr="00872462">
              <w:t>iii) Likviditetsstöd från centralbanker med icke standardmässiga villkor för säkerheter, löptider och räntesatser.</w:t>
            </w:r>
          </w:p>
        </w:tc>
        <w:tc>
          <w:tcPr>
            <w:tcW w:w="4876" w:type="dxa"/>
            <w:hideMark/>
          </w:tcPr>
          <w:p w:rsidR="00D16657" w:rsidRPr="00872462" w:rsidRDefault="00D16657" w:rsidP="00610A50">
            <w:pPr>
              <w:pStyle w:val="Normal6"/>
              <w:rPr>
                <w:szCs w:val="24"/>
              </w:rPr>
            </w:pPr>
            <w:r w:rsidRPr="00872462">
              <w:t xml:space="preserve">iii) Likviditetsstöd från centralbanker med icke standardmässiga villkor för säkerheter, löptider och räntesatser. </w:t>
            </w:r>
          </w:p>
        </w:tc>
      </w:tr>
      <w:tr w:rsidR="00872462" w:rsidRPr="00872462" w:rsidTr="00610A50">
        <w:trPr>
          <w:jc w:val="center"/>
        </w:trPr>
        <w:tc>
          <w:tcPr>
            <w:tcW w:w="4876" w:type="dxa"/>
            <w:hideMark/>
          </w:tcPr>
          <w:p w:rsidR="00D16657" w:rsidRPr="00872462" w:rsidRDefault="00D16657" w:rsidP="00610A50">
            <w:pPr>
              <w:pStyle w:val="Normal6"/>
            </w:pPr>
            <w:r w:rsidRPr="00872462">
              <w:t>j) En detaljerad beskrivning av de olika resolutionsstrategier som skulle kunna tillämpas enligt de olika möjliga scenarierna samt de tillämpliga tidsramarna.</w:t>
            </w:r>
          </w:p>
        </w:tc>
        <w:tc>
          <w:tcPr>
            <w:tcW w:w="4876" w:type="dxa"/>
            <w:hideMark/>
          </w:tcPr>
          <w:p w:rsidR="00D16657" w:rsidRPr="00872462" w:rsidRDefault="00D16657" w:rsidP="00610A50">
            <w:pPr>
              <w:pStyle w:val="Normal6"/>
              <w:rPr>
                <w:szCs w:val="24"/>
              </w:rPr>
            </w:pPr>
            <w:r w:rsidRPr="00872462">
              <w:t xml:space="preserve">j) En detaljerad beskrivning av de olika resolutionsstrategier som skulle kunna tillämpas enligt de olika möjliga scenarierna samt de tillämpliga tidsramarna. </w:t>
            </w:r>
          </w:p>
        </w:tc>
      </w:tr>
      <w:tr w:rsidR="00872462" w:rsidRPr="00872462" w:rsidTr="00610A50">
        <w:trPr>
          <w:jc w:val="center"/>
        </w:trPr>
        <w:tc>
          <w:tcPr>
            <w:tcW w:w="4876" w:type="dxa"/>
            <w:hideMark/>
          </w:tcPr>
          <w:p w:rsidR="00D16657" w:rsidRPr="00872462" w:rsidRDefault="00D16657" w:rsidP="00610A50">
            <w:pPr>
              <w:pStyle w:val="Normal6"/>
            </w:pPr>
            <w:r w:rsidRPr="00872462">
              <w:t>k) En beskrivning av kritiska ömsesidiga beroenden.</w:t>
            </w:r>
          </w:p>
        </w:tc>
        <w:tc>
          <w:tcPr>
            <w:tcW w:w="4876" w:type="dxa"/>
            <w:hideMark/>
          </w:tcPr>
          <w:p w:rsidR="00D16657" w:rsidRPr="00872462" w:rsidRDefault="00D16657" w:rsidP="00610A50">
            <w:pPr>
              <w:pStyle w:val="Normal6"/>
              <w:rPr>
                <w:szCs w:val="24"/>
              </w:rPr>
            </w:pPr>
            <w:r w:rsidRPr="00872462">
              <w:t xml:space="preserve">k) En beskrivning av kritiska ömsesidiga beroenden. </w:t>
            </w:r>
          </w:p>
        </w:tc>
      </w:tr>
      <w:tr w:rsidR="00872462" w:rsidRPr="00872462" w:rsidTr="00610A50">
        <w:trPr>
          <w:jc w:val="center"/>
        </w:trPr>
        <w:tc>
          <w:tcPr>
            <w:tcW w:w="4876" w:type="dxa"/>
            <w:hideMark/>
          </w:tcPr>
          <w:p w:rsidR="00D16657" w:rsidRPr="00872462" w:rsidRDefault="00D16657" w:rsidP="00610A50">
            <w:pPr>
              <w:pStyle w:val="Normal6"/>
            </w:pPr>
            <w:r w:rsidRPr="00872462">
              <w:t>l) En beskrivning av handlingsalternativen för att bevara tillgång till betalnings- och clearingtjänster och annan infrastruktur och en bedömning av överförbarheten för kundpositioner.</w:t>
            </w:r>
          </w:p>
        </w:tc>
        <w:tc>
          <w:tcPr>
            <w:tcW w:w="4876" w:type="dxa"/>
            <w:hideMark/>
          </w:tcPr>
          <w:p w:rsidR="00D16657" w:rsidRPr="00872462" w:rsidRDefault="00D16657" w:rsidP="00610A50">
            <w:pPr>
              <w:pStyle w:val="Normal6"/>
              <w:rPr>
                <w:szCs w:val="24"/>
              </w:rPr>
            </w:pPr>
            <w:r w:rsidRPr="00872462">
              <w:t xml:space="preserve">l) En beskrivning av handlingsalternativen för att bevara tillgång till betalnings- och clearingtjänster och annan infrastruktur och en bedömning av överförbarheten för kundpositioner. </w:t>
            </w:r>
          </w:p>
        </w:tc>
      </w:tr>
      <w:tr w:rsidR="00872462" w:rsidRPr="00872462" w:rsidTr="00610A50">
        <w:trPr>
          <w:jc w:val="center"/>
        </w:trPr>
        <w:tc>
          <w:tcPr>
            <w:tcW w:w="4876" w:type="dxa"/>
            <w:hideMark/>
          </w:tcPr>
          <w:p w:rsidR="00D16657" w:rsidRPr="00872462" w:rsidRDefault="00D16657" w:rsidP="00610A50">
            <w:pPr>
              <w:pStyle w:val="Normal6"/>
            </w:pPr>
            <w:r w:rsidRPr="00872462">
              <w:t>m) En analys av planens effekter på institutets anställda, inbegripet en bedömning av därmed förknippade kostnader, och en beskrivning av planerade förfaranden för samråd med personalen under resolutionsprocessen, i tillämpliga fall med beaktande av nationella system för dialog mellan arbetsmarknadens parter.</w:t>
            </w:r>
          </w:p>
        </w:tc>
        <w:tc>
          <w:tcPr>
            <w:tcW w:w="4876" w:type="dxa"/>
            <w:hideMark/>
          </w:tcPr>
          <w:p w:rsidR="00D16657" w:rsidRPr="00872462" w:rsidRDefault="00D16657" w:rsidP="00610A50">
            <w:pPr>
              <w:pStyle w:val="Normal6"/>
              <w:rPr>
                <w:szCs w:val="24"/>
              </w:rPr>
            </w:pPr>
            <w:r w:rsidRPr="00872462">
              <w:t xml:space="preserve">m) En analys av planens effekter på institutets anställda, inbegripet en bedömning av därmed förknippade kostnader, och en beskrivning av planerade förfaranden för samråd med personalen under resolutionsprocessen, i tillämpliga fall med beaktande av nationella system för dialog mellan arbetsmarknadens parter. </w:t>
            </w:r>
          </w:p>
        </w:tc>
      </w:tr>
      <w:tr w:rsidR="00872462" w:rsidRPr="00872462" w:rsidTr="00610A50">
        <w:trPr>
          <w:jc w:val="center"/>
        </w:trPr>
        <w:tc>
          <w:tcPr>
            <w:tcW w:w="4876" w:type="dxa"/>
            <w:hideMark/>
          </w:tcPr>
          <w:p w:rsidR="00D16657" w:rsidRPr="00872462" w:rsidRDefault="00D16657" w:rsidP="00610A50">
            <w:pPr>
              <w:pStyle w:val="Normal6"/>
            </w:pPr>
            <w:r w:rsidRPr="00872462">
              <w:t>n) En plan för kommunikation med media och allmänheten.</w:t>
            </w:r>
          </w:p>
        </w:tc>
        <w:tc>
          <w:tcPr>
            <w:tcW w:w="4876" w:type="dxa"/>
            <w:hideMark/>
          </w:tcPr>
          <w:p w:rsidR="00D16657" w:rsidRPr="00872462" w:rsidRDefault="00D16657" w:rsidP="00610A50">
            <w:pPr>
              <w:pStyle w:val="Normal6"/>
              <w:rPr>
                <w:szCs w:val="24"/>
              </w:rPr>
            </w:pPr>
            <w:r w:rsidRPr="00872462">
              <w:t xml:space="preserve">n) En plan för kommunikation med media och allmänheten. </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o) </w:t>
            </w:r>
            <w:r w:rsidRPr="00872462">
              <w:rPr>
                <w:b/>
                <w:i/>
              </w:rPr>
              <w:t>Minimikravet för kapitalbasen och de kvalificerade skulderna enlighet med artikel 12</w:t>
            </w:r>
            <w:r w:rsidRPr="00872462">
              <w:t xml:space="preserve">, och </w:t>
            </w:r>
            <w:r w:rsidRPr="00872462">
              <w:rPr>
                <w:b/>
                <w:i/>
              </w:rPr>
              <w:t>i förekommande fall</w:t>
            </w:r>
            <w:r w:rsidRPr="00872462">
              <w:t xml:space="preserve"> en tidsfrist för att nå avsedd nivå.</w:t>
            </w:r>
          </w:p>
        </w:tc>
        <w:tc>
          <w:tcPr>
            <w:tcW w:w="4876" w:type="dxa"/>
            <w:hideMark/>
          </w:tcPr>
          <w:p w:rsidR="00D16657" w:rsidRPr="00872462" w:rsidRDefault="00D16657" w:rsidP="00610A50">
            <w:pPr>
              <w:pStyle w:val="Normal6"/>
              <w:rPr>
                <w:szCs w:val="24"/>
              </w:rPr>
            </w:pPr>
            <w:r w:rsidRPr="00872462">
              <w:t xml:space="preserve">o) </w:t>
            </w:r>
            <w:r w:rsidRPr="00872462">
              <w:rPr>
                <w:b/>
                <w:i/>
              </w:rPr>
              <w:t>De krav som avses i artiklarna 12f och 12g</w:t>
            </w:r>
            <w:r w:rsidRPr="00872462">
              <w:t xml:space="preserve">, och en tidsfrist för att nå avsedd nivå </w:t>
            </w:r>
            <w:r w:rsidRPr="00872462">
              <w:rPr>
                <w:b/>
                <w:i/>
              </w:rPr>
              <w:t>i enlighet med artikel 12k</w:t>
            </w:r>
            <w:r w:rsidRPr="00872462">
              <w:t xml:space="preserve">. </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p) </w:t>
            </w:r>
            <w:r w:rsidRPr="00872462">
              <w:rPr>
                <w:b/>
                <w:i/>
              </w:rPr>
              <w:t>Minimikravet för kapitalbasen och instrumenten för avtalsenlig skuldnedskrivning enligt artikel 12, och i förekommande fall en tidsfrist för att nå avsedd nivå</w:t>
            </w:r>
            <w:r w:rsidRPr="00872462">
              <w:t>.</w:t>
            </w:r>
          </w:p>
        </w:tc>
        <w:tc>
          <w:tcPr>
            <w:tcW w:w="4876" w:type="dxa"/>
            <w:hideMark/>
          </w:tcPr>
          <w:p w:rsidR="00D16657" w:rsidRPr="00872462" w:rsidRDefault="00D16657" w:rsidP="00610A50">
            <w:pPr>
              <w:pStyle w:val="Normal6"/>
              <w:rPr>
                <w:szCs w:val="24"/>
              </w:rPr>
            </w:pPr>
            <w:r w:rsidRPr="00872462">
              <w:t xml:space="preserve">p) </w:t>
            </w:r>
            <w:r w:rsidRPr="00872462">
              <w:rPr>
                <w:b/>
                <w:i/>
              </w:rPr>
              <w:t>Om nämnden tillämpar artikel 12c.4, 12c.5 eller 12c.7, en tidsplan för när resolutionsenheten ska uppfylla kraven i enlighet med artikel 12k</w:t>
            </w:r>
            <w:r w:rsidRPr="00872462">
              <w:t xml:space="preserve">. </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pa) En detaljerad och uttömmande förteckning över godtagbara instrument för minimikravet för kapitalbas och kvalificerade skulder, inbegripet huruvida innehavarna uppfyller kraven för icke-professionella eller professionella investerare enligt direktiv 2014/65/EU.</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pb) En detaljerad och kvantifierad förteckning över garanterade insättningar, privatkundsinlåning, företagsinlåning för betalnings- och avvecklingsändamål samt annan företagsinlåning enligt definitionen i artikel 2.1 led 95, 97, 98 och 98a i direktiv 2014/59/EU.</w:t>
            </w:r>
          </w:p>
        </w:tc>
      </w:tr>
      <w:tr w:rsidR="00872462" w:rsidRPr="00872462" w:rsidTr="00610A50">
        <w:trPr>
          <w:jc w:val="center"/>
        </w:trPr>
        <w:tc>
          <w:tcPr>
            <w:tcW w:w="4876" w:type="dxa"/>
            <w:hideMark/>
          </w:tcPr>
          <w:p w:rsidR="00D16657" w:rsidRPr="00872462" w:rsidRDefault="00D16657" w:rsidP="00610A50">
            <w:pPr>
              <w:pStyle w:val="Normal6"/>
            </w:pPr>
            <w:r w:rsidRPr="00872462">
              <w:t>q) En beskrivning av grundläggande verksamhet och system för kontinuerlig drift av institutets operativa processer.</w:t>
            </w:r>
          </w:p>
        </w:tc>
        <w:tc>
          <w:tcPr>
            <w:tcW w:w="4876" w:type="dxa"/>
            <w:hideMark/>
          </w:tcPr>
          <w:p w:rsidR="00D16657" w:rsidRPr="00872462" w:rsidRDefault="00D16657" w:rsidP="00610A50">
            <w:pPr>
              <w:pStyle w:val="Normal6"/>
              <w:rPr>
                <w:szCs w:val="24"/>
              </w:rPr>
            </w:pPr>
            <w:r w:rsidRPr="00872462">
              <w:t>q) En beskrivning av grundläggande verksamhet och system för kontinuerlig drift av institutets operativa processer.</w:t>
            </w:r>
          </w:p>
        </w:tc>
      </w:tr>
      <w:tr w:rsidR="00872462" w:rsidRPr="00872462" w:rsidTr="00610A50">
        <w:trPr>
          <w:jc w:val="center"/>
        </w:trPr>
        <w:tc>
          <w:tcPr>
            <w:tcW w:w="4876" w:type="dxa"/>
            <w:hideMark/>
          </w:tcPr>
          <w:p w:rsidR="00D16657" w:rsidRPr="00872462" w:rsidRDefault="00D16657" w:rsidP="00610A50">
            <w:pPr>
              <w:pStyle w:val="Normal6"/>
            </w:pPr>
            <w:r w:rsidRPr="00872462">
              <w:t>r) I förekommande fall eventuella yttranden från institutet om resolutionsplanen.</w:t>
            </w:r>
          </w:p>
        </w:tc>
        <w:tc>
          <w:tcPr>
            <w:tcW w:w="4876" w:type="dxa"/>
            <w:hideMark/>
          </w:tcPr>
          <w:p w:rsidR="00D16657" w:rsidRPr="00872462" w:rsidRDefault="00D16657" w:rsidP="00610A50">
            <w:pPr>
              <w:pStyle w:val="Normal6"/>
              <w:rPr>
                <w:szCs w:val="24"/>
              </w:rPr>
            </w:pPr>
            <w:r w:rsidRPr="00872462">
              <w:t>r) I förekommande fall eventuella yttranden från institutet om resolutionsplanen.</w:t>
            </w:r>
            <w:r w:rsidRPr="00872462">
              <w:rPr>
                <w:b/>
                <w:i/>
              </w:rPr>
              <w:t xml:space="preserve"> </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(https://eur-lex.europa.eu/legal-content/SV/TXT/?uri=celex%3A32014R0806)</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129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Jonás Fernández</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aa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9 – led fa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(aa)</w:t>
            </w:r>
            <w:r w:rsidRPr="00872462">
              <w:rPr>
                <w:b/>
                <w:i/>
              </w:rPr>
              <w:tab/>
              <w:t>I punkt 9 ska följande led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fa) En detaljerad beskrivning av skälen för att fastställa att ett institut ska klassificeras som en likvidationsenhet, inbegripet en förklaring av hur resolutionsmyndigheten kom fram till att institutet saknar kritiska funktioner.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10</w:t>
      </w:r>
      <w:r w:rsidRPr="008724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r w:rsidRPr="00872462">
              <w:t xml:space="preserve">(b) </w:t>
            </w:r>
            <w:r w:rsidRPr="00872462">
              <w:rPr>
                <w:b/>
                <w:i/>
              </w:rPr>
              <w:t>I</w:t>
            </w:r>
            <w:r w:rsidRPr="00872462">
              <w:t xml:space="preserve"> punkt 10 ska följande </w:t>
            </w:r>
            <w:r w:rsidRPr="00872462">
              <w:rPr>
                <w:b/>
                <w:i/>
              </w:rPr>
              <w:t>stycke läggas till</w:t>
            </w:r>
            <w:r w:rsidRPr="00872462">
              <w:t>:</w:t>
            </w:r>
          </w:p>
        </w:tc>
        <w:tc>
          <w:tcPr>
            <w:tcW w:w="4876" w:type="dxa"/>
          </w:tcPr>
          <w:p w:rsidR="00D16657" w:rsidRPr="00872462" w:rsidRDefault="00D16657" w:rsidP="00610A50">
            <w:pPr>
              <w:pStyle w:val="Normal6"/>
              <w:rPr>
                <w:b/>
                <w:szCs w:val="24"/>
              </w:rPr>
            </w:pPr>
            <w:r w:rsidRPr="00872462">
              <w:t>(b)</w:t>
            </w:r>
            <w:r w:rsidRPr="00872462">
              <w:rPr>
                <w:b/>
              </w:rPr>
              <w:t xml:space="preserve"> </w:t>
            </w:r>
            <w:r w:rsidRPr="00872462">
              <w:t xml:space="preserve">Punkt 10 ska </w:t>
            </w:r>
            <w:r w:rsidRPr="00872462">
              <w:rPr>
                <w:b/>
                <w:i/>
              </w:rPr>
              <w:t>ersättas med</w:t>
            </w:r>
            <w:r w:rsidRPr="00872462">
              <w:t xml:space="preserve"> följande:</w:t>
            </w:r>
          </w:p>
        </w:tc>
      </w:tr>
      <w:tr w:rsidR="00872462" w:rsidRPr="00872462" w:rsidTr="00610A50">
        <w:trPr>
          <w:jc w:val="center"/>
        </w:trPr>
        <w:tc>
          <w:tcPr>
            <w:tcW w:w="4876" w:type="dxa"/>
          </w:tcPr>
          <w:p w:rsidR="00D16657" w:rsidRPr="00872462" w:rsidRDefault="00D16657" w:rsidP="00610A50">
            <w:pPr>
              <w:pStyle w:val="Normal6"/>
              <w:rPr>
                <w:b/>
                <w:i/>
              </w:rPr>
            </w:pPr>
            <w:r w:rsidRPr="00872462">
              <w:rPr>
                <w:b/>
                <w:i/>
                <w:sz w:val="23"/>
              </w:rPr>
              <w:t>Identifieringen av de åtgärder som ska vidtas med avseende på de dotterföretag som avses i första stycket led b och som inte är resolutionsenheter får omfattas av en förenklad metod från nämndens sida om en sådan metod inte negativt skulle påverka koncernens möjlighet till resolution, med beaktande av dotterföretagets storlek, dess riskprofil, frånvaron av kritiska funktioner och koncernresolutionsstrategin.</w:t>
            </w:r>
          </w:p>
        </w:tc>
        <w:tc>
          <w:tcPr>
            <w:tcW w:w="4876" w:type="dxa"/>
          </w:tcPr>
          <w:p w:rsidR="00D16657" w:rsidRPr="00872462" w:rsidRDefault="00D16657" w:rsidP="00610A50">
            <w:pPr>
              <w:pStyle w:val="Normal6"/>
              <w:rPr>
                <w:b/>
                <w:i/>
                <w:szCs w:val="24"/>
              </w:rPr>
            </w:pPr>
            <w:r w:rsidRPr="00872462">
              <w:rPr>
                <w:b/>
                <w:i/>
              </w:rPr>
              <w:t xml:space="preserve">10. Koncernresolutionsplaner ska inbegripa en plan för resolution av koncernen som helhet när dess moderföretag är ett moderföretag inom unionen, etablerat i en deltagande medlemsstat, endera genom resolution på nivån för moderföretaget inom unionen eller genom uppdelning och resolution av dotterföretagen. I koncernresolutionsplanen ska åtgärder anges för resolution av </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 xml:space="preserve">a) moderföretaget inom unionen, </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 xml:space="preserve">b) de dotterföretag som ingår i koncernen och som är etablerade i unionen, </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 xml:space="preserve">c) de enheter som avses i artikel 2 b, och </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 xml:space="preserve">d) om inte annat följer av artikel 33, de dotterföretag som ingår i koncernen och som är etablerade utanför unionen. </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pPr>
            <w:r w:rsidRPr="00872462">
              <w:rPr>
                <w:b/>
                <w:i/>
              </w:rPr>
              <w:t>Koncernresolutionsplanen ska också fastställa om enheter inom en annan resolutionsgrupp än resolutionsenheten klassificeras som likvidationsenheter. Utan att det påverkar andra faktorer som nämnden kan anse vara relevanta ska enheter som tillhandahåller kritiska funktioner eller kritiska tjänster eller är väsentliga dotterföretag enligt artikel 4.1.135 i förordning (EU) nr 575/2013 inte klassificeras som likvidationsenheter.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10 – stycke 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Identifieringen av de åtgärder som ska vidtas med avseende på de dotterföretag som avses i första stycket led b och som inte är resolutionsenheter får omfattas av en förenklad metod från nämndens sida om en sådan metod inte negativt skulle påverka koncernens möjlighet till resolution, med beaktande av dotterföretagets storlek, dess riskprofil, frånvaron av kritiska funktioner och koncernresolutionsstrategin.</w:t>
            </w:r>
          </w:p>
        </w:tc>
        <w:tc>
          <w:tcPr>
            <w:tcW w:w="4876" w:type="dxa"/>
            <w:hideMark/>
          </w:tcPr>
          <w:p w:rsidR="00D16657" w:rsidRPr="00872462" w:rsidRDefault="00D16657" w:rsidP="00610A50">
            <w:pPr>
              <w:pStyle w:val="Normal6"/>
              <w:rPr>
                <w:szCs w:val="24"/>
              </w:rPr>
            </w:pPr>
            <w:r w:rsidRPr="00872462">
              <w:t>Identifieringen av de åtgärder som ska vidtas med avseende på de dotterföretag som avses i första stycket led b och som inte är resolutionsenheter får omfattas av en förenklad metod från nämndens sida</w:t>
            </w:r>
            <w:r w:rsidRPr="00872462">
              <w:rPr>
                <w:b/>
                <w:i/>
              </w:rPr>
              <w:t>, efter samråd med den relevanta nationella resolutionsmyndigheten,</w:t>
            </w:r>
            <w:r w:rsidRPr="00872462">
              <w:t xml:space="preserve"> och om en sådan metod inte negativt skulle påverka koncernens möjlighet till resolution, med beaktande av dotterföretagets storlek, dess riskprofil, frånvaron av kritiska funktioner och koncernresolutionsstrategin.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Jonás Fernández</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ba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11 – led -aa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(ba)</w:t>
            </w:r>
            <w:r w:rsidRPr="00872462">
              <w:rPr>
                <w:b/>
                <w:i/>
              </w:rPr>
              <w:tab/>
              <w:t>I punkt 11 ska följande led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-aa) En detaljerad beskrivning av skälen för att fastställa att en koncernenhet ska klassificeras som en likvidationsenhet, inbegripet en förklaring av hur resolutionsmyndigheten kom fram till att institutet saknar kritiska funktioner, och hur förhållandet mellan dess totala riskvägda exponeringsbelopp och rörelseintäkt i koncernens totala riskvägda exponeringsbelopp och rörelseintäkt samt koncernenhetens bruttosoliditetsgrad inom koncernen har beaktats.</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ba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11</w:t>
      </w:r>
      <w:r w:rsidRPr="008724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(ba)</w:t>
            </w:r>
            <w:r w:rsidRPr="00872462">
              <w:rPr>
                <w:b/>
                <w:i/>
              </w:rPr>
              <w:tab/>
              <w:t>Punkt 11 ska ersättas med följande:</w:t>
            </w:r>
          </w:p>
        </w:tc>
      </w:tr>
      <w:tr w:rsidR="00872462" w:rsidRPr="00872462" w:rsidTr="00610A50">
        <w:trPr>
          <w:jc w:val="center"/>
        </w:trPr>
        <w:tc>
          <w:tcPr>
            <w:tcW w:w="4876" w:type="dxa"/>
          </w:tcPr>
          <w:p w:rsidR="00D16657" w:rsidRPr="00872462" w:rsidRDefault="00D16657" w:rsidP="00610A50">
            <w:pPr>
              <w:pStyle w:val="Normal6"/>
            </w:pPr>
            <w:r w:rsidRPr="00872462">
              <w:t>11. Koncernresolutionsplanen ska</w:t>
            </w:r>
          </w:p>
        </w:tc>
        <w:tc>
          <w:tcPr>
            <w:tcW w:w="4876" w:type="dxa"/>
          </w:tcPr>
          <w:p w:rsidR="00D16657" w:rsidRPr="00872462" w:rsidRDefault="00D16657" w:rsidP="00610A50">
            <w:pPr>
              <w:pStyle w:val="Normal6"/>
              <w:rPr>
                <w:szCs w:val="24"/>
              </w:rPr>
            </w:pPr>
            <w:r w:rsidRPr="00872462">
              <w:t xml:space="preserve">11. Koncernresolutionsplanen ska </w:t>
            </w:r>
          </w:p>
        </w:tc>
      </w:tr>
      <w:tr w:rsidR="00872462" w:rsidRPr="00872462" w:rsidTr="00610A50">
        <w:trPr>
          <w:jc w:val="center"/>
        </w:trPr>
        <w:tc>
          <w:tcPr>
            <w:tcW w:w="4876" w:type="dxa"/>
          </w:tcPr>
          <w:p w:rsidR="00D16657" w:rsidRPr="00872462" w:rsidRDefault="00D16657" w:rsidP="00610A50">
            <w:pPr>
              <w:pStyle w:val="Normal6"/>
            </w:pPr>
            <w:r w:rsidRPr="00872462">
              <w:t>a) fastställa de resolutionsåtgärder som ska vidtas med avseende på koncernenheter, både genom resolutionsåtgärder för de enheter som avses i artikel 2 b och dotterinstituten samt genom samordnade resolutionsåtgärder med avseende på dotterinstitut, i de scenarier som föreskrivs i punkt 6,</w:t>
            </w:r>
          </w:p>
        </w:tc>
        <w:tc>
          <w:tcPr>
            <w:tcW w:w="4876" w:type="dxa"/>
          </w:tcPr>
          <w:p w:rsidR="00D16657" w:rsidRPr="00872462" w:rsidRDefault="00D16657" w:rsidP="00610A50">
            <w:pPr>
              <w:pStyle w:val="Normal6"/>
            </w:pPr>
            <w:r w:rsidRPr="00872462">
              <w:t xml:space="preserve">a) fastställa de resolutionsåtgärder som ska vidtas med avseende på koncernenheter, både genom resolutionsåtgärder för de enheter som avses i artikel 2 b och dotterinstituten samt genom samordnade resolutionsåtgärder med avseende på dotterinstitut, i de scenarier som föreskrivs i punkt 6, </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pPr>
            <w:r w:rsidRPr="00872462">
              <w:rPr>
                <w:b/>
                <w:i/>
              </w:rPr>
              <w:t>aa) om en koncern som avses i punkt 1 inbegriper mer än en resolutionsgrupp, beskriva de resolutionsåtgärder som ska vidtas med avseende på resolutionsenheterna i varje resolutionsgrupp och effekterna av dessa åtgärder för</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i) andra koncernenheter som tillhör samma resolutionsgrupp,</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ii) andra resolutionsgrupper,</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ab) en detaljerad beskrivning av skälen för att fastställa att en koncernenhet som avses i punkt 1 a–d ska klassificeras som en likvidationsenhet,</w:t>
            </w:r>
          </w:p>
        </w:tc>
      </w:tr>
      <w:tr w:rsidR="00872462" w:rsidRPr="00872462" w:rsidTr="00610A50">
        <w:trPr>
          <w:jc w:val="center"/>
        </w:trPr>
        <w:tc>
          <w:tcPr>
            <w:tcW w:w="4876" w:type="dxa"/>
          </w:tcPr>
          <w:p w:rsidR="00D16657" w:rsidRPr="00872462" w:rsidRDefault="00D16657" w:rsidP="00610A50">
            <w:pPr>
              <w:pStyle w:val="Normal6"/>
            </w:pPr>
            <w:r w:rsidRPr="00872462">
              <w:t>b) undersöka i vilken utsträckning det skulle vara möjligt att använda resolutionsverktyg och utöva resolutionsbefogenheter på ett samordnat sätt på koncernenheter etablerade i unionen, inklusive åtgärder för att underlätta tredje mans köp av hela koncernen eller enskilda affärsområden eller aktiviteter som tillhandahålls av ett flertal koncernenheter, eller av särskilda koncernenheter, samt identifiera eventuella potentiella hinder för en samordnad resolution,</w:t>
            </w:r>
          </w:p>
        </w:tc>
        <w:tc>
          <w:tcPr>
            <w:tcW w:w="4876" w:type="dxa"/>
          </w:tcPr>
          <w:p w:rsidR="00D16657" w:rsidRPr="00872462" w:rsidRDefault="00D16657" w:rsidP="00610A50">
            <w:pPr>
              <w:pStyle w:val="Normal6"/>
              <w:rPr>
                <w:b/>
                <w:i/>
              </w:rPr>
            </w:pPr>
            <w:r w:rsidRPr="00872462">
              <w:t xml:space="preserve">b) undersöka i vilken utsträckning det skulle vara möjligt att använda resolutionsverktyg och utöva resolutionsbefogenheter på ett samordnat sätt på koncernenheter etablerade i unionen, inklusive åtgärder för att underlätta tredje mans köp av hela koncernen eller enskilda affärsområden eller aktiviteter som tillhandahålls av ett flertal koncernenheter, eller av särskilda koncernenheter, samt identifiera eventuella potentiella hinder för en samordnad resolution, </w:t>
            </w:r>
          </w:p>
        </w:tc>
      </w:tr>
      <w:tr w:rsidR="00872462" w:rsidRPr="00872462" w:rsidTr="00610A50">
        <w:trPr>
          <w:jc w:val="center"/>
        </w:trPr>
        <w:tc>
          <w:tcPr>
            <w:tcW w:w="4876" w:type="dxa"/>
          </w:tcPr>
          <w:p w:rsidR="00D16657" w:rsidRPr="00872462" w:rsidRDefault="00D16657" w:rsidP="00610A50">
            <w:pPr>
              <w:pStyle w:val="Normal6"/>
            </w:pPr>
            <w:r w:rsidRPr="00872462">
              <w:t>c) inbegripa en detaljerad beskrivning av den bedömning av möjligheterna till resolution som gjorts i enlighet med artikel 10,</w:t>
            </w:r>
          </w:p>
        </w:tc>
        <w:tc>
          <w:tcPr>
            <w:tcW w:w="4876" w:type="dxa"/>
          </w:tcPr>
          <w:p w:rsidR="00D16657" w:rsidRPr="00872462" w:rsidRDefault="00D16657" w:rsidP="00610A50">
            <w:pPr>
              <w:pStyle w:val="Normal6"/>
            </w:pPr>
            <w:r w:rsidRPr="00872462">
              <w:t>c) inbegripa en detaljerad beskrivning av den bedömning av möjligheterna till resolution som gjorts i enlighet med artikel 10,</w:t>
            </w:r>
          </w:p>
        </w:tc>
      </w:tr>
      <w:tr w:rsidR="00872462" w:rsidRPr="00872462" w:rsidTr="00610A50">
        <w:trPr>
          <w:jc w:val="center"/>
        </w:trPr>
        <w:tc>
          <w:tcPr>
            <w:tcW w:w="4876" w:type="dxa"/>
          </w:tcPr>
          <w:p w:rsidR="00D16657" w:rsidRPr="00872462" w:rsidRDefault="00D16657" w:rsidP="00610A50">
            <w:pPr>
              <w:pStyle w:val="Normal6"/>
            </w:pPr>
            <w:r w:rsidRPr="00872462">
              <w:t>d) om en koncern inbegriper enheter med säte i tredjeland, identifiera lämpliga arrangemang för samarbete och samordning med de relevanta myndigheterna i dessa tredjeland och följderna av resolutionen inom unionen,</w:t>
            </w:r>
          </w:p>
        </w:tc>
        <w:tc>
          <w:tcPr>
            <w:tcW w:w="4876" w:type="dxa"/>
          </w:tcPr>
          <w:p w:rsidR="00D16657" w:rsidRPr="00872462" w:rsidRDefault="00D16657" w:rsidP="00610A50">
            <w:pPr>
              <w:pStyle w:val="Normal6"/>
            </w:pPr>
            <w:r w:rsidRPr="00872462">
              <w:t>d) om en koncern inbegriper enheter med säte i tredjeland, identifiera lämpliga arrangemang för samarbete och samordning med de relevanta myndigheterna i dessa tredjeland och följderna av resolutionen inom unionen,</w:t>
            </w:r>
          </w:p>
        </w:tc>
      </w:tr>
      <w:tr w:rsidR="00872462" w:rsidRPr="00872462" w:rsidTr="00610A50">
        <w:trPr>
          <w:jc w:val="center"/>
        </w:trPr>
        <w:tc>
          <w:tcPr>
            <w:tcW w:w="4876" w:type="dxa"/>
          </w:tcPr>
          <w:p w:rsidR="00D16657" w:rsidRPr="00872462" w:rsidRDefault="00D16657" w:rsidP="00610A50">
            <w:pPr>
              <w:pStyle w:val="Normal6"/>
            </w:pPr>
            <w:r w:rsidRPr="00872462">
              <w:t>e) identifiera åtgärder som är nödvändiga för att underlätta koncernresolution när villkoren för resolution är uppfyllda, inklusive att juridiskt och ekonomiskt avskilja särskilda funktioner eller affärsområden,</w:t>
            </w:r>
          </w:p>
        </w:tc>
        <w:tc>
          <w:tcPr>
            <w:tcW w:w="4876" w:type="dxa"/>
          </w:tcPr>
          <w:p w:rsidR="00D16657" w:rsidRPr="00872462" w:rsidRDefault="00D16657" w:rsidP="00610A50">
            <w:pPr>
              <w:pStyle w:val="Normal6"/>
            </w:pPr>
            <w:r w:rsidRPr="00872462">
              <w:t>e) identifiera åtgärder som är nödvändiga för att underlätta koncernresolution när villkoren för resolution är uppfyllda, inklusive att juridiskt och ekonomiskt avskilja särskilda funktioner eller affärsområden,</w:t>
            </w:r>
          </w:p>
        </w:tc>
      </w:tr>
      <w:tr w:rsidR="00872462" w:rsidRPr="00872462" w:rsidTr="00610A50">
        <w:trPr>
          <w:jc w:val="center"/>
        </w:trPr>
        <w:tc>
          <w:tcPr>
            <w:tcW w:w="4876" w:type="dxa"/>
          </w:tcPr>
          <w:p w:rsidR="00D16657" w:rsidRPr="00872462" w:rsidRDefault="00D16657" w:rsidP="00610A50">
            <w:pPr>
              <w:pStyle w:val="Normal6"/>
            </w:pPr>
            <w:r w:rsidRPr="00872462">
              <w:t>f) identifiera hur koncernresolutionsåtgärderna skulle kunna finansieras och, där fonden och de finansieringsarrangemang från icke-deltagande medlemsstater som inrättats i enlighet med artikel 100 i direktiv 2014/59/EU skulle behövas, ange principer för att dela upp ansvaret för den finansieringen mellan finansieringskällor i olika deltagande och icke-deltagande medlemsstater. Resolutionsplanen får inte förutsätta något av följande:</w:t>
            </w:r>
          </w:p>
        </w:tc>
        <w:tc>
          <w:tcPr>
            <w:tcW w:w="4876" w:type="dxa"/>
          </w:tcPr>
          <w:p w:rsidR="00D16657" w:rsidRPr="00872462" w:rsidRDefault="00D16657" w:rsidP="00610A50">
            <w:pPr>
              <w:pStyle w:val="Normal6"/>
            </w:pPr>
            <w:r w:rsidRPr="00872462">
              <w:t>f) identifiera hur koncernresolutionsåtgärderna skulle kunna finansieras och, där fonden och de finansieringsarrangemang från icke-deltagande medlemsstater som inrättats i enlighet med artikel 100 i direktiv 2014/59/EU skulle behövas, ange principer för att dela upp ansvaret för den finansieringen mellan finansieringskällor i olika deltagande och icke-deltagande medlemsstater. Resolutionsplanen får inte förutsätta något av följande:</w:t>
            </w:r>
          </w:p>
        </w:tc>
      </w:tr>
      <w:tr w:rsidR="00872462" w:rsidRPr="00872462" w:rsidTr="00610A50">
        <w:trPr>
          <w:jc w:val="center"/>
        </w:trPr>
        <w:tc>
          <w:tcPr>
            <w:tcW w:w="4876" w:type="dxa"/>
          </w:tcPr>
          <w:p w:rsidR="00D16657" w:rsidRPr="00872462" w:rsidRDefault="00D16657" w:rsidP="00610A50">
            <w:pPr>
              <w:pStyle w:val="Normal6"/>
            </w:pPr>
            <w:r w:rsidRPr="00872462">
              <w:t>i) Extraordinärt offentligt finansiellt stöd, förutom användning av fonden som inrättats i enlighet med artikel 67 i denna förordning och de finansieringsarrangemang från icke-deltagande medlemsstater som inrättats i enlighet med artikel 100 i direktiv 2014/59/EU.</w:t>
            </w:r>
          </w:p>
        </w:tc>
        <w:tc>
          <w:tcPr>
            <w:tcW w:w="4876" w:type="dxa"/>
          </w:tcPr>
          <w:p w:rsidR="00D16657" w:rsidRPr="00872462" w:rsidRDefault="00D16657" w:rsidP="00610A50">
            <w:pPr>
              <w:pStyle w:val="Normal6"/>
            </w:pPr>
            <w:r w:rsidRPr="00872462">
              <w:t>i) Extraordinärt offentligt finansiellt stöd, förutom användning av fonden som inrättats i enlighet med artikel 67 i denna förordning och de finansieringsarrangemang från icke-deltagande medlemsstater som inrättats i enlighet med artikel 100 i direktiv 2014/59/EU.</w:t>
            </w:r>
          </w:p>
        </w:tc>
      </w:tr>
      <w:tr w:rsidR="00872462" w:rsidRPr="00872462" w:rsidTr="00610A50">
        <w:trPr>
          <w:jc w:val="center"/>
        </w:trPr>
        <w:tc>
          <w:tcPr>
            <w:tcW w:w="4876" w:type="dxa"/>
          </w:tcPr>
          <w:p w:rsidR="00D16657" w:rsidRPr="00872462" w:rsidRDefault="00D16657" w:rsidP="00610A50">
            <w:pPr>
              <w:pStyle w:val="Normal6"/>
            </w:pPr>
            <w:r w:rsidRPr="00872462">
              <w:t xml:space="preserve">ii) Akut likviditetsstöd från centralbanker. </w:t>
            </w:r>
          </w:p>
        </w:tc>
        <w:tc>
          <w:tcPr>
            <w:tcW w:w="4876" w:type="dxa"/>
          </w:tcPr>
          <w:p w:rsidR="00D16657" w:rsidRPr="00872462" w:rsidRDefault="00D16657" w:rsidP="00610A50">
            <w:pPr>
              <w:pStyle w:val="Normal6"/>
              <w:rPr>
                <w:b/>
                <w:i/>
              </w:rPr>
            </w:pPr>
            <w:r w:rsidRPr="00872462">
              <w:t xml:space="preserve">ii) Akut likviditetsstöd från centralbanker. </w:t>
            </w:r>
          </w:p>
        </w:tc>
      </w:tr>
      <w:tr w:rsidR="00872462" w:rsidRPr="00872462" w:rsidTr="00610A50">
        <w:trPr>
          <w:jc w:val="center"/>
        </w:trPr>
        <w:tc>
          <w:tcPr>
            <w:tcW w:w="4876" w:type="dxa"/>
          </w:tcPr>
          <w:p w:rsidR="00D16657" w:rsidRPr="00872462" w:rsidRDefault="00D16657" w:rsidP="00610A50">
            <w:pPr>
              <w:pStyle w:val="Normal6"/>
            </w:pPr>
            <w:r w:rsidRPr="00872462">
              <w:t>iii) Likviditetsstöd från centralbanker med icke standardmässiga villkor för säkerheter, löptider och räntesatser. Dessa principer ska fastställas på grundval av rättvisa och välavvägda kriterier och ska särskilt beakta artikel 107.5 i direktiv 2014/59/EU och effekterna på den finansiella stabiliteten i alla berörda medlemsstaterna. Koncernresolutionsplaner ska inte ha en oproportionell påverkan på någon medlemsstat.</w:t>
            </w:r>
          </w:p>
        </w:tc>
        <w:tc>
          <w:tcPr>
            <w:tcW w:w="4876" w:type="dxa"/>
          </w:tcPr>
          <w:p w:rsidR="00D16657" w:rsidRPr="00872462" w:rsidRDefault="00D16657" w:rsidP="00610A50">
            <w:pPr>
              <w:pStyle w:val="Normal6"/>
            </w:pPr>
            <w:r w:rsidRPr="00872462">
              <w:t>iii) Likviditetsstöd från centralbanker med icke standardmässiga villkor för säkerheter, löptider och räntesatser. Dessa principer ska fastställas på grundval av rättvisa och välavvägda kriterier och ska särskilt beakta artikel 107.5 i direktiv 2014/59/EU och effekterna på den finansiella stabiliteten i alla berörda medlemsstaterna. Koncernresolutionsplaner ska inte ha en oproportionell påverkan på någon medlemsstat.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(https://eur-lex.europa.eu/legal-content/SV/TXT/?uri=celex%3A32014R0806)</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8 – punkt 14</w:t>
      </w:r>
      <w:r w:rsidRPr="008724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r w:rsidRPr="00872462">
              <w:t xml:space="preserve">14. Nämnden ska </w:t>
            </w:r>
            <w:r w:rsidRPr="00872462">
              <w:rPr>
                <w:b/>
                <w:i/>
              </w:rPr>
              <w:t>inte anta resolutionsplaner för de enheter och koncerner som avses i punkt 1 om artikel 22.5 är tillämplig eller om enheten eller koncernen avvecklas i enlighet med tillämplig nationell lagstiftning i enlighet med artikel 32b i direktiv 2014/59/EU</w:t>
            </w:r>
            <w:r w:rsidRPr="00872462">
              <w:t>.</w:t>
            </w:r>
          </w:p>
        </w:tc>
        <w:tc>
          <w:tcPr>
            <w:tcW w:w="4876" w:type="dxa"/>
            <w:hideMark/>
          </w:tcPr>
          <w:p w:rsidR="00D16657" w:rsidRPr="00872462" w:rsidRDefault="00D16657" w:rsidP="00610A50">
            <w:pPr>
              <w:pStyle w:val="Normal6"/>
              <w:rPr>
                <w:szCs w:val="24"/>
              </w:rPr>
            </w:pPr>
            <w:r w:rsidRPr="00872462">
              <w:t xml:space="preserve">14. Nämnden ska </w:t>
            </w:r>
            <w:r w:rsidRPr="00872462">
              <w:rPr>
                <w:b/>
                <w:i/>
              </w:rPr>
              <w:t>på sin webbplats årligen offentliggöra resolutionsplanerna för institut inom dess ansvarsområde</w:t>
            </w:r>
            <w:r w:rsidRPr="00872462">
              <w:t>.</w:t>
            </w:r>
            <w:r w:rsidRPr="00872462">
              <w:rPr>
                <w:b/>
                <w:i/>
              </w:rPr>
              <w:t xml:space="preserve"> Kommersiellt känsliga uppgifter eller uppgifter som skyddas av lagstadgade bestämmelser om konfidentialitet ska vara undantagna.</w:t>
            </w:r>
          </w:p>
        </w:tc>
      </w:tr>
      <w:tr w:rsidR="00872462" w:rsidRPr="00872462" w:rsidTr="00610A50">
        <w:trPr>
          <w:jc w:val="center"/>
        </w:trPr>
        <w:tc>
          <w:tcPr>
            <w:tcW w:w="4876" w:type="dxa"/>
            <w:hideMark/>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(https://eur-lex.europa.eu/legal-content/SV/TXT/?uri=celex%3A32014R0806)</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5 – led -aa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10 – punkt 4 – stycke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(-aa)</w:t>
            </w:r>
            <w:r w:rsidRPr="00872462">
              <w:rPr>
                <w:b/>
                <w:i/>
              </w:rPr>
              <w:tab/>
              <w:t>I punkt 4 ska första stycket ersättas med följande:</w:t>
            </w:r>
          </w:p>
        </w:tc>
      </w:tr>
      <w:tr w:rsidR="00872462" w:rsidRPr="00872462" w:rsidTr="00610A50">
        <w:trPr>
          <w:jc w:val="center"/>
        </w:trPr>
        <w:tc>
          <w:tcPr>
            <w:tcW w:w="4876" w:type="dxa"/>
            <w:hideMark/>
          </w:tcPr>
          <w:p w:rsidR="00D16657" w:rsidRPr="00872462" w:rsidRDefault="00D16657" w:rsidP="00610A50">
            <w:pPr>
              <w:pStyle w:val="Normal6"/>
            </w:pPr>
            <w:r w:rsidRPr="00872462">
              <w:t>En koncern ska anses vara möjlig att försättas i resolution om det är rimligt och trovärdigt att nämnden antingen kan likvidera koncernenheter enligt normala insolvensförfaranden eller försätta koncernenheter i resolution med tillämpning av resolutionsverktygen och utövande av resolutionsbefogenheterna i förhållande till koncernenheterna samtidigt som väsentliga negativa konsekvenser för de finansiella systemen i största</w:t>
            </w:r>
            <w:r w:rsidR="00E32386">
              <w:t xml:space="preserve"> </w:t>
            </w:r>
            <w:r w:rsidRPr="00872462">
              <w:t>möjliga mån undviks, inklusive mer omfattande instabila finansiella förhållanden eller systemomfattande händelser, i de medlemsstater i vilka koncernenheter är etablerade, eller i andra medlemsstater eller i unionen och för att säkerställa att koncernenheternas kritiska funktioner kan upprätthållas när de utan svårigheter kan avskiljas vid lämplig tidpunkt eller på annat sätt.</w:t>
            </w:r>
          </w:p>
        </w:tc>
        <w:tc>
          <w:tcPr>
            <w:tcW w:w="4876" w:type="dxa"/>
            <w:hideMark/>
          </w:tcPr>
          <w:p w:rsidR="00D16657" w:rsidRPr="00872462" w:rsidRDefault="00D16657" w:rsidP="00610A50">
            <w:pPr>
              <w:pStyle w:val="Normal6"/>
              <w:rPr>
                <w:szCs w:val="24"/>
              </w:rPr>
            </w:pPr>
            <w:r w:rsidRPr="00872462">
              <w:rPr>
                <w:b/>
                <w:bCs/>
                <w:i/>
                <w:iCs/>
              </w:rPr>
              <w:t>”</w:t>
            </w:r>
            <w:r w:rsidRPr="00872462">
              <w:t>En koncern ska anses vara möjlig att försättas i resolution om det är rimligt och trovärdigt att nämnden antingen kan likvidera koncernenheter enligt normala insolvensförfaranden eller försätta koncernenheter i resolution med tillämpning av resolutionsverktygen och utövande av resolutionsbefogenheterna i förhållande till koncernenheterna samtidigt som väsentliga negativa konsekvenser för de finansiella systemen i största</w:t>
            </w:r>
            <w:r w:rsidR="00E32386">
              <w:t xml:space="preserve"> </w:t>
            </w:r>
            <w:r w:rsidRPr="00872462">
              <w:t xml:space="preserve">möjliga mån undviks, inklusive mer omfattande instabila finansiella förhållanden eller systemomfattande händelser, i de medlemsstater i vilka koncernenheter är etablerade, eller i andra medlemsstater eller i unionen och för att säkerställa att koncernenheternas kritiska funktioner kan upprätthållas när de utan svårigheter kan avskiljas vid lämplig tidpunkt eller på annat sätt. </w:t>
            </w:r>
            <w:r w:rsidRPr="00872462">
              <w:rPr>
                <w:b/>
                <w:i/>
              </w:rPr>
              <w:t>För att utföra bedömningen enligt detta stycke ska nämnden ställa krav till en central enhet och kreditinstitut som är permanent knutna till den centrala enheten.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(https://eur-lex.europa.eu/legal-content/SV/TXT/?uri=CELEX%3A02014R0806-20220812)</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5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10 – punkt 10</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r w:rsidRPr="00872462">
              <w:t xml:space="preserve">(c) Punkt 10 ska </w:t>
            </w:r>
            <w:r w:rsidRPr="00872462">
              <w:rPr>
                <w:b/>
                <w:i/>
              </w:rPr>
              <w:t>ändras på följande sätt</w:t>
            </w:r>
            <w:r w:rsidRPr="00872462">
              <w:t>:</w:t>
            </w:r>
          </w:p>
        </w:tc>
        <w:tc>
          <w:tcPr>
            <w:tcW w:w="4876" w:type="dxa"/>
            <w:hideMark/>
          </w:tcPr>
          <w:p w:rsidR="00D16657" w:rsidRPr="00872462" w:rsidRDefault="00D16657" w:rsidP="00610A50">
            <w:pPr>
              <w:pStyle w:val="Normal6"/>
              <w:rPr>
                <w:szCs w:val="24"/>
              </w:rPr>
            </w:pPr>
            <w:r w:rsidRPr="00872462">
              <w:t xml:space="preserve">(c) Punkt 10 ska </w:t>
            </w:r>
            <w:r w:rsidRPr="00872462">
              <w:rPr>
                <w:b/>
                <w:i/>
              </w:rPr>
              <w:t>ersättas med följande</w:t>
            </w:r>
            <w:r w:rsidRPr="00872462">
              <w:t>:</w:t>
            </w:r>
          </w:p>
        </w:tc>
      </w:tr>
      <w:tr w:rsidR="00872462" w:rsidRPr="00872462" w:rsidTr="00610A50">
        <w:trPr>
          <w:jc w:val="center"/>
        </w:trPr>
        <w:tc>
          <w:tcPr>
            <w:tcW w:w="4876" w:type="dxa"/>
          </w:tcPr>
          <w:p w:rsidR="00D16657" w:rsidRPr="00872462" w:rsidRDefault="00D16657" w:rsidP="00610A50">
            <w:pPr>
              <w:pStyle w:val="Normal6"/>
              <w:rPr>
                <w:b/>
                <w:i/>
              </w:rPr>
            </w:pPr>
            <w:r w:rsidRPr="00872462">
              <w:rPr>
                <w:b/>
                <w:i/>
                <w:sz w:val="23"/>
              </w:rPr>
              <w:t>i) I andra stycket ska ”institutet” ersättas med ”berörd enhet”.</w:t>
            </w:r>
          </w:p>
        </w:tc>
        <w:tc>
          <w:tcPr>
            <w:tcW w:w="4876" w:type="dxa"/>
            <w:hideMark/>
          </w:tcPr>
          <w:p w:rsidR="00D16657" w:rsidRPr="00872462" w:rsidRDefault="00D16657" w:rsidP="00610A50">
            <w:pPr>
              <w:pStyle w:val="Normal6"/>
              <w:rPr>
                <w:b/>
                <w:i/>
                <w:szCs w:val="24"/>
              </w:rPr>
            </w:pPr>
            <w:r w:rsidRPr="00872462">
              <w:rPr>
                <w:b/>
                <w:i/>
              </w:rPr>
              <w:t>”10. Nämnden ska, efter samråd med de behöriga myndigheterna, bedöma huruvida de åtgärder som avses i punkt 9 effektivt minskar eller avlägsnar de väsentliga hindren i fråga. Om de åtgärder som enheten eller moderföretaget föreslår inte effektivt minskar eller avlägsnar resolutionshindren, ska nämnden fatta beslut efter samråd med de behöriga myndigheterna, i förekommande fall även den utsedda makrotillsynsmyndigheten, och ange att de föreslagna åtgärderna inte effektivt minskar eller avlägsnar resolutionshindren samt ge de nationella resolutionsmyndigheterna i uppdrag att kräva att institutet, moderföretaget eller ett dotterföretag i koncernen vidtar någon av åtgärderna som förtecknas i punkt 11.</w:t>
            </w:r>
          </w:p>
        </w:tc>
      </w:tr>
      <w:tr w:rsidR="00872462" w:rsidRPr="00872462" w:rsidTr="00610A50">
        <w:trPr>
          <w:jc w:val="center"/>
        </w:trPr>
        <w:tc>
          <w:tcPr>
            <w:tcW w:w="4876" w:type="dxa"/>
          </w:tcPr>
          <w:p w:rsidR="00D16657" w:rsidRPr="00872462" w:rsidRDefault="00D16657" w:rsidP="00610A50">
            <w:pPr>
              <w:pStyle w:val="Normal6"/>
            </w:pPr>
            <w:r w:rsidRPr="00872462">
              <w:rPr>
                <w:b/>
                <w:i/>
                <w:sz w:val="23"/>
              </w:rPr>
              <w:t>ii) I tredje stycket ska ”institutet” ersättas med ”enheten”.</w:t>
            </w:r>
          </w:p>
        </w:tc>
        <w:tc>
          <w:tcPr>
            <w:tcW w:w="4876" w:type="dxa"/>
            <w:hideMark/>
          </w:tcPr>
          <w:p w:rsidR="00D16657" w:rsidRPr="00872462" w:rsidRDefault="00D16657" w:rsidP="00610A50">
            <w:pPr>
              <w:pStyle w:val="Normal6"/>
              <w:rPr>
                <w:b/>
                <w:i/>
                <w:szCs w:val="24"/>
              </w:rPr>
            </w:pPr>
            <w:r w:rsidRPr="00872462">
              <w:rPr>
                <w:b/>
                <w:i/>
              </w:rPr>
              <w:t>Nämnden ska beakta det hot som de hindren för möjligheten till resolution innebär för den finansiella stabiliteten samt den inverkan åtgärderna har på institutets verksamhet, dess stabilitet och dess förmåga att bidra till ekonomin, på den inre marknaden för finansiella tjänster, på den finansiella stabiliteten i andra medlemsstater och i unionen som helhet.</w:t>
            </w:r>
          </w:p>
        </w:tc>
      </w:tr>
      <w:tr w:rsidR="00872462" w:rsidRPr="00872462" w:rsidTr="00610A50">
        <w:trPr>
          <w:jc w:val="center"/>
        </w:trPr>
        <w:tc>
          <w:tcPr>
            <w:tcW w:w="4876" w:type="dxa"/>
          </w:tcPr>
          <w:p w:rsidR="00D16657" w:rsidRPr="00872462" w:rsidRDefault="00D16657" w:rsidP="00610A50">
            <w:pPr>
              <w:pStyle w:val="Default"/>
              <w:rPr>
                <w:b/>
                <w:i/>
                <w:color w:val="auto"/>
                <w:sz w:val="23"/>
                <w:szCs w:val="23"/>
              </w:rPr>
            </w:pPr>
            <w:r w:rsidRPr="00872462">
              <w:rPr>
                <w:b/>
                <w:i/>
                <w:color w:val="auto"/>
                <w:sz w:val="23"/>
              </w:rPr>
              <w:t xml:space="preserve">iii) Följande stycke ska läggas till: </w:t>
            </w:r>
          </w:p>
          <w:p w:rsidR="00D16657" w:rsidRPr="00872462" w:rsidRDefault="00D16657" w:rsidP="00610A50">
            <w:pPr>
              <w:pStyle w:val="Normal6"/>
            </w:pPr>
            <w:r w:rsidRPr="00872462">
              <w:rPr>
                <w:b/>
                <w:i/>
                <w:sz w:val="23"/>
              </w:rPr>
              <w:t>”Om de åtgärder som föreslagits av</w:t>
            </w:r>
            <w:r w:rsidRPr="00872462">
              <w:rPr>
                <w:sz w:val="23"/>
              </w:rPr>
              <w:t xml:space="preserve"> den berörda enheten </w:t>
            </w:r>
            <w:r w:rsidRPr="00872462">
              <w:rPr>
                <w:b/>
                <w:i/>
                <w:sz w:val="23"/>
              </w:rPr>
              <w:t>effektivt minskar eller undanröjer</w:t>
            </w:r>
            <w:r w:rsidRPr="00872462">
              <w:rPr>
                <w:sz w:val="23"/>
              </w:rPr>
              <w:t xml:space="preserve"> hindren för möjligheten till resolution</w:t>
            </w:r>
            <w:r w:rsidRPr="00872462">
              <w:rPr>
                <w:b/>
                <w:i/>
                <w:sz w:val="23"/>
              </w:rPr>
              <w:t>, ska nämnden fatta ett beslut efter samråd med ECB eller den relevanta nationella behöriga myndigheten och, i förekommande fall, den utsedda makrotillsynsmyndigheten</w:t>
            </w:r>
            <w:r w:rsidRPr="00872462">
              <w:rPr>
                <w:sz w:val="23"/>
              </w:rPr>
              <w:t>.</w:t>
            </w:r>
            <w:r w:rsidRPr="00872462">
              <w:rPr>
                <w:b/>
                <w:i/>
                <w:sz w:val="23"/>
              </w:rPr>
              <w:t xml:space="preserve"> Det beslutet ska ange att de föreslagna åtgärderna effektivt minskar eller avlägsnar hindren för möjligheten till resolution och ska ålägga de nationella resolutionsmyndigheterna att kräva att institutet, moderföretaget eller ett dotterföretag i den berörda koncernen genomför de föreslagna åtgärderna.”</w:t>
            </w:r>
          </w:p>
        </w:tc>
        <w:tc>
          <w:tcPr>
            <w:tcW w:w="4876" w:type="dxa"/>
            <w:hideMark/>
          </w:tcPr>
          <w:p w:rsidR="00D16657" w:rsidRPr="00872462" w:rsidRDefault="00D16657" w:rsidP="00610A50">
            <w:pPr>
              <w:pStyle w:val="Normal6"/>
              <w:rPr>
                <w:b/>
                <w:szCs w:val="24"/>
              </w:rPr>
            </w:pPr>
            <w:r w:rsidRPr="00872462">
              <w:t xml:space="preserve">Den berörda enheten </w:t>
            </w:r>
            <w:r w:rsidRPr="00872462">
              <w:rPr>
                <w:b/>
                <w:i/>
              </w:rPr>
              <w:t>ska ha rätt att visa på vilket sätt de av institutet föreslagna åtgärderna skulle kunna undanröja</w:t>
            </w:r>
            <w:r w:rsidRPr="00872462">
              <w:t xml:space="preserve"> hindren för möjligheten till resolution </w:t>
            </w:r>
            <w:r w:rsidRPr="00872462">
              <w:rPr>
                <w:b/>
                <w:i/>
              </w:rPr>
              <w:t>och hur de alternativa åtgärder som föreslagits av nämnden är onödigt betungande för att undanröja hindren</w:t>
            </w:r>
            <w:r w:rsidRPr="00872462">
              <w: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(https://eur-lex.europa.eu/legal-content/SV/TXT/?uri=CELEX%3A02014R0806-20220812)</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6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10a – punkt 1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 xml:space="preserve">Om en enhet befinner sig i ett läge där den uppfyller det kombinerade buffertkravet, när det betraktas utöver vart och ett av de krav som avses i artikel 141a.1 a, b och c i direktiv 2013/36/EU, men inte uppfyller det kombinerade buffertkravet när det betraktas utöver vart och ett av de krav som avses i artiklarna 12d och 12e i denna förordning beräknat i enlighet med artikel 12a.2 a i denna förordning, ska nämnden, i enlighet med punkterna 2 och 3 i den här artikeln, </w:t>
            </w:r>
            <w:r w:rsidRPr="00872462">
              <w:rPr>
                <w:b/>
                <w:i/>
              </w:rPr>
              <w:t>ha befogenhet att instruera den nationella resolutionsmyndigheten att</w:t>
            </w:r>
            <w:r w:rsidRPr="00872462">
              <w:t xml:space="preserve"> förbjuda den enheten att dela ut mer än det högsta utdelningsbara beloppet med avseende på minimikravet för kapitalbas och kvalificerade skulder (det högsta utdelningsbara beloppet), beräknat i enlighet med punkt 4 i denna artikel genom någon av följande åtgärder:</w:t>
            </w:r>
          </w:p>
        </w:tc>
        <w:tc>
          <w:tcPr>
            <w:tcW w:w="4876" w:type="dxa"/>
            <w:hideMark/>
          </w:tcPr>
          <w:p w:rsidR="00D16657" w:rsidRPr="00872462" w:rsidRDefault="00D16657" w:rsidP="00610A50">
            <w:pPr>
              <w:pStyle w:val="Normal6"/>
              <w:rPr>
                <w:szCs w:val="24"/>
              </w:rPr>
            </w:pPr>
            <w:r w:rsidRPr="00872462">
              <w:t>1.</w:t>
            </w:r>
            <w:r w:rsidRPr="00872462">
              <w:tab/>
              <w:t xml:space="preserve">Om en enhet befinner sig i ett läge där den uppfyller det kombinerade buffertkravet, när det betraktas utöver vart och ett av de krav som avses i artikel 141a.1 a, b och c i direktiv 2013/36/EU, men </w:t>
            </w:r>
            <w:r w:rsidRPr="00872462">
              <w:rPr>
                <w:b/>
                <w:i/>
              </w:rPr>
              <w:t>den</w:t>
            </w:r>
            <w:r w:rsidRPr="00872462">
              <w:t xml:space="preserve"> inte uppfyller det kombinerade buffertkravet när det betraktas utöver vart och ett av de krav som avses i artiklarna 12d och 12e i denna förordning</w:t>
            </w:r>
            <w:r w:rsidRPr="00872462">
              <w:rPr>
                <w:b/>
                <w:i/>
              </w:rPr>
              <w:t>,</w:t>
            </w:r>
            <w:r w:rsidRPr="00872462">
              <w:t xml:space="preserve"> beräknat i enlighet med artikel 12a.2 a i denna förordning, </w:t>
            </w:r>
            <w:r w:rsidRPr="00872462">
              <w:rPr>
                <w:b/>
                <w:i/>
              </w:rPr>
              <w:t xml:space="preserve">eller om en enhet befinner sig i en situation där den bryter mot de krav som avses i artiklarna 12d och 12e i denna förordning, beräknat i enlighet med artikel 12a.2 b, </w:t>
            </w:r>
            <w:r w:rsidRPr="00872462">
              <w:t>ska nämnden, i enlighet med punkterna 2 och 3 i den här artikeln, förbjuda den enheten att dela ut mer än det högsta utdelningsbara beloppet med avseende på minimikravet för kapitalbas och kvalificerade skulder (det högsta utdelningsbara beloppet), beräknat i enlighet med punkt 4 i denna artikel genom någon av följande åtgärder: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6a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 – punkt 4a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(6a)</w:t>
            </w:r>
            <w:r w:rsidRPr="00872462">
              <w:rPr>
                <w:b/>
                <w:i/>
              </w:rPr>
              <w:tab/>
              <w:t>I artikel 12 ska följande punkt införas: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4a. Beräkningen av det minimikrav som avses i punkt 4 i den här artikeln och artikel 45.1 i direktiv 2014/59/EU ska, när det gäller institut som sysslar med subventionerade lån, utesluta ett mellanvarande instituts skulder till den utvecklingsbank som är upphov till det subventionerade lånet eller en annan utvecklingsbank eller ett annat mellanvarande institut och skulder som den utvecklingsbank som är upphov till det subventionerade lånet har till sina finansierande parter i den utsträckning som beloppet av dessa skulder motsvaras av det institutets subventionerade lån.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(Se ordalydelsen i artikel 5.1 f i förordning (EU) nr 2015/63.)</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139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8a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12a – punkt 1a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(8a)</w:t>
            </w:r>
            <w:r w:rsidRPr="00872462">
              <w:rPr>
                <w:b/>
                <w:i/>
              </w:rPr>
              <w:tab/>
              <w:t>I artikel 12a ska följande punkt införas: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1a. Inom en resolutionsgrupp ska dotterföretag som är institut eller enheter som avses i artikel 2.1 men som inte är resolutionsenheter, vars totala tillgångar inte överstiger 5 miljarder euro och som inte når upp till ett tröskelvärde på 2 % av resolutionsgruppens totala riskavvägda exponeringsbelopp, eller exponeringsmått för bruttosoliditetsgraden, inte omfattas av det krav som avses i punkt 1 i den här artikeln.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En väsentlighetströskel för övervägande av beslut om interna minimikrav för kapitalbas och kvalificerade skulder för dotterföretag inom resolutionsgrupper bör införas i texten på nivå 1, som kommer att tjäna som underlag för resolutionsmyndigheternas policy för minimikrav för kapitalbas och kvalificerade skulder. Det nuvarande tröskelvärdet för minimikrav för kapitalbas och kvalificerade skulder bör användas för att kalibrera detta golv i texten på nivå 1.</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8b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(8b)</w:t>
            </w:r>
            <w:r w:rsidRPr="00872462">
              <w:rPr>
                <w:b/>
                <w:i/>
              </w:rPr>
              <w:tab/>
              <w:t>Artikel 12b ska ersättas med följande:</w:t>
            </w:r>
          </w:p>
        </w:tc>
      </w:tr>
      <w:tr w:rsidR="00872462" w:rsidRPr="00872462" w:rsidTr="00610A50">
        <w:trPr>
          <w:jc w:val="center"/>
        </w:trPr>
        <w:tc>
          <w:tcPr>
            <w:tcW w:w="4876" w:type="dxa"/>
          </w:tcPr>
          <w:p w:rsidR="00D16657" w:rsidRPr="00872462" w:rsidRDefault="00D16657" w:rsidP="00610A50">
            <w:pPr>
              <w:pStyle w:val="Normal6"/>
            </w:pPr>
            <w:r w:rsidRPr="00872462">
              <w:t>Artikel 12b</w:t>
            </w:r>
          </w:p>
        </w:tc>
        <w:tc>
          <w:tcPr>
            <w:tcW w:w="4876" w:type="dxa"/>
          </w:tcPr>
          <w:p w:rsidR="00D16657" w:rsidRPr="00872462" w:rsidRDefault="00D16657" w:rsidP="00610A50">
            <w:pPr>
              <w:pStyle w:val="Normal6"/>
            </w:pPr>
            <w:r w:rsidRPr="00872462">
              <w:t>Artikel 12b</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Undantag från minimikravet för kapitalbas och kvalificerade skulder </w:t>
            </w:r>
          </w:p>
        </w:tc>
        <w:tc>
          <w:tcPr>
            <w:tcW w:w="4876" w:type="dxa"/>
            <w:hideMark/>
          </w:tcPr>
          <w:p w:rsidR="00D16657" w:rsidRPr="00872462" w:rsidRDefault="00D16657" w:rsidP="00610A50">
            <w:pPr>
              <w:pStyle w:val="Normal6"/>
              <w:rPr>
                <w:szCs w:val="24"/>
              </w:rPr>
            </w:pPr>
            <w:r w:rsidRPr="00872462">
              <w:t>Undantag från minimikravet för kapitalbas och kvalificerade skulder</w:t>
            </w:r>
          </w:p>
        </w:tc>
      </w:tr>
      <w:tr w:rsidR="00872462" w:rsidRPr="00872462" w:rsidTr="00610A50">
        <w:trPr>
          <w:jc w:val="center"/>
        </w:trPr>
        <w:tc>
          <w:tcPr>
            <w:tcW w:w="4876" w:type="dxa"/>
          </w:tcPr>
          <w:p w:rsidR="00D16657" w:rsidRPr="00872462" w:rsidRDefault="00D16657" w:rsidP="00610A50">
            <w:pPr>
              <w:pStyle w:val="Normal6"/>
            </w:pPr>
            <w:r w:rsidRPr="00872462">
              <w:rPr>
                <w:b/>
                <w:i/>
              </w:rPr>
              <w:t>1.</w:t>
            </w:r>
            <w:r w:rsidRPr="00872462">
              <w:t xml:space="preserve"> Trots vad som sägs i artikel 12a ska nämnden </w:t>
            </w:r>
            <w:r w:rsidRPr="00872462">
              <w:rPr>
                <w:b/>
                <w:i/>
              </w:rPr>
              <w:t>från kravet enligt artikel 12a.1</w:t>
            </w:r>
            <w:r w:rsidRPr="00872462">
              <w:t xml:space="preserve"> undanta hypoteklåneinstitut som finansieras genom säkerställda obligationer och som inte får ta emot insättningar enligt nationell rätt</w:t>
            </w:r>
            <w:r w:rsidRPr="00872462">
              <w:rPr>
                <w:b/>
                <w:i/>
              </w:rPr>
              <w:t>, under förutsättning att samtliga följande villkor är uppfyllda: a) Instituten kommer att avvecklas genom nationella insolvensförfaranden eller andra typer av förfaranden som fastställts för dessa institut och som genomförs i enlighet med artikel 38, 40 eller 42 i direktiv 2014/59/EU. De förfaranden som avses i led a säkerställer att borgenärer till dessa institut, inbegripet i tillämpliga fall innehavare av säkerställda obligationer, bär förluster på ett sätt som gör att resolutionsmålen uppnås. 2. De institut som undantas</w:t>
            </w:r>
            <w:r w:rsidRPr="00872462">
              <w:t xml:space="preserve"> från kravet enligt artikel </w:t>
            </w:r>
            <w:r w:rsidRPr="00872462">
              <w:rPr>
                <w:b/>
                <w:i/>
              </w:rPr>
              <w:t>12.1 ska inte ingå i den konsolidering som avses i artikel 12f.1</w:t>
            </w:r>
            <w:r w:rsidRPr="00872462">
              <w:t>.</w:t>
            </w:r>
          </w:p>
        </w:tc>
        <w:tc>
          <w:tcPr>
            <w:tcW w:w="4876" w:type="dxa"/>
            <w:hideMark/>
          </w:tcPr>
          <w:p w:rsidR="00D16657" w:rsidRPr="00872462" w:rsidRDefault="00D16657" w:rsidP="00610A50">
            <w:pPr>
              <w:pStyle w:val="Normal6"/>
              <w:rPr>
                <w:szCs w:val="24"/>
              </w:rPr>
            </w:pPr>
            <w:r w:rsidRPr="00872462">
              <w:t xml:space="preserve">Trots vad som sägs i artikel 12a ska nämnden undanta hypoteklåneinstitut som finansieras genom säkerställda obligationer och som inte får ta emot insättningar enligt nationell rätt från kravet enligt artikel </w:t>
            </w:r>
            <w:r w:rsidRPr="00872462">
              <w:rPr>
                <w:b/>
                <w:i/>
              </w:rPr>
              <w:t>12a.1</w:t>
            </w:r>
            <w:r w:rsidRPr="00872462">
              <w:t>.</w:t>
            </w:r>
          </w:p>
        </w:tc>
      </w:tr>
      <w:tr w:rsidR="00872462" w:rsidRPr="00872462" w:rsidTr="00610A50">
        <w:trPr>
          <w:jc w:val="center"/>
        </w:trPr>
        <w:tc>
          <w:tcPr>
            <w:tcW w:w="4876" w:type="dxa"/>
          </w:tcPr>
          <w:p w:rsidR="00D16657" w:rsidRPr="00872462" w:rsidRDefault="00D16657" w:rsidP="00610A50">
            <w:pPr>
              <w:pStyle w:val="Normal6"/>
              <w:rPr>
                <w:b/>
                <w:i/>
              </w:rPr>
            </w:pPr>
            <w:r w:rsidRPr="00872462">
              <w:rPr>
                <w:b/>
                <w:i/>
              </w:rPr>
              <w:t>2. De institut som undantas från kravet enligt artikel 12.1 ska inte ingå i den konsolidering som avses i artikel 12f.1.</w:t>
            </w:r>
          </w:p>
        </w:tc>
        <w:tc>
          <w:tcPr>
            <w:tcW w:w="4876" w:type="dxa"/>
            <w:hideMark/>
          </w:tcPr>
          <w:p w:rsidR="00D16657" w:rsidRPr="00872462" w:rsidRDefault="00D16657" w:rsidP="00610A50">
            <w:pPr>
              <w:pStyle w:val="Normal6"/>
              <w:rPr>
                <w:szCs w:val="24"/>
              </w:rPr>
            </w:pP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(FÖRORDNING (EU) nr 806/2014)</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Article 45a(2) of BRRD currentlyprovides that credit institutions financed by covered bonds which are notallowed to receive deposits under national law are are exempted from MRELproviding that (i) they would be wound up under NIPs or transfer measures incase of failure and (ii) NIP (or equivalent) for these institutions ensure thatresolution objectives are met. In this case, these institutions shall not bepart of the consolidation referred to in Article 45e(1).These provisions should beimproved in order to better take into account that such institutions arestructurally designed to mainly issue covered bonds, and not MREL eligibleliabilities. The specific guarantees of holders of covered bonds ensure theywould not bear losses in NIPs or in resolution (see Directive (EU) 2019/2162).Therefore, credit institutions financed by covered bonds which are not allowedto receive deposits under national law do not need an additionalloss-absorption capacity based on MREL and should be per se exempted of MREL.In addition, the exclusionof the consolidation perimeter has resulted in unforeseen consequences. In somecases, this exclusion leads to an unwarranted increase of the TREA used in thecalculation of group’s external MREL (and thus an increase in external MREL). Creditinstitutions financed by covered bonds which are not allowed to receivedeposits under national law are simply pass-through vehicles and theirdeconsolidation should not result in a increase of risks.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(10)</w:t>
            </w:r>
            <w:r w:rsidRPr="00872462">
              <w:tab/>
              <w:t xml:space="preserve">I </w:t>
            </w:r>
            <w:r w:rsidRPr="00872462">
              <w:rPr>
                <w:b/>
                <w:i/>
              </w:rPr>
              <w:t>artikel 12d.3</w:t>
            </w:r>
            <w:r w:rsidRPr="00872462">
              <w:t xml:space="preserve"> åttonde stycket och i </w:t>
            </w:r>
            <w:r w:rsidRPr="00872462">
              <w:rPr>
                <w:b/>
                <w:i/>
              </w:rPr>
              <w:t>12d.6</w:t>
            </w:r>
            <w:r w:rsidRPr="00872462">
              <w:t xml:space="preserve"> åttonde stycket ska ”kritiska ekonomiska funktioner” ersättas med ”kritiska funktioner”.</w:t>
            </w:r>
          </w:p>
        </w:tc>
        <w:tc>
          <w:tcPr>
            <w:tcW w:w="4876" w:type="dxa"/>
            <w:hideMark/>
          </w:tcPr>
          <w:p w:rsidR="00D16657" w:rsidRPr="00872462" w:rsidRDefault="00D16657" w:rsidP="00610A50">
            <w:pPr>
              <w:pStyle w:val="Normal6"/>
              <w:rPr>
                <w:szCs w:val="24"/>
              </w:rPr>
            </w:pPr>
            <w:r w:rsidRPr="00872462">
              <w:t>(10)</w:t>
            </w:r>
            <w:r w:rsidRPr="00872462">
              <w:tab/>
            </w:r>
            <w:r w:rsidRPr="00872462">
              <w:rPr>
                <w:b/>
                <w:i/>
              </w:rPr>
              <w:t>Artikel 12d ska ändras på följande sätt: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w:t>
            </w:r>
            <w:r w:rsidRPr="00872462">
              <w:t xml:space="preserve"> </w:t>
            </w:r>
            <w:r w:rsidRPr="00872462">
              <w:rPr>
                <w:b/>
                <w:i/>
              </w:rPr>
              <w:t>I punkt 3 ska femte och sjätte stycket ersättas med följande:</w:t>
            </w:r>
            <w:r w:rsidRPr="00872462">
              <w:t xml:space="preserve"> </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När nämnden fastställer de rekapitaliseringsbelopp som avses i de föregående styckena ska nämnden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använda de senast rapporterade värdena för det relevanta totala riskvägda exponeringsbeloppet eller det totala exponeringsmåttet, justerat för eventuella ändringar till följd av resolutionsåtgärder som anges i resolutionsplanen, inbegripet resolutionsgruppens reducerade storlek och riskprofil till följd av resolutionen, särskilt när den rekommenderade resolutionsstrategin inbegriper användning av resolutionsverktyg som avses i artikel 22.2 a, b eller c, samt för alla ändringar till följd av de återhämtningsalternativ som ingår i återhämtningsplanen och som förväntas genomföras vid tidpunkten för resolutionen eller kort därefter, och</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efter samråd med de behöriga myndigheterna, däribland ECB, justera det belopp som motsvarar det gällande krav som avses i artikel 104a i direktiv 2013/36/EU uppåt eller nedåt för att fastställa det krav som ska tillämpas på resolutionsenheten efter det att den föredragna resolutionsstrategin har genomförts, med beaktande av de ändringar som avses i led a i detta stycke,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 efter samråd med den behöriga myndigheten, inbegripet ECB, för resolutionsenheter som omfattas av kravet i artikel 131 i direktiv 2013/36/EU, justera det kombinerade buffertkrav som är tillämpligt på resolutionsgruppen, med beaktande av de ändringar som avses i led a i detta stycke.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Nämnden ska kunna höja det krav som anges i led a ii) i första stycket med ett lämpligt belopp som är nödvändigt för att säkerställa att enheten efter resolution kan bibehålla ett tillräckligt marknadsförtroende under en lämplig tidsperiod som inte ska överstiga ett år, utom i de fall då dess föredragna resolutionsstrategi i första hand omfattar användning av verktyget för försäljning av verksamhet eller broinstitutverktyget och dess utträde från marknaden.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Nämnden ska informera resolutionsenheten om motiveringen till de justeringar som nämns i led a, b och c i femte stycket.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 xml:space="preserve">(b) </w:t>
            </w:r>
            <w:r w:rsidRPr="00872462">
              <w:t xml:space="preserve">I </w:t>
            </w:r>
            <w:r w:rsidRPr="00872462">
              <w:rPr>
                <w:b/>
                <w:i/>
              </w:rPr>
              <w:t>punkt 3</w:t>
            </w:r>
            <w:r w:rsidRPr="00872462">
              <w:t xml:space="preserve"> åttonde stycket och i </w:t>
            </w:r>
            <w:r w:rsidRPr="00872462">
              <w:rPr>
                <w:b/>
                <w:i/>
              </w:rPr>
              <w:t>punkt 6</w:t>
            </w:r>
            <w:r w:rsidRPr="00872462">
              <w:t xml:space="preserve"> åttonde stycket ska ”kritiska ekonomiska funktioner” ersättas med ”kritiska funktioner”.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(11) Följande artikel ska införas som artikel 12da:</w:t>
            </w:r>
          </w:p>
        </w:tc>
        <w:tc>
          <w:tcPr>
            <w:tcW w:w="4876" w:type="dxa"/>
            <w:hideMark/>
          </w:tcPr>
          <w:p w:rsidR="00D16657" w:rsidRPr="00872462" w:rsidRDefault="00D16657" w:rsidP="00610A50">
            <w:pPr>
              <w:pStyle w:val="Normal6"/>
              <w:rPr>
                <w:szCs w:val="24"/>
              </w:rPr>
            </w:pPr>
            <w:r w:rsidRPr="00872462">
              <w:rPr>
                <w:b/>
                <w:i/>
              </w:rPr>
              <w:t>utgår</w:t>
            </w:r>
          </w:p>
        </w:tc>
      </w:tr>
      <w:tr w:rsidR="00872462" w:rsidRPr="00872462" w:rsidTr="00610A50">
        <w:trPr>
          <w:jc w:val="center"/>
        </w:trPr>
        <w:tc>
          <w:tcPr>
            <w:tcW w:w="4876" w:type="dxa"/>
          </w:tcPr>
          <w:p w:rsidR="00D16657" w:rsidRPr="00872462" w:rsidRDefault="00D16657" w:rsidP="00610A50">
            <w:pPr>
              <w:pStyle w:val="Normal6"/>
              <w:rPr>
                <w:b/>
                <w:i/>
              </w:rPr>
            </w:pPr>
            <w:r w:rsidRPr="00872462">
              <w:rPr>
                <w:b/>
                <w:i/>
              </w:rPr>
              <w:t>[…]</w:t>
            </w:r>
          </w:p>
        </w:tc>
        <w:tc>
          <w:tcPr>
            <w:tcW w:w="4876" w:type="dxa"/>
          </w:tcPr>
          <w:p w:rsidR="00D16657" w:rsidRPr="00872462" w:rsidRDefault="00D16657" w:rsidP="00610A50">
            <w:pPr>
              <w:pStyle w:val="Normal6"/>
              <w:rPr>
                <w:b/>
                <w:i/>
              </w:rPr>
            </w:pP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Första stycket syftar till att fastställa minimikrav för kapitalbas och kvalificerade skulder när en överföringsstrategi är att föredra framför resolution. Detta gäller vissa institut som kämpar för att emittera åtaganden avseende minimikrav för kapitalbas och kvalificerade skulder och bör förbli undantagna. Det räcker inte med lättnader. Det andra stycket gäller fall där insolvensförfaranden väljs som den strategi som föredras. I sådana fall bör inga ytterligare minimikrav för kapitalbas och kvalificerade skulder fortsätta att utfärdas regelbundet. En motsvarande tillämpning av punkt 1 är därför regleringsmässigt irrelevant.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När artikel 12d tillämpas på en resolutionsenhet vars föredragna resolutionsstrategi i första hand avser användning av verktyget försäljning av verksamhet eller broinstitutverktyget och dess utträde från marknaden, ska nämnden fastställa det rekapitaliseringsbelopp som föreskrivs i artikel 12d.3 på ett proportionellt sätt på grundval av följande kriterier, beroende på vad som är relevant:</w:t>
            </w:r>
          </w:p>
        </w:tc>
        <w:tc>
          <w:tcPr>
            <w:tcW w:w="4876" w:type="dxa"/>
            <w:hideMark/>
          </w:tcPr>
          <w:p w:rsidR="00D16657" w:rsidRPr="00872462" w:rsidRDefault="00D16657" w:rsidP="00610A50">
            <w:pPr>
              <w:pStyle w:val="Normal6"/>
              <w:rPr>
                <w:szCs w:val="24"/>
              </w:rPr>
            </w:pPr>
            <w:r w:rsidRPr="00872462">
              <w:t>1.</w:t>
            </w:r>
            <w:r w:rsidRPr="00872462">
              <w:tab/>
              <w:t xml:space="preserve">När artikel 12d tillämpas på en resolutionsenhet vars föredragna resolutionsstrategi i första hand avser användning av verktyget försäljning av verksamhet eller broinstitutverktyget och dess utträde från marknaden, ska nämnden fastställa det rekapitaliseringsbelopp som föreskrivs i artikel 12d.3 på ett proportionellt sätt </w:t>
            </w:r>
            <w:r w:rsidRPr="00872462">
              <w:rPr>
                <w:b/>
                <w:i/>
              </w:rPr>
              <w:t>som säkerställer att resolutionsgruppen kan försättas i resolution i alla möjliga scenarier utan behov av extern finansiering</w:t>
            </w:r>
            <w:r w:rsidRPr="00872462">
              <w:t xml:space="preserve"> på grundval av följande kriterier, beroende på vad som är relevant: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Ett starkt system för minimikrav för kapitalbas och kvalificerade skulder är nödvändigt för att säkerställa resolutionssystemets trovärdighet.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 xml:space="preserve">När artikel 12d tillämpas på en resolutionsenhet vars föredragna resolutionsstrategi </w:t>
            </w:r>
            <w:r w:rsidRPr="00872462">
              <w:rPr>
                <w:b/>
                <w:i/>
              </w:rPr>
              <w:t>i första hand</w:t>
            </w:r>
            <w:r w:rsidRPr="00872462">
              <w:t xml:space="preserve"> avser användning av verktyget försäljning av verksamhet eller broinstitutverktyget och dess utträde från marknaden, ska nämnden fastställa det rekapitaliseringsbelopp som föreskrivs i artikel 12d.3 på ett proportionellt sätt på grundval av följande kriterier, beroende på vad som är relevant:</w:t>
            </w:r>
          </w:p>
        </w:tc>
        <w:tc>
          <w:tcPr>
            <w:tcW w:w="4876" w:type="dxa"/>
            <w:hideMark/>
          </w:tcPr>
          <w:p w:rsidR="00D16657" w:rsidRPr="00872462" w:rsidRDefault="00D16657" w:rsidP="00610A50">
            <w:pPr>
              <w:pStyle w:val="Normal6"/>
              <w:rPr>
                <w:szCs w:val="24"/>
              </w:rPr>
            </w:pPr>
            <w:r w:rsidRPr="00872462">
              <w:t>1.</w:t>
            </w:r>
            <w:r w:rsidRPr="00872462">
              <w:tab/>
              <w:t xml:space="preserve">När artikel 12d tillämpas på en resolutionsenhet vars föredragna resolutionsstrategi </w:t>
            </w:r>
            <w:r w:rsidRPr="00872462">
              <w:rPr>
                <w:b/>
                <w:i/>
              </w:rPr>
              <w:t>endast</w:t>
            </w:r>
            <w:r w:rsidRPr="00872462">
              <w:t xml:space="preserve"> avser användning av verktyget försäljning av verksamhet eller broinstitutverktyget och dess utträde från marknaden, ska nämnden fastställa det rekapitaliseringsbelopp som föreskrivs i artikel 12d.3 på ett proportionellt sätt på grundval av följande kriterier, beroende på vad som är relevant: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 xml:space="preserve">Resolutionsenhetens storlek, affärsmodell, finansieringsmodell och riskprofil </w:t>
            </w:r>
            <w:r w:rsidRPr="00872462">
              <w:rPr>
                <w:b/>
                <w:i/>
              </w:rPr>
              <w:t>samt djupet på den marknad där resolutionsenheten är verksam</w:t>
            </w:r>
            <w:r w:rsidRPr="00872462">
              <w:t>.</w:t>
            </w:r>
          </w:p>
        </w:tc>
        <w:tc>
          <w:tcPr>
            <w:tcW w:w="4876" w:type="dxa"/>
            <w:hideMark/>
          </w:tcPr>
          <w:p w:rsidR="00D16657" w:rsidRPr="00872462" w:rsidRDefault="00D16657" w:rsidP="00610A50">
            <w:pPr>
              <w:pStyle w:val="Normal6"/>
              <w:rPr>
                <w:szCs w:val="24"/>
              </w:rPr>
            </w:pPr>
            <w:r w:rsidRPr="00872462">
              <w:t>(a)</w:t>
            </w:r>
            <w:r w:rsidRPr="00872462">
              <w:tab/>
              <w:t>Resolutionsenhetens storlek, affärsmodell, finansieringsmodell och riskprofil.</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Ett starkt system för minimikrav för kapitalbas och kvalificerade skulder är nödvändigt för att säkerställa resolutionssystemets trovärdighet.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 xml:space="preserve">Resolutionsenhetens storlek, affärsmodell, finansieringsmodell och riskprofil </w:t>
            </w:r>
            <w:r w:rsidRPr="00872462">
              <w:rPr>
                <w:b/>
                <w:i/>
              </w:rPr>
              <w:t>samt djupet på den marknad där resolutionsenheten är verksam</w:t>
            </w:r>
            <w:r w:rsidRPr="00872462">
              <w:t>.</w:t>
            </w:r>
          </w:p>
        </w:tc>
        <w:tc>
          <w:tcPr>
            <w:tcW w:w="4876" w:type="dxa"/>
            <w:hideMark/>
          </w:tcPr>
          <w:p w:rsidR="00D16657" w:rsidRPr="00872462" w:rsidRDefault="00D16657" w:rsidP="00610A50">
            <w:pPr>
              <w:pStyle w:val="Normal6"/>
              <w:rPr>
                <w:szCs w:val="24"/>
              </w:rPr>
            </w:pPr>
            <w:r w:rsidRPr="00872462">
              <w:t>(a)</w:t>
            </w:r>
            <w:r w:rsidRPr="00872462">
              <w:tab/>
              <w:t>Resolutionsenhetens storlek, affärsmodell, finansieringsmodell och riskprofil.</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Covers all ams to article 12da : Currently, the depth of themarket criteria only applies to the setting of MREL subordinated requirementsin accordance with Article 12d(8). As the entities that are subject to Article 12da may not always be subject to MREL subordintated requirements, the inclusion ofthis criteria in Article 12da is at odds with the current MREL framework. MRELoverall requirements should remain based on intrinsic features of banks, regardless of the type of tools envisaged in the preferred resolution strategy.MREL requirements should notbe met with non-covered non-preferred deposits, or other bail-inableliabilities when there is a significant likelihood that such deposits andliabilities would be discretionary excluded under Article 27(5) in a resolutionscenario. This specific risk could be reduced in resolution planning by takinginto account MREL-eligible liabilities pursuant to Article 27(5), when settingthe level of MREL. This would not replace but act as a complement to anydeduction from the MREL capacity of these liabilities pursuant to Article 12d(8)BRRD.A distinction should be madebetween the sale of business tool and the bridge institution tool.</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 xml:space="preserve">Resolutionsenhetens storlek, affärsmodell, finansieringsmodell och riskprofil samt </w:t>
            </w:r>
            <w:r w:rsidRPr="00872462">
              <w:rPr>
                <w:b/>
                <w:i/>
              </w:rPr>
              <w:t>djupet på den marknad där resolutionsenheten är verksam</w:t>
            </w:r>
            <w:r w:rsidRPr="00872462">
              <w:t>.</w:t>
            </w:r>
          </w:p>
        </w:tc>
        <w:tc>
          <w:tcPr>
            <w:tcW w:w="4876" w:type="dxa"/>
            <w:hideMark/>
          </w:tcPr>
          <w:p w:rsidR="00D16657" w:rsidRPr="00872462" w:rsidRDefault="00D16657" w:rsidP="00610A50">
            <w:pPr>
              <w:pStyle w:val="Normal6"/>
              <w:rPr>
                <w:szCs w:val="24"/>
              </w:rPr>
            </w:pPr>
            <w:r w:rsidRPr="00872462">
              <w:t>(a)</w:t>
            </w:r>
            <w:r w:rsidRPr="00872462">
              <w:tab/>
              <w:t xml:space="preserve">Resolutionsenhetens storlek, affärsmodell, finansieringsmodell och riskprofil samt </w:t>
            </w:r>
            <w:r w:rsidRPr="00872462">
              <w:rPr>
                <w:b/>
                <w:i/>
              </w:rPr>
              <w:t>förmågan att få tillträde till kapitalmarknaderna för kvalificerade skulder</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 xml:space="preserve">Resolutionsenhetens storlek, affärsmodell, finansieringsmodell och riskprofil samt </w:t>
            </w:r>
            <w:r w:rsidRPr="00872462">
              <w:rPr>
                <w:b/>
                <w:i/>
              </w:rPr>
              <w:t>djupet på den marknad där resolutionsenheten är verksam</w:t>
            </w:r>
            <w:r w:rsidRPr="00872462">
              <w:t>.</w:t>
            </w:r>
          </w:p>
        </w:tc>
        <w:tc>
          <w:tcPr>
            <w:tcW w:w="4876" w:type="dxa"/>
            <w:hideMark/>
          </w:tcPr>
          <w:p w:rsidR="00D16657" w:rsidRPr="00872462" w:rsidRDefault="00D16657" w:rsidP="00610A50">
            <w:pPr>
              <w:pStyle w:val="Normal6"/>
              <w:rPr>
                <w:szCs w:val="24"/>
              </w:rPr>
            </w:pPr>
            <w:r w:rsidRPr="00872462">
              <w:t>(a)</w:t>
            </w:r>
            <w:r w:rsidRPr="00872462">
              <w:tab/>
              <w:t xml:space="preserve">Resolutionsenhetens storlek, affärsmodell, finansieringsmodell och riskprofil samt </w:t>
            </w:r>
            <w:r w:rsidRPr="00872462">
              <w:rPr>
                <w:b/>
                <w:i/>
              </w:rPr>
              <w:t>förmågan att få tillträde till kapitalmarknaderna för kvalificerade skulder</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149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b – led ii</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ii)</w:t>
            </w:r>
            <w:r w:rsidRPr="00872462">
              <w:tab/>
              <w:t>Skulder som är undantagna från skuldnedskrivning i enlighet med artikel 27.3.</w:t>
            </w:r>
          </w:p>
        </w:tc>
        <w:tc>
          <w:tcPr>
            <w:tcW w:w="4876" w:type="dxa"/>
            <w:hideMark/>
          </w:tcPr>
          <w:p w:rsidR="00D16657" w:rsidRPr="00872462" w:rsidRDefault="00D16657" w:rsidP="00610A50">
            <w:pPr>
              <w:pStyle w:val="Normal6"/>
              <w:rPr>
                <w:szCs w:val="24"/>
              </w:rPr>
            </w:pPr>
            <w:r w:rsidRPr="00872462">
              <w:t>ii)</w:t>
            </w:r>
            <w:r w:rsidRPr="00872462">
              <w:tab/>
              <w:t xml:space="preserve">Skulder som är undantagna från skuldnedskrivning i enlighet med artikel 27.3 </w:t>
            </w:r>
            <w:r w:rsidRPr="00872462">
              <w:rPr>
                <w:b/>
                <w:i/>
              </w:rPr>
              <w:t>eller nedskrivningsbara skulder där artikel 27.5 sannolikt kommer att gälla för dessa skulder</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Inparticular, if all assets and liabilities of the institution under resolution are transferred to a bride bank under the bridge institution tool, there capitalisation amount should theoretically be the same than in the case of anopen bank bail-in under Article 12d(3).It is important that funding needs in resolution be evaluated in a coherent manner across Member States, forMREL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b – led iiia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iiia)</w:t>
            </w:r>
            <w:r w:rsidRPr="00872462">
              <w:rPr>
                <w:b/>
                <w:i/>
              </w:rPr>
              <w:tab/>
              <w:t>Förväntade kapitalbaskrav för alla broinstitut som kan behövas för att genomföra strategin för marknadsutträde, för att säkerställa dess efterlevnad av förordning (EU) nr 575/2013, direktiv 2013/36/EU och direktiv 2014/65/EU, beroende på vad som är tillämpligt.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 Should that not be the case,liquidation with alternative measures from the DGS would most probably remain away to arbitrate resolution while increasing the cost for other banks.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b – led iiia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iiia)</w:t>
            </w:r>
            <w:r w:rsidRPr="00872462">
              <w:rPr>
                <w:b/>
                <w:i/>
              </w:rPr>
              <w:tab/>
              <w:t>Eventuella risker för ett framgångsrikt genomförande av den föredragna resolutionsstrategin, särskilt en potentiellt negativ marknadsmiljö vid tidpunkten för resolutionen.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Ett starkt system för minimikrav för kapitalbas och kvalificerade skulder är nödvändigt för att säkerställa resolutionssystemets trovärdighet.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a – led iiib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iiib)</w:t>
            </w:r>
            <w:r w:rsidRPr="00872462">
              <w:rPr>
                <w:b/>
                <w:i/>
              </w:rPr>
              <w:tab/>
              <w:t>Förväntad efterfrågan från mottagaren på att transaktionen ska vara kapitalneutral med avseende på de krav som gäller för den förvärvande enheten.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Covers all ams to article 12da : To ensure that the revisedframework remains based on internal loss-aborption not merely in theory butalso in practice, the amendment introduces minimum levels of external MREL forresolution entities with the new resolution strategy.Above a size threshold, suchresolution entities would also be required to comply with their external MRELtarget by using a minimum share of instruments that do not include CommonEquity Tier 1 instruments : Tier 2 instruments and other MREL-eligibleinstruments with a higher ranking in insolvency. This would avoid situationswhere an institution complies with its MREL target almost entirely with CommonEquity Tier 1. Although CET1 is an essential safeguard to ensureloss-absorption capabilities in a going-concern, such resources are, due totheir very nature, lacking when solvency issues lead an institution intoresolution.</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c – led i</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i)</w:t>
            </w:r>
            <w:r w:rsidRPr="00872462">
              <w:tab/>
              <w:t xml:space="preserve">Alla </w:t>
            </w:r>
            <w:r w:rsidRPr="00872462">
              <w:rPr>
                <w:b/>
                <w:i/>
              </w:rPr>
              <w:t>väsentliga</w:t>
            </w:r>
            <w:r w:rsidRPr="00872462">
              <w:t xml:space="preserve"> hinder för möjligheten till resolution som identifierats av resolutionsmyndigheten och som är </w:t>
            </w:r>
            <w:r w:rsidRPr="00872462">
              <w:rPr>
                <w:b/>
                <w:i/>
              </w:rPr>
              <w:t>direkt</w:t>
            </w:r>
            <w:r w:rsidRPr="00872462">
              <w:t xml:space="preserve"> kopplade till tillämpningen av verktyget för försäljning av verksamhet eller broinstitutverktyget.</w:t>
            </w:r>
          </w:p>
        </w:tc>
        <w:tc>
          <w:tcPr>
            <w:tcW w:w="4876" w:type="dxa"/>
            <w:hideMark/>
          </w:tcPr>
          <w:p w:rsidR="00D16657" w:rsidRPr="00872462" w:rsidRDefault="00D16657" w:rsidP="00610A50">
            <w:pPr>
              <w:pStyle w:val="Normal6"/>
              <w:rPr>
                <w:szCs w:val="24"/>
              </w:rPr>
            </w:pPr>
            <w:r w:rsidRPr="00872462">
              <w:t>i)</w:t>
            </w:r>
            <w:r w:rsidRPr="00872462">
              <w:tab/>
              <w:t>Alla hinder för möjligheten till resolution som identifierats av resolutionsmyndigheten och som är kopplade till tillämpningen av verktyget för försäljning av verksamhet eller broinstitutverktyget.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Ett starkt system för minimikrav för kapitalbas och kvalificerade skulder är nödvändigt för att säkerställa resolutionssystemets trovärdighet.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c – led iia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iia)</w:t>
            </w:r>
            <w:r w:rsidRPr="00872462">
              <w:rPr>
                <w:b/>
                <w:i/>
              </w:rPr>
              <w:tab/>
              <w:t>En potentiellt negativ marknadsmiljö vid tidpunkten för resolutionen.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Ett starkt system för minimikrav för kapitalbas och kvalificerade skulder är nödvändigt för att säkerställa resolutionssystemets trovärdighet.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ea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(ea)</w:t>
            </w:r>
            <w:r w:rsidRPr="00872462">
              <w:rPr>
                <w:b/>
                <w:i/>
              </w:rPr>
              <w:tab/>
              <w:t>Huruvida ett insättningsgarantisystem förväntas bidra i enlighet med artikel 79.</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ea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(ea)</w:t>
            </w:r>
            <w:r w:rsidRPr="00872462">
              <w:rPr>
                <w:b/>
                <w:i/>
              </w:rPr>
              <w:tab/>
              <w:t>Huruvida ett insättningsgarantisystem förväntas bidra i enlighet med artikel 79.</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 – led ea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(ea)</w:t>
            </w:r>
            <w:r w:rsidRPr="00872462">
              <w:rPr>
                <w:b/>
                <w:i/>
              </w:rPr>
              <w:tab/>
              <w:t>Det potentiella rekapitaliseringsbelopp som krävs enligt en alternativ resolutionsstrategi.</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1a.</w:t>
            </w:r>
            <w:r w:rsidRPr="00872462">
              <w:rPr>
                <w:b/>
                <w:i/>
              </w:rPr>
              <w:tab/>
              <w:t>För resolutionsenheter som omfattas av proportionaliseringsreglerna i punkt 1 i denna artikel ska nivån på det krav som avses i artikel 12d.3 vara minst lika med</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16 % när beräkning sker i enlighet med artikel 12a.2 a, och</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5,5 % när beräkning sker i enlighet med artikel 12a.2 b.</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Resolutionsenheter som ingår i en resolutionsgrupp vars totala tillgångar överstiger 5 miljarder EUR och resolutionsenheter med konsoliderade totala tillgångar som överstiger 5 miljarder EUR ska uppfylla en nivå på det krav som avses i första stycket i denna punkt som är lika med 4,5 % när de beräknas i enlighet med artikel 12a.2 a och till 1,5 % när de beräknas i enlighet med artikel 12a.2 b, med användning av supplementärkapitalinstrument och kvalificerade skulder.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För att säkerställa en effektiv och konsekvent tillämpning av denna artikel ska nämnden ge vägledning och rikta instruktioner till de nationella resolutionsmyndigheterna för tillämpningen av de tekniska standarder för tillsyn som avses i artikel 45ca.1b i direktiv 2014/59/EU.</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159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1a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1a.</w:t>
            </w:r>
            <w:r w:rsidRPr="00872462">
              <w:rPr>
                <w:b/>
                <w:i/>
              </w:rPr>
              <w:tab/>
              <w:t>Punkt 1 ska inte tillämpas på institut som betecknas som ”små och icke-komplexa institut” i enlighet med förordning (EU) nr 575/2013.</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Av proportionalitetsskäl bör de nya minimikraven för kapitalbas och kvalificerade skulder inte gälla för små och icke-komplexa institut.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2.</w:t>
            </w:r>
            <w:r w:rsidRPr="00872462">
              <w:rPr>
                <w:b/>
                <w:i/>
              </w:rPr>
              <w:tab/>
              <w:t>Om resolutionsplanen föreskriver att enheten ska avvecklas enligt normala insolvensförfaranden eller andra likvärdiga nationella förfaranden och föreskriver användning av insättningsgarantisystemet i enlighet med artikel 11.5 i direktiv 2014/49/EU, ska nämnden även beakta punkt 1 i denna artikel när den utför den bedömning som avses i artikel 12d.2a andra stycket i denna förordning.</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2.</w:t>
            </w:r>
            <w:r w:rsidRPr="00872462">
              <w:rPr>
                <w:b/>
                <w:i/>
              </w:rPr>
              <w:tab/>
              <w:t>Om resolutionsplanen föreskriver att enheten ska avvecklas enligt normala insolvensförfaranden eller andra likvärdiga nationella förfaranden och föreskriver användning av insättningsgarantisystemet i enlighet med artikel 11.5 i direktiv 2014/49/EU, ska nämnden även beakta punkt 1 i denna artikel när den utför den bedömning som avses i artikel 12d.2a andra stycket i denna förordning.</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2.</w:t>
            </w:r>
            <w:r w:rsidRPr="00872462">
              <w:rPr>
                <w:b/>
                <w:i/>
              </w:rPr>
              <w:tab/>
              <w:t>Om resolutionsplanen föreskriver att enheten ska avvecklas enligt normala insolvensförfaranden eller andra likvärdiga nationella förfaranden och föreskriver användning av insättningsgarantisystemet i enlighet med artikel 11.5 i direktiv 2014/49/EU, ska nämnden även beakta punkt 1 i denna artikel när den utför den bedömning som avses i artikel 12d.2a andra stycket i denna förordning.</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w:t>
            </w:r>
            <w:r w:rsidRPr="00872462">
              <w:tab/>
              <w:t xml:space="preserve">Om resolutionsplanen föreskriver att enheten ska avvecklas enligt normala insolvensförfaranden eller andra likvärdiga nationella förfaranden och föreskriver användning av insättningsgarantisystemet i enlighet med artikel 11.5 i direktiv 2014/49/EU, ska </w:t>
            </w:r>
            <w:r w:rsidRPr="00872462">
              <w:rPr>
                <w:b/>
                <w:i/>
              </w:rPr>
              <w:t>nämnden även beakta punkt 1 i denna artikel när den utför den bedömning som avses i</w:t>
            </w:r>
            <w:r w:rsidRPr="00872462">
              <w:t xml:space="preserve"> artikel 12d.2a </w:t>
            </w:r>
            <w:r w:rsidRPr="00872462">
              <w:rPr>
                <w:b/>
                <w:i/>
              </w:rPr>
              <w:t>andra stycket i denna förordning</w:t>
            </w:r>
            <w:r w:rsidRPr="00872462">
              <w:t>.</w:t>
            </w:r>
          </w:p>
        </w:tc>
        <w:tc>
          <w:tcPr>
            <w:tcW w:w="4876" w:type="dxa"/>
            <w:hideMark/>
          </w:tcPr>
          <w:p w:rsidR="00D16657" w:rsidRPr="00872462" w:rsidRDefault="00D16657" w:rsidP="00610A50">
            <w:pPr>
              <w:pStyle w:val="Normal6"/>
              <w:rPr>
                <w:szCs w:val="24"/>
              </w:rPr>
            </w:pPr>
            <w:r w:rsidRPr="00872462">
              <w:t>2.</w:t>
            </w:r>
            <w:r w:rsidRPr="00872462">
              <w:tab/>
              <w:t xml:space="preserve">Om resolutionsplanen föreskriver att enheten ska avvecklas enligt normala insolvensförfaranden eller andra likvärdiga nationella förfaranden och föreskriver användning av insättningsgarantisystemet i enlighet med artikel 11.5 i direktiv 2014/49/EU, ska </w:t>
            </w:r>
            <w:r w:rsidRPr="00872462">
              <w:rPr>
                <w:b/>
                <w:i/>
              </w:rPr>
              <w:t>resolutionsmyndigheten, genom undantag från</w:t>
            </w:r>
            <w:r w:rsidRPr="00872462">
              <w:t xml:space="preserve"> artikel 12d.2a</w:t>
            </w:r>
            <w:r w:rsidRPr="00872462">
              <w:rPr>
                <w:b/>
                <w:i/>
              </w:rPr>
              <w:t>, fastställa ett rekapitaliseringsbelopp i enlighet med artikel 12d.3 på ett proportionerligt sätt på grundval av de kriterier som avses i punkt 1</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12da – punkt 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3.</w:t>
            </w:r>
            <w:r w:rsidRPr="00872462">
              <w:tab/>
              <w:t xml:space="preserve">Tillämpningen av punkt 1 får inte leda till ett belopp som är </w:t>
            </w:r>
            <w:r w:rsidRPr="00872462">
              <w:rPr>
                <w:b/>
                <w:i/>
              </w:rPr>
              <w:t>högre</w:t>
            </w:r>
            <w:r w:rsidRPr="00872462">
              <w:t xml:space="preserve"> än det belopp som följer av tillämpningen av artikel 12d.3.</w:t>
            </w:r>
          </w:p>
        </w:tc>
        <w:tc>
          <w:tcPr>
            <w:tcW w:w="4876" w:type="dxa"/>
            <w:hideMark/>
          </w:tcPr>
          <w:p w:rsidR="00D16657" w:rsidRPr="00872462" w:rsidRDefault="00D16657" w:rsidP="00610A50">
            <w:pPr>
              <w:pStyle w:val="Normal6"/>
              <w:rPr>
                <w:szCs w:val="24"/>
              </w:rPr>
            </w:pPr>
            <w:r w:rsidRPr="00872462">
              <w:t>3.</w:t>
            </w:r>
            <w:r w:rsidRPr="00872462">
              <w:tab/>
              <w:t xml:space="preserve">Tillämpningen av punkt 1 får inte leda till ett belopp som är </w:t>
            </w:r>
            <w:r w:rsidRPr="00872462">
              <w:rPr>
                <w:b/>
                <w:i/>
              </w:rPr>
              <w:t>lägre</w:t>
            </w:r>
            <w:r w:rsidRPr="00872462">
              <w:t xml:space="preserve"> än </w:t>
            </w:r>
            <w:r w:rsidRPr="00872462">
              <w:rPr>
                <w:b/>
                <w:i/>
              </w:rPr>
              <w:t>90 % av</w:t>
            </w:r>
            <w:r w:rsidRPr="00872462">
              <w:t xml:space="preserve"> det belopp som följer av tillämpningen av artikel 12d.3.</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Pedro Marques, Aurore Lalucq, René Repasi, Jonás Fernández</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14 – led aa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12k – punkt 1 – stycke 3a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(aa)</w:t>
            </w:r>
            <w:r w:rsidRPr="00872462">
              <w:rPr>
                <w:b/>
                <w:i/>
              </w:rPr>
              <w:tab/>
              <w:t>I punkt 1 ska följande stycke infogas: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Efter den 1 januari 2024 eller den övergångsperiod som slutar efter den 1 januari 2024 och som fastställs av nämnden i enlighet med tredje stycket får nämnden, om det är vederbörligen motiverat och lämpligt på grundval av de kriterier som avses i punkt 7, och med beaktande av de faktorer som avses i tredje stycket, fastställa en lämplig övergångsperiod för att uppfylla kraven i artiklarna 12f eller 12g eller de krav som följer av tillämpningen av artikel 12c.4, 12c.5 eller 12c.7.</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14 – led aa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12k – punkt 1a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(aa)</w:t>
            </w:r>
            <w:r w:rsidRPr="00872462">
              <w:rPr>
                <w:b/>
                <w:i/>
              </w:rPr>
              <w:tab/>
              <w:t>Följande punkt ska införas: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”1a. När det gäller enheter som inte ingick i en resolutionsgrupp före [datum för tillämpning av denna ändringsförordning] ska nämnden fastställa lämpliga övergångsperioder för institut eller enheter som avses i artikel 2.1 för att uppfylla kraven i artiklarna 12f eller 12g, eller krav som följer av tillämpningen av artikel 12c.4, 12c.5 eller 12c.7, beroende på vad som är lämpligt. Dessa övergångsperioder får inte sträcka sig längre än till den 1 januari 2030.”</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Att fastställa en övergångsperiod för att uppfylla de nya minimikraven för kapitalbas och kvalificerade skulder för institut som nyligen kommit att omfattas av resolutionen är rimligt, men den bör inte vara för lång. En [5]-årig övergång verkar rimlig, vilket leder till slutet av 2029 om översynen av ramen för krishantering och insättningsgaranti träder i kraft 2025.</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1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 xml:space="preserve">ECB </w:t>
            </w:r>
            <w:r w:rsidRPr="00872462">
              <w:rPr>
                <w:b/>
                <w:i/>
              </w:rPr>
              <w:t>får tillämpa</w:t>
            </w:r>
            <w:r w:rsidRPr="00872462">
              <w:t xml:space="preserve"> åtgärder för tidigt ingripande om en enhet som avses i artikel 7.2 a uppfyller något av följande villkor:</w:t>
            </w:r>
          </w:p>
        </w:tc>
        <w:tc>
          <w:tcPr>
            <w:tcW w:w="4876" w:type="dxa"/>
            <w:hideMark/>
          </w:tcPr>
          <w:p w:rsidR="00D16657" w:rsidRPr="00872462" w:rsidRDefault="00D16657" w:rsidP="00610A50">
            <w:pPr>
              <w:pStyle w:val="Normal6"/>
              <w:rPr>
                <w:szCs w:val="24"/>
              </w:rPr>
            </w:pPr>
            <w:r w:rsidRPr="00872462">
              <w:t>1.</w:t>
            </w:r>
            <w:r w:rsidRPr="00872462">
              <w:tab/>
              <w:t xml:space="preserve">ECB </w:t>
            </w:r>
            <w:r w:rsidRPr="00872462">
              <w:rPr>
                <w:b/>
                <w:i/>
              </w:rPr>
              <w:t>överväger utan onödigt dröjsmål och vidtar vid behov snabbt</w:t>
            </w:r>
            <w:r w:rsidRPr="00872462">
              <w:t xml:space="preserve"> åtgärder för tidigt ingripande om en enhet som avses i artikel 7.2 a uppfyller något av följande villkor: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Syftet med detta förslag är att säkerställa att EIM-ramen integreras i en styrningsprocess som är snabb och effektiv och inriktad på att anta de beslut som bäst bevarar kapital och resurser i form av minimikrav för kapitalbas och kvalificerade skulder, för att inte hindra en eventuell resolution i ett senare skede.</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1 – led a – led ii</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ii)</w:t>
            </w:r>
            <w:r w:rsidRPr="00872462">
              <w:tab/>
              <w:t>ECB anser att andra korrigerande åtgärder än åtgärder för tidigt ingripande är otillräckliga för att lösa problemen</w:t>
            </w:r>
            <w:r w:rsidRPr="00872462">
              <w:rPr>
                <w:b/>
                <w:i/>
              </w:rPr>
              <w:t>, bland annat på grund av en snabb och betydande försämring av enhetens finansiella ställning</w:t>
            </w:r>
            <w:r w:rsidRPr="00872462">
              <w:t>.</w:t>
            </w:r>
          </w:p>
        </w:tc>
        <w:tc>
          <w:tcPr>
            <w:tcW w:w="4876" w:type="dxa"/>
            <w:hideMark/>
          </w:tcPr>
          <w:p w:rsidR="00D16657" w:rsidRPr="00872462" w:rsidRDefault="00D16657" w:rsidP="00610A50">
            <w:pPr>
              <w:pStyle w:val="Normal6"/>
              <w:rPr>
                <w:szCs w:val="24"/>
              </w:rPr>
            </w:pPr>
            <w:r w:rsidRPr="00872462">
              <w:t>ii)</w:t>
            </w:r>
            <w:r w:rsidRPr="00872462">
              <w:tab/>
              <w:t>ECB anser att andra korrigerande åtgärder än åtgärder för tidigt ingripande är otillräckliga för att lösa problemen.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169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1 – led a – led ii</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ii)</w:t>
            </w:r>
            <w:r w:rsidRPr="00872462">
              <w:tab/>
              <w:t xml:space="preserve">ECB anser att andra korrigerande åtgärder än åtgärder för tidigt ingripande är </w:t>
            </w:r>
            <w:r w:rsidRPr="00872462">
              <w:rPr>
                <w:b/>
                <w:i/>
              </w:rPr>
              <w:t>otillräckliga</w:t>
            </w:r>
            <w:r w:rsidRPr="00872462">
              <w:t xml:space="preserve"> för att lösa problemen, bland annat på grund av en snabb och betydande försämring av enhetens finansiella ställning.</w:t>
            </w:r>
          </w:p>
        </w:tc>
        <w:tc>
          <w:tcPr>
            <w:tcW w:w="4876" w:type="dxa"/>
            <w:hideMark/>
          </w:tcPr>
          <w:p w:rsidR="00D16657" w:rsidRPr="00872462" w:rsidRDefault="00D16657" w:rsidP="00610A50">
            <w:pPr>
              <w:pStyle w:val="Normal6"/>
              <w:rPr>
                <w:szCs w:val="24"/>
              </w:rPr>
            </w:pPr>
            <w:r w:rsidRPr="00872462">
              <w:t>ii)</w:t>
            </w:r>
            <w:r w:rsidRPr="00872462">
              <w:tab/>
              <w:t xml:space="preserve">ECB anser att andra korrigerande åtgärder än åtgärder för tidigt ingripande </w:t>
            </w:r>
            <w:r w:rsidRPr="00872462">
              <w:rPr>
                <w:b/>
                <w:i/>
              </w:rPr>
              <w:t>inte</w:t>
            </w:r>
            <w:r w:rsidRPr="00872462">
              <w:t xml:space="preserve"> är </w:t>
            </w:r>
            <w:r w:rsidRPr="00872462">
              <w:rPr>
                <w:b/>
                <w:i/>
              </w:rPr>
              <w:t>tillräckliga</w:t>
            </w:r>
            <w:r w:rsidRPr="00872462">
              <w:t xml:space="preserve"> för att lösa problemen, bland annat på grund av en snabb och betydande försämring av enhetens finansiella ställning.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1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(b) Enheten överträder eller kommer sannolikt att överträda de krav som fastställs i avdelning II i direktiv 2014/65/EU, i artiklarna 3–7, 14–17 eller 24, 25 och 26 i förordning (EU) nr 600/2014 </w:t>
            </w:r>
            <w:r w:rsidRPr="00872462">
              <w:rPr>
                <w:b/>
                <w:i/>
              </w:rPr>
              <w:t>eller i artiklarna 12 f eller 12 g i denna förordning</w:t>
            </w:r>
            <w:r w:rsidRPr="00872462">
              <w:t xml:space="preserve"> under de 12 månader som följer på ECB:s bedömning.</w:t>
            </w:r>
          </w:p>
        </w:tc>
        <w:tc>
          <w:tcPr>
            <w:tcW w:w="4876" w:type="dxa"/>
            <w:hideMark/>
          </w:tcPr>
          <w:p w:rsidR="00D16657" w:rsidRPr="00872462" w:rsidRDefault="00D16657" w:rsidP="00610A50">
            <w:pPr>
              <w:pStyle w:val="Normal6"/>
              <w:rPr>
                <w:szCs w:val="24"/>
              </w:rPr>
            </w:pPr>
            <w:r w:rsidRPr="00872462">
              <w:t>(b) Enheten överträder eller kommer sannolikt att överträda de krav som fastställs i avdelning II i direktiv 2014/65/EU, i artiklarna 3–7, 14–17 eller 24, 25 och 26 i förordning (EU) nr 600/2014 under de 12 månader som följer på ECB:s bedömning.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1 – stycke 1a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Om det är lämpligt för att karakterisera den överträdelse som avses i led b ska ECB säkerställa att nämnden och de relevanta nationella resolutionsmyndigheterna utan dröjsmål underrättar de behöriga myndigheterna.</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Syftet med detta förslag är att säkerställa att EIM-ramen integreras i en styrningsprocess som är snabb och effektiv och inriktad på att anta de beslut som bäst bevarar kapital och resurser i form av minimikrav för kapitalbas och kvalificerade skulder, för att inte hindra en eventuell resolution i ett senare skede.</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1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ECB </w:t>
            </w:r>
            <w:r w:rsidRPr="00872462">
              <w:rPr>
                <w:b/>
                <w:bCs/>
                <w:i/>
                <w:iCs/>
              </w:rPr>
              <w:t>får</w:t>
            </w:r>
            <w:r w:rsidRPr="00872462">
              <w:t xml:space="preserve"> fastställa att det villkor som avses i första stycket led a ii är uppfyllt utan att tidigare ha vidtagit andra korrigerande åtgärder, inbegripet utövandet av de befogenheter som avses i artikel 104 i direktiv 2013/36/EU eller i artikel 16.2 i förordning (EU) nr 1024/2013.</w:t>
            </w:r>
          </w:p>
        </w:tc>
        <w:tc>
          <w:tcPr>
            <w:tcW w:w="4876" w:type="dxa"/>
            <w:hideMark/>
          </w:tcPr>
          <w:p w:rsidR="00D16657" w:rsidRPr="00872462" w:rsidRDefault="00D16657" w:rsidP="00610A50">
            <w:pPr>
              <w:pStyle w:val="Normal6"/>
              <w:rPr>
                <w:szCs w:val="24"/>
              </w:rPr>
            </w:pPr>
            <w:r w:rsidRPr="00872462">
              <w:rPr>
                <w:b/>
                <w:i/>
              </w:rPr>
              <w:t>Om förhållanden snabbt försämras, ogynnsamma omständigheter uppstår eller ny information framkommer om en enhet får</w:t>
            </w:r>
            <w:r w:rsidRPr="00872462">
              <w:t xml:space="preserve"> ECB fastställa att det villkor som avses i första stycket led a ii är uppfyllt utan att tidigare ha vidtagit andra korrigerande åtgärder, inbegripet utövandet av de befogenheter som avses i artikel 104 i direktiv 2013/36/EU eller i artikel 16.2 i förordning (EU) nr 1024/2013.</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2 – led c</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(c)</w:t>
            </w:r>
            <w:r w:rsidRPr="00872462">
              <w:tab/>
              <w:t xml:space="preserve">Kravet på att enhetens ledningsorgan ska utarbeta en </w:t>
            </w:r>
            <w:r w:rsidRPr="00872462">
              <w:rPr>
                <w:b/>
                <w:i/>
              </w:rPr>
              <w:t>plan</w:t>
            </w:r>
            <w:r w:rsidRPr="00872462">
              <w:t>, i enlighet med återhämtningsplanen i tillämpliga fall, för förhandlingar om omstrukturering av skuld med vissa eller alla dess borgenärer.</w:t>
            </w:r>
          </w:p>
        </w:tc>
        <w:tc>
          <w:tcPr>
            <w:tcW w:w="4876" w:type="dxa"/>
            <w:hideMark/>
          </w:tcPr>
          <w:p w:rsidR="00D16657" w:rsidRPr="00872462" w:rsidRDefault="00D16657" w:rsidP="00610A50">
            <w:pPr>
              <w:pStyle w:val="Normal6"/>
              <w:rPr>
                <w:szCs w:val="24"/>
              </w:rPr>
            </w:pPr>
            <w:r w:rsidRPr="00872462">
              <w:t>(c)</w:t>
            </w:r>
            <w:r w:rsidRPr="00872462">
              <w:tab/>
              <w:t xml:space="preserve">Kravet på att enhetens ledningsorgan ska utarbeta en </w:t>
            </w:r>
            <w:r w:rsidRPr="00872462">
              <w:rPr>
                <w:b/>
                <w:i/>
              </w:rPr>
              <w:t>åtgärdsplan</w:t>
            </w:r>
            <w:r w:rsidRPr="00872462">
              <w:t>, i enlighet med återhämtningsplanen i tillämpliga fall, för förhandlingar om omstrukturering av skuld med vissa eller alla dess borgenärer.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Roberts Zīle</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2 – stycke 1 – led fa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(fa)</w:t>
            </w:r>
            <w:r w:rsidRPr="00872462">
              <w:rPr>
                <w:b/>
                <w:i/>
              </w:rPr>
              <w:tab/>
              <w:t>Kravet på att enhetens ledningsorgan ska utarbeta en plan som enheten kan genomföra om det berörda företaget beslutar att inleda den frivilliga avvecklingen av enheten.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2 – stycke 1a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Efter att ha mottagit den underrättelse som avses i första stycket ska nämnden, i nära samarbete med ECB eller den relevanta nationella behöriga myndigheten, bedöma vad som utgör en rimlig tidsram för bedömningen av det villkor som avses i artikel 18.1 b, med beaktande av hur snabbt försämringen av enhetens förhållanden sker, behovet av att effektivt genomföra resolutionsstrategin och andra relevanta överväganden. Nämnden ska meddela denna bedömning till ECB eller den relevanta nationella behöriga myndigheten så snart som möjligt. Den underrättelse som avses i första stycket påverkar inte de institutionella skyddssystemens förmåga att genomföra några åtgärder. Beslut som rör åtgärder inom ramen för ett institutionellt skyddssystem ska fattas enbart av det institutionella skyddssystemet.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3.</w:t>
            </w:r>
            <w:r w:rsidRPr="00872462">
              <w:tab/>
              <w:t>ECB ska välja lämpliga åtgärder för tidigt ingripande på grundval av vad som står i proportion till de eftersträvade målen, med beaktande av bland annat hur allvarlig överträdelsen eller den sannolika överträdelsen är och hur snabbt enhetens finansiella situation försämras.</w:t>
            </w:r>
          </w:p>
        </w:tc>
        <w:tc>
          <w:tcPr>
            <w:tcW w:w="4876" w:type="dxa"/>
            <w:hideMark/>
          </w:tcPr>
          <w:p w:rsidR="00D16657" w:rsidRPr="00872462" w:rsidRDefault="00D16657" w:rsidP="00610A50">
            <w:pPr>
              <w:pStyle w:val="Normal6"/>
              <w:rPr>
                <w:szCs w:val="24"/>
              </w:rPr>
            </w:pPr>
            <w:r w:rsidRPr="00872462">
              <w:t>3.</w:t>
            </w:r>
            <w:r w:rsidRPr="00872462">
              <w:tab/>
              <w:t xml:space="preserve">ECB ska välja lämpliga åtgärder för tidigt ingripande </w:t>
            </w:r>
            <w:r w:rsidRPr="00872462">
              <w:rPr>
                <w:b/>
                <w:i/>
              </w:rPr>
              <w:t>i god tid</w:t>
            </w:r>
            <w:r w:rsidRPr="00872462">
              <w:t xml:space="preserve"> på grundval av vad som står i proportion till de eftersträvade målen, med beaktande av bland annat hur allvarlig överträdelsen eller den sannolika överträdelsen är och hur snabbt enhetens finansiella situation försämras.</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4</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4.</w:t>
            </w:r>
            <w:r w:rsidRPr="00872462">
              <w:tab/>
              <w:t>För var och en av de åtgärder som avses i punkt 2 ska ECB fastställa en tidsfrist som är lämplig för att slutföra åtgärden och som gör det möjligt för ECB att utvärdera dess effektivitet.</w:t>
            </w:r>
          </w:p>
        </w:tc>
        <w:tc>
          <w:tcPr>
            <w:tcW w:w="4876" w:type="dxa"/>
            <w:hideMark/>
          </w:tcPr>
          <w:p w:rsidR="00D16657" w:rsidRPr="00872462" w:rsidRDefault="00D16657" w:rsidP="00610A50">
            <w:pPr>
              <w:pStyle w:val="Normal6"/>
              <w:rPr>
                <w:szCs w:val="24"/>
              </w:rPr>
            </w:pPr>
            <w:r w:rsidRPr="00872462">
              <w:t>4.</w:t>
            </w:r>
            <w:r w:rsidRPr="00872462">
              <w:tab/>
              <w:t xml:space="preserve">För var och en av de åtgärder som avses i punkt 2 ska ECB fastställa en tidsfrist som är lämplig för att slutföra åtgärden och som gör det möjligt för ECB att utvärdera dess effektivitet. </w:t>
            </w:r>
            <w:r w:rsidRPr="00872462">
              <w:rPr>
                <w:b/>
                <w:i/>
              </w:rPr>
              <w:t>Utvärderingen av åtgärden bör genomföras omedelbart efter det att tidsfristen har nåtts och delas med nämnden och relevanta nationella resolutionsmyndigheter. Om utvärderingen visar att åtgärderna inte har genomförts fullt ut eller inte är effektiva ska ECB eller den relevanta nationella behöriga myndigheten göra en bedömning av det villkor som avses i artikel 18.1 a i denna förordning, efter samråd med nämnden och den relevanta nationella resolutionsmyndigheten.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Syftet med detta förslag är att säkerställa att EIM-ramen integreras i en styrningsprocess som är snabb och effektiv och inriktad på att anta de beslut som bäst bevarar kapital och resurser i form av minimikrav för kapitalbas och kvalificerade skulder, för att inte hindra en eventuell resolution i ett senare skede.</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15</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 – punkt 5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Om en koncern inkluderar enheter som är etablerade i deltagande medlemsstater och dotterföretag som är etablerade i, eller betydande filialer som är belägna i, icke-deltagande medlemsstater ska ECB överlämna alla beslut eller åtgärder som avses i artiklarna 13 till 13c, som är relevanta för koncernen, till de behöriga myndigheterna eller resolutionsmyndigheterna i den icke-deltagande medlemsstaten, beroende på omständigheterna.</w:t>
            </w:r>
          </w:p>
        </w:tc>
        <w:tc>
          <w:tcPr>
            <w:tcW w:w="4876" w:type="dxa"/>
            <w:hideMark/>
          </w:tcPr>
          <w:p w:rsidR="00D16657" w:rsidRPr="00872462" w:rsidRDefault="00D16657" w:rsidP="00610A50">
            <w:pPr>
              <w:pStyle w:val="Normal6"/>
              <w:rPr>
                <w:szCs w:val="24"/>
              </w:rPr>
            </w:pPr>
            <w:r w:rsidRPr="00872462">
              <w:t xml:space="preserve">Om en koncern inkluderar enheter som är etablerade i deltagande medlemsstater och dotterföretag som är etablerade i, eller betydande filialer som är belägna i, icke-deltagande medlemsstater ska ECB </w:t>
            </w:r>
            <w:r w:rsidRPr="00872462">
              <w:rPr>
                <w:b/>
                <w:i/>
              </w:rPr>
              <w:t>i god tid</w:t>
            </w:r>
            <w:r w:rsidRPr="00872462">
              <w:t xml:space="preserve"> överlämna alla beslut eller åtgärder som avses i artiklarna 13 till 13c, som är relevanta för koncernen, till de behöriga myndigheterna eller resolutionsmyndigheterna i den icke-deltagande medlemsstaten, beroende på omständigheterna.</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179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13b – punkt 1 – stycke 4</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ECB ska offentliggöra alla tillsättningar av tillfälliga förvaltare, utom när den tillfälliga förvaltaren saknar befogenhet att representera enheten.</w:t>
            </w:r>
          </w:p>
        </w:tc>
        <w:tc>
          <w:tcPr>
            <w:tcW w:w="4876" w:type="dxa"/>
            <w:hideMark/>
          </w:tcPr>
          <w:p w:rsidR="00D16657" w:rsidRPr="00872462" w:rsidRDefault="00D16657" w:rsidP="00610A50">
            <w:pPr>
              <w:pStyle w:val="Normal6"/>
              <w:rPr>
                <w:szCs w:val="24"/>
              </w:rPr>
            </w:pPr>
            <w:r w:rsidRPr="00872462">
              <w:t xml:space="preserve">ECB ska offentliggöra alla tillsättningar av tillfälliga förvaltare, utom när den tillfälliga förvaltaren saknar befogenhet att representera enheten </w:t>
            </w:r>
            <w:r w:rsidRPr="00872462">
              <w:rPr>
                <w:b/>
                <w:i/>
              </w:rPr>
              <w:t>eller fatta beslut på enhetens vägnar</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13b – punkt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w:t>
            </w:r>
            <w:r w:rsidRPr="00872462">
              <w:tab/>
              <w:t>ECB ska specificera den tillfälliga förvaltarens befogenheter vid tidpunkten för dennes tillsättning utifrån vad som är proportionellt med hänsyn till omständigheterna. Sådana befogenheter får innefatta några eller samtliga av de befogenheter som enhetens ledningsorgan har enligt enhetens stadgar och enligt nationell lagstiftning, inklusive befogenheten att utöva några eller samtliga av enhetens ledningsorgans förvaltningsfunktioner. Den tillfälliga förvaltarens befogenheter med avseende på enheten ska följa tillämplig bolagsrätt.</w:t>
            </w:r>
          </w:p>
        </w:tc>
        <w:tc>
          <w:tcPr>
            <w:tcW w:w="4876" w:type="dxa"/>
            <w:hideMark/>
          </w:tcPr>
          <w:p w:rsidR="00D16657" w:rsidRPr="00872462" w:rsidRDefault="00D16657" w:rsidP="00610A50">
            <w:pPr>
              <w:pStyle w:val="Normal6"/>
              <w:rPr>
                <w:szCs w:val="24"/>
              </w:rPr>
            </w:pPr>
            <w:r w:rsidRPr="00872462">
              <w:t>2.</w:t>
            </w:r>
            <w:r w:rsidRPr="00872462">
              <w:tab/>
              <w:t xml:space="preserve">ECB ska specificera den tillfälliga förvaltarens befogenheter vid tidpunkten för dennes tillsättning utifrån vad som är proportionellt med hänsyn till omständigheterna. Sådana befogenheter får innefatta några eller samtliga av de befogenheter som enhetens ledningsorgan har enligt enhetens stadgar och enligt nationell lagstiftning, inklusive befogenheten att utöva några eller samtliga av enhetens ledningsorgans förvaltningsfunktioner. Den tillfälliga förvaltarens befogenheter med avseende på enheten ska följa tillämplig bolagsrätt. </w:t>
            </w:r>
            <w:r w:rsidRPr="00872462">
              <w:rPr>
                <w:b/>
                <w:i/>
              </w:rPr>
              <w:t>Sådana befogenheter får anpassas av ECB efter ändrade omständigheter.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13b – punkt 6</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6.</w:t>
            </w:r>
            <w:r w:rsidRPr="00872462">
              <w:tab/>
              <w:t>På begäran av ECB ska den tillfälliga förvaltaren upprätta rapporter om enhetens finansiella ställning och om de åtgärder som han eller hon har vidtagit under sin period som förvaltare, med en regelbundenhet som ska fastställas av ECB, och i vart fall i slutet av förvaltarens uppdrag.</w:t>
            </w:r>
          </w:p>
        </w:tc>
        <w:tc>
          <w:tcPr>
            <w:tcW w:w="4876" w:type="dxa"/>
            <w:hideMark/>
          </w:tcPr>
          <w:p w:rsidR="00D16657" w:rsidRPr="00872462" w:rsidRDefault="00D16657" w:rsidP="00610A50">
            <w:pPr>
              <w:pStyle w:val="Normal6"/>
              <w:rPr>
                <w:szCs w:val="24"/>
              </w:rPr>
            </w:pPr>
            <w:r w:rsidRPr="00872462">
              <w:t>6.</w:t>
            </w:r>
            <w:r w:rsidRPr="00872462">
              <w:tab/>
              <w:t xml:space="preserve">På begäran av ECB ska den tillfälliga förvaltaren upprätta rapporter om enhetens finansiella ställning och om de åtgärder som han eller hon har vidtagit under sin period som förvaltare, med en regelbundenhet som ska fastställas av ECB, </w:t>
            </w:r>
            <w:r w:rsidRPr="00872462">
              <w:rPr>
                <w:b/>
                <w:i/>
              </w:rPr>
              <w:t>minst en gång efter de första sex månaderna,</w:t>
            </w:r>
            <w:r w:rsidRPr="00872462">
              <w:t xml:space="preserve"> och i vart fall i slutet av förvaltarens uppdrag.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13b – punkt 7</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7.</w:t>
            </w:r>
            <w:r w:rsidRPr="00872462">
              <w:tab/>
              <w:t>Den tillfälliga förvaltaren ska utses för högst ett år. Den perioden kan undantagsvis förnyas om villkoren för utnämningen av den tillfälliga förvaltaren fortsatt är uppfyllda. ECB ska fastställa de villkoren och ska för aktieägarna motivera ett förnyande av utnämningen av den tillfälliga förvaltaren.</w:t>
            </w:r>
          </w:p>
        </w:tc>
        <w:tc>
          <w:tcPr>
            <w:tcW w:w="4876" w:type="dxa"/>
            <w:hideMark/>
          </w:tcPr>
          <w:p w:rsidR="00D16657" w:rsidRPr="00872462" w:rsidRDefault="00D16657" w:rsidP="00610A50">
            <w:pPr>
              <w:pStyle w:val="Normal6"/>
              <w:rPr>
                <w:szCs w:val="24"/>
              </w:rPr>
            </w:pPr>
            <w:r w:rsidRPr="00872462">
              <w:t>7.</w:t>
            </w:r>
            <w:r w:rsidRPr="00872462">
              <w:tab/>
              <w:t xml:space="preserve">Den tillfälliga förvaltaren ska utses för högst ett år. Den perioden kan undantagsvis förnyas </w:t>
            </w:r>
            <w:r w:rsidRPr="00872462">
              <w:rPr>
                <w:b/>
                <w:i/>
              </w:rPr>
              <w:t>en gång</w:t>
            </w:r>
            <w:r w:rsidRPr="00872462">
              <w:t xml:space="preserve"> om villkoren för utnämningen av den tillfälliga förvaltaren fortsatt är uppfyllda. ECB ska fastställa de villkoren och ska för aktieägarna motivera ett förnyande av utnämningen av den tillfälliga förvaltaren.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13c – punkt 2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Efter att ha mottagit</w:t>
            </w:r>
            <w:r w:rsidRPr="00872462">
              <w:t xml:space="preserve"> den underrättelse som avses i första stycket ska </w:t>
            </w:r>
            <w:r w:rsidRPr="00872462">
              <w:rPr>
                <w:b/>
                <w:i/>
              </w:rPr>
              <w:t>nämnden, i nära samarbete med ECB eller den relevanta nationella behöriga myndigheten, bedöma vad som utgör en rimlig tidsram för bedömningen av det villkor som avses i artikel 18.1 b, med beaktande av hur snabbt försämringen av enhetens förhållanden sker, behovet av</w:t>
            </w:r>
            <w:r w:rsidRPr="00872462">
              <w:t xml:space="preserve"> att </w:t>
            </w:r>
            <w:r w:rsidRPr="00872462">
              <w:rPr>
                <w:b/>
                <w:i/>
              </w:rPr>
              <w:t>effektivt</w:t>
            </w:r>
            <w:r w:rsidRPr="00872462">
              <w:t xml:space="preserve"> genomföra </w:t>
            </w:r>
            <w:r w:rsidRPr="00872462">
              <w:rPr>
                <w:b/>
                <w:i/>
              </w:rPr>
              <w:t>resolutionsstrategin och andra relevanta överväganden</w:t>
            </w:r>
            <w:r w:rsidRPr="00872462">
              <w:t>.</w:t>
            </w:r>
            <w:r w:rsidRPr="00872462">
              <w:rPr>
                <w:b/>
                <w:i/>
              </w:rPr>
              <w:t xml:space="preserve"> Nämnden</w:t>
            </w:r>
            <w:r w:rsidRPr="00872462">
              <w:t xml:space="preserve"> ska </w:t>
            </w:r>
            <w:r w:rsidRPr="00872462">
              <w:rPr>
                <w:b/>
                <w:i/>
              </w:rPr>
              <w:t>meddela denna bedömning till ECB eller den relevanta nationella behöriga myndigheten så snart som möjligt</w:t>
            </w:r>
            <w:r w:rsidRPr="00872462">
              <w:t>.</w:t>
            </w:r>
          </w:p>
        </w:tc>
        <w:tc>
          <w:tcPr>
            <w:tcW w:w="4876" w:type="dxa"/>
            <w:hideMark/>
          </w:tcPr>
          <w:p w:rsidR="00D16657" w:rsidRPr="00872462" w:rsidRDefault="00D16657" w:rsidP="00610A50">
            <w:pPr>
              <w:pStyle w:val="Normal6"/>
              <w:rPr>
                <w:szCs w:val="24"/>
              </w:rPr>
            </w:pPr>
            <w:r w:rsidRPr="00872462">
              <w:t xml:space="preserve">Den underrättelse som avses i första stycket ska </w:t>
            </w:r>
            <w:r w:rsidRPr="00872462">
              <w:rPr>
                <w:b/>
                <w:i/>
              </w:rPr>
              <w:t>inte begränsa de institutionella skyddssystemens förmåga</w:t>
            </w:r>
            <w:r w:rsidRPr="00872462">
              <w:t xml:space="preserve"> att genomföra </w:t>
            </w:r>
            <w:r w:rsidRPr="00872462">
              <w:rPr>
                <w:b/>
                <w:i/>
              </w:rPr>
              <w:t>åtgärder</w:t>
            </w:r>
            <w:r w:rsidRPr="00872462">
              <w:t>.</w:t>
            </w:r>
            <w:r w:rsidRPr="00872462">
              <w:rPr>
                <w:b/>
                <w:i/>
              </w:rPr>
              <w:t xml:space="preserve"> Beslut som rör åtgärder inom ramen för ett institutionellt skyddssystem</w:t>
            </w:r>
            <w:r w:rsidRPr="00872462">
              <w:t xml:space="preserve"> ska </w:t>
            </w:r>
            <w:r w:rsidRPr="00872462">
              <w:rPr>
                <w:b/>
                <w:i/>
              </w:rPr>
              <w:t>fattas enbart av det institutionella skyddssystemet</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13c – punkt 2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Efter att ha mottagit den underrättelse som avses i första stycket ska nämnden, i nära samarbete med ECB eller den relevanta nationella behöriga myndigheten, bedöma vad som utgör en rimlig tidsram för bedömningen av det villkor som avses i artikel 18.1 b, med beaktande av hur snabbt försämringen av enhetens förhållanden sker, behovet av att effektivt genomföra resolutionsstrategin och andra relevanta överväganden. Nämnden ska meddela denna bedömning till ECB eller den relevanta nationella behöriga myndigheten så snart som möjligt.</w:t>
            </w:r>
          </w:p>
        </w:tc>
        <w:tc>
          <w:tcPr>
            <w:tcW w:w="4876" w:type="dxa"/>
            <w:hideMark/>
          </w:tcPr>
          <w:p w:rsidR="00D16657" w:rsidRPr="00872462" w:rsidRDefault="00D16657" w:rsidP="00610A50">
            <w:pPr>
              <w:pStyle w:val="Normal6"/>
              <w:rPr>
                <w:szCs w:val="24"/>
              </w:rPr>
            </w:pPr>
            <w:r w:rsidRPr="00872462">
              <w:t xml:space="preserve">Efter att ha mottagit den underrättelse som avses i första stycket ska nämnden, i nära samarbete med ECB eller den relevanta nationella behöriga myndigheten, bedöma vad som utgör en rimlig tidsram för bedömningen av det villkor som avses i artikel 18.1 b, med beaktande av hur snabbt försämringen av enhetens förhållanden sker, behovet av att effektivt genomföra resolutionsstrategin och andra relevanta överväganden. Nämnden ska meddela denna bedömning till ECB eller den relevanta nationella behöriga myndigheten så snart som möjligt. </w:t>
            </w:r>
            <w:r w:rsidRPr="00872462">
              <w:rPr>
                <w:b/>
                <w:i/>
              </w:rPr>
              <w:t>Tillämpningen av åtgärder inom ramen för institutionella skyddssystem ska inte påverkas av den underrättelse som avses i första stycket.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13c – punkt 2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Efter att ha mottagit den underrättelse som avses i första stycket ska nämnden, i nära samarbete med ECB eller den relevanta nationella behöriga myndigheten, bedöma vad som utgör en rimlig tidsram för bedömningen av det villkor som avses i artikel 18.1 b, med beaktande av hur snabbt försämringen av enhetens förhållanden sker, behovet av att effektivt genomföra resolutionsstrategin och andra relevanta överväganden. Nämnden ska meddela denna bedömning till ECB eller den relevanta nationella behöriga myndigheten så snart som möjligt.</w:t>
            </w:r>
          </w:p>
        </w:tc>
        <w:tc>
          <w:tcPr>
            <w:tcW w:w="4876" w:type="dxa"/>
            <w:hideMark/>
          </w:tcPr>
          <w:p w:rsidR="00D16657" w:rsidRPr="00872462" w:rsidRDefault="00D16657" w:rsidP="00610A50">
            <w:pPr>
              <w:pStyle w:val="Normal6"/>
              <w:rPr>
                <w:szCs w:val="24"/>
              </w:rPr>
            </w:pPr>
            <w:r w:rsidRPr="00872462">
              <w:t xml:space="preserve">Efter att ha mottagit den underrättelse som avses i första stycket ska nämnden, i nära samarbete med ECB eller den relevanta nationella behöriga myndigheten, bedöma vad som utgör en rimlig tidsram för bedömningen av det villkor som avses i artikel 18.1 b, med beaktande av hur snabbt försämringen av enhetens förhållanden sker, </w:t>
            </w:r>
            <w:r w:rsidRPr="00872462">
              <w:rPr>
                <w:b/>
                <w:i/>
              </w:rPr>
              <w:t>den eventuella inverkan på det finansiella systemet och skyddet av investerare och klientmedel,</w:t>
            </w:r>
            <w:r w:rsidRPr="00872462">
              <w:t xml:space="preserve"> behovet av att effektivt genomföra resolutionsstrategin och andra relevanta överväganden. Nämnden ska meddela denna bedömning till ECB eller den relevanta nationella behöriga myndigheten så snart som möjligt.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13c – punkt 4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4.</w:t>
            </w:r>
            <w:r w:rsidRPr="00872462">
              <w:tab/>
              <w:t xml:space="preserve">Nämnden </w:t>
            </w:r>
            <w:r w:rsidRPr="00872462">
              <w:rPr>
                <w:b/>
                <w:bCs/>
                <w:i/>
                <w:iCs/>
              </w:rPr>
              <w:t>ska</w:t>
            </w:r>
            <w:r w:rsidRPr="00872462">
              <w:t xml:space="preserve"> ha marknadsinflytande gentemot potentiella köpare, eller vidta åtgärder för sådan marknadsföring, den enhet som avses i artikel 7.2, eller den enhet som avses i artikel 7.4 b och artikel 7.5, om villkoren för tillämpning av dessa bestämmelser är uppfyllda eller kräva att enheten gör detta, i följande syften:</w:t>
            </w:r>
          </w:p>
        </w:tc>
        <w:tc>
          <w:tcPr>
            <w:tcW w:w="4876" w:type="dxa"/>
            <w:hideMark/>
          </w:tcPr>
          <w:p w:rsidR="00D16657" w:rsidRPr="00872462" w:rsidRDefault="00D16657" w:rsidP="00610A50">
            <w:pPr>
              <w:pStyle w:val="Normal6"/>
              <w:rPr>
                <w:szCs w:val="24"/>
              </w:rPr>
            </w:pPr>
            <w:r w:rsidRPr="00872462">
              <w:t>4.</w:t>
            </w:r>
            <w:r w:rsidRPr="00872462">
              <w:tab/>
            </w:r>
            <w:r w:rsidRPr="00872462">
              <w:rPr>
                <w:b/>
                <w:i/>
              </w:rPr>
              <w:t>Efter att ha mottagit den underrättelse som avses i punkt 2 ska</w:t>
            </w:r>
            <w:r w:rsidRPr="00872462">
              <w:t xml:space="preserve"> nämnden ha marknadsinflytande gentemot potentiella köpare, eller vidta åtgärder för sådan marknadsföring, den enhet som avses i artikel 7.2, eller den enhet som avses i artikel 7.4 b och artikel 7.5, om villkoren för tillämpning av dessa bestämmelser är uppfyllda eller kräva att enheten gör detta, i följande syften: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13c – punkt 4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4.</w:t>
            </w:r>
            <w:r w:rsidRPr="00872462">
              <w:tab/>
              <w:t xml:space="preserve">Nämnden ska ha marknadsinflytande gentemot potentiella köpare, eller vidta åtgärder för sådan marknadsföring, den enhet som avses i artikel 7.2, eller den enhet som avses i artikel 7.4 b och artikel 7.5, om villkoren för tillämpning av dessa bestämmelser är uppfyllda eller kräva att enheten gör detta, i följande </w:t>
            </w:r>
            <w:r w:rsidRPr="00872462">
              <w:rPr>
                <w:b/>
                <w:i/>
              </w:rPr>
              <w:t>syften</w:t>
            </w:r>
            <w:r w:rsidRPr="00872462">
              <w:t>:</w:t>
            </w:r>
          </w:p>
        </w:tc>
        <w:tc>
          <w:tcPr>
            <w:tcW w:w="4876" w:type="dxa"/>
            <w:hideMark/>
          </w:tcPr>
          <w:p w:rsidR="00D16657" w:rsidRPr="00872462" w:rsidRDefault="00D16657" w:rsidP="00610A50">
            <w:pPr>
              <w:pStyle w:val="Normal6"/>
              <w:rPr>
                <w:szCs w:val="24"/>
              </w:rPr>
            </w:pPr>
            <w:r w:rsidRPr="00872462">
              <w:t>4.</w:t>
            </w:r>
            <w:r w:rsidRPr="00872462">
              <w:tab/>
              <w:t xml:space="preserve">Nämnden ska ha marknadsinflytande gentemot potentiella köpare, eller vidta åtgärder för sådan marknadsföring, den enhet som avses i artikel 7.2, eller den enhet som avses i artikel 7.4 b och artikel 7.5, om villkoren för tillämpning av dessa bestämmelser är uppfyllda eller kräva att enheten gör detta, i följande </w:t>
            </w:r>
            <w:r w:rsidRPr="00872462">
              <w:rPr>
                <w:b/>
                <w:i/>
              </w:rPr>
              <w:t>syfte</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Marknadsföring regleras redan som en del av åtgärden för företagsförsäljning, se artikel 13.3 i förordningen om den gemensamma resolutionsmekanismen i samband med artikel 39.1 i direktivet om återhämtning och resolution av banker, och behöver inte kompletteras/upprepas tidigare, dvs. innan ett institut har uppnått FOLF-status. Marknadsföring som innebär risk för att institutets anseende skadas och för att affärshemligheter röjs bör uteslutande betraktas som en del (och inte som förberedelse) av en resolutionsåtgärd och bör därför endast utföras när villkoren för resolution är uppfyllda.</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13c – punkt 4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Förbereda för resolution av den enheten, med förbehåll för de villkor som anges i artikel 39.2 i direktiv 2014/59/EU och de krav på tystnadsplikt som fastställs i artikel 88 i denna förordning.</w:t>
            </w:r>
          </w:p>
        </w:tc>
        <w:tc>
          <w:tcPr>
            <w:tcW w:w="4876" w:type="dxa"/>
            <w:hideMark/>
          </w:tcPr>
          <w:p w:rsidR="00D16657" w:rsidRPr="00872462" w:rsidRDefault="00D16657" w:rsidP="00610A50">
            <w:pPr>
              <w:pStyle w:val="Normal6"/>
              <w:rPr>
                <w:szCs w:val="24"/>
              </w:rPr>
            </w:pPr>
            <w:r w:rsidRPr="00872462">
              <w:t>(a)</w:t>
            </w:r>
            <w:r w:rsidRPr="00872462">
              <w:tab/>
              <w:t xml:space="preserve">Förbereda för </w:t>
            </w:r>
            <w:r w:rsidRPr="00872462">
              <w:rPr>
                <w:b/>
                <w:i/>
              </w:rPr>
              <w:t>mycket sannolik</w:t>
            </w:r>
            <w:r w:rsidRPr="00872462">
              <w:t xml:space="preserve"> resolution av den enheten, med förbehåll för de villkor som anges i artikel 39.2 i direktiv 2014/59/EU och de krav på tystnadsplikt som fastställs i artikel 88 i denna förordning.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Marknadsföring regleras redan som en del av åtgärden för företagsförsäljning, se artikel 13.3 i förordningen om den gemensamma resolutionsmekanismen i samband med artikel 39.1 i direktivet om återhämtning och resolution av banker, och behöver inte kompletteras/upprepas tidigare, dvs. innan ett institut har uppnått FOLF-status. Marknadsföring som innebär risk för att institutets anseende skadas och för att affärshemligheter röjs bör uteslutande betraktas som en del (och inte som förberedelse) av en resolutionsåtgärd och bör därför endast utföras när villkoren för resolution är uppfyllda.</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189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13c – punkt 4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(b)</w:t>
            </w:r>
            <w:r w:rsidRPr="00872462">
              <w:rPr>
                <w:b/>
                <w:i/>
              </w:rPr>
              <w:tab/>
              <w:t>Ett välgrundat underlag för nämndens bedömning av det villkor som avses i artikel 18.1 b i denna förordning.</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Marknadsföring regleras redan som en del av åtgärden för företagsförsäljning, se artikel 13.3 i förordningen om den gemensamma resolutionsmekanismen i samband med artikel 39.1 i direktivet om återhämtning och resolution av banker, och behöver inte kompletteras/upprepas tidigare, dvs. innan ett institut har uppnått FOLF-status. Marknadsföring som innebär risk för att institutets anseende skadas och för att affärshemligheter röjs bör uteslutande betraktas som en del (och inte som förberedelse) av en resolutionsåtgärd och bör därför endast utföras när villkoren för resolution är uppfyllda.</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13c – punkt 7</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7.</w:t>
            </w:r>
            <w:r w:rsidRPr="00872462">
              <w:tab/>
              <w:t>Nämnden ska utan dröjsmål informera kommissionen, ECB, de berörda nationella behöriga myndigheterna och de berörda nationella resolutionsmyndigheterna om alla åtgärder den vidtar i enlighet med punkterna 4 och 5.</w:t>
            </w:r>
          </w:p>
        </w:tc>
        <w:tc>
          <w:tcPr>
            <w:tcW w:w="4876" w:type="dxa"/>
            <w:hideMark/>
          </w:tcPr>
          <w:p w:rsidR="00D16657" w:rsidRPr="00872462" w:rsidRDefault="00D16657" w:rsidP="00610A50">
            <w:pPr>
              <w:pStyle w:val="Normal6"/>
              <w:rPr>
                <w:szCs w:val="24"/>
              </w:rPr>
            </w:pPr>
            <w:r w:rsidRPr="00872462">
              <w:t>7.</w:t>
            </w:r>
            <w:r w:rsidRPr="00872462">
              <w:tab/>
              <w:t xml:space="preserve">Nämnden ska utan dröjsmål informera kommissionen, ECB, de berörda nationella behöriga myndigheterna och de berörda nationella resolutionsmyndigheterna </w:t>
            </w:r>
            <w:r w:rsidRPr="00872462">
              <w:rPr>
                <w:b/>
                <w:i/>
              </w:rPr>
              <w:t>och de relevanta nationella ministerierna</w:t>
            </w:r>
            <w:r w:rsidRPr="00872462">
              <w:t xml:space="preserve"> om alla åtgärder den vidtar i enlighet med punkterna 4 och 5.</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13c – punkt 8 – stycke 1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ECB, de nationella behöriga myndigheterna, nämnden och de relevanta nationella resolutionsmyndigheterna ska ha ett nära samarbete</w:t>
            </w:r>
          </w:p>
        </w:tc>
        <w:tc>
          <w:tcPr>
            <w:tcW w:w="4876" w:type="dxa"/>
            <w:hideMark/>
          </w:tcPr>
          <w:p w:rsidR="00D16657" w:rsidRPr="00872462" w:rsidRDefault="00D16657" w:rsidP="00610A50">
            <w:pPr>
              <w:pStyle w:val="Normal6"/>
              <w:rPr>
                <w:szCs w:val="24"/>
              </w:rPr>
            </w:pPr>
            <w:r w:rsidRPr="00872462">
              <w:t xml:space="preserve">ECB, de nationella behöriga myndigheterna, nämnden och de relevanta nationella resolutionsmyndigheterna </w:t>
            </w:r>
            <w:r w:rsidRPr="00872462">
              <w:rPr>
                <w:b/>
                <w:i/>
              </w:rPr>
              <w:t>samt de relevanta nationella ministerierna</w:t>
            </w:r>
            <w:r w:rsidRPr="00872462">
              <w:t xml:space="preserve"> ska ha ett nära samarbete</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c</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c)</w:t>
            </w:r>
            <w:r w:rsidRPr="00872462">
              <w:tab/>
              <w:t>Skydda offentliga medel genom att minimera beroendet av extraordinärt offentligt finansiellt stöd</w:t>
            </w:r>
            <w:r w:rsidRPr="00872462">
              <w:rPr>
                <w:b/>
                <w:i/>
              </w:rPr>
              <w:t>, särskilt när det tillhandahålls från en medlemsstats budget</w:t>
            </w:r>
            <w:r w:rsidRPr="00872462">
              <w:t>.</w:t>
            </w:r>
          </w:p>
        </w:tc>
        <w:tc>
          <w:tcPr>
            <w:tcW w:w="4876" w:type="dxa"/>
            <w:hideMark/>
          </w:tcPr>
          <w:p w:rsidR="00D16657" w:rsidRPr="00872462" w:rsidRDefault="00D16657" w:rsidP="00610A50">
            <w:pPr>
              <w:pStyle w:val="Normal6"/>
              <w:rPr>
                <w:szCs w:val="24"/>
              </w:rPr>
            </w:pPr>
            <w:r w:rsidRPr="00872462">
              <w:t>c)</w:t>
            </w:r>
            <w:r w:rsidRPr="00872462">
              <w:tab/>
              <w:t>Skydda offentliga medel genom att minimera beroendet av extraordinärt offentligt finansiellt stöd.</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c</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c)</w:t>
            </w:r>
            <w:r w:rsidRPr="00872462">
              <w:tab/>
              <w:t>Skydda offentliga medel genom att minimera beroendet av extraordinärt offentligt finansiellt stöd</w:t>
            </w:r>
            <w:r w:rsidRPr="00872462">
              <w:rPr>
                <w:b/>
                <w:i/>
              </w:rPr>
              <w:t>, särskilt när det tillhandahålls från en medlemsstats budget</w:t>
            </w:r>
            <w:r w:rsidRPr="00872462">
              <w:t>.</w:t>
            </w:r>
          </w:p>
        </w:tc>
        <w:tc>
          <w:tcPr>
            <w:tcW w:w="4876" w:type="dxa"/>
            <w:hideMark/>
          </w:tcPr>
          <w:p w:rsidR="00D16657" w:rsidRPr="00872462" w:rsidRDefault="00D16657" w:rsidP="00610A50">
            <w:pPr>
              <w:pStyle w:val="Normal6"/>
              <w:rPr>
                <w:szCs w:val="24"/>
              </w:rPr>
            </w:pPr>
            <w:r w:rsidRPr="00872462">
              <w:t>c)</w:t>
            </w:r>
            <w:r w:rsidRPr="00872462">
              <w:tab/>
              <w:t>Skydda offentliga medel genom att minimera beroendet av extraordinärt offentligt finansiellt stöd.</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Ur ett statligt stödperspektiv är allt extraordinärt offentligt finansiellt stöd statligt stöd, oavsett om det kommer från en medlemsstats budget eller inte. Det finns inget behov av att separera de olika typerna av extraordinärt offentligt finansiellt stöd.</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c</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c)</w:t>
            </w:r>
            <w:r w:rsidRPr="00872462">
              <w:tab/>
              <w:t>Skydda offentliga medel genom att minimera beroendet av extraordinärt offentligt finansiellt stöd</w:t>
            </w:r>
            <w:r w:rsidRPr="00872462">
              <w:rPr>
                <w:b/>
                <w:i/>
              </w:rPr>
              <w:t>, särskilt när det tillhandahålls från en medlemsstats budget</w:t>
            </w:r>
            <w:r w:rsidRPr="00872462">
              <w:t>.</w:t>
            </w:r>
          </w:p>
        </w:tc>
        <w:tc>
          <w:tcPr>
            <w:tcW w:w="4876" w:type="dxa"/>
            <w:hideMark/>
          </w:tcPr>
          <w:p w:rsidR="00D16657" w:rsidRPr="00872462" w:rsidRDefault="00D16657" w:rsidP="00610A50">
            <w:pPr>
              <w:pStyle w:val="Normal6"/>
              <w:rPr>
                <w:szCs w:val="24"/>
              </w:rPr>
            </w:pPr>
            <w:r w:rsidRPr="00872462">
              <w:t>c)</w:t>
            </w:r>
            <w:r w:rsidRPr="00872462">
              <w:tab/>
              <w:t>Skydda offentliga medel genom att minimera beroendet av extraordinärt offentligt finansiellt stöd.</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c</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c)</w:t>
            </w:r>
            <w:r w:rsidRPr="00872462">
              <w:tab/>
              <w:t>Skydda offentliga medel genom att minimera beroendet av extraordinärt offentligt finansiellt stöd</w:t>
            </w:r>
            <w:r w:rsidRPr="00872462">
              <w:rPr>
                <w:b/>
                <w:i/>
              </w:rPr>
              <w:t>, särskilt när det tillhandahålls från en medlemsstats budget</w:t>
            </w:r>
            <w:r w:rsidRPr="00872462">
              <w:t>.</w:t>
            </w:r>
          </w:p>
        </w:tc>
        <w:tc>
          <w:tcPr>
            <w:tcW w:w="4876" w:type="dxa"/>
            <w:hideMark/>
          </w:tcPr>
          <w:p w:rsidR="00D16657" w:rsidRPr="00872462" w:rsidRDefault="00D16657" w:rsidP="00610A50">
            <w:pPr>
              <w:pStyle w:val="Normal6"/>
              <w:rPr>
                <w:szCs w:val="24"/>
              </w:rPr>
            </w:pPr>
            <w:r w:rsidRPr="00872462">
              <w:t>c)</w:t>
            </w:r>
            <w:r w:rsidRPr="00872462">
              <w:tab/>
              <w:t>Skydda offentliga medel genom att minimera beroendet av extraordinärt offentligt finansiellt stöd.</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w:t>
            </w:r>
            <w:r w:rsidRPr="00872462">
              <w:tab/>
              <w:t xml:space="preserve">Skydda </w:t>
            </w:r>
            <w:r w:rsidRPr="00872462">
              <w:rPr>
                <w:b/>
                <w:i/>
              </w:rPr>
              <w:t>insättare</w:t>
            </w:r>
            <w:r w:rsidRPr="00872462">
              <w:t xml:space="preserve"> och samtidigt minimera förluster för insättningsgarantisystem, samt skydda investerare som omfattas av direktiv 97/9/EG.</w:t>
            </w:r>
          </w:p>
        </w:tc>
        <w:tc>
          <w:tcPr>
            <w:tcW w:w="4876" w:type="dxa"/>
            <w:hideMark/>
          </w:tcPr>
          <w:p w:rsidR="00D16657" w:rsidRPr="00872462" w:rsidRDefault="00D16657" w:rsidP="00610A50">
            <w:pPr>
              <w:pStyle w:val="Normal6"/>
              <w:rPr>
                <w:szCs w:val="24"/>
              </w:rPr>
            </w:pPr>
            <w:r w:rsidRPr="00872462">
              <w:t>d)</w:t>
            </w:r>
            <w:r w:rsidRPr="00872462">
              <w:tab/>
              <w:t xml:space="preserve">Skydda </w:t>
            </w:r>
            <w:r w:rsidRPr="00872462">
              <w:rPr>
                <w:b/>
                <w:i/>
              </w:rPr>
              <w:t>garanterade insättningar, och i möjligaste mån även den icke-garanterade delen av kvalificerade insättningar från fysiska personer och mikroföretag samt små och medelstora företag,</w:t>
            </w:r>
            <w:r w:rsidRPr="00872462">
              <w:t xml:space="preserve"> och samtidigt minimera förluster för insättningsgarantisystem, samt skydda investerare som omfattas av direktiv 97/9/EG.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När det gäller resolutionsmål bör större företag inte behandlas bättre än andra kunder. Dessutom är det viktigt att upprätthålla målet att minimera förlusterna för insättningsgarantisystem, vilket är avgörande för att säkerställa att det externa stödet begränsas till ett strikt minimum och den ekonomiska effektiviteten i resolutionsprocessen.</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w:t>
            </w:r>
            <w:r w:rsidRPr="00872462">
              <w:tab/>
              <w:t>Skydda insättare och samtidigt minimera förluster för insättningsgarantisystem, samt skydda investerare som omfattas av direktiv 97/9/EG.</w:t>
            </w:r>
          </w:p>
        </w:tc>
        <w:tc>
          <w:tcPr>
            <w:tcW w:w="4876" w:type="dxa"/>
            <w:hideMark/>
          </w:tcPr>
          <w:p w:rsidR="00D16657" w:rsidRPr="00872462" w:rsidRDefault="00D16657" w:rsidP="00610A50">
            <w:pPr>
              <w:pStyle w:val="Normal6"/>
              <w:rPr>
                <w:szCs w:val="24"/>
              </w:rPr>
            </w:pPr>
            <w:r w:rsidRPr="00872462">
              <w:t>d)</w:t>
            </w:r>
            <w:r w:rsidRPr="00872462">
              <w:tab/>
              <w:t xml:space="preserve">Skydda insättare och samtidigt minimera förluster för insättningsgarantisystem </w:t>
            </w:r>
            <w:r w:rsidRPr="00872462">
              <w:rPr>
                <w:b/>
                <w:i/>
              </w:rPr>
              <w:t>genom att möjliggöra kostnadseffektivt deltagande av insättningsgarantisystemet</w:t>
            </w:r>
            <w:r w:rsidRPr="00872462">
              <w:t>, samt skydda investerare som omfattas av direktiv 97/9/EG.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w:t>
            </w:r>
            <w:r w:rsidRPr="00872462">
              <w:tab/>
              <w:t xml:space="preserve">Skydda insättare och </w:t>
            </w:r>
            <w:r w:rsidRPr="00872462">
              <w:rPr>
                <w:b/>
                <w:i/>
              </w:rPr>
              <w:t>samtidigt minimera förluster för insättningsgarantisystem, samt skydda</w:t>
            </w:r>
            <w:r w:rsidRPr="00872462">
              <w:t xml:space="preserve"> investerare som omfattas av direktiv 97/9/EG.</w:t>
            </w:r>
          </w:p>
        </w:tc>
        <w:tc>
          <w:tcPr>
            <w:tcW w:w="4876" w:type="dxa"/>
            <w:hideMark/>
          </w:tcPr>
          <w:p w:rsidR="00D16657" w:rsidRPr="00872462" w:rsidRDefault="00D16657" w:rsidP="00610A50">
            <w:pPr>
              <w:pStyle w:val="Normal6"/>
              <w:rPr>
                <w:szCs w:val="24"/>
              </w:rPr>
            </w:pPr>
            <w:r w:rsidRPr="00872462">
              <w:t>d)</w:t>
            </w:r>
            <w:r w:rsidRPr="00872462">
              <w:tab/>
              <w:t>Skydda insättare och investerare som omfattas av direktiv 97/9/EG.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199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w:t>
            </w:r>
            <w:r w:rsidRPr="00872462">
              <w:tab/>
              <w:t xml:space="preserve">Skydda insättare och </w:t>
            </w:r>
            <w:r w:rsidRPr="00872462">
              <w:rPr>
                <w:b/>
                <w:i/>
              </w:rPr>
              <w:t>samtidigt minimera förluster för insättningsgarantisystem, samt</w:t>
            </w:r>
            <w:r w:rsidRPr="00872462">
              <w:t xml:space="preserve"> skydda investerare som omfattas av direktiv 97/9/EG.</w:t>
            </w:r>
          </w:p>
        </w:tc>
        <w:tc>
          <w:tcPr>
            <w:tcW w:w="4876" w:type="dxa"/>
            <w:hideMark/>
          </w:tcPr>
          <w:p w:rsidR="00D16657" w:rsidRPr="00872462" w:rsidRDefault="00D16657" w:rsidP="00610A50">
            <w:pPr>
              <w:pStyle w:val="Normal6"/>
              <w:rPr>
                <w:szCs w:val="24"/>
              </w:rPr>
            </w:pPr>
            <w:r w:rsidRPr="00872462">
              <w:t>d)</w:t>
            </w:r>
            <w:r w:rsidRPr="00872462">
              <w:tab/>
              <w:t xml:space="preserve">Skydda insättare </w:t>
            </w:r>
            <w:r w:rsidRPr="00872462">
              <w:rPr>
                <w:b/>
                <w:i/>
              </w:rPr>
              <w:t>som omfattas av direktiv 2014/49/EU</w:t>
            </w:r>
            <w:r w:rsidRPr="00872462">
              <w:t xml:space="preserve"> och skydda investerare som omfattas av direktiv 97/9/EG.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w:t>
            </w:r>
            <w:r w:rsidRPr="00872462">
              <w:tab/>
              <w:t xml:space="preserve">Skydda insättare och </w:t>
            </w:r>
            <w:r w:rsidRPr="00872462">
              <w:rPr>
                <w:b/>
                <w:i/>
              </w:rPr>
              <w:t>samtidigt minimera förluster för insättningsgarantisystem, samt skydda</w:t>
            </w:r>
            <w:r w:rsidRPr="00872462">
              <w:t xml:space="preserve"> investerare som omfattas av direktiv 97/9/EG.</w:t>
            </w:r>
          </w:p>
        </w:tc>
        <w:tc>
          <w:tcPr>
            <w:tcW w:w="4876" w:type="dxa"/>
            <w:hideMark/>
          </w:tcPr>
          <w:p w:rsidR="00D16657" w:rsidRPr="00872462" w:rsidRDefault="00D16657" w:rsidP="00610A50">
            <w:pPr>
              <w:pStyle w:val="Normal6"/>
              <w:rPr>
                <w:szCs w:val="24"/>
              </w:rPr>
            </w:pPr>
            <w:r w:rsidRPr="00872462">
              <w:t>d)</w:t>
            </w:r>
            <w:r w:rsidRPr="00872462">
              <w:tab/>
              <w:t xml:space="preserve">Skydda insättare </w:t>
            </w:r>
            <w:r w:rsidRPr="00872462">
              <w:rPr>
                <w:b/>
                <w:i/>
              </w:rPr>
              <w:t>som omfattas av direktiv 2014/49/EU</w:t>
            </w:r>
            <w:r w:rsidRPr="00872462">
              <w:t xml:space="preserve"> och investerare som omfattas av direktiv 97/9/EG.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För att undvika moralisk risk bör endast täckta insättare skyddas.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w:t>
            </w:r>
            <w:r w:rsidRPr="00872462">
              <w:tab/>
              <w:t xml:space="preserve">Skydda insättare och </w:t>
            </w:r>
            <w:r w:rsidRPr="00872462">
              <w:rPr>
                <w:b/>
                <w:i/>
              </w:rPr>
              <w:t>samtidigt minimera förluster för insättningsgarantisystem, samt skydda</w:t>
            </w:r>
            <w:r w:rsidRPr="00872462">
              <w:t xml:space="preserve"> investerare som omfattas av direktiv 97/9/EG.</w:t>
            </w:r>
          </w:p>
        </w:tc>
        <w:tc>
          <w:tcPr>
            <w:tcW w:w="4876" w:type="dxa"/>
            <w:hideMark/>
          </w:tcPr>
          <w:p w:rsidR="00D16657" w:rsidRPr="00872462" w:rsidRDefault="00D16657" w:rsidP="00610A50">
            <w:pPr>
              <w:pStyle w:val="Normal6"/>
              <w:rPr>
                <w:szCs w:val="24"/>
              </w:rPr>
            </w:pPr>
            <w:r w:rsidRPr="00872462">
              <w:t>d)</w:t>
            </w:r>
            <w:r w:rsidRPr="00872462">
              <w:tab/>
              <w:t xml:space="preserve">Skydda insättare </w:t>
            </w:r>
            <w:r w:rsidRPr="00872462">
              <w:rPr>
                <w:b/>
                <w:i/>
              </w:rPr>
              <w:t>som omfattas av direktiv 2014/49/EU</w:t>
            </w:r>
            <w:r w:rsidRPr="00872462">
              <w:t xml:space="preserve"> och investerare som omfattas av direktiv 97/9/EG.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w:t>
            </w:r>
            <w:r w:rsidRPr="00872462">
              <w:tab/>
              <w:t xml:space="preserve">Skydda insättare och </w:t>
            </w:r>
            <w:r w:rsidRPr="00872462">
              <w:rPr>
                <w:b/>
                <w:i/>
              </w:rPr>
              <w:t>samtidigt minimera förluster för insättningsgarantisystem, samt</w:t>
            </w:r>
            <w:r w:rsidRPr="00872462">
              <w:t xml:space="preserve"> skydda investerare som omfattas av direktiv 97/9/EG.</w:t>
            </w:r>
          </w:p>
        </w:tc>
        <w:tc>
          <w:tcPr>
            <w:tcW w:w="4876" w:type="dxa"/>
            <w:hideMark/>
          </w:tcPr>
          <w:p w:rsidR="00D16657" w:rsidRPr="00872462" w:rsidRDefault="00D16657" w:rsidP="00610A50">
            <w:pPr>
              <w:pStyle w:val="Normal6"/>
              <w:rPr>
                <w:szCs w:val="24"/>
              </w:rPr>
            </w:pPr>
            <w:r w:rsidRPr="00872462">
              <w:t>d)</w:t>
            </w:r>
            <w:r w:rsidRPr="00872462">
              <w:tab/>
              <w:t xml:space="preserve">Skydda insättare </w:t>
            </w:r>
            <w:r w:rsidRPr="00872462">
              <w:rPr>
                <w:b/>
                <w:i/>
              </w:rPr>
              <w:t>som omfattas av direktiv 2014/49/EU</w:t>
            </w:r>
            <w:r w:rsidRPr="00872462">
              <w:t xml:space="preserve"> och skydda investerare som omfattas av direktiv 97/9/EG.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17a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14 – punkt 2a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(17a)</w:t>
            </w:r>
            <w:r w:rsidRPr="00872462">
              <w:rPr>
                <w:b/>
                <w:i/>
              </w:rPr>
              <w:tab/>
              <w:t>I artikel 14 ska följande punkt införas som punkt 2a: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”2a. Med förbehåll för olika bestämmelser i denna förordning är resolutionsmålen likvärdiga och resolutionsmyndigheterna ska göra en lämplig avvägning mellan dem beroende på arten av och omständigheterna i varje enskilt fall. Vid tillämpningen av artikel 18.5 ska målen att bevara den finansiella stabiliteten och skydda insättare i enlighet med punkt 2 b respektive d anses vara mer betydande än andra resolutionsmål.”</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1 – stycke 1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Med beaktande av tidsaspekten</w:t>
            </w:r>
            <w:r w:rsidRPr="00872462">
              <w:rPr>
                <w:b/>
                <w:i/>
              </w:rPr>
              <w:t>, behovet av att effektivt genomföra resolutionsstrategin</w:t>
            </w:r>
            <w:r w:rsidRPr="00872462">
              <w:t xml:space="preserve"> och andra relevanta omständigheter, finns det inga rimliga utsikter att några alternativa åtgärder från den privata sektorn, inbegripet åtgärder av ett institutionellt skyddssystem, tillsynsåtgärder, åtgärder för tidigt ingripande eller nedskrivning eller konvertering av relevanta kapitalinstrument och kvalificerade skulder, som avses i artikel 21.1, som vidtagits avseende enheten inom rimlig tid skulle kunna förhindra enhetens fallissemang.</w:t>
            </w:r>
          </w:p>
        </w:tc>
        <w:tc>
          <w:tcPr>
            <w:tcW w:w="4876" w:type="dxa"/>
            <w:hideMark/>
          </w:tcPr>
          <w:p w:rsidR="00D16657" w:rsidRPr="00872462" w:rsidRDefault="00D16657" w:rsidP="00610A50">
            <w:pPr>
              <w:pStyle w:val="Normal6"/>
              <w:rPr>
                <w:szCs w:val="24"/>
              </w:rPr>
            </w:pPr>
            <w:r w:rsidRPr="00872462">
              <w:t>(b)</w:t>
            </w:r>
            <w:r w:rsidRPr="00872462">
              <w:tab/>
              <w:t>Med beaktande av tidsaspekten och andra relevanta omständigheter, finns det inga rimliga utsikter att några alternativa åtgärder från den privata sektorn, inbegripet åtgärder av ett institutionellt skyddssystem, tillsynsåtgärder, åtgärder för tidigt ingripande eller nedskrivning eller konvertering av relevanta kapitalinstrument och kvalificerade skulder, som avses i artikel 21.1, som vidtagits avseende enheten inom rimlig tid skulle kunna förhindra enhetens fallissemang.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Tidsramen för att genomföra alternativa privata åtgärder bör inte vara artificiellt begränsad.</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1 – stycke 1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Med beaktande av tidsaspekten</w:t>
            </w:r>
            <w:r w:rsidRPr="00872462">
              <w:rPr>
                <w:b/>
                <w:i/>
              </w:rPr>
              <w:t>, behovet av att effektivt genomföra resolutionsstrategin</w:t>
            </w:r>
            <w:r w:rsidRPr="00872462">
              <w:t xml:space="preserve"> och andra relevanta omständigheter, finns det inga rimliga utsikter att några alternativa åtgärder från den privata sektorn, inbegripet åtgärder av ett institutionellt skyddssystem, tillsynsåtgärder, åtgärder för tidigt ingripande eller nedskrivning eller konvertering av relevanta kapitalinstrument och kvalificerade skulder, som avses i artikel 21.1, som vidtagits avseende enheten inom rimlig tid skulle kunna förhindra enhetens fallissemang.</w:t>
            </w:r>
          </w:p>
        </w:tc>
        <w:tc>
          <w:tcPr>
            <w:tcW w:w="4876" w:type="dxa"/>
            <w:hideMark/>
          </w:tcPr>
          <w:p w:rsidR="00D16657" w:rsidRPr="00872462" w:rsidRDefault="00D16657" w:rsidP="00610A50">
            <w:pPr>
              <w:pStyle w:val="Normal6"/>
              <w:rPr>
                <w:szCs w:val="24"/>
              </w:rPr>
            </w:pPr>
            <w:r w:rsidRPr="00872462">
              <w:t>(b)</w:t>
            </w:r>
            <w:r w:rsidRPr="00872462">
              <w:tab/>
              <w:t>Med beaktande av tidsaspekten och andra relevanta omständigheter, finns det inga rimliga utsikter att några alternativa åtgärder från den privata sektorn, inbegripet åtgärder av ett institutionellt skyddssystem, tillsynsåtgärder, åtgärder för tidigt ingripande eller nedskrivning eller konvertering av relevanta kapitalinstrument och kvalificerade skulder, som avses i artikel 21.1, som vidtagits avseende enheten inom rimlig tid skulle kunna förhindra enhetens fallissemang.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1 – stycke 1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Med beaktande av tidsaspekten</w:t>
            </w:r>
            <w:r w:rsidRPr="00872462">
              <w:rPr>
                <w:b/>
                <w:i/>
              </w:rPr>
              <w:t>, behovet av att effektivt genomföra resolutionsstrategin</w:t>
            </w:r>
            <w:r w:rsidRPr="00872462">
              <w:t xml:space="preserve"> och andra relevanta omständigheter, finns det inga rimliga utsikter att några alternativa åtgärder från den privata sektorn, inbegripet åtgärder av ett institutionellt skyddssystem, tillsynsåtgärder, åtgärder för tidigt ingripande eller nedskrivning eller konvertering av relevanta kapitalinstrument och kvalificerade skulder, som avses i artikel 21.1, som vidtagits avseende enheten inom rimlig tid skulle kunna förhindra enhetens fallissemang.</w:t>
            </w:r>
          </w:p>
        </w:tc>
        <w:tc>
          <w:tcPr>
            <w:tcW w:w="4876" w:type="dxa"/>
            <w:hideMark/>
          </w:tcPr>
          <w:p w:rsidR="00D16657" w:rsidRPr="00872462" w:rsidRDefault="00D16657" w:rsidP="00610A50">
            <w:pPr>
              <w:pStyle w:val="Normal6"/>
              <w:rPr>
                <w:szCs w:val="24"/>
              </w:rPr>
            </w:pPr>
            <w:r w:rsidRPr="00872462">
              <w:t>(b)</w:t>
            </w:r>
            <w:r w:rsidRPr="00872462">
              <w:tab/>
              <w:t>Med beaktande av tidsaspekten och andra relevanta omständigheter, finns det inga rimliga utsikter att några alternativa åtgärder från den privata sektorn, inbegripet åtgärder av ett institutionellt skyddssystem, tillsynsåtgärder, åtgärder för tidigt ingripande eller nedskrivning eller konvertering av relevanta kapitalinstrument och kvalificerade skulder, som avses i artikel 21.1, som vidtagits avseende enheten inom rimlig tid skulle kunna förhindra enhetens fallissemang.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1 – stycke 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Om ECB </w:t>
            </w:r>
            <w:r w:rsidRPr="00872462">
              <w:rPr>
                <w:b/>
                <w:i/>
              </w:rPr>
              <w:t>eller den relevanta nationella behöriga myndigheten har bedömt</w:t>
            </w:r>
            <w:r w:rsidRPr="00872462">
              <w:t xml:space="preserve"> att det villkor som avses i första stycket led a uppfylls av en enhet som avses i första stycket, ska </w:t>
            </w:r>
            <w:r w:rsidRPr="00872462">
              <w:rPr>
                <w:b/>
                <w:i/>
              </w:rPr>
              <w:t>de</w:t>
            </w:r>
            <w:r w:rsidRPr="00872462">
              <w:t xml:space="preserve"> utan dröjsmål lämna denna bedömning till kommissionen och nämnden.</w:t>
            </w:r>
          </w:p>
        </w:tc>
        <w:tc>
          <w:tcPr>
            <w:tcW w:w="4876" w:type="dxa"/>
            <w:hideMark/>
          </w:tcPr>
          <w:p w:rsidR="00D16657" w:rsidRPr="00872462" w:rsidRDefault="00D16657" w:rsidP="00610A50">
            <w:pPr>
              <w:pStyle w:val="Normal6"/>
              <w:rPr>
                <w:szCs w:val="24"/>
              </w:rPr>
            </w:pPr>
            <w:r w:rsidRPr="00872462">
              <w:t xml:space="preserve">Om ECB </w:t>
            </w:r>
            <w:r w:rsidRPr="00872462">
              <w:rPr>
                <w:b/>
                <w:i/>
              </w:rPr>
              <w:t>bedömer</w:t>
            </w:r>
            <w:r w:rsidRPr="00872462">
              <w:t xml:space="preserve"> att det villkor som avses i första stycket led a uppfylls av en enhet </w:t>
            </w:r>
            <w:r w:rsidRPr="00872462">
              <w:rPr>
                <w:b/>
                <w:i/>
              </w:rPr>
              <w:t>eller en koncern</w:t>
            </w:r>
            <w:r w:rsidRPr="00872462">
              <w:t xml:space="preserve"> som avses i första stycket, ska </w:t>
            </w:r>
            <w:r w:rsidRPr="00872462">
              <w:rPr>
                <w:b/>
                <w:i/>
              </w:rPr>
              <w:t>ECB</w:t>
            </w:r>
            <w:r w:rsidRPr="00872462">
              <w:t xml:space="preserve"> utan dröjsmål lämna denna bedömning till kommissionen och nämnden</w:t>
            </w:r>
            <w:r w:rsidRPr="00872462">
              <w:rPr>
                <w:b/>
                <w:i/>
              </w:rPr>
              <w:t>, med beaktande av att förebyggande åtgärder som vidtas av ett institutionellt skyddssystem som omfattas av artikel 1.2 c i direktiv 2014/49/EU inte ska leda till att det fastställs att kreditinstitutet fallerar eller sannolikt kommer att fallera enligt denna artikel eller artikel 32.1 i direktiv 2014/59/EU, om bestämmelserna i artikel 11f i direktiv 2014/49/EU är uppfyllda</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1a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1a.</w:t>
            </w:r>
            <w:r w:rsidRPr="00872462">
              <w:tab/>
              <w:t xml:space="preserve">Nämnden </w:t>
            </w:r>
            <w:r w:rsidRPr="00872462">
              <w:rPr>
                <w:b/>
                <w:i/>
              </w:rPr>
              <w:t>får</w:t>
            </w:r>
            <w:r w:rsidRPr="00872462">
              <w:t xml:space="preserve"> anta en resolutionsordning i enlighet med punkt 1 med avseende på en central enhet och alla </w:t>
            </w:r>
            <w:r w:rsidRPr="00872462">
              <w:rPr>
                <w:b/>
                <w:i/>
              </w:rPr>
              <w:t>kreditinstitut som är permanent underställda den och</w:t>
            </w:r>
            <w:r w:rsidRPr="00872462">
              <w:t xml:space="preserve"> som ingår i samma resolutionsgrupp om den centrala enheten och alla </w:t>
            </w:r>
            <w:r w:rsidRPr="00872462">
              <w:rPr>
                <w:b/>
                <w:i/>
              </w:rPr>
              <w:t>kreditinstitut som är permanent underställda den</w:t>
            </w:r>
            <w:r w:rsidRPr="00872462">
              <w:t>, eller den resolutionsgrupp som de tillhör, som helhet uppfyller villkoren i punkt 1 första stycket.</w:t>
            </w:r>
          </w:p>
        </w:tc>
        <w:tc>
          <w:tcPr>
            <w:tcW w:w="4876" w:type="dxa"/>
            <w:hideMark/>
          </w:tcPr>
          <w:p w:rsidR="00D16657" w:rsidRPr="00872462" w:rsidRDefault="00D16657" w:rsidP="00610A50">
            <w:pPr>
              <w:pStyle w:val="Normal6"/>
              <w:rPr>
                <w:szCs w:val="24"/>
              </w:rPr>
            </w:pPr>
            <w:r w:rsidRPr="00872462">
              <w:t>1a.</w:t>
            </w:r>
            <w:r w:rsidRPr="00872462">
              <w:tab/>
            </w:r>
            <w:r w:rsidRPr="00872462">
              <w:rPr>
                <w:b/>
                <w:i/>
              </w:rPr>
              <w:t>Om en resolutionsåtgärd anses nödvändig i allmänhetens intresse ska</w:t>
            </w:r>
            <w:r w:rsidRPr="00872462">
              <w:t xml:space="preserve"> nämnden anta en resolutionsordning i enlighet med punkt 1 med avseende på en central enhet och alla </w:t>
            </w:r>
            <w:r w:rsidRPr="00872462">
              <w:rPr>
                <w:b/>
                <w:i/>
              </w:rPr>
              <w:t>dess permanenta dotterföretag,</w:t>
            </w:r>
            <w:r w:rsidRPr="00872462">
              <w:t xml:space="preserve"> som ingår i samma resolutionsgrupp om den centrala enheten och alla </w:t>
            </w:r>
            <w:r w:rsidRPr="00872462">
              <w:rPr>
                <w:b/>
                <w:i/>
              </w:rPr>
              <w:t>dess permanenta dotterbolag</w:t>
            </w:r>
            <w:r w:rsidRPr="00872462">
              <w:t xml:space="preserve">, eller den resolutionsgrupp som de tillhör, som helhet uppfyller villkoren i punkt 1 första stycket. </w:t>
            </w:r>
            <w:r w:rsidRPr="00872462">
              <w:rPr>
                <w:b/>
                <w:i/>
              </w:rPr>
              <w:t>Bedömningen av de villkor som avses i punkt 1 första stycket ska uteslutande göras för den centrala enheten och dess permanenta dotterföretag som helhet.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209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w:t>
            </w:r>
            <w:r w:rsidRPr="00872462">
              <w:tab/>
            </w:r>
            <w:r w:rsidRPr="00872462">
              <w:rPr>
                <w:b/>
                <w:i/>
              </w:rPr>
              <w:t>Utan att det påverkar fall där ECB har beslutat att direkt utöva tillsyn över kreditinstitut i enlighet med artikel 6.5 b i förordning (EU) nr 1024/2013 ska nämnden, vid mottagande av ett meddelande enligt punkt 1 avseende en enhet eller koncern</w:t>
            </w:r>
            <w:r w:rsidRPr="00872462">
              <w:t xml:space="preserve"> som avses i artikel 7.3</w:t>
            </w:r>
            <w:r w:rsidRPr="00872462">
              <w:rPr>
                <w:b/>
                <w:i/>
              </w:rPr>
              <w:t>, utan dröjsmål underrätta ECB eller den berörda nationella behöriga myndigheten om sin bedömning enligt punkt 1 fjärde</w:t>
            </w:r>
            <w:r w:rsidRPr="00872462">
              <w:t xml:space="preserve"> stycket.</w:t>
            </w:r>
          </w:p>
        </w:tc>
        <w:tc>
          <w:tcPr>
            <w:tcW w:w="4876" w:type="dxa"/>
            <w:hideMark/>
          </w:tcPr>
          <w:p w:rsidR="00D16657" w:rsidRPr="00872462" w:rsidRDefault="00D16657" w:rsidP="00610A50">
            <w:pPr>
              <w:pStyle w:val="Normal6"/>
              <w:rPr>
                <w:szCs w:val="24"/>
              </w:rPr>
            </w:pPr>
            <w:r w:rsidRPr="00872462">
              <w:t>2.</w:t>
            </w:r>
            <w:r w:rsidRPr="00872462">
              <w:tab/>
            </w:r>
            <w:r w:rsidRPr="00872462">
              <w:rPr>
                <w:b/>
                <w:i/>
              </w:rPr>
              <w:t>Innan det konstateras att ett institut fallerar eller sannolikt kommer att fallera ska den relevanta myndighet</w:t>
            </w:r>
            <w:r w:rsidRPr="00872462">
              <w:t xml:space="preserve"> som avses i artikel </w:t>
            </w:r>
            <w:r w:rsidRPr="00872462">
              <w:rPr>
                <w:b/>
                <w:i/>
              </w:rPr>
              <w:t>18.1 andra</w:t>
            </w:r>
            <w:r w:rsidRPr="00872462">
              <w:t xml:space="preserve"> stycket </w:t>
            </w:r>
            <w:r w:rsidRPr="00872462">
              <w:rPr>
                <w:b/>
                <w:i/>
              </w:rPr>
              <w:t>undersöka om det finns åtgärder, inbegripet alternativa åtgärder från den privata sektorns sida, tillsynsåtgärder eller åtgärder för tidigt ingripande, som kan förhindra en förklaring om fallissemang eller sannolikt fallissemang</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w:t>
            </w:r>
            <w:r w:rsidRPr="00872462">
              <w:tab/>
              <w:t>Utan att det påverkar fall där ECB har beslutat att direkt utöva tillsyn över kreditinstitut i enlighet med artikel 6.5 b i förordning (EU) nr 1024/2013 ska nämnden, vid mottagande av ett meddelande enligt punkt 1 avseende en enhet eller koncern som avses i artikel 7.3, utan dröjsmål underrätta ECB eller den berörda nationella behöriga myndigheten om sin bedömning enligt punkt 1 fjärde stycket.</w:t>
            </w:r>
          </w:p>
        </w:tc>
        <w:tc>
          <w:tcPr>
            <w:tcW w:w="4876" w:type="dxa"/>
            <w:hideMark/>
          </w:tcPr>
          <w:p w:rsidR="00D16657" w:rsidRPr="00872462" w:rsidRDefault="00D16657" w:rsidP="00610A50">
            <w:pPr>
              <w:pStyle w:val="Normal6"/>
              <w:rPr>
                <w:szCs w:val="24"/>
              </w:rPr>
            </w:pPr>
            <w:r w:rsidRPr="00872462">
              <w:t>2.</w:t>
            </w:r>
            <w:r w:rsidRPr="00872462">
              <w:tab/>
              <w:t xml:space="preserve">Utan att det påverkar fall där ECB har beslutat att direkt utöva tillsyn över kreditinstitut i enlighet med artikel 6.5 b i förordning (EU) nr 1024/2013 ska nämnden, vid mottagande av ett meddelande enligt punkt 1 avseende en enhet eller koncern som avses i artikel 7.3, utan </w:t>
            </w:r>
            <w:r w:rsidRPr="00872462">
              <w:rPr>
                <w:b/>
                <w:i/>
              </w:rPr>
              <w:t>något</w:t>
            </w:r>
            <w:r w:rsidRPr="00872462">
              <w:t xml:space="preserve"> dröjsmål </w:t>
            </w:r>
            <w:r w:rsidRPr="00872462">
              <w:rPr>
                <w:b/>
                <w:i/>
              </w:rPr>
              <w:t>och i god tid</w:t>
            </w:r>
            <w:r w:rsidRPr="00872462">
              <w:t xml:space="preserve"> underrätta ECB eller den berörda nationella behöriga myndigheten om sin bedömning enligt punkt 1 fjärde stycket.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Vid tillämpning av punkt 1 c ska en resolutionsåtgärd ligga i allmänintresset om den är nödvändig för att uppfylla och står i proportion till ett eller flera av de resolutionsmål som avses i artikel </w:t>
            </w:r>
            <w:r w:rsidRPr="00872462">
              <w:rPr>
                <w:b/>
                <w:i/>
              </w:rPr>
              <w:t>14</w:t>
            </w:r>
            <w:r w:rsidRPr="00872462">
              <w:t xml:space="preserve"> och en avveckling av institutet enligt ett normalt insolvensförfaranden inte skulle uppfylla dessa resolutionsmål i samma utsträckning.</w:t>
            </w:r>
          </w:p>
        </w:tc>
        <w:tc>
          <w:tcPr>
            <w:tcW w:w="4876" w:type="dxa"/>
            <w:hideMark/>
          </w:tcPr>
          <w:p w:rsidR="00D16657" w:rsidRPr="00872462" w:rsidRDefault="00D16657" w:rsidP="00610A50">
            <w:pPr>
              <w:pStyle w:val="Normal6"/>
              <w:rPr>
                <w:szCs w:val="24"/>
              </w:rPr>
            </w:pPr>
            <w:r w:rsidRPr="00872462">
              <w:t>Vid tillämpning av punkt 1 c ska en resolutionsåtgärd ligga i allmänintresset om den</w:t>
            </w:r>
            <w:r w:rsidRPr="00872462">
              <w:rPr>
                <w:b/>
                <w:i/>
              </w:rPr>
              <w:t>, i enlighet med artikel 14.3 andra stycket,</w:t>
            </w:r>
            <w:r w:rsidRPr="00872462">
              <w:t xml:space="preserve"> är nödvändig för att uppfylla och står i proportion till ett eller flera av de resolutionsmål som avses i artikel </w:t>
            </w:r>
            <w:r w:rsidRPr="00872462">
              <w:rPr>
                <w:b/>
                <w:i/>
              </w:rPr>
              <w:t>31</w:t>
            </w:r>
            <w:r w:rsidRPr="00872462">
              <w:t xml:space="preserve"> och en avveckling av institutet enligt ett normalt insolvensförfaranden inte skulle uppfylla dessa resolutionsmål i samma utsträckning.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1</w:t>
      </w:r>
      <w:r w:rsidRPr="008724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Vid tillämpning av punkt 1 c ska en resolutionsåtgärd ligga i allmänintresset om den är nödvändig för att uppfylla och står i proportion till ett eller flera av de resolutionsmål som avses i artikel 14 och en avveckling av institutet enligt ett normalt insolvensförfaranden inte skulle uppfylla dessa resolutionsmål i samma utsträckning.</w:t>
            </w:r>
          </w:p>
        </w:tc>
        <w:tc>
          <w:tcPr>
            <w:tcW w:w="4876" w:type="dxa"/>
            <w:hideMark/>
          </w:tcPr>
          <w:p w:rsidR="00D16657" w:rsidRPr="00872462" w:rsidRDefault="00D16657" w:rsidP="00610A50">
            <w:pPr>
              <w:pStyle w:val="Normal6"/>
              <w:rPr>
                <w:szCs w:val="24"/>
              </w:rPr>
            </w:pPr>
            <w:r w:rsidRPr="00872462">
              <w:rPr>
                <w:i/>
                <w:iCs/>
              </w:rPr>
              <w:t>(Berör inte den svenska versionen.)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Resolutionsåtgärder bör endast tillämpas om insolvensförfarandena är mindre effektiva.</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Vid tillämpning av punkt 1 c ska en resolutionsåtgärd ligga i allmänintresset om den är nödvändig för att uppfylla och står i proportion till </w:t>
            </w:r>
            <w:r w:rsidRPr="00872462">
              <w:rPr>
                <w:b/>
                <w:i/>
              </w:rPr>
              <w:t>ett eller flera av</w:t>
            </w:r>
            <w:r w:rsidRPr="00872462">
              <w:t xml:space="preserve"> de resolutionsmål som avses i artikel </w:t>
            </w:r>
            <w:r w:rsidRPr="00872462">
              <w:rPr>
                <w:b/>
                <w:i/>
              </w:rPr>
              <w:t>14</w:t>
            </w:r>
            <w:r w:rsidRPr="00872462">
              <w:t xml:space="preserve"> och en avveckling av institutet enligt ett normalt insolvensförfaranden inte skulle uppfylla dessa resolutionsmål i samma utsträckning.</w:t>
            </w:r>
          </w:p>
        </w:tc>
        <w:tc>
          <w:tcPr>
            <w:tcW w:w="4876" w:type="dxa"/>
            <w:hideMark/>
          </w:tcPr>
          <w:p w:rsidR="00D16657" w:rsidRPr="00872462" w:rsidRDefault="00D16657" w:rsidP="00610A50">
            <w:pPr>
              <w:pStyle w:val="Normal6"/>
              <w:rPr>
                <w:szCs w:val="24"/>
              </w:rPr>
            </w:pPr>
            <w:r w:rsidRPr="00872462">
              <w:t>Vid tillämpning av punkt 1 c ska en resolutionsåtgärd ligga i allmänintresset om den</w:t>
            </w:r>
            <w:r w:rsidRPr="00872462">
              <w:rPr>
                <w:b/>
                <w:i/>
              </w:rPr>
              <w:t>, i enlighet med artikel 14.3 andra stycket,</w:t>
            </w:r>
            <w:r w:rsidRPr="00872462">
              <w:t xml:space="preserve"> är nödvändig för att uppfylla och står i proportion till de resolutionsmål som avses i </w:t>
            </w:r>
            <w:r w:rsidRPr="00872462">
              <w:rPr>
                <w:b/>
                <w:i/>
              </w:rPr>
              <w:t>denna</w:t>
            </w:r>
            <w:r w:rsidRPr="00872462">
              <w:t xml:space="preserve"> artikel och en avveckling av institutet enligt ett normalt insolvensförfaranden inte skulle uppfylla dessa resolutionsmål i samma utsträckning.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Vid tillämpning av punkt 1 c ska en resolutionsåtgärd ligga i allmänintresset om den är nödvändig för att uppfylla och står i proportion till ett eller flera av de resolutionsmål som avses i artikel 14 och en avveckling av institutet enligt ett normalt insolvensförfaranden inte skulle uppfylla dessa resolutionsmål i samma utsträckning.</w:t>
            </w:r>
          </w:p>
        </w:tc>
        <w:tc>
          <w:tcPr>
            <w:tcW w:w="4876" w:type="dxa"/>
            <w:hideMark/>
          </w:tcPr>
          <w:p w:rsidR="00D16657" w:rsidRPr="00872462" w:rsidRDefault="00D16657" w:rsidP="00610A50">
            <w:pPr>
              <w:pStyle w:val="Normal6"/>
              <w:rPr>
                <w:szCs w:val="24"/>
              </w:rPr>
            </w:pPr>
            <w:r w:rsidRPr="00872462">
              <w:rPr>
                <w:i/>
                <w:iCs/>
              </w:rPr>
              <w:t>(Berör inte den svenska versionen.)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Vid tillämpning av punkt 1 c ska en resolutionsåtgärd ligga i allmänintresset om den är nödvändig för att uppfylla och står i proportion till ett eller flera av de resolutionsmål som avses i artikel 14 och en avveckling av institutet enligt ett normalt insolvensförfaranden inte skulle uppfylla dessa resolutionsmål i samma utsträckning.</w:t>
            </w:r>
          </w:p>
        </w:tc>
        <w:tc>
          <w:tcPr>
            <w:tcW w:w="4876" w:type="dxa"/>
            <w:hideMark/>
          </w:tcPr>
          <w:p w:rsidR="00D16657" w:rsidRPr="00872462" w:rsidRDefault="00D16657" w:rsidP="00610A50">
            <w:pPr>
              <w:pStyle w:val="Normal6"/>
              <w:rPr>
                <w:szCs w:val="24"/>
              </w:rPr>
            </w:pPr>
            <w:r w:rsidRPr="00872462">
              <w:rPr>
                <w:i/>
                <w:iCs/>
              </w:rPr>
              <w:t>(Berör inte den svenska versionen.)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Nationell insolvens eller klassificering som insolvensinstitut är endast tillåten om detta säkerställer finansiell stabilitet bättre än resolution. Enligt detta kan den stora majoriteten eller förmodligen alla kreditinstitut omklassificeras som resolutionsenheter (icke-likvidationsenheter) i framtiden. Följaktligen skulle denna omklassificering leda till avsevärda administrativa och finansiella bördor för tidigare insolvensinstitut (rapporteringskrav för resolutionsplaner samt efterlevnad av kvoter för minimikrav för kapitalbas och kvalificerade skulder med kapital för minimikrav för kapitalbas och kvalificerade skulder).</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1a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Vid genomförandet av den bedömning som avses i första stycket, i enlighet med artiklarna 8.2, 9.2 och 12d.2, beaktar nämnden följande faktorer för att bedöma huruvida resolutionen är lämplig för institutet: a) Förekomsten av insättningar och avsaknaden av skuldinstrument i finansieringsmodellen. b) Tillgången till kapitalmarknaderna för kvalificerade skulder. c) I vilken utsträckning institutet förlitar sig på kärnprimärkapital för att uppfylla sina kapitalkrav.</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1a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Resolutionsåtgärden ska antas inte ligga i allmänhetens intresse vid tillämpningen av punkt 1 c, om institutet betraktas som ett litet och icke-komplext institut enligt definitionen i artikel 4.1.145 i förordning (EU) nr 575/2013. Om nämnden bedömer att ett eller flera av dessa resolutionsmål skulle vara i riskzonen ska antagandet inte gälla.</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För att öka förutsägbarheten inom ramen bör det finnas ett antagande om negativ bedömning av allmänintresset för små och icke-komplexa institut och om positiv bedömning av allmänintresset för stora institut. Så länge det finns utrymme för nationella resolutionsmyndigheter att utföra bedömningen av allmänintresset kan det finnas olika metoder i olika jurisdiktioner, vilket så småningom skulle kunna påverka ramens lika villkor och förutsägbarhet.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1a (nytt)</w:t>
      </w:r>
      <w:r w:rsidRPr="008724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För enheter som har utsetts till betydande i enlighet med artikel 6.4 i förordning (EU) nr 1024/2013 ska det finnas ett antagande om att avvecklingen under normala insolvensförfaranden inte skulle uppfylla resolutionsmålen i samma utsträckning.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Resolutionsåtgärder bör endast tillämpas om insolvensförfarandena är mindre effektiva.</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219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1b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Resolutionsåtgärden ska antas ligga i allmänhetens intresse vid tillämpningen av punkt 1 c i denna artikel om institutet betraktas som ett stort institut enligt definitionen i artikel 4.1.146 i förordning (EU) nr 575/2013. Om nämnden bedömer att inget resolutionsmål skulle vara i riskzonen ska antagandet inte gälla.</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För att öka förutsägbarheten inom ramen bör det finnas ett antagande om negativ bedömning av allmänintresset för små och icke-komplexa institut och om positiv bedömning av allmänintresset för stora institut. Så länge det finns utrymme för nationella resolutionsmyndigheter att utföra bedömningen av allmänintresset kan det finnas olika metoder i olika jurisdiktioner, vilket så småningom skulle kunna påverka ramens lika villkor och förutsägbarhet.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Vid genomförandet av den bedömning som avses i första stycket ska nämnden, på grundval av den information som den hade tillgång till vid tidpunkten för bedömningen, beakta och jämföra allt extraordinärt offentligt finansiellt stöd som rimligen kan förväntas beviljas enheten, både vid resolution och i händelse av likvidation i enlighet med tillämplig nationell lagstiftning.</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Att utesluta de ytterligare kostnaderna i samband med utformningen av resolutionsprocessen samtidigt som man enbart fokuserar på exceptionellt offentligt ekonomiskt bistånd kan leda till ett förvrängt perspektiv på likvidation vid insolvens. Kostnadsöverväganden bör därför inte tas med i bedömningen av allmänintresset.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Vid genomförandet av den bedömning som avses i första stycket ska nämnden, på grundval av den information som den hade tillgång till vid tidpunkten för bedömningen, beakta och jämföra allt extraordinärt offentligt finansiellt stöd som rimligen kan förväntas beviljas enheten, både vid resolution och i händelse av likvidation i enlighet med tillämplig nationell lagstiftning.</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Vid genomförandet av den bedömning som avses i första stycket </w:t>
            </w:r>
            <w:r w:rsidRPr="00872462">
              <w:rPr>
                <w:b/>
                <w:i/>
              </w:rPr>
              <w:t>ska</w:t>
            </w:r>
            <w:r w:rsidRPr="00872462">
              <w:t xml:space="preserve"> nämnden</w:t>
            </w:r>
            <w:r w:rsidRPr="00872462">
              <w:rPr>
                <w:b/>
                <w:i/>
              </w:rPr>
              <w:t>, på grundval av den information som den hade tillgång till vid tidpunkten för bedömningen, beakta och jämföra allt extraordinärt offentligt finansiellt stöd som rimligen kan förväntas beviljas enheten, både vid resolution och i händelse av likvidation i enlighet med tillämplig nationell lagstiftning</w:t>
            </w:r>
            <w:r w:rsidRPr="00872462">
              <w:t>.</w:t>
            </w:r>
          </w:p>
        </w:tc>
        <w:tc>
          <w:tcPr>
            <w:tcW w:w="4876" w:type="dxa"/>
            <w:hideMark/>
          </w:tcPr>
          <w:p w:rsidR="00D16657" w:rsidRPr="00872462" w:rsidRDefault="00D16657" w:rsidP="00610A50">
            <w:pPr>
              <w:pStyle w:val="Normal6"/>
              <w:rPr>
                <w:szCs w:val="24"/>
              </w:rPr>
            </w:pPr>
            <w:r w:rsidRPr="00872462">
              <w:t>Vid genomförandet av den bedömning som avses i första stycket</w:t>
            </w:r>
            <w:r w:rsidRPr="00872462">
              <w:rPr>
                <w:b/>
                <w:i/>
              </w:rPr>
              <w:t>, i enlighet med artiklarna 8.2, 9.2 och 12d.2, beaktar</w:t>
            </w:r>
            <w:r w:rsidRPr="00872462">
              <w:t xml:space="preserve"> nämnden </w:t>
            </w:r>
            <w:r w:rsidRPr="00872462">
              <w:rPr>
                <w:b/>
                <w:i/>
              </w:rPr>
              <w:t>följande faktorer för att bedöma huruvida resolutionen är lämplig för institutet: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Förekomsten av insättningar och avsaknaden av skuldinstrument i finansieringsmodellen.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Tillgången till kapitalmarknaderna för kvalificerade skulder.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 I vilken utsträckning institutet förlitar sig på kärnprimärkapital för att uppfylla sina kapitalkrav</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Vid genomförandet av den bedömning som avses i första stycket ska nämnden, </w:t>
            </w:r>
            <w:r w:rsidRPr="00872462">
              <w:rPr>
                <w:b/>
                <w:i/>
              </w:rPr>
              <w:t>på grundval av den information som den hade tillgång till vid tidpunkten för bedömningen,</w:t>
            </w:r>
            <w:r w:rsidRPr="00872462">
              <w:t xml:space="preserve"> beakta </w:t>
            </w:r>
            <w:r w:rsidRPr="00872462">
              <w:rPr>
                <w:b/>
                <w:i/>
              </w:rPr>
              <w:t>och jämföra allt extraordinärt offentligt finansiellt stöd som rimligen kan förväntas beviljas enheten, både vid resolution och i händelse av likvidation i enlighet med tillämplig nationell lagstiftning</w:t>
            </w:r>
            <w:r w:rsidRPr="00872462">
              <w:t>.</w:t>
            </w:r>
          </w:p>
        </w:tc>
        <w:tc>
          <w:tcPr>
            <w:tcW w:w="4876" w:type="dxa"/>
            <w:hideMark/>
          </w:tcPr>
          <w:p w:rsidR="00D16657" w:rsidRPr="00872462" w:rsidRDefault="00D16657" w:rsidP="00610A50">
            <w:pPr>
              <w:pStyle w:val="Normal6"/>
              <w:rPr>
                <w:szCs w:val="24"/>
              </w:rPr>
            </w:pPr>
            <w:r w:rsidRPr="00872462">
              <w:t>Vid genomförandet av den bedömning som avses i första stycket</w:t>
            </w:r>
            <w:r w:rsidRPr="00872462">
              <w:rPr>
                <w:b/>
                <w:i/>
              </w:rPr>
              <w:t>, i enlighet med artiklarna 8.2, 9.2 och 12d.2,</w:t>
            </w:r>
            <w:r w:rsidRPr="00872462">
              <w:t xml:space="preserve"> ska nämnden beakta </w:t>
            </w:r>
            <w:r w:rsidRPr="00872462">
              <w:rPr>
                <w:b/>
                <w:i/>
              </w:rPr>
              <w:t>följande faktorer för att bedöma huruvida resolutionen är lämplig för institutet: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Förekomsten av insättningar och avsaknaden av skuldinstrument i finansieringsmodellen.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Tillgången till kapitalmarknaderna för kvalificerade skulder</w:t>
            </w:r>
            <w:r w:rsidRPr="00872462">
              <w: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 I vilken utsträckning institutet förlitar sig på kärnprimärkapital för att uppfylla sina kapitalkrav.</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Vid genomförandet av den bedömning som avses i första stycket ska nämnden, på grundval av den information som den hade tillgång till vid tidpunkten för bedömningen, beakta och jämföra allt extraordinärt offentligt finansiellt stöd som rimligen kan förväntas beviljas enheten, både vid resolution och i händelse av likvidation i enlighet med tillämplig nationell lagstiftning.</w:t>
            </w:r>
          </w:p>
        </w:tc>
        <w:tc>
          <w:tcPr>
            <w:tcW w:w="4876" w:type="dxa"/>
            <w:hideMark/>
          </w:tcPr>
          <w:p w:rsidR="00D16657" w:rsidRPr="00872462" w:rsidRDefault="00D16657" w:rsidP="00610A50">
            <w:pPr>
              <w:pStyle w:val="Normal6"/>
              <w:rPr>
                <w:szCs w:val="24"/>
              </w:rPr>
            </w:pPr>
            <w:r w:rsidRPr="00872462">
              <w:t xml:space="preserve">Vid genomförandet av den bedömning som avses i första stycket ska nämnden, på grundval av den information som den hade tillgång till vid tidpunkten för bedömningen, beakta och jämföra allt extraordinärt offentligt finansiellt stöd som rimligen kan förväntas beviljas enheten, både vid resolution och i händelse av likvidation i enlighet med tillämplig nationell lagstiftning. </w:t>
            </w:r>
            <w:r w:rsidRPr="00872462">
              <w:rPr>
                <w:b/>
                <w:i/>
              </w:rPr>
              <w:t>Om likvidationsstöd förväntas beviljas i samband med avveckling av institutet enligt nationell lagstiftning ska resolutionsåtgärden bedömas vara av allmänintresse.</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Vid genomförandet av den bedömning som avses i första stycket ska nämnden, på grundval av den information som den hade tillgång till vid tidpunkten för bedömningen, </w:t>
            </w:r>
            <w:r w:rsidRPr="00872462">
              <w:rPr>
                <w:b/>
                <w:i/>
              </w:rPr>
              <w:t>beakta</w:t>
            </w:r>
            <w:r w:rsidRPr="00872462">
              <w:t xml:space="preserve"> och jämföra allt extraordinärt offentligt finansiellt stöd som rimligen kan förväntas beviljas enheten, både vid resolution och i händelse av likvidation i enlighet med tillämplig nationell lagstiftning.</w:t>
            </w:r>
          </w:p>
        </w:tc>
        <w:tc>
          <w:tcPr>
            <w:tcW w:w="4876" w:type="dxa"/>
            <w:hideMark/>
          </w:tcPr>
          <w:p w:rsidR="00D16657" w:rsidRPr="00872462" w:rsidRDefault="00D16657" w:rsidP="00610A50">
            <w:pPr>
              <w:pStyle w:val="Normal6"/>
              <w:rPr>
                <w:szCs w:val="24"/>
              </w:rPr>
            </w:pPr>
            <w:r w:rsidRPr="00872462">
              <w:t xml:space="preserve">Vid genomförandet av den bedömning som avses i första stycket ska nämnden, på grundval av den information som den hade tillgång till vid tidpunkten för bedömningen, </w:t>
            </w:r>
            <w:r w:rsidRPr="00872462">
              <w:rPr>
                <w:b/>
                <w:i/>
              </w:rPr>
              <w:t>utvärdera</w:t>
            </w:r>
            <w:r w:rsidRPr="00872462">
              <w:t xml:space="preserve"> och jämföra allt extraordinärt offentligt finansiellt stöd som rimligen kan förväntas beviljas enheten, både vid resolution och i händelse av likvidation i enlighet med tillämplig nationell lagstiftning.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Vid genomförandet av den bedömning som avses i första stycket ska nämnden, på grundval av den information som den hade tillgång till vid tidpunkten </w:t>
            </w:r>
            <w:r w:rsidRPr="00872462">
              <w:rPr>
                <w:b/>
                <w:i/>
              </w:rPr>
              <w:t>för bedömningen</w:t>
            </w:r>
            <w:r w:rsidRPr="00872462">
              <w:t>, beakta och jämföra allt extraordinärt offentligt finansiellt stöd som rimligen kan förväntas beviljas enheten, både vid resolution och i händelse av likvidation i enlighet med tillämplig nationell lagstiftning.</w:t>
            </w:r>
          </w:p>
        </w:tc>
        <w:tc>
          <w:tcPr>
            <w:tcW w:w="4876" w:type="dxa"/>
            <w:hideMark/>
          </w:tcPr>
          <w:p w:rsidR="00D16657" w:rsidRPr="00872462" w:rsidRDefault="00D16657" w:rsidP="00610A50">
            <w:pPr>
              <w:pStyle w:val="Normal6"/>
              <w:rPr>
                <w:szCs w:val="24"/>
              </w:rPr>
            </w:pPr>
            <w:r w:rsidRPr="00872462">
              <w:t xml:space="preserve">Vid genomförandet av den bedömning som avses i första stycket ska nämnden, på grundval av den information som den hade tillgång till vid </w:t>
            </w:r>
            <w:r w:rsidRPr="00872462">
              <w:rPr>
                <w:b/>
                <w:bCs/>
                <w:i/>
                <w:iCs/>
              </w:rPr>
              <w:t>den</w:t>
            </w:r>
            <w:r w:rsidRPr="00872462">
              <w:t xml:space="preserve"> tidpunkten, beakta och jämföra allt extraordinärt offentligt finansiellt stöd som rimligen kan förväntas beviljas enheten, både vid resolution och i händelse av likvidation i enlighet med tillämplig nationell lagstiftning.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Pedro Marques, Aurore Lalucq, Jonás Fernández, René Repasi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2a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Vid tillämpningen av andra stycket ska deltagande medlemsstater, insättningsgarantisystem och, vid behov, den utsedda myndigheten i den mening som avses i artikel 2.1.18 i direktiv 2014/49/EU hålla nämnden underrättad om eventuella förberedande åtgärder för beviljande av de åtgärder som avses i artikel 18a.1 c och d i denna förordning, inbegripet eventuella kontakter med kommissionen före underrättelsen.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5 – stycke 2a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 resolutionsplanen ska nämnden dessutom ta med sina resonemang om förfarandet för att bäst uppnå resolutionsmålen för vart och ett av resolutionsmålen i artikel 14.</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För att öka förutsägbarheten inom ramen bör det finnas ett antagande om negativ bedömning av allmänintresset för små och icke-komplexa institut och om positiv bedömning av allmänintresset för stora institut. Så länge det finns utrymme för nationella resolutionsmyndigheter att utföra bedömningen av allmänintresset kan det finnas olika metoder i olika jurisdiktioner, vilket så småningom skulle kunna påverka ramens lika villkor och förutsägbarhet.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229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19 – led ea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11a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(ea) Följande stycke ska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11a. För att säkerställa en effektiv och konsekvent tillämpning av denna artikel ska nämnden ge vägledning och rikta instruktioner till de nationella resolutionsmyndigheterna för tillämpningen av de tekniska standarder för tillsyn som avses i artikel 32.5 i direktiv 2014/59/EU.</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För att öka förutsägbarheten inom ramen bör det finnas ett antagande om negativ bedömning av allmänintresset för små och icke-komplexa institut och om positiv bedömning av allmänintresset för stora institut. Så länge det finns utrymme för nationella resolutionsmyndigheter att utföra bedömningen av allmänintresset kan det finnas olika metoder i olika jurisdiktioner, vilket så småningom skulle kunna påverka ramens lika villkor och förutsägbarhet.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rubriken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Extraordinärt </w:t>
            </w:r>
            <w:r w:rsidRPr="00872462">
              <w:rPr>
                <w:b/>
                <w:i/>
              </w:rPr>
              <w:t>offentligt</w:t>
            </w:r>
            <w:r w:rsidRPr="00872462">
              <w:t xml:space="preserve"> finansiellt stöd</w:t>
            </w:r>
          </w:p>
        </w:tc>
        <w:tc>
          <w:tcPr>
            <w:tcW w:w="4876" w:type="dxa"/>
            <w:hideMark/>
          </w:tcPr>
          <w:p w:rsidR="00D16657" w:rsidRPr="00872462" w:rsidRDefault="00D16657" w:rsidP="00610A50">
            <w:pPr>
              <w:pStyle w:val="Normal6"/>
              <w:rPr>
                <w:szCs w:val="24"/>
              </w:rPr>
            </w:pPr>
            <w:r w:rsidRPr="00872462">
              <w:t>Extraordinärt finansiellt stöd</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1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Extraordinärt offentligt finansiellt stöd utanför resolutionsåtgärder får beviljas en enhet som avses i artikel 2 endast i ett av följande fall och under förutsättning att det extraordinära offentliga finansiella stödet uppfyller de villkor och krav som fastställs i unionens regler om statligt stöd:</w:t>
            </w:r>
          </w:p>
        </w:tc>
        <w:tc>
          <w:tcPr>
            <w:tcW w:w="4876" w:type="dxa"/>
            <w:hideMark/>
          </w:tcPr>
          <w:p w:rsidR="00D16657" w:rsidRPr="00872462" w:rsidRDefault="00D16657" w:rsidP="00610A50">
            <w:pPr>
              <w:pStyle w:val="Normal6"/>
              <w:rPr>
                <w:szCs w:val="24"/>
              </w:rPr>
            </w:pPr>
            <w:r w:rsidRPr="00872462">
              <w:t>1.</w:t>
            </w:r>
            <w:r w:rsidRPr="00872462">
              <w:tab/>
              <w:t xml:space="preserve">Extraordinärt offentligt finansiellt stöd utanför resolutionsåtgärder får beviljas en enhet som avses i artikel 2 </w:t>
            </w:r>
            <w:r w:rsidRPr="00872462">
              <w:rPr>
                <w:b/>
                <w:i/>
              </w:rPr>
              <w:t>i undantagsfall</w:t>
            </w:r>
            <w:r w:rsidRPr="00872462">
              <w:t xml:space="preserve"> endast i ett av följande fall och under förutsättning att det extraordinära offentliga finansiella stödet uppfyller de villkor och krav som fastställs i unionens regler om statligt stöd </w:t>
            </w:r>
            <w:r w:rsidRPr="00872462">
              <w:rPr>
                <w:b/>
                <w:i/>
              </w:rPr>
              <w:t>och att stödet genomförs i medlemsstatens lagstiftning</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Det bör klargöras att det inte skulle vara obligatoriskt för medlemsstaterna att ha alla extraordinära offentliga finansiella stödalternativ tillgängliga. Detta bör helt klart vara ett alternativ för medlemsstaterna om de vill ha vissa eller alla av leden a–d tillgängliga. Vi vill inte att staten alltid ska vara beredd att rädda fallerande banker. I stället är det att föredra att det finns en trovärdig ram för resolution och insolvens för att hantera sådana banker.</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1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 xml:space="preserve">Extraordinärt </w:t>
            </w:r>
            <w:r w:rsidRPr="00872462">
              <w:rPr>
                <w:b/>
                <w:i/>
              </w:rPr>
              <w:t>offentligt</w:t>
            </w:r>
            <w:r w:rsidRPr="00872462">
              <w:t xml:space="preserve"> finansiellt stöd utanför resolutionsåtgärder får beviljas en enhet som avses i artikel 2 endast i ett av följande fall och under förutsättning att det extraordinära offentliga finansiella stödet uppfyller de villkor och krav som fastställs i unionens regler om statligt stöd:</w:t>
            </w:r>
          </w:p>
        </w:tc>
        <w:tc>
          <w:tcPr>
            <w:tcW w:w="4876" w:type="dxa"/>
            <w:hideMark/>
          </w:tcPr>
          <w:p w:rsidR="00D16657" w:rsidRPr="00872462" w:rsidRDefault="00D16657" w:rsidP="00610A50">
            <w:pPr>
              <w:pStyle w:val="Normal6"/>
              <w:rPr>
                <w:szCs w:val="24"/>
              </w:rPr>
            </w:pPr>
            <w:r w:rsidRPr="00872462">
              <w:t>1.</w:t>
            </w:r>
            <w:r w:rsidRPr="00872462">
              <w:tab/>
              <w:t>Extraordinärt finansiellt stöd utanför resolutionsåtgärder får beviljas en enhet som avses i artikel 2 endast i ett av följande fall och under förutsättning att det extraordinära offentliga finansiella stödet uppfyller de villkor och krav som fastställs i unionens regler om statligt stöd:</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1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(a)</w:t>
            </w:r>
            <w:r w:rsidRPr="00872462">
              <w:rPr>
                <w:b/>
                <w:i/>
              </w:rPr>
              <w:tab/>
              <w:t>Om extraordinärt offentligt finansiellt stöd, för att avhjälpa en allvarlig störning i en medlemsstats ekonomi och bevara den finansiella stabiliteten, ges i någon av följande former:</w:t>
            </w:r>
          </w:p>
        </w:tc>
        <w:tc>
          <w:tcPr>
            <w:tcW w:w="4876" w:type="dxa"/>
            <w:hideMark/>
          </w:tcPr>
          <w:p w:rsidR="00D16657" w:rsidRPr="00872462" w:rsidRDefault="00D16657" w:rsidP="00610A50">
            <w:pPr>
              <w:pStyle w:val="Normal6"/>
              <w:rPr>
                <w:szCs w:val="24"/>
              </w:rPr>
            </w:pPr>
            <w:r w:rsidRPr="00872462">
              <w:rPr>
                <w:b/>
                <w:i/>
              </w:rPr>
              <w:t>utgår</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i)</w:t>
            </w:r>
            <w:r w:rsidRPr="00872462">
              <w:rPr>
                <w:b/>
                <w:i/>
              </w:rPr>
              <w:tab/>
              <w:t>En statlig garanti för att garantera likviditetsfaciliteter som tillhandahålls av centralbanker på centralbankernas villkor.</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rPr>
              <w:t>ii)</w:t>
            </w:r>
            <w:r w:rsidRPr="00872462">
              <w:rPr>
                <w:b/>
                <w:i/>
              </w:rPr>
              <w:tab/>
              <w:t>En statlig garanti för nya skuldförbindelser.</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rPr>
              <w:t>iii)</w:t>
            </w:r>
            <w:r w:rsidRPr="00872462">
              <w:rPr>
                <w:b/>
                <w:i/>
              </w:rPr>
              <w:tab/>
              <w:t>Ett förvärv av andra kapitalbasinstrument än kärnprimärkapitalinstrument eller andra kapitalinstrument, eller användning av åtgärder för värdeminskade tillgångar till priser, varaktighet och villkor som inte ger det berörda institutet eller den berörda enheten en otillbörlig fördel, förutsatt att ingen av de omständigheter som avses i artikel 18.4 a, b eller c eller artikel 21.1 föreligger vid den tidpunkt då det offentliga stödet beviljas.</w:t>
            </w:r>
          </w:p>
        </w:tc>
        <w:tc>
          <w:tcPr>
            <w:tcW w:w="4876" w:type="dxa"/>
          </w:tcPr>
          <w:p w:rsidR="00D16657" w:rsidRPr="00872462" w:rsidRDefault="00D16657" w:rsidP="00610A50">
            <w:pPr>
              <w:pStyle w:val="Normal6"/>
              <w:rPr>
                <w:szCs w:val="24"/>
              </w:rPr>
            </w:pP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1 – led a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Om extraordinärt offentligt finansiellt stöd, för att avhjälpa en allvarlig störning i en medlemsstats ekonomi och bevara den finansiella stabiliteten, ges i någon av följande former:</w:t>
            </w:r>
          </w:p>
        </w:tc>
        <w:tc>
          <w:tcPr>
            <w:tcW w:w="4876" w:type="dxa"/>
            <w:hideMark/>
          </w:tcPr>
          <w:p w:rsidR="00D16657" w:rsidRPr="00872462" w:rsidRDefault="00D16657" w:rsidP="00610A50">
            <w:pPr>
              <w:pStyle w:val="Normal6"/>
              <w:rPr>
                <w:szCs w:val="24"/>
              </w:rPr>
            </w:pPr>
            <w:r w:rsidRPr="00872462">
              <w:t>(a)</w:t>
            </w:r>
            <w:r w:rsidRPr="00872462">
              <w:tab/>
              <w:t xml:space="preserve">Om extraordinärt offentligt finansiellt stöd, för att avhjälpa en allvarlig störning i en medlemsstats ekonomi </w:t>
            </w:r>
            <w:r w:rsidRPr="00872462">
              <w:rPr>
                <w:b/>
                <w:i/>
              </w:rPr>
              <w:t>som är exceptionell eller systemisk till sin natur</w:t>
            </w:r>
            <w:r w:rsidRPr="00872462">
              <w:t xml:space="preserve"> och bevara den finansiella stabiliteten, ges i någon av följande former: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1 – led a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Om extraordinärt offentligt finansiellt stöd, för att avhjälpa en allvarlig störning i en medlemsstats ekonomi och bevara den finansiella stabiliteten, ges i någon av följande former:</w:t>
            </w:r>
          </w:p>
        </w:tc>
        <w:tc>
          <w:tcPr>
            <w:tcW w:w="4876" w:type="dxa"/>
            <w:hideMark/>
          </w:tcPr>
          <w:p w:rsidR="00D16657" w:rsidRPr="00872462" w:rsidRDefault="00D16657" w:rsidP="00610A50">
            <w:pPr>
              <w:pStyle w:val="Normal6"/>
              <w:rPr>
                <w:szCs w:val="24"/>
              </w:rPr>
            </w:pPr>
            <w:r w:rsidRPr="00872462">
              <w:rPr>
                <w:i/>
                <w:iCs/>
              </w:rPr>
              <w:t>(Berör inte den svenska versionen.)</w:t>
            </w:r>
            <w:r w:rsidRPr="00872462">
              <w:tab/>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1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(b)</w:t>
            </w:r>
            <w:r w:rsidRPr="00872462">
              <w:rPr>
                <w:b/>
                <w:i/>
              </w:rPr>
              <w:tab/>
              <w:t>Om det extraordinära offentliga finansiella stödet ges i form av ett ingripande av ett insättningsgarantisystem för att bevara kreditinstitutets finansiella sundhet och långsiktiga lönsamhet i enlighet med villkoren i artiklarna 11a och 11b i direktiv 2014/49/EU, förutsatt att inga eller de omständigheter som avses i artikel 18.4 föreligger.</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1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Om det extraordinära offentliga finansiella stödet ges i form av ett ingripande av ett insättningsgarantisystem för att bevara kreditinstitutets finansiella sundhet och långsiktiga lönsamhet i enlighet med villkoren i artiklarna 11a och 11b i direktiv 2014/49/EU, förutsatt att inga eller de omständigheter som avses i artikel 18.4 föreligger.</w:t>
            </w:r>
          </w:p>
        </w:tc>
        <w:tc>
          <w:tcPr>
            <w:tcW w:w="4876" w:type="dxa"/>
            <w:hideMark/>
          </w:tcPr>
          <w:p w:rsidR="00D16657" w:rsidRPr="00872462" w:rsidRDefault="00D16657" w:rsidP="00610A50">
            <w:pPr>
              <w:pStyle w:val="Normal6"/>
              <w:rPr>
                <w:szCs w:val="24"/>
              </w:rPr>
            </w:pPr>
            <w:r w:rsidRPr="00872462">
              <w:t>(b)</w:t>
            </w:r>
            <w:r w:rsidRPr="00872462">
              <w:tab/>
              <w:t xml:space="preserve">Om det extraordinära offentliga finansiella stödet ges i form av ett </w:t>
            </w:r>
            <w:r w:rsidRPr="00872462">
              <w:rPr>
                <w:b/>
                <w:i/>
              </w:rPr>
              <w:t>kostnadseffektivt</w:t>
            </w:r>
            <w:r w:rsidRPr="00872462">
              <w:t xml:space="preserve"> ingripande av ett insättningsgarantisystem för att bevara kreditinstitutets finansiella sundhet och långsiktiga lönsamhet i enlighet med villkoren i artiklarna 11a och 11b i direktiv 2014/49/EU, förutsatt att inga eller de omständigheter som avses i artikel 18.4 föreligger.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1 – led c</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(c)</w:t>
            </w:r>
            <w:r w:rsidRPr="00872462">
              <w:tab/>
              <w:t>Om det extraordinära offentliga finansiella stödet ges i form av ett ingripande av ett insättningsgarantisystem i samband med avvecklingen av ett institut i enlighet med artikel 32b i direktiv 2014/59/EU och i enlighet med villkoren i artikel 11.5 i direktiv 2014/49/EU.</w:t>
            </w:r>
          </w:p>
        </w:tc>
        <w:tc>
          <w:tcPr>
            <w:tcW w:w="4876" w:type="dxa"/>
            <w:hideMark/>
          </w:tcPr>
          <w:p w:rsidR="00D16657" w:rsidRPr="00872462" w:rsidRDefault="00D16657" w:rsidP="00610A50">
            <w:pPr>
              <w:pStyle w:val="Normal6"/>
              <w:rPr>
                <w:szCs w:val="24"/>
              </w:rPr>
            </w:pPr>
            <w:r w:rsidRPr="00872462">
              <w:t>(c)</w:t>
            </w:r>
            <w:r w:rsidRPr="00872462">
              <w:tab/>
              <w:t xml:space="preserve">Om det extraordinära offentliga finansiella stödet ges i form av ett </w:t>
            </w:r>
            <w:r w:rsidRPr="00872462">
              <w:rPr>
                <w:b/>
                <w:i/>
              </w:rPr>
              <w:t>kostnadseffektivt</w:t>
            </w:r>
            <w:r w:rsidRPr="00872462">
              <w:t xml:space="preserve"> ingripande av ett insättningsgarantisystem i samband med avvecklingen av ett institut i enlighet med artikel 32b i direktiv 2014/59/EU och i enlighet med villkoren i artikel 11.5 i direktiv 2014/49/EU.</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239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1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(d)</w:t>
            </w:r>
            <w:r w:rsidRPr="00872462">
              <w:rPr>
                <w:b/>
                <w:i/>
              </w:rPr>
              <w:tab/>
              <w:t>Om det extraordinära offentliga finansiella stödet ges i form av statligt stöd i den mening som avses i artikel 107.1 i EUF-fördraget som beviljas i samband med avvecklingen av institutet eller enheten i enlighet med artikel 32b i direktiv 2014/59/EU, förutom det stöd som beviljas av ett insättningsgarantisystem i enlighet med artikel 11.5 i direktiv 2014/49/EU.</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1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De stödåtgärder som avses i punkt 1 a ska uppfylla samtliga följande villkor:</w:t>
            </w:r>
          </w:p>
        </w:tc>
        <w:tc>
          <w:tcPr>
            <w:tcW w:w="4876" w:type="dxa"/>
            <w:hideMark/>
          </w:tcPr>
          <w:p w:rsidR="00D16657" w:rsidRPr="00872462" w:rsidRDefault="00D16657" w:rsidP="00610A50">
            <w:pPr>
              <w:pStyle w:val="Normal6"/>
              <w:rPr>
                <w:szCs w:val="24"/>
              </w:rPr>
            </w:pPr>
            <w:r w:rsidRPr="00872462">
              <w:t xml:space="preserve">De stödåtgärder som avses i punkt 1 a </w:t>
            </w:r>
            <w:r w:rsidRPr="00872462">
              <w:rPr>
                <w:b/>
                <w:i/>
              </w:rPr>
              <w:t>och b</w:t>
            </w:r>
            <w:r w:rsidRPr="00872462">
              <w:t xml:space="preserve"> ska uppfylla samtliga följande villkor: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Förebyggande former av stöd bör behandlas lika för att bevara lika villkor, oavsett om de kommer från offentliga medel eller från ett privat insättningsgarantisystem. Vid förebyggande rekapitalisering måste det säkerställas att den lämpligaste värderingen används.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1 – inledningen</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De stödåtgärder som avses i punkt 1 </w:t>
            </w:r>
            <w:r w:rsidRPr="00872462">
              <w:rPr>
                <w:b/>
                <w:i/>
              </w:rPr>
              <w:t>a</w:t>
            </w:r>
            <w:r w:rsidRPr="00872462">
              <w:t xml:space="preserve"> ska uppfylla samtliga följande villkor:</w:t>
            </w:r>
          </w:p>
        </w:tc>
        <w:tc>
          <w:tcPr>
            <w:tcW w:w="4876" w:type="dxa"/>
            <w:hideMark/>
          </w:tcPr>
          <w:p w:rsidR="00D16657" w:rsidRPr="00872462" w:rsidRDefault="00D16657" w:rsidP="00610A50">
            <w:pPr>
              <w:pStyle w:val="Normal6"/>
              <w:rPr>
                <w:szCs w:val="24"/>
              </w:rPr>
            </w:pPr>
            <w:r w:rsidRPr="00872462">
              <w:t xml:space="preserve">De stödåtgärder som avses i punkt 1 </w:t>
            </w:r>
            <w:r w:rsidRPr="00872462">
              <w:rPr>
                <w:b/>
                <w:i/>
              </w:rPr>
              <w:t>b</w:t>
            </w:r>
            <w:r w:rsidRPr="00872462">
              <w:t xml:space="preserve"> ska uppfylla samtliga följande villkor: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1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Åtgärderna är av förebyggande och tillfällig karaktär och grundar sig på en på förhand fastställd utträdesstrategi som godkänts av ECB eller den relevanta nationella behöriga myndigheten</w:t>
            </w:r>
            <w:r w:rsidRPr="00872462">
              <w:rPr>
                <w:b/>
                <w:i/>
              </w:rPr>
              <w:t>, inbegripet ett tydligt angivet uppsägningsdatum, försäljningsdatum eller återbetalningsplan för någon av de åtgärder som tillhandahålls</w:t>
            </w:r>
            <w:r w:rsidRPr="00872462">
              <w:t>.</w:t>
            </w:r>
          </w:p>
        </w:tc>
        <w:tc>
          <w:tcPr>
            <w:tcW w:w="4876" w:type="dxa"/>
            <w:hideMark/>
          </w:tcPr>
          <w:p w:rsidR="00D16657" w:rsidRPr="00872462" w:rsidRDefault="00D16657" w:rsidP="00610A50">
            <w:pPr>
              <w:pStyle w:val="Normal6"/>
              <w:rPr>
                <w:szCs w:val="24"/>
              </w:rPr>
            </w:pPr>
            <w:r w:rsidRPr="00872462">
              <w:t>(b)</w:t>
            </w:r>
            <w:r w:rsidRPr="00872462">
              <w:tab/>
              <w:t>Åtgärderna är av förebyggande och tillfällig karaktär och grundar sig på en på förhand fastställd utträdesstrategi som godkänts av ECB eller den relevanta nationella behöriga myndigheten.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1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w:t>
            </w:r>
            <w:r w:rsidRPr="00872462">
              <w:tab/>
              <w:t xml:space="preserve">Åtgärderna används inte för att kompensera för förluster som enheten har ådragit sig eller sannolikt kommer att ådra sig </w:t>
            </w:r>
            <w:r w:rsidRPr="00872462">
              <w:rPr>
                <w:b/>
                <w:i/>
              </w:rPr>
              <w:t>inom en nära framtid</w:t>
            </w:r>
            <w:r w:rsidRPr="00872462">
              <w:t>.</w:t>
            </w:r>
          </w:p>
        </w:tc>
        <w:tc>
          <w:tcPr>
            <w:tcW w:w="4876" w:type="dxa"/>
            <w:hideMark/>
          </w:tcPr>
          <w:p w:rsidR="00D16657" w:rsidRPr="00872462" w:rsidRDefault="00D16657" w:rsidP="00610A50">
            <w:pPr>
              <w:pStyle w:val="Normal6"/>
              <w:rPr>
                <w:szCs w:val="24"/>
              </w:rPr>
            </w:pPr>
            <w:r w:rsidRPr="00872462">
              <w:t>(d)</w:t>
            </w:r>
            <w:r w:rsidRPr="00872462">
              <w:tab/>
              <w:t xml:space="preserve">Åtgärderna används inte för att kompensera för förluster som enheten har ådragit sig eller sannolikt kommer att ådra sig </w:t>
            </w:r>
            <w:r w:rsidRPr="00872462">
              <w:rPr>
                <w:b/>
                <w:i/>
              </w:rPr>
              <w:t>under de kommande tolv månaderna</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1 – led d</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w:t>
            </w:r>
            <w:r w:rsidRPr="00872462">
              <w:tab/>
              <w:t xml:space="preserve">Åtgärderna används inte för att kompensera för förluster som enheten har ådragit sig eller sannolikt kommer att ådra sig inom </w:t>
            </w:r>
            <w:r w:rsidRPr="00872462">
              <w:rPr>
                <w:b/>
                <w:i/>
              </w:rPr>
              <w:t>en nära framtid</w:t>
            </w:r>
            <w:r w:rsidRPr="00872462">
              <w:t>.</w:t>
            </w:r>
          </w:p>
        </w:tc>
        <w:tc>
          <w:tcPr>
            <w:tcW w:w="4876" w:type="dxa"/>
            <w:hideMark/>
          </w:tcPr>
          <w:p w:rsidR="00D16657" w:rsidRPr="00872462" w:rsidRDefault="00D16657" w:rsidP="00610A50">
            <w:pPr>
              <w:pStyle w:val="Normal6"/>
              <w:rPr>
                <w:szCs w:val="24"/>
              </w:rPr>
            </w:pPr>
            <w:r w:rsidRPr="00872462">
              <w:t>(d)</w:t>
            </w:r>
            <w:r w:rsidRPr="00872462">
              <w:tab/>
              <w:t xml:space="preserve">Åtgärderna används inte för att kompensera för förluster som enheten har ådragit sig eller sannolikt kommer att ådra sig inom </w:t>
            </w:r>
            <w:r w:rsidRPr="00872462">
              <w:rPr>
                <w:b/>
                <w:i/>
              </w:rPr>
              <w:t>de kommande tolv månaderna</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Vid tillämpning av första stycket led a ska en enhet anses vara solvent om ECB eller den relevanta nationella behöriga myndigheten har konstaterat att ingen överträdelse har ägt rum, eller </w:t>
            </w:r>
            <w:r w:rsidRPr="00872462">
              <w:rPr>
                <w:b/>
                <w:i/>
              </w:rPr>
              <w:t>sannolikt kommer att</w:t>
            </w:r>
            <w:r w:rsidRPr="00872462">
              <w:t xml:space="preserve"> inträffa under de 12 följande månaderna, av något av de krav som avses i artikel 92.1 i förordning (EU) nr 575/2013, artikel 104a i direktiv 2013/36/EU, artikel 11.1 i förordning (EU) 2019/2033, artikel 40 i direktiv (EU) 2019/2034 eller relevanta tillämpliga krav enligt nationell lagstiftning eller unionslagstiftning.</w:t>
            </w:r>
          </w:p>
        </w:tc>
        <w:tc>
          <w:tcPr>
            <w:tcW w:w="4876" w:type="dxa"/>
            <w:hideMark/>
          </w:tcPr>
          <w:p w:rsidR="00D16657" w:rsidRPr="00872462" w:rsidRDefault="00D16657" w:rsidP="00610A50">
            <w:pPr>
              <w:pStyle w:val="Normal6"/>
              <w:rPr>
                <w:szCs w:val="24"/>
              </w:rPr>
            </w:pPr>
            <w:r w:rsidRPr="00872462">
              <w:t xml:space="preserve">Vid tillämpning av första stycket led a ska en enhet anses vara solvent om ECB eller den relevanta nationella behöriga myndigheten har konstaterat att ingen överträdelse har ägt rum, eller </w:t>
            </w:r>
            <w:r w:rsidRPr="00872462">
              <w:rPr>
                <w:b/>
                <w:i/>
              </w:rPr>
              <w:t>kan förutses</w:t>
            </w:r>
            <w:r w:rsidRPr="00872462">
              <w:t xml:space="preserve"> inträffa under de 12 följande månaderna</w:t>
            </w:r>
            <w:r w:rsidRPr="00872462">
              <w:rPr>
                <w:b/>
                <w:i/>
              </w:rPr>
              <w:t>, under rådande ekonomiska villkor</w:t>
            </w:r>
            <w:r w:rsidRPr="00872462">
              <w:t>, av något av de krav som avses i artikel 92.1 i förordning (EU) nr 575/2013, artikel 104a i direktiv 2013/36/EU, artikel 11.1 i förordning (EU) 2019/2033, artikel 40 i direktiv (EU) 2019/2034 eller relevanta tillämpliga krav enligt nationell lagstiftning eller unionslagstiftning.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Vid tillämpning av första stycket led a ska en enhet anses vara solvent om ECB eller den relevanta nationella behöriga myndigheten har konstaterat att ingen överträdelse har ägt rum</w:t>
            </w:r>
            <w:r w:rsidRPr="00872462">
              <w:rPr>
                <w:b/>
                <w:i/>
              </w:rPr>
              <w:t>, eller sannolikt kommer att inträffa under de 12 följande månaderna,</w:t>
            </w:r>
            <w:r w:rsidRPr="00872462">
              <w:t xml:space="preserve"> av något av de krav som avses i artikel 92.1 i förordning (EU) nr 575/2013, artikel 104a i direktiv 2013/36/EU, artikel 11.1 i förordning (EU) 2019/2033, artikel 40 i direktiv (EU) 2019/2034 eller relevanta tillämpliga krav enligt nationell lagstiftning eller unionslagstiftning.</w:t>
            </w:r>
          </w:p>
        </w:tc>
        <w:tc>
          <w:tcPr>
            <w:tcW w:w="4876" w:type="dxa"/>
            <w:hideMark/>
          </w:tcPr>
          <w:p w:rsidR="00D16657" w:rsidRPr="00872462" w:rsidRDefault="00D16657" w:rsidP="00610A50">
            <w:pPr>
              <w:pStyle w:val="Normal6"/>
              <w:rPr>
                <w:szCs w:val="24"/>
              </w:rPr>
            </w:pPr>
            <w:r w:rsidRPr="00872462">
              <w:t>Vid tillämpning av första stycket led a ska en enhet anses vara solvent om ECB eller den relevanta nationella behöriga myndigheten har konstaterat att ingen överträdelse har ägt rum av något av de krav som avses i artikel 92.1 i förordning (EU) nr 575/2013, artikel 104a i direktiv 2013/36/EU, artikel 11.1 i förordning (EU) 2019/2033, artikel 40 i direktiv (EU) 2019/2034 eller relevanta tillämpliga krav enligt nationell lagstiftning eller unionslagstiftning.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2a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ECB eller den relevanta nationella behöriga myndigheten får bedöma att en enhet är solvent om de fastställer att en överträdelse av de krav som avses i andra stycket är av tillfällig karaktär, med beaktande av de särskilda omständigheterna i varje fall, och förutsatt att enheten kan visa att det finns en rimlig plan för att komma till rätta med överträdelsen inom en lämplig tidsram som fastställts av ECB eller den relevanta nationella behöriga myndigheten.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Vid tillämpning av första stycket d ska den relevanta behöriga myndigheten kvantifiera de förluster som enheten har ådragit sig eller sannolikt kommer att ådra sig. Kvantifieringen ska åtminstone baseras på institutets balansräkning, förutsatt att balansräkningen överensstämmer med tillämpliga redovisningsregler och redovisningsstandarder, som bekräftats av en oberoende extern revisor</w:t>
            </w:r>
            <w:r w:rsidRPr="00872462">
              <w:rPr>
                <w:b/>
                <w:i/>
              </w:rPr>
              <w:t>, och, i förekommande fall, på översyner av tillgångarnas kvalitet som utförts av ECB, EBA eller nationella myndigheter eller, i förekommande fall, på inspektioner på plats som utförts av ECB eller</w:t>
            </w:r>
            <w:r w:rsidRPr="00872462">
              <w:t xml:space="preserve"> den </w:t>
            </w:r>
            <w:r w:rsidRPr="00872462">
              <w:rPr>
                <w:b/>
                <w:i/>
              </w:rPr>
              <w:t>relevanta nationella</w:t>
            </w:r>
            <w:r w:rsidRPr="00872462">
              <w:t xml:space="preserve"> behöriga myndigheten.</w:t>
            </w:r>
          </w:p>
        </w:tc>
        <w:tc>
          <w:tcPr>
            <w:tcW w:w="4876" w:type="dxa"/>
            <w:hideMark/>
          </w:tcPr>
          <w:p w:rsidR="00D16657" w:rsidRPr="00872462" w:rsidRDefault="00D16657" w:rsidP="00610A50">
            <w:pPr>
              <w:pStyle w:val="Normal6"/>
              <w:rPr>
                <w:szCs w:val="24"/>
              </w:rPr>
            </w:pPr>
            <w:r w:rsidRPr="00872462">
              <w:t xml:space="preserve">Vid tillämpning av första stycket d ska den relevanta behöriga myndigheten kvantifiera de förluster som enheten har ådragit sig eller sannolikt kommer att ådra sig. Kvantifieringen ska åtminstone baseras på </w:t>
            </w:r>
            <w:r w:rsidRPr="00872462">
              <w:rPr>
                <w:b/>
                <w:i/>
              </w:rPr>
              <w:t>översyner av tillgångarnas kvalitet som utförs av ECB, EBA eller nationella myndigheter eller, i förekommande fall, på inspektioner på plats som utförs av den behöriga myndigheten. Om sådana åtgärder inte kan genomföras i tid kan den behöriga myndigheten basera sin utvärdering på</w:t>
            </w:r>
            <w:r w:rsidRPr="00872462">
              <w:t xml:space="preserve"> institutets balansräkning, förutsatt att balansräkningen överensstämmer med tillämpliga redovisningsregler och redovisningsstandarder, som bekräftats av en oberoende extern revisor</w:t>
            </w:r>
            <w:r w:rsidRPr="00872462">
              <w:rPr>
                <w:b/>
                <w:i/>
              </w:rPr>
              <w:t xml:space="preserve">. </w:t>
            </w:r>
            <w:r w:rsidRPr="00872462">
              <w:t xml:space="preserve">Den behöriga myndigheten </w:t>
            </w:r>
            <w:r w:rsidRPr="00872462">
              <w:rPr>
                <w:b/>
                <w:i/>
              </w:rPr>
              <w:t>ska göra sitt yttersta för att säkerställa att kvantifieringen baseras på marknadsvärdet av institutets eller enhetens tillgångar, skulder och poster utanför balansräkningen</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Förebyggande former av stöd bör behandlas lika för att bevara lika villkor, oavsett om de kommer från offentliga medel eller från ett privat insättningsgarantisystem. Vid förebyggande rekapitalisering måste det säkerställas att den lämpligaste värderingen används.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249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Vid tillämpning av första stycket d ska den relevanta behöriga myndigheten kvantifiera de förluster som enheten har ådragit sig eller sannolikt kommer att ådra sig. Kvantifieringen ska åtminstone baseras på institutets balansräkning, förutsatt att balansräkningen överensstämmer med tillämpliga redovisningsregler och redovisningsstandarder, som bekräftats av en oberoende extern revisor</w:t>
            </w:r>
            <w:r w:rsidRPr="00872462">
              <w:rPr>
                <w:b/>
                <w:i/>
              </w:rPr>
              <w:t>, och, i förekommande fall, på översyner av tillgångarnas kvalitet som utförts av ECB, EBA eller nationella myndigheter eller, i förekommande fall, på inspektioner på plats som utförts av ECB eller den relevanta nationella behöriga myndigheten</w:t>
            </w:r>
            <w:r w:rsidRPr="00872462">
              <w:t>.</w:t>
            </w:r>
          </w:p>
        </w:tc>
        <w:tc>
          <w:tcPr>
            <w:tcW w:w="4876" w:type="dxa"/>
            <w:hideMark/>
          </w:tcPr>
          <w:p w:rsidR="00D16657" w:rsidRPr="00872462" w:rsidRDefault="00D16657" w:rsidP="00610A50">
            <w:pPr>
              <w:pStyle w:val="Normal6"/>
              <w:rPr>
                <w:szCs w:val="24"/>
              </w:rPr>
            </w:pPr>
            <w:r w:rsidRPr="00872462">
              <w:t xml:space="preserve">Vid tillämpning av första stycket d ska den relevanta behöriga myndigheten kvantifiera de förluster som enheten har ådragit sig eller sannolikt kommer att ådra sig. Kvantifieringen ska åtminstone baseras på </w:t>
            </w:r>
            <w:r w:rsidRPr="00872462">
              <w:rPr>
                <w:b/>
                <w:i/>
              </w:rPr>
              <w:t>översyner av tillgångarnas kvalitet som utförs av ECB, EBA eller nationella myndigheter eller, i förekommande fall, på inspektioner på plats som utförs av ECB eller den relevanta nationella behöriga myndigheten. Om sådana åtgärder inte kan genomföras i tid kan den behöriga myndigheten basera sin utvärdering på</w:t>
            </w:r>
            <w:r w:rsidRPr="00872462">
              <w:t xml:space="preserve"> institutets balansräkning, förutsatt att balansräkningen överensstämmer med tillämpliga redovisningsregler och redovisningsstandarder, som bekräftats av en oberoende extern revisor.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4</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De</w:t>
            </w:r>
            <w:r w:rsidRPr="00872462">
              <w:t xml:space="preserve"> stödåtgärder som avses i </w:t>
            </w:r>
            <w:r w:rsidRPr="00872462">
              <w:rPr>
                <w:b/>
                <w:i/>
              </w:rPr>
              <w:t>punkt 1 a iii</w:t>
            </w:r>
            <w:r w:rsidRPr="00872462">
              <w:t xml:space="preserve"> ska begränsas till åtgärder som ECB eller den nationella behöriga myndigheten har bedömt som nödvändiga för att upprätthålla enhetens solvens genom att åtgärda dess kapitalunderskott som fastställts i det negativa scenariot med stresstester på nationell nivå, unionsnivå eller på nivån för den gemensamma tillsynsmekanismen eller enligt motsvarande genomgångar som i tillämpliga fall utförts av ECB, EBA eller nationella myndigheter, bekräftade av ECB eller den relevanta behöriga myndigheten.</w:t>
            </w:r>
          </w:p>
        </w:tc>
        <w:tc>
          <w:tcPr>
            <w:tcW w:w="4876" w:type="dxa"/>
            <w:hideMark/>
          </w:tcPr>
          <w:p w:rsidR="00D16657" w:rsidRPr="00872462" w:rsidRDefault="00D16657" w:rsidP="00610A50">
            <w:pPr>
              <w:pStyle w:val="Normal6"/>
              <w:rPr>
                <w:szCs w:val="24"/>
              </w:rPr>
            </w:pPr>
            <w:r w:rsidRPr="00872462">
              <w:t xml:space="preserve">Stödåtgärder </w:t>
            </w:r>
            <w:r w:rsidRPr="00872462">
              <w:rPr>
                <w:b/>
                <w:i/>
              </w:rPr>
              <w:t>får omfatta ett förvärv av andra kapitalbasinstrument än kärnprimärkapitalinstrument eller andra kapitalinstrument, eller användning av åtgärder för värdeminskade tillgångar till priser, varaktighet och villkor som inte ger det berörda institutet eller den berörda enheten en otillbörlig fördel, förutsatt att ingen av de omständigheter</w:t>
            </w:r>
            <w:r w:rsidRPr="00872462">
              <w:t xml:space="preserve"> som avses i </w:t>
            </w:r>
            <w:r w:rsidRPr="00872462">
              <w:rPr>
                <w:b/>
                <w:i/>
              </w:rPr>
              <w:t>artikel 18.4 a, b eller c eller artikel 21.1 föreligger vid den tidpunkt då det offentliga stödet beviljas.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Sådant stöd</w:t>
            </w:r>
            <w:r w:rsidRPr="00872462">
              <w:t xml:space="preserve"> ska begränsas till åtgärder som ECB eller den nationella behöriga myndigheten har bedömt som nödvändiga för att upprätthålla enhetens solvens genom att åtgärda dess kapitalunderskott som fastställts i det negativa scenariot med stresstester på nationell nivå, unionsnivå eller på nivån för den gemensamma tillsynsmekanismen eller enligt motsvarande genomgångar som i tillämpliga fall utförts av ECB, EBA eller nationella myndigheter, bekräftade av ECB eller den relevanta behöriga myndigheten. </w:t>
            </w:r>
            <w:r w:rsidRPr="00872462">
              <w:rPr>
                <w:b/>
                <w:i/>
              </w:rPr>
              <w:t>Stöd får inte användas för att åtgärda ett kapitalunderskott som fastställts i grundscenariot för stresstester på nationell nivå, unionsnivå eller den gemensamma tillsynsmekanismens nivå eller motsvarande åtgärder som utförs av Europeiska centralbanken, EBA eller nationella myndigheter.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5</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Genom undantag från punkt 1 a iii ska</w:t>
            </w:r>
            <w:r w:rsidRPr="00872462">
              <w:t xml:space="preserve"> förvärv av kärnprimärkapitalinstrument </w:t>
            </w:r>
            <w:r w:rsidRPr="00872462">
              <w:rPr>
                <w:b/>
                <w:i/>
              </w:rPr>
              <w:t>undantagsvis</w:t>
            </w:r>
            <w:r w:rsidRPr="00872462">
              <w:t xml:space="preserve"> tillåtas om den brist som konstaterats är sådan att förvärvet av andra kapitalbasinstrument eller andra kapitalinstrument inte skulle göra det möjligt för den berörda enheten att åtgärda sitt kapitalunderskott som fastställts i det negativa scenariot i det relevanta stresstestet eller motsvarande. </w:t>
            </w:r>
            <w:r w:rsidRPr="00872462">
              <w:rPr>
                <w:b/>
                <w:i/>
              </w:rPr>
              <w:t>Beloppet för förvärvade kärnprimärkapitalinstrument får inte överstiga 2 % av det totala riskvägda exponeringsbeloppet för det berörda institutet eller den berörda enheten beräknat i enlighet med artikel 92.3 i förordning (EU) nr 575/2013.</w:t>
            </w:r>
          </w:p>
        </w:tc>
        <w:tc>
          <w:tcPr>
            <w:tcW w:w="4876" w:type="dxa"/>
            <w:hideMark/>
          </w:tcPr>
          <w:p w:rsidR="00D16657" w:rsidRPr="00872462" w:rsidRDefault="00D16657" w:rsidP="00610A50">
            <w:pPr>
              <w:pStyle w:val="Normal6"/>
              <w:rPr>
                <w:szCs w:val="24"/>
              </w:rPr>
            </w:pPr>
            <w:r w:rsidRPr="00872462">
              <w:t xml:space="preserve">Förvärv av kärnprimärkapitalinstrument </w:t>
            </w:r>
            <w:r w:rsidRPr="00872462">
              <w:rPr>
                <w:b/>
                <w:bCs/>
                <w:i/>
                <w:iCs/>
              </w:rPr>
              <w:t>ska</w:t>
            </w:r>
            <w:r w:rsidRPr="00872462">
              <w:t xml:space="preserve"> tillåtas om den brist som konstaterats är sådan att förvärvet av andra kapitalbasinstrument eller andra kapitalinstrument inte skulle göra det möjligt för den berörda enheten att åtgärda sitt kapitalunderskott som fastställts i det negativa scenariot i det relevanta stresstestet eller motsvarande.</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5</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Genom undantag från </w:t>
            </w:r>
            <w:r w:rsidRPr="00872462">
              <w:rPr>
                <w:b/>
                <w:i/>
              </w:rPr>
              <w:t>punkt 1 a iii</w:t>
            </w:r>
            <w:r w:rsidRPr="00872462">
              <w:t xml:space="preserve"> ska förvärv av kärnprimärkapitalinstrument undantagsvis tillåtas om den brist som konstaterats är sådan att förvärvet av andra kapitalbasinstrument eller andra kapitalinstrument inte skulle göra det möjligt för den berörda enheten att åtgärda sitt kapitalunderskott som fastställts i det negativa scenariot i det relevanta stresstestet eller motsvarande. Beloppet för förvärvade kärnprimärkapitalinstrument får inte överstiga 2 % av det totala riskvägda exponeringsbeloppet för det berörda institutet eller den berörda enheten beräknat i enlighet med artikel 92.3 i förordning (EU) nr 575/2013.</w:t>
            </w:r>
          </w:p>
        </w:tc>
        <w:tc>
          <w:tcPr>
            <w:tcW w:w="4876" w:type="dxa"/>
            <w:hideMark/>
          </w:tcPr>
          <w:p w:rsidR="00D16657" w:rsidRPr="00872462" w:rsidRDefault="00D16657" w:rsidP="00610A50">
            <w:pPr>
              <w:pStyle w:val="Normal6"/>
              <w:rPr>
                <w:szCs w:val="24"/>
              </w:rPr>
            </w:pPr>
            <w:r w:rsidRPr="00872462">
              <w:t xml:space="preserve">Genom undantag från </w:t>
            </w:r>
            <w:r w:rsidRPr="00872462">
              <w:rPr>
                <w:b/>
                <w:i/>
              </w:rPr>
              <w:t>det fjärde stycket</w:t>
            </w:r>
            <w:r w:rsidRPr="00872462">
              <w:t xml:space="preserve"> ska förvärv av kärnprimärkapitalinstrument undantagsvis tillåtas om den brist som konstaterats är sådan att förvärvet av andra kapitalbasinstrument eller andra kapitalinstrument inte skulle göra det möjligt för den berörda enheten att åtgärda sitt kapitalunderskott som fastställts i det negativa scenariot i det relevanta stresstestet eller motsvarande. Beloppet för förvärvade kärnprimärkapitalinstrument får inte överstiga 2 % av det totala riskvägda exponeringsbeloppet för det berörda institutet eller den berörda enheten beräknat i enlighet med artikel 92.3 i förordning (EU) nr 575/2013.</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6</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Om någon av de stödåtgärder som avses i punkt 1 a inte löses in, återbetalas eller på annat sätt avslutas i enlighet med villkoren i den utträdesstrategi som fastställdes vid tidpunkten för beviljandet av en sådan åtgärd, ska ECB eller den relevanta nationella behöriga myndigheten dra slutsatsen att det villkor som fastställs i artikel 18.1 a är uppfyllt med avseende på det institut eller den enhet som har mottagit dessa stödåtgärder och underrätta kommissionen och nämnden om denna bedömning i enlighet med artikel 18.1 tredje stycket.</w:t>
            </w:r>
          </w:p>
        </w:tc>
        <w:tc>
          <w:tcPr>
            <w:tcW w:w="4876" w:type="dxa"/>
            <w:hideMark/>
          </w:tcPr>
          <w:p w:rsidR="00D16657" w:rsidRPr="00872462" w:rsidRDefault="00D16657" w:rsidP="00610A50">
            <w:pPr>
              <w:pStyle w:val="Normal6"/>
              <w:rPr>
                <w:szCs w:val="24"/>
              </w:rPr>
            </w:pPr>
            <w:r w:rsidRPr="00872462">
              <w:t xml:space="preserve">Om någon av de stödåtgärder som avses i punkt 1 a </w:t>
            </w:r>
            <w:r w:rsidRPr="00872462">
              <w:rPr>
                <w:b/>
                <w:i/>
              </w:rPr>
              <w:t>och b</w:t>
            </w:r>
            <w:r w:rsidRPr="00872462">
              <w:t xml:space="preserve"> inte löses in, återbetalas eller på annat sätt avslutas i enlighet med villkoren i den utträdesstrategi som fastställdes vid tidpunkten för beviljandet av en sådan åtgärd, ska ECB eller den relevanta nationella behöriga myndigheten dra slutsatsen att det villkor som fastställs i artikel 18.1 a är uppfyllt med avseende på det institut eller den enhet som har mottagit dessa stödåtgärder och underrätta kommissionen och nämnden om denna bedömning i enlighet med artikel 18.1 tredje stycket.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Förebyggande former av stöd bör behandlas lika för att bevara lika villkor, oavsett om de kommer från offentliga medel eller från ett privat insättningsgarantisystem. Vid förebyggande rekapitalisering måste det säkerställas att den lämpligaste värderingen används.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6</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Om någon av </w:t>
            </w:r>
            <w:r w:rsidRPr="00872462">
              <w:rPr>
                <w:b/>
                <w:i/>
              </w:rPr>
              <w:t>de stödåtgärder som avses i punkt 1 a</w:t>
            </w:r>
            <w:r w:rsidRPr="00872462">
              <w:t xml:space="preserve"> inte löses in, återbetalas eller på annat sätt avslutas i enlighet med villkoren i den utträdesstrategi som fastställdes vid tidpunkten för beviljandet av en sådan åtgärd, ska ECB eller den relevanta nationella behöriga myndigheten dra slutsatsen att det villkor som fastställs i artikel 18.1 a är uppfyllt med avseende på det institut eller den enhet som har mottagit dessa stödåtgärder och underrätta kommissionen och nämnden om denna bedömning i enlighet med artikel 18.1 tredje stycket.</w:t>
            </w:r>
          </w:p>
        </w:tc>
        <w:tc>
          <w:tcPr>
            <w:tcW w:w="4876" w:type="dxa"/>
            <w:hideMark/>
          </w:tcPr>
          <w:p w:rsidR="00D16657" w:rsidRPr="00872462" w:rsidRDefault="00D16657" w:rsidP="00610A50">
            <w:pPr>
              <w:pStyle w:val="Normal6"/>
              <w:rPr>
                <w:szCs w:val="24"/>
              </w:rPr>
            </w:pPr>
            <w:r w:rsidRPr="00872462">
              <w:t xml:space="preserve">Om någon av </w:t>
            </w:r>
            <w:r w:rsidRPr="00872462">
              <w:rPr>
                <w:b/>
                <w:bCs/>
                <w:i/>
                <w:iCs/>
              </w:rPr>
              <w:t>stödåtgärderna</w:t>
            </w:r>
            <w:r w:rsidRPr="00872462">
              <w:t xml:space="preserve"> inte löses in, återbetalas eller på annat sätt avslutas i enlighet med villkoren i den utträdesstrategi som fastställdes vid tidpunkten för beviljandet av en sådan åtgärd, ska ECB eller den relevanta nationella behöriga myndigheten dra slutsatsen att det villkor som fastställs i artikel 18.1 a är uppfyllt med avseende på det institut eller den enhet som har mottagit dessa stödåtgärder och underrätta kommissionen och nämnden om denna bedömning i enlighet med artikel 18.1 tredje stycket.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6</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Om någon av de stödåtgärder som avses i punkt 1 a inte löses in, återbetalas eller på annat sätt avslutas i enlighet med villkoren i den utträdesstrategi som fastställdes vid tidpunkten för beviljandet av en sådan åtgärd, ska ECB eller den relevanta nationella behöriga myndigheten </w:t>
            </w:r>
            <w:r w:rsidRPr="00872462">
              <w:rPr>
                <w:b/>
                <w:i/>
              </w:rPr>
              <w:t>dra slutsatsen</w:t>
            </w:r>
            <w:r w:rsidRPr="00872462">
              <w:t xml:space="preserve"> att </w:t>
            </w:r>
            <w:r w:rsidRPr="00872462">
              <w:rPr>
                <w:b/>
                <w:i/>
              </w:rPr>
              <w:t>det villkor som fastställs i artikel 18.1 a är uppfyllt med avseende på det institut eller den enhet som har mottagit dessa stödåtgärder och underrätta kommissionen och nämnden om denna bedömning i enlighet med artikel 18.1 tredje stycket</w:t>
            </w:r>
            <w:r w:rsidRPr="00872462">
              <w:t>.</w:t>
            </w:r>
          </w:p>
        </w:tc>
        <w:tc>
          <w:tcPr>
            <w:tcW w:w="4876" w:type="dxa"/>
            <w:hideMark/>
          </w:tcPr>
          <w:p w:rsidR="00D16657" w:rsidRPr="00872462" w:rsidRDefault="00D16657" w:rsidP="00610A50">
            <w:pPr>
              <w:pStyle w:val="Normal6"/>
              <w:rPr>
                <w:szCs w:val="24"/>
              </w:rPr>
            </w:pPr>
            <w:r w:rsidRPr="00872462">
              <w:t xml:space="preserve">Om någon av de stödåtgärder som avses i punkt 1 a inte löses in, återbetalas eller på annat sätt avslutas i enlighet med villkoren i den utträdesstrategi som fastställdes vid tidpunkten för beviljandet av en sådan åtgärd, ska ECB eller den relevanta nationella behöriga myndigheten </w:t>
            </w:r>
            <w:r w:rsidRPr="00872462">
              <w:rPr>
                <w:b/>
                <w:i/>
              </w:rPr>
              <w:t>begära</w:t>
            </w:r>
            <w:r w:rsidRPr="00872462">
              <w:t xml:space="preserve"> att </w:t>
            </w:r>
            <w:r w:rsidRPr="00872462">
              <w:rPr>
                <w:b/>
                <w:i/>
              </w:rPr>
              <w:t>institutet eller enheten lämnar in en åtgärdsplan som beskriver de åtgärder som ska vidtas för att säkerställa eller återställa efterlevnaden av tillsynskraven och dess långsiktiga bärkraft samt för att återbetala det tillhandahållna beloppet liksom den tillhörande tidsramen</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6a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Om ECB eller den relevanta nationella behöriga myndigheten inte erkänner åtgärdsplanen som trovärdig eller genomförbar, eller om institutet eller enheten underlåter att följa åtgärdsplanen, ska en bedömning av huruvida institutet eller enheten fallerar eller sannolikt kommer att fallera göras i enlighet med artikel 18.</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Roberts Zīle</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 – stycke 6a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Om ECB eller den relevanta nationella behöriga myndigheten inte erkänner åtgärdsplanen som trovärdig eller genomförbar, eller om institutet eller enheten underlåter att följa åtgärdsplanen, ska en bedömning av huruvida institutet eller enheten fallerar eller sannolikt kommer att fallera göras i enlighet med artikel 18.</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18a – punkt 2a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2a.</w:t>
            </w:r>
            <w:r w:rsidRPr="00872462">
              <w:rPr>
                <w:b/>
                <w:i/>
              </w:rPr>
              <w:tab/>
              <w:t>ECB eller den relevanta nationella behöriga myndigheten ska informera nämnden om sin bedömning av huruvida villkoren i punkt 2 a, b och d är uppfyllda med avseende på de enheter och koncerner som avses i artikel 7.2 och de enheter och koncerner som avses i artikel 7.4 b och artikel 7.5.</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259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20</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18 – punkt 2b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2b.</w:t>
            </w:r>
            <w:r w:rsidRPr="00872462">
              <w:rPr>
                <w:b/>
                <w:i/>
              </w:rPr>
              <w:tab/>
              <w:t>Genom undantag från punkt 2 d kan de stödåtgärder som avses i punkt 1 a användas för att kompensera för förluster som institutet eller enheten sannolikt kommer att ådra sig inom en snar framtid om ett undantag från kravet på bördefördelning görs enligt unionens regler om statligt stöd.</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21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19 – punkt 1 – stycke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När resolutionsåtgärder innebär beviljande av statligt stöd enligt artikel 107.1 i EUF-fördraget eller stöd från fonden i enlighet med punkt 3 i denna artikel, ska den resolutionsordning som avses i artikel 18.6 i denna förordning inte träda i kraft förrän kommissionen har antagit ett positivt eller villkorligt beslut, eller ett beslut om att inte göra invändningar, om huruvida användningen av sådant stöd är förenligt med den inre marknaden. Kommissionen ska fatta beslut om huruvida användningen av statligt stöd eller stöd från fonden är förenlig med den inre marknaden senast när den godkänner eller invänder mot resolutionsordningen enligt artikel 18.7 andra stycket, eller när den period på 24 timmar som avses i artikel 18.7 femte stycket löper ut, beroende på vilket som infaller först.</w:t>
            </w:r>
          </w:p>
        </w:tc>
        <w:tc>
          <w:tcPr>
            <w:tcW w:w="4876" w:type="dxa"/>
            <w:hideMark/>
          </w:tcPr>
          <w:p w:rsidR="00D16657" w:rsidRPr="00872462" w:rsidRDefault="00D16657" w:rsidP="00610A50">
            <w:pPr>
              <w:pStyle w:val="Normal6"/>
              <w:rPr>
                <w:szCs w:val="24"/>
              </w:rPr>
            </w:pPr>
            <w:r w:rsidRPr="00872462">
              <w:t>När resolutionsåtgärder innebär beviljande av statligt stöd enligt artikel 107.1 i EUF-fördraget eller stöd från fonden i enlighet med punkt 3 i denna artikel, ska den resolutionsordning som avses i artikel 18.6 i denna förordning inte träda i kraft förrän kommissionen har antagit ett positivt eller villkorligt beslut, eller ett beslut om att inte göra invändningar, om huruvida användningen av sådant stöd är förenligt med den inre marknaden</w:t>
            </w:r>
            <w:r w:rsidRPr="00872462">
              <w:rPr>
                <w:b/>
                <w:i/>
              </w:rPr>
              <w:t>, samtidigt som hänsyn tas till behovet av att nämnden genomför resolutionsordningen i tid</w:t>
            </w:r>
            <w:r w:rsidRPr="00872462">
              <w:t xml:space="preserve">. Kommissionen ska fatta beslut om huruvida användningen av statligt stöd eller stöd från fonden är förenlig med den inre marknaden senast när den godkänner eller invänder mot resolutionsordningen enligt artikel 18.7 andra stycket, eller när den period på 24 timmar som avses i artikel 18.7 femte stycket löper ut, beroende på vilket som infaller först. </w:t>
            </w:r>
            <w:r w:rsidRPr="00872462">
              <w:rPr>
                <w:b/>
                <w:i/>
              </w:rPr>
              <w:t>Om inget sådant beslut fattas inom 24 timmar från det att nämnden överlämnat resolutionsordningen ska resolutionsordningen anses vara godkänd av kommissionen och träda i kraft i enlighet med artikel 18.7 femte stycket.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21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19 – punkt 3 – stycke 7</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Kommissionen </w:t>
            </w:r>
            <w:r w:rsidRPr="00872462">
              <w:rPr>
                <w:b/>
                <w:i/>
              </w:rPr>
              <w:t>får</w:t>
            </w:r>
            <w:r w:rsidRPr="00872462">
              <w:t xml:space="preserve"> utfärda ett negativt beslut, riktat till nämnden, om den beslutat att det föreslagna utnyttjandet av fonden skulle vara oförenligt med den inre marknaden och inte kan genomföras i den av nämnden föreslagna formen. Efter att ha mottagit ett sådant beslut ska nämnden ompröva sin resolutionsordning och förbereda en reviderad resolutionsordning.</w:t>
            </w:r>
          </w:p>
        </w:tc>
        <w:tc>
          <w:tcPr>
            <w:tcW w:w="4876" w:type="dxa"/>
            <w:hideMark/>
          </w:tcPr>
          <w:p w:rsidR="00D16657" w:rsidRPr="00872462" w:rsidRDefault="00D16657" w:rsidP="00610A50">
            <w:pPr>
              <w:pStyle w:val="Normal6"/>
              <w:rPr>
                <w:szCs w:val="24"/>
              </w:rPr>
            </w:pPr>
            <w:r w:rsidRPr="00872462">
              <w:t xml:space="preserve">Kommissionen </w:t>
            </w:r>
            <w:r w:rsidRPr="00872462">
              <w:rPr>
                <w:b/>
                <w:i/>
              </w:rPr>
              <w:t>ska</w:t>
            </w:r>
            <w:r w:rsidRPr="00872462">
              <w:t xml:space="preserve"> utfärda ett negativt beslut, riktat till nämnden, om den beslutat att det föreslagna utnyttjandet av fonden skulle vara oförenligt med den inre marknaden och inte kan genomföras i den av nämnden föreslagna formen. Efter att ha mottagit ett sådant beslut ska nämnden ompröva sin resolutionsordning och förbereda en reviderad resolutionsordning.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Luděk Niedermayer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22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20 – punkt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Innan beslut om villkoren för resolution eller villkoren för nedskrivning eller konvertering av kapitalinstrument och kvalificerade skulder i enlighet med artikel 21.1 är uppfyllda, ska nämnden säkerställa att en skälig, försiktig och realistisk värdering av tillgångar och skulder i en enhet som avses i artikel 2 görs av en person som är oberoende av offentliga myndigheter, inbegripet nämnden och den nationella resolutionsmyndigheten och enheten i fråga.</w:t>
            </w:r>
          </w:p>
        </w:tc>
        <w:tc>
          <w:tcPr>
            <w:tcW w:w="4876" w:type="dxa"/>
            <w:hideMark/>
          </w:tcPr>
          <w:p w:rsidR="00D16657" w:rsidRPr="00872462" w:rsidRDefault="00D16657" w:rsidP="00610A50">
            <w:pPr>
              <w:pStyle w:val="Normal6"/>
              <w:rPr>
                <w:szCs w:val="24"/>
              </w:rPr>
            </w:pPr>
            <w:r w:rsidRPr="00872462">
              <w:t>1.</w:t>
            </w:r>
            <w:r w:rsidRPr="00872462">
              <w:tab/>
              <w:t xml:space="preserve">Innan beslut om villkoren för resolution eller villkoren för nedskrivning eller konvertering av kapitalinstrument och kvalificerade skulder i enlighet med artikel 21.1 är uppfyllda, ska nämnden säkerställa att en skälig, försiktig och realistisk värdering av tillgångar och skulder i en enhet som avses i artikel 2 görs av en person </w:t>
            </w:r>
            <w:r w:rsidRPr="00872462">
              <w:rPr>
                <w:b/>
                <w:i/>
              </w:rPr>
              <w:t>med lämplig sakkunskap</w:t>
            </w:r>
            <w:r w:rsidRPr="00872462">
              <w:t xml:space="preserve"> som är oberoende av offentliga myndigheter, inbegripet nämnden och den nationella resolutionsmyndigheten och enheten i fråga.</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22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20 – punkt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 xml:space="preserve">Innan </w:t>
            </w:r>
            <w:r w:rsidRPr="00872462">
              <w:rPr>
                <w:b/>
                <w:i/>
              </w:rPr>
              <w:t>beslut om villkoren för resolution</w:t>
            </w:r>
            <w:r w:rsidRPr="00872462">
              <w:t xml:space="preserve"> eller </w:t>
            </w:r>
            <w:r w:rsidRPr="00872462">
              <w:rPr>
                <w:b/>
                <w:i/>
              </w:rPr>
              <w:t>villkoren</w:t>
            </w:r>
            <w:r w:rsidRPr="00872462">
              <w:t xml:space="preserve"> för nedskrivning eller konvertering av kapitalinstrument och kvalificerade skulder i enlighet med artikel 21.1 </w:t>
            </w:r>
            <w:r w:rsidRPr="00872462">
              <w:rPr>
                <w:b/>
                <w:i/>
              </w:rPr>
              <w:t>är uppfyllda</w:t>
            </w:r>
            <w:r w:rsidRPr="00872462">
              <w:t>, ska nämnden säkerställa att en skälig, försiktig och realistisk värdering av tillgångar och skulder i en enhet som avses i artikel 2 görs av en person som är oberoende av offentliga myndigheter, inbegripet nämnden och den nationella resolutionsmyndigheten och enheten i fråga.</w:t>
            </w:r>
          </w:p>
        </w:tc>
        <w:tc>
          <w:tcPr>
            <w:tcW w:w="4876" w:type="dxa"/>
            <w:hideMark/>
          </w:tcPr>
          <w:p w:rsidR="00D16657" w:rsidRPr="00872462" w:rsidRDefault="00D16657" w:rsidP="00610A50">
            <w:pPr>
              <w:pStyle w:val="Normal6"/>
              <w:rPr>
                <w:szCs w:val="24"/>
              </w:rPr>
            </w:pPr>
            <w:r w:rsidRPr="00872462">
              <w:t>1.</w:t>
            </w:r>
            <w:r w:rsidRPr="00872462">
              <w:tab/>
              <w:t xml:space="preserve">Innan </w:t>
            </w:r>
            <w:r w:rsidRPr="00872462">
              <w:rPr>
                <w:b/>
                <w:i/>
              </w:rPr>
              <w:t>en resolutionsåtgärd vidtas</w:t>
            </w:r>
            <w:r w:rsidRPr="00872462">
              <w:t xml:space="preserve"> eller </w:t>
            </w:r>
            <w:r w:rsidRPr="00872462">
              <w:rPr>
                <w:b/>
                <w:i/>
              </w:rPr>
              <w:t>befogenheten</w:t>
            </w:r>
            <w:r w:rsidRPr="00872462">
              <w:t xml:space="preserve"> för nedskrivning eller konvertering av </w:t>
            </w:r>
            <w:r w:rsidRPr="00872462">
              <w:rPr>
                <w:b/>
                <w:i/>
              </w:rPr>
              <w:t>relevanta</w:t>
            </w:r>
            <w:r w:rsidRPr="00872462">
              <w:t xml:space="preserve"> kapitalinstrument och kvalificerade skulder i enlighet med artikel 21.1 </w:t>
            </w:r>
            <w:r w:rsidRPr="00872462">
              <w:rPr>
                <w:b/>
                <w:i/>
              </w:rPr>
              <w:t>utövas</w:t>
            </w:r>
            <w:r w:rsidRPr="00872462">
              <w:t>, ska nämnden säkerställa att en skälig, försiktig och realistisk värdering av tillgångar och skulder i en enhet som avses i artikel 2 görs av en person som är oberoende av offentliga myndigheter, inbegripet nämnden och den nationella resolutionsmyndigheten och enheten i fråga.</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22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20 – punkt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 xml:space="preserve">Innan </w:t>
            </w:r>
            <w:r w:rsidRPr="00872462">
              <w:rPr>
                <w:b/>
                <w:i/>
              </w:rPr>
              <w:t>beslut om villkoren för resolution</w:t>
            </w:r>
            <w:r w:rsidRPr="00872462">
              <w:t xml:space="preserve"> eller </w:t>
            </w:r>
            <w:r w:rsidRPr="00872462">
              <w:rPr>
                <w:b/>
                <w:i/>
              </w:rPr>
              <w:t>villkoren</w:t>
            </w:r>
            <w:r w:rsidRPr="00872462">
              <w:t xml:space="preserve"> för nedskrivning eller konvertering av kapitalinstrument och kvalificerade skulder i enlighet med artikel 21.1 </w:t>
            </w:r>
            <w:r w:rsidRPr="00872462">
              <w:rPr>
                <w:b/>
                <w:i/>
              </w:rPr>
              <w:t>är uppfyllda</w:t>
            </w:r>
            <w:r w:rsidRPr="00872462">
              <w:t>, ska nämnden säkerställa att en skälig, försiktig och realistisk värdering av tillgångar och skulder i en enhet som avses i artikel 2 görs av en person som är oberoende av offentliga myndigheter, inbegripet nämnden och den nationella resolutionsmyndigheten och enheten i fråga.</w:t>
            </w:r>
          </w:p>
        </w:tc>
        <w:tc>
          <w:tcPr>
            <w:tcW w:w="4876" w:type="dxa"/>
            <w:hideMark/>
          </w:tcPr>
          <w:p w:rsidR="00D16657" w:rsidRPr="00872462" w:rsidRDefault="00D16657" w:rsidP="00610A50">
            <w:pPr>
              <w:pStyle w:val="Normal6"/>
              <w:rPr>
                <w:szCs w:val="24"/>
              </w:rPr>
            </w:pPr>
            <w:r w:rsidRPr="00872462">
              <w:t>1.</w:t>
            </w:r>
            <w:r w:rsidRPr="00872462">
              <w:tab/>
              <w:t xml:space="preserve">Innan </w:t>
            </w:r>
            <w:r w:rsidRPr="00872462">
              <w:rPr>
                <w:b/>
                <w:i/>
              </w:rPr>
              <w:t>en resolutionsåtgärd vidtas</w:t>
            </w:r>
            <w:r w:rsidRPr="00872462">
              <w:t xml:space="preserve"> eller </w:t>
            </w:r>
            <w:r w:rsidRPr="00872462">
              <w:rPr>
                <w:b/>
                <w:i/>
              </w:rPr>
              <w:t>befogenheten</w:t>
            </w:r>
            <w:r w:rsidRPr="00872462">
              <w:t xml:space="preserve"> för nedskrivning eller konvertering av </w:t>
            </w:r>
            <w:r w:rsidRPr="00872462">
              <w:rPr>
                <w:b/>
                <w:i/>
              </w:rPr>
              <w:t>relevanta</w:t>
            </w:r>
            <w:r w:rsidRPr="00872462">
              <w:t xml:space="preserve"> kapitalinstrument och kvalificerade skulder i enlighet med artikel 21.1 </w:t>
            </w:r>
            <w:r w:rsidRPr="00872462">
              <w:rPr>
                <w:b/>
                <w:i/>
              </w:rPr>
              <w:t>utövas</w:t>
            </w:r>
            <w:r w:rsidRPr="00872462">
              <w:t>, ska nämnden säkerställa att en skälig, försiktig och realistisk värdering av tillgångar och skulder i en enhet som avses i artikel 2 görs av en person som är oberoende av offentliga myndigheter, inbegripet nämnden och den nationella resolutionsmyndigheten och enheten i fråga.</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En värdering är endast nödvändig när en resolutionsåtgärd är nära förestående.</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22 – led ca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20 – punkt 18a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(ca)</w:t>
            </w:r>
            <w:r w:rsidRPr="00872462">
              <w:rPr>
                <w:b/>
                <w:i/>
              </w:rPr>
              <w:tab/>
              <w:t>Följande stycke ska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18a. Den oberoende värderaren ska inte ha någon skyldighet eller något ansvar gentemot aktieägare eller borgenärer i det institut som är föremål för resolution och ska inte ha något ansvar gentemot sådana aktieägare eller borgenärer för handlingar och underlåtenhet vid utförandet av värderingen, såvida inte handlingen eller underlåtenheten innebär grov vårdslöshet eller avsiktlig försummelse i enlighet med nationell lagstiftning och direkt påverkar sådana aktieägares eller borgenärers rättigheter.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23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21 – punkt 3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Med beaktande av tidsaspekten</w:t>
            </w:r>
            <w:r w:rsidRPr="00872462">
              <w:rPr>
                <w:b/>
                <w:i/>
              </w:rPr>
              <w:t>, behovet av att effektivt genomföra nedskrivningsbefogenheter och konverteringsbefogenheter eller resolutionsstrategi för resolutionsgruppen</w:t>
            </w:r>
            <w:r w:rsidRPr="00872462">
              <w:t xml:space="preserve"> och andra relevanta omständigheter, finns det inte någon rimlig utsikt för att några som helst andra åtgärder, inbegripet alternativa åtgärder från den privata sektorns sida, tillsynsåtgärder eller åtgärder för tidigt ingripande, andra än nedskrivning eller konvertering av relevanta kapitalinstrument, och kvalificerade skulder som avses i punkt 7a, skulle kunna förhindra att den enheten eller koncernen inom en rimlig tidsram fallerar.</w:t>
            </w:r>
          </w:p>
        </w:tc>
        <w:tc>
          <w:tcPr>
            <w:tcW w:w="4876" w:type="dxa"/>
            <w:hideMark/>
          </w:tcPr>
          <w:p w:rsidR="00D16657" w:rsidRPr="00872462" w:rsidRDefault="00D16657" w:rsidP="00610A50">
            <w:pPr>
              <w:pStyle w:val="Normal6"/>
              <w:rPr>
                <w:szCs w:val="24"/>
              </w:rPr>
            </w:pPr>
            <w:r w:rsidRPr="00872462">
              <w:t>b)</w:t>
            </w:r>
            <w:r w:rsidRPr="00872462">
              <w:tab/>
              <w:t>Med beaktande av tidsaspekten och andra relevanta omständigheter, finns det inte någon rimlig utsikt för att några som helst andra åtgärder, inbegripet alternativa åtgärder från den privata sektorns sida, tillsynsåtgärder eller åtgärder för tidigt ingripande, andra än nedskrivning eller konvertering av relevanta kapitalinstrument, och kvalificerade skulder som avses i punkt 7a, skulle kunna förhindra att den enheten eller koncernen inom en rimlig tidsram fallerar.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23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21 – punkt 3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Med beaktande av tidsaspekten</w:t>
            </w:r>
            <w:r w:rsidRPr="00872462">
              <w:rPr>
                <w:b/>
                <w:i/>
              </w:rPr>
              <w:t>, behovet av att effektivt genomföra nedskrivningsbefogenheter och konverteringsbefogenheter eller resolutionsstrategi för resolutionsgruppen</w:t>
            </w:r>
            <w:r w:rsidRPr="00872462">
              <w:t xml:space="preserve"> och andra relevanta omständigheter, finns det inte någon rimlig utsikt för att några som helst andra åtgärder, inbegripet alternativa åtgärder från den privata sektorns sida, tillsynsåtgärder eller åtgärder för tidigt ingripande, andra än nedskrivning eller konvertering av relevanta kapitalinstrument, och kvalificerade skulder som avses i punkt 7a, skulle kunna förhindra att den enheten eller koncernen inom en rimlig tidsram fallerar.</w:t>
            </w:r>
          </w:p>
        </w:tc>
        <w:tc>
          <w:tcPr>
            <w:tcW w:w="4876" w:type="dxa"/>
            <w:hideMark/>
          </w:tcPr>
          <w:p w:rsidR="00D16657" w:rsidRPr="00872462" w:rsidRDefault="00D16657" w:rsidP="00610A50">
            <w:pPr>
              <w:pStyle w:val="Normal6"/>
              <w:rPr>
                <w:szCs w:val="24"/>
              </w:rPr>
            </w:pPr>
            <w:r w:rsidRPr="00872462">
              <w:t>b)</w:t>
            </w:r>
            <w:r w:rsidRPr="00872462">
              <w:tab/>
              <w:t>Med beaktande av tidsaspekten och andra relevanta omständigheter, finns det inte någon rimlig utsikt för att några som helst andra åtgärder, inbegripet alternativa åtgärder från den privata sektorns sida, tillsynsåtgärder eller åtgärder för tidigt ingripande, andra än nedskrivning eller konvertering av relevanta kapitalinstrument, och kvalificerade skulder som avses i punkt 7a, skulle kunna förhindra att den enheten eller koncernen inom en rimlig tidsram fallerar.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According to current law, an institution can be considered no longer viable if (among other prerequisites) the failure cannot be averted within a reasonable timeframe by other measures, including alternative measures by the private sector or supervisory authorities, than a write-down carried out individually or together with a resolution measure. It is not clear why the feasibility of the wind-down strategy should play a role in this assessment in the future. When assessing whether a write-down or conversion of relevant capital instruments and eligible liabilities is necessary at all, the wind-down strategy should not be a criterion, as it becomes irrelevant in the event of a successful avoidance of default.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23a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22 – punkt 4 – stycke 1a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(23a)</w:t>
            </w:r>
            <w:r w:rsidRPr="00872462">
              <w:rPr>
                <w:b/>
                <w:i/>
              </w:rPr>
              <w:tab/>
              <w:t>I artikel 22.4 ska följande stycke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Resolutionsplanen ska beakta den kombination av resolutionsverktyg som är bäst lämpad för att uppnå resolutionsmålen.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Syftet är att uppmuntra resolutionsmyndigheter att överväga användning av flera resolutionsverktyg tillsammans som en del av den rekommenderade resolutionsstrategin, för överföringsverktyg kan på ett användbart sätt komplettera skuldnedskrivning för att bättre uppnå resolutionsmål samtidigt som värdeförstöringen minimeras.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269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Lídia Pereira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23a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23 – punkt 2a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(23a)</w:t>
            </w:r>
            <w:r w:rsidRPr="00872462">
              <w:rPr>
                <w:b/>
                <w:i/>
              </w:rPr>
              <w:tab/>
              <w:t>Artikel 23 ska ändras på följande sätt: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Följande stycke ska läggas till som ett tredje stycke: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Resolutionsordningen ska beskriva de resolutionsåtgärder som nämnden bör vidta med avseende på moderföretaget inom unionen eller särskilda koncernenheter som etablerats i medlemsstaterna i fråga om ledningsbeslut om bonusar till ledningen, utdelning eller köp av egna aktier.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{PT}</w:t>
      </w:r>
      <w:r w:rsidRPr="00872462">
        <w:t>pt</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27 – punkt 7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Ett bidrag till förlustabsorbering och rekapitalisering motsvarande ett belopp som minst motsvarar 8 % av de sammanlagda skulderna inklusive kapitalbasen i institutet under resolution, beräknat i enlighet med den värdering som föreskrivs i artikel 20.1– 20.15, har gjorts av aktieägare, innehavare av tillämpliga kapitalinstrument och andra nedskrivningsbara skulder genom minskning, nedskrivning eller konvertering i enlighet med artikel 48.1 i direktiv 2014/59/EU och artikel 21.10 i denna förordning</w:t>
            </w:r>
            <w:r w:rsidRPr="00872462">
              <w:rPr>
                <w:b/>
                <w:i/>
              </w:rPr>
              <w:t>, och av insättningsgarantisystemet i enlighet med artikel 79 i denna förordning och artikel 109 i direktiv 2014/59/EU, i tillämpliga fall</w:t>
            </w:r>
            <w:r w:rsidRPr="00872462">
              <w:t>.</w:t>
            </w:r>
          </w:p>
        </w:tc>
        <w:tc>
          <w:tcPr>
            <w:tcW w:w="4876" w:type="dxa"/>
            <w:hideMark/>
          </w:tcPr>
          <w:p w:rsidR="00D16657" w:rsidRPr="00872462" w:rsidRDefault="00D16657" w:rsidP="00610A50">
            <w:pPr>
              <w:pStyle w:val="Normal6"/>
              <w:rPr>
                <w:szCs w:val="24"/>
              </w:rPr>
            </w:pPr>
            <w:r w:rsidRPr="00872462">
              <w:t>(a)</w:t>
            </w:r>
            <w:r w:rsidRPr="00872462">
              <w:tab/>
              <w:t>Ett bidrag till förlustabsorbering och rekapitalisering motsvarande ett belopp som minst motsvarar 8 % av de sammanlagda skulderna inklusive kapitalbasen i institutet under resolution, beräknat i enlighet med den värdering som föreskrivs i artikel 20.1– 20.15, har gjorts av aktieägare, innehavare av tillämpliga kapitalinstrument och andra nedskrivningsbara skulder genom minskning, nedskrivning eller konvertering i enlighet med artikel 48.1 i direktiv 2014/59/EU och artikel 21.10 i denna förordning.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En eventuell försvagning av tröskelvärdet på 8 % för totala skulder och kapitalbas skulle därför undergräva den centrala tanken om att bördefördelning är den främsta finansieringskällan.</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27 – punkt 7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Ett bidrag till förlustabsorbering och rekapitalisering motsvarande ett belopp som minst motsvarar 8 % av de sammanlagda skulderna inklusive kapitalbasen i institutet under resolution, beräknat i enlighet med den värdering som föreskrivs i artikel 20.1– 20.15, har gjorts av aktieägare, innehavare av tillämpliga kapitalinstrument och andra nedskrivningsbara skulder genom minskning, nedskrivning eller konvertering i enlighet med artikel 48.1 i direktiv 2014/59/EU och artikel 21.10 i denna förordning</w:t>
            </w:r>
            <w:r w:rsidRPr="00872462">
              <w:rPr>
                <w:b/>
                <w:i/>
              </w:rPr>
              <w:t>, och av insättningsgarantisystemet i enlighet med artikel 79 i denna förordning och artikel 109 i direktiv 2014/59/EU, i tillämpliga fall</w:t>
            </w:r>
            <w:r w:rsidRPr="00872462">
              <w:t>.</w:t>
            </w:r>
          </w:p>
        </w:tc>
        <w:tc>
          <w:tcPr>
            <w:tcW w:w="4876" w:type="dxa"/>
            <w:hideMark/>
          </w:tcPr>
          <w:p w:rsidR="00D16657" w:rsidRPr="00872462" w:rsidRDefault="00D16657" w:rsidP="00610A50">
            <w:pPr>
              <w:pStyle w:val="Normal6"/>
              <w:rPr>
                <w:szCs w:val="24"/>
              </w:rPr>
            </w:pPr>
            <w:r w:rsidRPr="00872462">
              <w:t>(a)</w:t>
            </w:r>
            <w:r w:rsidRPr="00872462">
              <w:tab/>
              <w:t>Ett bidrag till förlustabsorbering och rekapitalisering motsvarande ett belopp som minst motsvarar 8 % av de sammanlagda skulderna inklusive kapitalbasen i institutet under resolution, beräknat i enlighet med den värdering som föreskrivs i artikel 20.1– 20.15, har gjorts av aktieägare, innehavare av tillämpliga kapitalinstrument och andra nedskrivningsbara skulder genom minskning, nedskrivning eller konvertering i enlighet med artikel 48.1 i direktiv 2014/59/EU och artikel 21.10 i denna förordning.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27 – punkt 7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 xml:space="preserve">Ett bidrag till förlustabsorbering och rekapitalisering motsvarande ett belopp som minst motsvarar 8 % av de sammanlagda skulderna inklusive kapitalbasen i institutet under resolution, beräknat i enlighet med den värdering som föreskrivs i artikel 20.1– 20.15, har gjorts av aktieägare, innehavare av tillämpliga kapitalinstrument och andra nedskrivningsbara skulder genom minskning, nedskrivning eller konvertering i enlighet med artikel 48.1 i direktiv 2014/59/EU och artikel 21.10 i denna förordning, och av insättningsgarantisystemet i enlighet med artikel 79 i denna förordning </w:t>
            </w:r>
            <w:r w:rsidRPr="00872462">
              <w:rPr>
                <w:b/>
                <w:i/>
              </w:rPr>
              <w:t>och artikel 109 i direktiv 2014/59/EU, i tillämpliga fall</w:t>
            </w:r>
            <w:r w:rsidRPr="00872462">
              <w:t>.</w:t>
            </w:r>
          </w:p>
        </w:tc>
        <w:tc>
          <w:tcPr>
            <w:tcW w:w="4876" w:type="dxa"/>
            <w:hideMark/>
          </w:tcPr>
          <w:p w:rsidR="00D16657" w:rsidRPr="00872462" w:rsidRDefault="00D16657" w:rsidP="00610A50">
            <w:pPr>
              <w:pStyle w:val="Normal6"/>
              <w:rPr>
                <w:szCs w:val="24"/>
              </w:rPr>
            </w:pPr>
            <w:r w:rsidRPr="00872462">
              <w:t>(a)</w:t>
            </w:r>
            <w:r w:rsidRPr="00872462">
              <w:tab/>
              <w:t>Ett bidrag till förlustabsorbering och rekapitalisering motsvarande ett belopp som minst motsvarar 8 % av de sammanlagda skulderna inklusive kapitalbasen i institutet under resolution, beräknat i enlighet med den värdering som föreskrivs i artikel 20.1– 20.15, har gjorts av aktieägare, innehavare av tillämpliga kapitalinstrument och andra nedskrivningsbara skulder genom minskning, nedskrivning eller konvertering i enlighet med artikel 48.1 i direktiv 2014/59/EU och artikel 21.10 i denna förordning, och av insättningsgarantisystemet i enlighet med artikel 79 i denna förordning.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27 – punkt 7 – led 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(a)</w:t>
            </w:r>
            <w:r w:rsidRPr="00872462">
              <w:tab/>
              <w:t>Ett bidrag till förlustabsorbering och rekapitalisering motsvarande ett belopp som minst motsvarar 8 % av de sammanlagda skulderna inklusive kapitalbasen i institutet under resolution, beräknat i enlighet med den värdering som föreskrivs i artikel 20.1– 20.15, har gjorts av aktieägare, innehavare av tillämpliga kapitalinstrument och andra nedskrivningsbara skulder genom minskning, nedskrivning eller konvertering i enlighet med artikel 48.1 i direktiv 2014/59/EU och artikel 21.10 i denna förordning, och av insättningsgarantisystemet i enlighet med artikel 79 i denna förordning och artikel 109 i direktiv 2014/59/EU, i tillämpliga fall.</w:t>
            </w:r>
          </w:p>
        </w:tc>
        <w:tc>
          <w:tcPr>
            <w:tcW w:w="4876" w:type="dxa"/>
            <w:hideMark/>
          </w:tcPr>
          <w:p w:rsidR="00D16657" w:rsidRPr="00872462" w:rsidRDefault="00D16657" w:rsidP="00610A50">
            <w:pPr>
              <w:pStyle w:val="Normal6"/>
              <w:rPr>
                <w:szCs w:val="24"/>
              </w:rPr>
            </w:pPr>
            <w:r w:rsidRPr="00872462">
              <w:rPr>
                <w:i/>
                <w:iCs/>
              </w:rPr>
              <w:t>(Berör inte den svenska versionen.)</w:t>
            </w:r>
            <w:r w:rsidRPr="00872462">
              <w:tab/>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Beroende på vilken form av bro som kommer att överenskommas måste denna artikel bekräfta att bron kommer att omfattas av vissa villkor.</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27 – punkterna 9 och 10</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(b)</w:t>
            </w:r>
            <w:r w:rsidRPr="00872462">
              <w:rPr>
                <w:b/>
                <w:i/>
              </w:rPr>
              <w:tab/>
              <w:t>Punkterna 9 och 10 ska ersättas med följande:</w:t>
            </w:r>
          </w:p>
        </w:tc>
        <w:tc>
          <w:tcPr>
            <w:tcW w:w="4876" w:type="dxa"/>
            <w:hideMark/>
          </w:tcPr>
          <w:p w:rsidR="00D16657" w:rsidRPr="00872462" w:rsidRDefault="00D16657" w:rsidP="00610A50">
            <w:pPr>
              <w:pStyle w:val="Normal6"/>
              <w:rPr>
                <w:szCs w:val="24"/>
              </w:rPr>
            </w:pPr>
            <w:r w:rsidRPr="00872462">
              <w:rPr>
                <w:b/>
                <w:i/>
              </w:rPr>
              <w:t>utgår</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rPr>
              <w:t>9.</w:t>
            </w:r>
            <w:r w:rsidRPr="00872462">
              <w:rPr>
                <w:b/>
                <w:i/>
              </w:rPr>
              <w:tab/>
              <w:t>Fonden får bidra med medel som har samlats in genom förhandsbidrag som avses i artikel 70 och som ännu inte har använts, under förutsättning att samtliga följande villkor är uppfyllda:</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rPr>
              <w:t>(a)</w:t>
            </w:r>
            <w:r w:rsidRPr="00872462">
              <w:rPr>
                <w:b/>
                <w:i/>
              </w:rPr>
              <w:tab/>
              <w:t>Fonden har lämnat ett bidrag i enlighet med punkt 6 och den gräns på 5 % som avses i punkt 7 b har uppnåtts.</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rPr>
              <w:t>(b)</w:t>
            </w:r>
            <w:r w:rsidRPr="00872462">
              <w:rPr>
                <w:b/>
                <w:i/>
              </w:rPr>
              <w:tab/>
              <w:t>Alla skulder som är lägre än inlåning och som inte är undantagna från skuldnedskrivning enligt punkterna 3 och 5 har skrivits ned eller konverterats i sin helhet.</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rPr>
              <w:t>10.</w:t>
            </w:r>
            <w:r w:rsidRPr="00872462">
              <w:rPr>
                <w:b/>
                <w:i/>
              </w:rPr>
              <w:tab/>
              <w:t>Under extraordinära omständigheter, som ett alternativ till eller utöver det bidrag från fonden som avses i punkt 9, får nämnden, om villkoren i punkt 9 är uppfyllda, söka ytterligare finansiering från alternativa finansieringskällor.”</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rPr>
              <w:t>”</w:t>
            </w:r>
          </w:p>
        </w:tc>
        <w:tc>
          <w:tcPr>
            <w:tcW w:w="4876" w:type="dxa"/>
          </w:tcPr>
          <w:p w:rsidR="00D16657" w:rsidRPr="00872462" w:rsidRDefault="00D16657" w:rsidP="00610A50">
            <w:pPr>
              <w:pStyle w:val="Normal6"/>
              <w:rPr>
                <w:szCs w:val="24"/>
              </w:rPr>
            </w:pP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Detta ökar potentiella kostnader för gemensamma resolutionsfonder ytterligare, utanför exceptionella omständigheter. Detta behövs inte för att bron ska fungera. Detta är inte i linje med insättningshierarkin om en enskild nivå inte upprätthålls.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27 – punkt 9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 xml:space="preserve">Alla skulder som är lägre än </w:t>
            </w:r>
            <w:r w:rsidRPr="00872462">
              <w:rPr>
                <w:b/>
                <w:bCs/>
                <w:i/>
                <w:iCs/>
              </w:rPr>
              <w:t>inlåning</w:t>
            </w:r>
            <w:r w:rsidRPr="00872462">
              <w:t xml:space="preserve"> och som inte är undantagna från skuldnedskrivning enligt punkterna 3 och 5 har skrivits ned eller konverterats i sin helhet.</w:t>
            </w:r>
          </w:p>
        </w:tc>
        <w:tc>
          <w:tcPr>
            <w:tcW w:w="4876" w:type="dxa"/>
            <w:hideMark/>
          </w:tcPr>
          <w:p w:rsidR="00D16657" w:rsidRPr="00872462" w:rsidRDefault="00D16657" w:rsidP="00610A50">
            <w:pPr>
              <w:pStyle w:val="Normal6"/>
              <w:rPr>
                <w:szCs w:val="24"/>
              </w:rPr>
            </w:pPr>
            <w:r w:rsidRPr="00872462">
              <w:t>(b)</w:t>
            </w:r>
            <w:r w:rsidRPr="00872462">
              <w:tab/>
              <w:t xml:space="preserve">Alla skulder som är lägre än </w:t>
            </w:r>
            <w:r w:rsidRPr="00872462">
              <w:rPr>
                <w:b/>
                <w:i/>
              </w:rPr>
              <w:t>garanterade insättningar och privatkundsinlåning</w:t>
            </w:r>
            <w:r w:rsidRPr="00872462">
              <w:t xml:space="preserve"> och som inte är undantagna från skuldnedskrivning enligt punkterna 3 och 5 har skrivits ned eller konverterats i sin helhet.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27 – punkt 9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 xml:space="preserve">Alla skulder </w:t>
            </w:r>
            <w:r w:rsidRPr="00872462">
              <w:rPr>
                <w:b/>
                <w:i/>
              </w:rPr>
              <w:t>som är lägre än inlåning och som inte är undantagna från skuldnedskrivning enligt punkterna 3 och 5</w:t>
            </w:r>
            <w:r w:rsidRPr="00872462">
              <w:t xml:space="preserve"> har skrivits ned eller konverterats i sin helhet.</w:t>
            </w:r>
          </w:p>
        </w:tc>
        <w:tc>
          <w:tcPr>
            <w:tcW w:w="4876" w:type="dxa"/>
            <w:hideMark/>
          </w:tcPr>
          <w:p w:rsidR="00D16657" w:rsidRPr="00872462" w:rsidRDefault="00D16657" w:rsidP="00610A50">
            <w:pPr>
              <w:pStyle w:val="Normal6"/>
              <w:rPr>
                <w:szCs w:val="24"/>
              </w:rPr>
            </w:pPr>
            <w:r w:rsidRPr="00872462">
              <w:t>(b)</w:t>
            </w:r>
            <w:r w:rsidRPr="00872462">
              <w:tab/>
              <w:t xml:space="preserve">Alla </w:t>
            </w:r>
            <w:r w:rsidRPr="00872462">
              <w:rPr>
                <w:b/>
                <w:i/>
              </w:rPr>
              <w:t>oprioriterade</w:t>
            </w:r>
            <w:r w:rsidRPr="00872462">
              <w:t xml:space="preserve"> skulder </w:t>
            </w:r>
            <w:r w:rsidRPr="00872462">
              <w:rPr>
                <w:b/>
                <w:i/>
              </w:rPr>
              <w:t>utan säkerheter, förutom kvalificerade insättningar,</w:t>
            </w:r>
            <w:r w:rsidRPr="00872462">
              <w:t xml:space="preserve"> har skrivits ned eller konverterats i sin helhet.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27 – punkt 9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 xml:space="preserve">Alla skulder </w:t>
            </w:r>
            <w:r w:rsidRPr="00872462">
              <w:rPr>
                <w:b/>
                <w:i/>
              </w:rPr>
              <w:t>som är lägre än inlåning och som inte är undantagna från skuldnedskrivning enligt punkterna 3 och 5</w:t>
            </w:r>
            <w:r w:rsidRPr="00872462">
              <w:t xml:space="preserve"> har skrivits ned eller konverterats i sin helhet.</w:t>
            </w:r>
          </w:p>
        </w:tc>
        <w:tc>
          <w:tcPr>
            <w:tcW w:w="4876" w:type="dxa"/>
            <w:hideMark/>
          </w:tcPr>
          <w:p w:rsidR="00D16657" w:rsidRPr="00872462" w:rsidRDefault="00D16657" w:rsidP="00610A50">
            <w:pPr>
              <w:pStyle w:val="Normal6"/>
              <w:rPr>
                <w:szCs w:val="24"/>
              </w:rPr>
            </w:pPr>
            <w:r w:rsidRPr="00872462">
              <w:t>(b)</w:t>
            </w:r>
            <w:r w:rsidRPr="00872462">
              <w:tab/>
              <w:t xml:space="preserve">Alla </w:t>
            </w:r>
            <w:r w:rsidRPr="00872462">
              <w:rPr>
                <w:b/>
                <w:i/>
              </w:rPr>
              <w:t>oprioriterade</w:t>
            </w:r>
            <w:r w:rsidRPr="00872462">
              <w:t xml:space="preserve"> skulder </w:t>
            </w:r>
            <w:r w:rsidRPr="00872462">
              <w:rPr>
                <w:b/>
                <w:i/>
              </w:rPr>
              <w:t>utan säkerheter, förutom kvalificerade insättningar,</w:t>
            </w:r>
            <w:r w:rsidRPr="00872462">
              <w:t xml:space="preserve"> har skrivits ned eller konverterats i sin helhet.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Eero Heinäluoma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27 – punkt 9 – led b</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(b)</w:t>
            </w:r>
            <w:r w:rsidRPr="00872462">
              <w:tab/>
              <w:t xml:space="preserve">Alla skulder </w:t>
            </w:r>
            <w:r w:rsidRPr="00872462">
              <w:rPr>
                <w:b/>
                <w:i/>
              </w:rPr>
              <w:t>som är lägre än inlåning och som inte är undantagna från skuldnedskrivning enligt punkterna 3 och 5</w:t>
            </w:r>
            <w:r w:rsidRPr="00872462">
              <w:t xml:space="preserve"> har skrivits ned eller konverterats i sin helhet.</w:t>
            </w:r>
          </w:p>
        </w:tc>
        <w:tc>
          <w:tcPr>
            <w:tcW w:w="4876" w:type="dxa"/>
            <w:hideMark/>
          </w:tcPr>
          <w:p w:rsidR="00D16657" w:rsidRPr="00872462" w:rsidRDefault="00D16657" w:rsidP="00610A50">
            <w:pPr>
              <w:pStyle w:val="Normal6"/>
              <w:rPr>
                <w:szCs w:val="24"/>
              </w:rPr>
            </w:pPr>
            <w:r w:rsidRPr="00872462">
              <w:t>(b)</w:t>
            </w:r>
            <w:r w:rsidRPr="00872462">
              <w:tab/>
              <w:t xml:space="preserve">Alla </w:t>
            </w:r>
            <w:r w:rsidRPr="00872462">
              <w:rPr>
                <w:b/>
                <w:i/>
              </w:rPr>
              <w:t>oprioriterade</w:t>
            </w:r>
            <w:r w:rsidRPr="00872462">
              <w:t xml:space="preserve"> skulder </w:t>
            </w:r>
            <w:r w:rsidRPr="00872462">
              <w:rPr>
                <w:b/>
                <w:i/>
              </w:rPr>
              <w:t>utan säkerheter, förutom kvalificerade insättningar,</w:t>
            </w:r>
            <w:r w:rsidRPr="00872462">
              <w:t xml:space="preserve"> har skrivits ned eller konverterats i sin helhet.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279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Lídia Pereira</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24a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29a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(24a)</w:t>
            </w:r>
            <w:r w:rsidRPr="00872462">
              <w:rPr>
                <w:b/>
                <w:i/>
              </w:rPr>
              <w:tab/>
              <w:t>Följande artikel ska införas som artikel 29a: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Artikel 29a (Insyn)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Fonden ska offentliggöra regelbundna rapporter om återbetalningen av offentliga medel som tillhandahållits inom ramen för ett resolutionsinstrument, med tydlig och tillgänglig information om det totala belopp som tillhandahållits, de belopp som återbetalats och tidsramen för framtida återbetalningar.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{PT}</w:t>
      </w:r>
      <w:r w:rsidRPr="00872462">
        <w:t>pt</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26a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31 – punkt 1 – stycke 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(26a)</w:t>
            </w:r>
            <w:r w:rsidRPr="00872462">
              <w:rPr>
                <w:b/>
                <w:i/>
              </w:rPr>
              <w:tab/>
              <w:t>I artikel 31.1 ska tredje stycket ersättas med följande:</w:t>
            </w:r>
          </w:p>
        </w:tc>
      </w:tr>
      <w:tr w:rsidR="00872462" w:rsidRPr="00872462" w:rsidTr="00610A50">
        <w:trPr>
          <w:jc w:val="center"/>
        </w:trPr>
        <w:tc>
          <w:tcPr>
            <w:tcW w:w="4876" w:type="dxa"/>
          </w:tcPr>
          <w:p w:rsidR="00D16657" w:rsidRPr="00872462" w:rsidRDefault="00D16657" w:rsidP="00610A50">
            <w:pPr>
              <w:pStyle w:val="Normal6"/>
              <w:rPr>
                <w:b/>
                <w:i/>
                <w:szCs w:val="24"/>
              </w:rPr>
            </w:pPr>
            <w:r w:rsidRPr="00872462">
              <w:rPr>
                <w:shd w:val="clear" w:color="auto" w:fill="FFFFFF"/>
              </w:rPr>
              <w:t xml:space="preserve">I syfte att utvärdera </w:t>
            </w:r>
            <w:r w:rsidRPr="00872462">
              <w:rPr>
                <w:b/>
                <w:i/>
                <w:shd w:val="clear" w:color="auto" w:fill="FFFFFF"/>
              </w:rPr>
              <w:t>av</w:t>
            </w:r>
            <w:r w:rsidRPr="00872462">
              <w:rPr>
                <w:shd w:val="clear" w:color="auto" w:fill="FFFFFF"/>
              </w:rPr>
              <w:t xml:space="preserve"> resolutionsplaner får nämnden begära att de nationella resolutionsmyndigheterna lämnar all nödvändig information till nämnden som de ska erhålla </w:t>
            </w:r>
            <w:r w:rsidRPr="00872462">
              <w:rPr>
                <w:b/>
                <w:i/>
                <w:shd w:val="clear" w:color="auto" w:fill="FFFFFF"/>
              </w:rPr>
              <w:t>i enlighet med artiklarna 11 och 13.1 i direktiv 2014/59/EU, utan påverkan på tillämpningen av kapitel 5 i denna avdelning.</w:t>
            </w:r>
          </w:p>
        </w:tc>
        <w:tc>
          <w:tcPr>
            <w:tcW w:w="4876" w:type="dxa"/>
            <w:hideMark/>
          </w:tcPr>
          <w:p w:rsidR="00D16657" w:rsidRPr="00872462" w:rsidRDefault="00D16657" w:rsidP="00610A50">
            <w:pPr>
              <w:pStyle w:val="Normal6"/>
              <w:rPr>
                <w:szCs w:val="24"/>
              </w:rPr>
            </w:pPr>
            <w:r w:rsidRPr="00872462">
              <w:rPr>
                <w:b/>
                <w:i/>
              </w:rPr>
              <w:t>”Samarbete i fråga om informationsutbyte ska bedrivas i enlighet med artiklarna 11 och 13.1 i direktiv 2014/59/EU, utan att det påverkar tillämpningen av kapitel 5 i denna avdelning. Inom denna ram och</w:t>
            </w:r>
            <w:r w:rsidRPr="00872462">
              <w:t xml:space="preserve"> i syfte att utvärdera resolutionsplaner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 xml:space="preserve">(a) </w:t>
            </w:r>
            <w:r w:rsidRPr="00872462">
              <w:t>får nämnden begära att de nationella resolutionsmyndigheterna lämnar all nödvändig information till nämnden som de ska erhålla,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ska nämnden, på begäran av en nationell resolutionsmyndighet i en deltagande medlemsstat, ge den myndigheten all information som är nödvändig för att den ska kunna utföra sina uppgifter enligt denna förordning.”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Otillräckligt samarbete inom den gemensamma resolutionsmekanismen (SRB och de nationella regleringsmyndigheterna) är ett bekymmer som de flesta av de nationella regleringsmyndigheterna gav uttryck för under samrådet om strategisk översyn som inleddes av SRB 2023. Framför allt behövs förbättringar när det gäller följande frågor: – Informationsutbyte mellan SRB och de nationella regleringsmyndigheterna. – Sammanslutning av nationella regleringsmyndigheter i relevanta tekniska grupper och undergrupper när SRB utarbetar och ser över sin allmänna politik. Lämpliga samråd inom branschen före antagandet och översynen av SRB:s allmänna politik.</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30a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45 – rubrik och punkt 3a (ny)</w:t>
      </w:r>
      <w:r w:rsidRPr="008724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(30a)</w:t>
            </w:r>
            <w:r w:rsidRPr="00872462">
              <w:rPr>
                <w:b/>
                <w:i/>
              </w:rPr>
              <w:tab/>
              <w:t>Artikel 45 ska ändras på följande sätt:</w:t>
            </w:r>
          </w:p>
        </w:tc>
      </w:tr>
      <w:tr w:rsidR="00872462" w:rsidRPr="00872462" w:rsidTr="00610A50">
        <w:trPr>
          <w:jc w:val="center"/>
        </w:trPr>
        <w:tc>
          <w:tcPr>
            <w:tcW w:w="4876" w:type="dxa"/>
            <w:hideMark/>
          </w:tcPr>
          <w:p w:rsidR="00D16657" w:rsidRPr="00872462" w:rsidRDefault="00D16657" w:rsidP="00610A50">
            <w:pPr>
              <w:pStyle w:val="Normal6"/>
            </w:pPr>
          </w:p>
        </w:tc>
        <w:tc>
          <w:tcPr>
            <w:tcW w:w="4876" w:type="dxa"/>
            <w:hideMark/>
          </w:tcPr>
          <w:p w:rsidR="00D16657" w:rsidRPr="00872462" w:rsidRDefault="00D16657" w:rsidP="00610A50">
            <w:pPr>
              <w:pStyle w:val="Normal6"/>
              <w:rPr>
                <w:b/>
                <w:i/>
                <w:szCs w:val="24"/>
              </w:rPr>
            </w:pPr>
            <w:r w:rsidRPr="00872462">
              <w:rPr>
                <w:b/>
                <w:i/>
              </w:rPr>
              <w:t>(a) Rubriken ska ersättas med följande:</w:t>
            </w:r>
          </w:p>
        </w:tc>
      </w:tr>
      <w:tr w:rsidR="00872462" w:rsidRPr="00872462" w:rsidTr="00610A50">
        <w:trPr>
          <w:jc w:val="center"/>
        </w:trPr>
        <w:tc>
          <w:tcPr>
            <w:tcW w:w="4876" w:type="dxa"/>
            <w:hideMark/>
          </w:tcPr>
          <w:p w:rsidR="00D16657" w:rsidRPr="00872462" w:rsidRDefault="00D16657" w:rsidP="00610A50">
            <w:pPr>
              <w:pStyle w:val="Normal6"/>
            </w:pPr>
            <w:r w:rsidRPr="00872462">
              <w:t>Ansvarsskyldighet</w:t>
            </w:r>
          </w:p>
        </w:tc>
        <w:tc>
          <w:tcPr>
            <w:tcW w:w="4876" w:type="dxa"/>
            <w:hideMark/>
          </w:tcPr>
          <w:p w:rsidR="00D16657" w:rsidRPr="00872462" w:rsidRDefault="00D16657" w:rsidP="00610A50">
            <w:pPr>
              <w:pStyle w:val="Normal6"/>
              <w:rPr>
                <w:szCs w:val="24"/>
              </w:rPr>
            </w:pPr>
            <w:r w:rsidRPr="00872462">
              <w:rPr>
                <w:b/>
                <w:i/>
              </w:rPr>
              <w:t>”Transparens och</w:t>
            </w:r>
            <w:r w:rsidRPr="00872462">
              <w:t xml:space="preserve"> ansvarsskyldighet</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szCs w:val="24"/>
              </w:rPr>
            </w:pPr>
            <w:r w:rsidRPr="00872462">
              <w:rPr>
                <w:b/>
                <w:i/>
              </w:rPr>
              <w:t>(b) Följande punkt ska införas:</w:t>
            </w:r>
          </w:p>
        </w:tc>
      </w:tr>
      <w:tr w:rsidR="00872462" w:rsidRPr="00872462" w:rsidTr="00610A50">
        <w:trPr>
          <w:jc w:val="center"/>
        </w:trPr>
        <w:tc>
          <w:tcPr>
            <w:tcW w:w="4876" w:type="dxa"/>
            <w:hideMark/>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”3a. Nämnden ska offentliggöra alla riktlinjer, allmänna instruktioner, policyer eller vägledningar som fastställer resolutionsstrategier eller resolutionsmetoder som ska tillämpas inom den gemensamma resolutionsmekanismen.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(https://eur-lex.europa.eu/legal-content/SV/TXT/?uri=celex%3A32014R0806)</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50 – punkt 1 – led qa och qb (nya)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(31a)</w:t>
            </w:r>
            <w:r w:rsidRPr="00872462">
              <w:rPr>
                <w:b/>
                <w:i/>
              </w:rPr>
              <w:tab/>
              <w:t>I artikel 50.1 ska följande led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”qa) anta regler för att säkerställa att nationella resolutionsmyndigheter rådfrågas och kan bidra till all politik eller vägledning som antas av den verkställande sessionen och att de kommer att bidra till genomförandet,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qb) anta regler för anordnande av samråd inom näringslivet, när så är lämpligt, innan plenarförsamlingen eller den verkställande sessionen fattar något väsentligt beslut som är brett eller allmänt till sin karaktär.”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The association of NRAs in the relevant technical groups and subgroups when the SRB drafts and reviews itsgeneral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expressedby the banking sector for more detailed information in order to be able totailor capabilities further.</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34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56 – punkt 5 – stycke 1a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En person som har tjänstgjort </w:t>
            </w:r>
            <w:r w:rsidRPr="00872462">
              <w:rPr>
                <w:b/>
                <w:i/>
              </w:rPr>
              <w:t>under två mandatperioder</w:t>
            </w:r>
            <w:r w:rsidRPr="00872462">
              <w:t xml:space="preserve"> som ordförande, vice ordförande eller ledamot som avses i artikel 43.1 b ska inte kunna utnämnas till någon av de två andra posterna.</w:t>
            </w:r>
          </w:p>
        </w:tc>
        <w:tc>
          <w:tcPr>
            <w:tcW w:w="4876" w:type="dxa"/>
            <w:hideMark/>
          </w:tcPr>
          <w:p w:rsidR="00D16657" w:rsidRPr="00872462" w:rsidRDefault="00D16657" w:rsidP="00610A50">
            <w:pPr>
              <w:pStyle w:val="Normal6"/>
              <w:rPr>
                <w:szCs w:val="24"/>
              </w:rPr>
            </w:pPr>
            <w:r w:rsidRPr="00872462">
              <w:t>En person som har tjänstgjort som ordförande, vice ordförande eller ledamot som avses i artikel 43.1 b ska inte kunna utnämnas till någon av de två andra posterna.</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34 – led c</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56 – punkt 6 – stycke 1 – mening 1a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(c)</w:t>
            </w:r>
            <w:r w:rsidRPr="00872462">
              <w:rPr>
                <w:b/>
                <w:i/>
              </w:rPr>
              <w:tab/>
              <w:t>I punkt 6 första stycket ska följande mening läggas till:</w:t>
            </w:r>
          </w:p>
        </w:tc>
        <w:tc>
          <w:tcPr>
            <w:tcW w:w="4876" w:type="dxa"/>
            <w:hideMark/>
          </w:tcPr>
          <w:p w:rsidR="00D16657" w:rsidRPr="00872462" w:rsidRDefault="00D16657" w:rsidP="00610A50">
            <w:pPr>
              <w:pStyle w:val="Normal6"/>
              <w:rPr>
                <w:szCs w:val="24"/>
              </w:rPr>
            </w:pPr>
            <w:r w:rsidRPr="00872462">
              <w:rPr>
                <w:b/>
                <w:i/>
              </w:rPr>
              <w:t>utgår</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rPr>
              <w:t>Kommissionen får ordna namnen på slutlistan i den ordning som återspeglar kommissionens bedömning av varje sökandes lämplighet mot bakgrund av de kriterier som avses i punkt 4 i denna artikel.</w:t>
            </w:r>
          </w:p>
        </w:tc>
        <w:tc>
          <w:tcPr>
            <w:tcW w:w="4876" w:type="dxa"/>
          </w:tcPr>
          <w:p w:rsidR="00D16657" w:rsidRPr="00872462" w:rsidRDefault="00D16657" w:rsidP="00610A50">
            <w:pPr>
              <w:pStyle w:val="Normal6"/>
              <w:rPr>
                <w:szCs w:val="24"/>
              </w:rPr>
            </w:pPr>
          </w:p>
        </w:tc>
      </w:tr>
      <w:tr w:rsidR="00872462" w:rsidRPr="00872462" w:rsidTr="00610A50">
        <w:trPr>
          <w:jc w:val="center"/>
        </w:trPr>
        <w:tc>
          <w:tcPr>
            <w:tcW w:w="4876" w:type="dxa"/>
            <w:hideMark/>
          </w:tcPr>
          <w:p w:rsidR="00D16657" w:rsidRPr="00872462" w:rsidRDefault="00D16657" w:rsidP="00610A50">
            <w:pPr>
              <w:pStyle w:val="Normal6"/>
            </w:pPr>
            <w:r w:rsidRPr="00872462">
              <w:rPr>
                <w:b/>
                <w:i/>
              </w:rPr>
              <w:t>”</w:t>
            </w:r>
          </w:p>
        </w:tc>
        <w:tc>
          <w:tcPr>
            <w:tcW w:w="4876" w:type="dxa"/>
          </w:tcPr>
          <w:p w:rsidR="00D16657" w:rsidRPr="00872462" w:rsidRDefault="00D16657" w:rsidP="00610A50">
            <w:pPr>
              <w:pStyle w:val="Normal6"/>
              <w:rPr>
                <w:szCs w:val="24"/>
              </w:rPr>
            </w:pP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34 – led ca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56 – punkt 6</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(ca)</w:t>
            </w:r>
            <w:r w:rsidRPr="00872462">
              <w:rPr>
                <w:b/>
                <w:i/>
              </w:rPr>
              <w:tab/>
              <w:t>I artikel 56 ska punkt 6 ersättas med följande:</w:t>
            </w:r>
          </w:p>
        </w:tc>
      </w:tr>
      <w:tr w:rsidR="00872462" w:rsidRPr="00872462" w:rsidTr="00610A50">
        <w:trPr>
          <w:jc w:val="center"/>
        </w:trPr>
        <w:tc>
          <w:tcPr>
            <w:tcW w:w="4876" w:type="dxa"/>
            <w:hideMark/>
          </w:tcPr>
          <w:p w:rsidR="00D16657" w:rsidRPr="00872462" w:rsidRDefault="00D16657" w:rsidP="00610A50">
            <w:pPr>
              <w:pStyle w:val="Normal6"/>
            </w:pPr>
            <w:r w:rsidRPr="00872462">
              <w:t>6. Efter att ha hört nämnden vid dess plenarmöte ska kommissionen förse Europaparlamentet med en slutlista över kandidater till posterna som ordförande, vice ordförande och ledamöter som avses i artikel 43.1 b och informera rådet om slutlistan.</w:t>
            </w:r>
            <w:r w:rsidRPr="00872462">
              <w:rPr>
                <w:b/>
                <w:i/>
              </w:rPr>
              <w:t xml:space="preserve"> Genom undantag från första stycket, ska kommissionen vid tillsättningen av de första ledamöterna av nämnden efter ikraftträdandet av denna förordning, lägga fram slutlistan över kandidater utan att höra nämnden</w:t>
            </w:r>
            <w:r w:rsidRPr="00872462">
              <w:t xml:space="preserve">. Kommissionen </w:t>
            </w:r>
            <w:r w:rsidRPr="00872462">
              <w:rPr>
                <w:b/>
                <w:i/>
              </w:rPr>
              <w:t>ska</w:t>
            </w:r>
            <w:r w:rsidRPr="00872462">
              <w:t xml:space="preserve"> lägga fram ett förslag till utnämning av ordföranden, vice ordföranden och de ledamöter som avses i artikel 43.1 b för Europaparlamentet för godkännande. Efter godkännandet av det förslaget ska rådet anta ett genomförandebeslut om utnämning av ordföranden, vice ordföranden och de ledamöter som avses i artikel 43.1 b. Rådet ska fatta beslut med kvalificerad majoritet.</w:t>
            </w:r>
          </w:p>
        </w:tc>
        <w:tc>
          <w:tcPr>
            <w:tcW w:w="4876" w:type="dxa"/>
            <w:hideMark/>
          </w:tcPr>
          <w:p w:rsidR="00D16657" w:rsidRPr="00872462" w:rsidRDefault="00D16657" w:rsidP="00610A50">
            <w:pPr>
              <w:pStyle w:val="Normal6"/>
              <w:rPr>
                <w:szCs w:val="24"/>
              </w:rPr>
            </w:pPr>
            <w:r w:rsidRPr="00872462">
              <w:t xml:space="preserve">”6. Efter att ha hört nämnden vid dess plenarmöte ska kommissionen förse Europaparlamentet med en </w:t>
            </w:r>
            <w:r w:rsidRPr="00872462">
              <w:rPr>
                <w:b/>
                <w:i/>
              </w:rPr>
              <w:t>könsbalanserad</w:t>
            </w:r>
            <w:r w:rsidRPr="00872462">
              <w:t xml:space="preserve"> slutlista över kandidater till posterna som ordförande, vice ordförande och ledamöter som avses i artikel 43.1 b och informera rådet om slutlistan.</w:t>
            </w:r>
            <w:r w:rsidRPr="00872462">
              <w:rPr>
                <w:b/>
                <w:i/>
              </w:rPr>
              <w:t xml:space="preserve"> Europaparlamentet får hålla utfrågningar av kandidaterna på denna slutlista</w:t>
            </w:r>
            <w:r w:rsidRPr="00872462">
              <w:t>.</w:t>
            </w:r>
            <w:r w:rsidRPr="00872462">
              <w:rPr>
                <w:b/>
                <w:i/>
              </w:rPr>
              <w:t xml:space="preserve"> I enlighet med resultatet i Europaparlamentet ska</w:t>
            </w:r>
            <w:r w:rsidRPr="00872462">
              <w:t xml:space="preserve"> kommissionen lägga fram ett förslag till utnämning av ordföranden, vice ordföranden och de ledamöter som avses i artikel 43.1 b för Europaparlamentet för godkännande. Efter godkännandet av det förslaget ska rådet anta ett genomförandebeslut om utnämning av ordföranden, vice ordföranden och de ledamöter som avses i artikel 43.1 b. Rådet ska fatta beslut med kvalificerad majoritet.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(https://eur-lex.europa.eu/legal-content/SV/TXT/?uri=celex%3A32014R0806)</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34 – led d</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56 – punkt 6a</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”6 a.</w:t>
            </w:r>
            <w:r w:rsidRPr="00872462">
              <w:rPr>
                <w:b/>
                <w:i/>
              </w:rPr>
              <w:tab/>
              <w:t>Under de nio månader som föregår utgången av den första mandatperioden för ordföranden, vice ordföranden och de ledamöter som avses i artikel 43.1 b ska kommissionen utvärdera de resultat som uppnåtts under den första mandatperioden och besluta huruvida den ska lägga fram ett förslag om förlängning av mandatperioden på grundval av resultaten av den utvärderingen.</w:t>
            </w:r>
          </w:p>
        </w:tc>
        <w:tc>
          <w:tcPr>
            <w:tcW w:w="4876" w:type="dxa"/>
            <w:hideMark/>
          </w:tcPr>
          <w:p w:rsidR="00D16657" w:rsidRPr="00872462" w:rsidRDefault="00D16657" w:rsidP="00610A50">
            <w:pPr>
              <w:pStyle w:val="Normal6"/>
              <w:rPr>
                <w:szCs w:val="24"/>
              </w:rPr>
            </w:pPr>
            <w:r w:rsidRPr="00872462">
              <w:rPr>
                <w:b/>
                <w:i/>
              </w:rPr>
              <w:t>utgår</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Rådet ska på förslag av kommissionen anta ett genomförandebeslut om förnyelse av mandatperioden för ordföranden, vice ordföranden och de ledamöter som avses i artikel 43.1 b. Rådet ska fatta beslut med kvalificerad majoritet.”</w:t>
            </w:r>
          </w:p>
        </w:tc>
        <w:tc>
          <w:tcPr>
            <w:tcW w:w="4876" w:type="dxa"/>
          </w:tcPr>
          <w:p w:rsidR="00D16657" w:rsidRPr="00872462" w:rsidRDefault="00D16657" w:rsidP="00610A50">
            <w:pPr>
              <w:pStyle w:val="Normal6"/>
              <w:rPr>
                <w:szCs w:val="24"/>
              </w:rPr>
            </w:pP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34 – led ea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56 – punkt 8</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(ea)</w:t>
            </w:r>
            <w:r w:rsidRPr="00872462">
              <w:rPr>
                <w:b/>
                <w:i/>
              </w:rPr>
              <w:tab/>
              <w:t>I artikel 56 ska punkt 8 utgå.</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8. En ordförande vars mandattid har förlängts får inte delta i ett ytterligare urvalsförfarande för samma befattning vid slutet av den sammantagna mandatperioden.</w:t>
            </w:r>
          </w:p>
        </w:tc>
        <w:tc>
          <w:tcPr>
            <w:tcW w:w="4876" w:type="dxa"/>
            <w:hideMark/>
          </w:tcPr>
          <w:p w:rsidR="00D16657" w:rsidRPr="00872462" w:rsidRDefault="00D16657" w:rsidP="00610A50">
            <w:pPr>
              <w:pStyle w:val="Normal6"/>
              <w:rPr>
                <w:szCs w:val="24"/>
              </w:rPr>
            </w:pPr>
            <w:r w:rsidRPr="00872462">
              <w: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(https://eur-lex.europa.eu/legal-content/SV/TXT/?uri=celex%3A32014R0806)</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35a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69 – punkt 1 – stycke 1a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(35a)</w:t>
            </w:r>
            <w:r w:rsidRPr="00872462">
              <w:rPr>
                <w:b/>
                <w:i/>
              </w:rPr>
              <w:tab/>
              <w:t>I artikel 69.1 ska följande stycke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”Om de tillgängliga finansiella medlen avsevärt har överskridit målnivån för ett andra år i rad ska kommissionen bedöma situationen och rapportera om huruvida det är lämpligt att införa en möjlighet att återställa en del av de tillgängliga finansiella medlen.”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Denna reform kan ändra sannolikheten för att små och medelstora banker får tillgång till insättningsgarantisystemet/den gemensamma resolutionsfonden. Denna sannolikhet bör återspeglas i reglerna för bidrag för att skapa rätt incitament för en modell som ”förorenaren betalar”. Fram till dess att detta ses över bör bidragen pausas, med förbehåll för ett försiktigt golv.</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289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69 – punkt 4</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4.</w:t>
            </w:r>
            <w:r w:rsidRPr="00872462">
              <w:tab/>
              <w:t xml:space="preserve">Om de tillgängliga finansiella medlen efter den inledande period som avses i punkt 1 understiger den målnivå som fastställs i den punkten ska de regelbundna bidrag som beräknas i enlighet med artikel 70 fortsätta samlas in till dess att </w:t>
            </w:r>
            <w:r w:rsidRPr="00872462">
              <w:rPr>
                <w:b/>
                <w:i/>
              </w:rPr>
              <w:t>målnivån</w:t>
            </w:r>
            <w:r w:rsidRPr="00872462">
              <w:t xml:space="preserve"> uppnås. Nämnden får skjuta upp insamlingen av regelbundna bidrag som samlats in i enlighet med artikel 70 under ett eller flera år för att säkerställa att det belopp som ska samlas in når ett belopp som står i proportion till kostnaderna för insamlingen, förutsatt att ett sådant uppskjutande inte väsentligt påverkar nämndens förmåga att använda fonden enligt avsnitt 3. Efter det att målnivån uppnåtts för första gången och de tillgängliga finansiella medlen därefter har sjunkit till mindre än två tredjedelar av målnivån ska de bidragen sättas till en nivå som gör det möjligt att uppnå målnivån inom sex år.</w:t>
            </w:r>
          </w:p>
        </w:tc>
        <w:tc>
          <w:tcPr>
            <w:tcW w:w="4876" w:type="dxa"/>
            <w:hideMark/>
          </w:tcPr>
          <w:p w:rsidR="00D16657" w:rsidRPr="00872462" w:rsidRDefault="00D16657" w:rsidP="00610A50">
            <w:pPr>
              <w:pStyle w:val="Normal6"/>
              <w:rPr>
                <w:szCs w:val="24"/>
              </w:rPr>
            </w:pPr>
            <w:r w:rsidRPr="00872462">
              <w:t>4.</w:t>
            </w:r>
            <w:r w:rsidRPr="00872462">
              <w:tab/>
              <w:t xml:space="preserve">Om de tillgängliga finansiella medlen efter den inledande period som avses i punkt 1 understiger den målnivå som fastställs i den punkten ska de regelbundna bidrag som beräknas i enlighet med artikel 70 fortsätta samlas in till dess att </w:t>
            </w:r>
            <w:r w:rsidRPr="00872462">
              <w:rPr>
                <w:b/>
                <w:i/>
              </w:rPr>
              <w:t>en nivå</w:t>
            </w:r>
            <w:r w:rsidRPr="00872462">
              <w:t xml:space="preserve"> uppnås </w:t>
            </w:r>
            <w:r w:rsidRPr="00872462">
              <w:rPr>
                <w:b/>
                <w:i/>
              </w:rPr>
              <w:t>som motsvarar den målnivå som uppnåddes i slutet av den inledande perioden</w:t>
            </w:r>
            <w:r w:rsidRPr="00872462">
              <w:t xml:space="preserve">. Nämnden får skjuta upp insamlingen av regelbundna bidrag som samlats in i enlighet med artikel 70 </w:t>
            </w:r>
            <w:r w:rsidRPr="00872462">
              <w:rPr>
                <w:b/>
                <w:i/>
              </w:rPr>
              <w:t>och rapporteringsskyldigheterna för detta</w:t>
            </w:r>
            <w:r w:rsidRPr="00872462">
              <w:t xml:space="preserve"> under ett eller flera år för att säkerställa att det belopp som ska samlas in når ett belopp som står i proportion till kostnaderna för insamlingen </w:t>
            </w:r>
            <w:r w:rsidRPr="00872462">
              <w:rPr>
                <w:b/>
                <w:i/>
              </w:rPr>
              <w:t>för resolutionsmyndigheterna och instituten</w:t>
            </w:r>
            <w:r w:rsidRPr="00872462">
              <w:t>, förutsatt att ett sådant uppskjutande inte väsentligt påverkar nämndens förmåga att använda fonden enligt avsnitt 3. Efter det att målnivån uppnåtts för första gången och de tillgängliga finansiella medlen därefter har sjunkit till mindre än två tredjedelar av målnivån ska de bidragen sättas till en nivå som gör det möjligt att uppnå målnivån inom sex 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69 – punkt 4</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4.</w:t>
            </w:r>
            <w:r w:rsidRPr="00872462">
              <w:tab/>
            </w:r>
            <w:r w:rsidRPr="00872462">
              <w:rPr>
                <w:b/>
                <w:i/>
              </w:rPr>
              <w:t>Om de tillgängliga finansiella medlen</w:t>
            </w:r>
            <w:r w:rsidRPr="00872462">
              <w:t xml:space="preserve"> efter </w:t>
            </w:r>
            <w:r w:rsidRPr="00872462">
              <w:rPr>
                <w:b/>
                <w:i/>
              </w:rPr>
              <w:t>den inledande period som avses i punkt 1 understiger den målnivå som fastställs i den punkten</w:t>
            </w:r>
            <w:r w:rsidRPr="00872462">
              <w:t xml:space="preserve"> ska de regelbundna bidrag som beräknas i enlighet med artikel 70 </w:t>
            </w:r>
            <w:r w:rsidRPr="00872462">
              <w:rPr>
                <w:b/>
                <w:i/>
              </w:rPr>
              <w:t>fortsätta samlas in</w:t>
            </w:r>
            <w:r w:rsidRPr="00872462">
              <w:t xml:space="preserve"> till dess att målnivån </w:t>
            </w:r>
            <w:r w:rsidRPr="00872462">
              <w:rPr>
                <w:b/>
                <w:i/>
              </w:rPr>
              <w:t>uppnås.</w:t>
            </w:r>
            <w:r w:rsidRPr="00872462">
              <w:t xml:space="preserve"> Nämnden </w:t>
            </w:r>
            <w:r w:rsidRPr="00872462">
              <w:rPr>
                <w:b/>
                <w:i/>
              </w:rPr>
              <w:t>får</w:t>
            </w:r>
            <w:r w:rsidRPr="00872462">
              <w:t xml:space="preserve"> skjuta upp insamlingen av regelbundna bidrag </w:t>
            </w:r>
            <w:r w:rsidRPr="00872462">
              <w:rPr>
                <w:b/>
                <w:i/>
              </w:rPr>
              <w:t>som samlats in i enlighet med artikel 70 under ett eller flera år för att säkerställa att</w:t>
            </w:r>
            <w:r w:rsidRPr="00872462">
              <w:t xml:space="preserve"> det belopp som ska samlas in når ett belopp som står i proportion till kostnaderna för insamlingen</w:t>
            </w:r>
            <w:r w:rsidRPr="00872462">
              <w:rPr>
                <w:b/>
                <w:i/>
              </w:rPr>
              <w:t>, förutsatt att ett sådant uppskjutande inte väsentligt påverkar nämndens förmåga att använda fonden enligt avsnitt 3</w:t>
            </w:r>
            <w:r w:rsidRPr="00872462">
              <w:t xml:space="preserve">. </w:t>
            </w:r>
            <w:r w:rsidRPr="00872462">
              <w:rPr>
                <w:b/>
                <w:i/>
              </w:rPr>
              <w:t>Efter det att målnivån uppnåtts för första gången och de tillgängliga finansiella medlen därefter har sjunkit till mindre än två tredjedelar av målnivån ska</w:t>
            </w:r>
            <w:r w:rsidRPr="00872462">
              <w:t xml:space="preserve"> de bidragen sättas till en nivå som gör det möjligt att uppnå målnivån inom </w:t>
            </w:r>
            <w:r w:rsidRPr="00872462">
              <w:rPr>
                <w:b/>
                <w:i/>
              </w:rPr>
              <w:t>sex</w:t>
            </w:r>
            <w:r w:rsidRPr="00872462">
              <w:t xml:space="preserve"> år.</w:t>
            </w:r>
          </w:p>
        </w:tc>
        <w:tc>
          <w:tcPr>
            <w:tcW w:w="4876" w:type="dxa"/>
            <w:hideMark/>
          </w:tcPr>
          <w:p w:rsidR="00D16657" w:rsidRPr="00872462" w:rsidRDefault="00D16657" w:rsidP="00610A50">
            <w:pPr>
              <w:pStyle w:val="Normal6"/>
              <w:rPr>
                <w:szCs w:val="24"/>
              </w:rPr>
            </w:pPr>
            <w:r w:rsidRPr="00872462">
              <w:t>4.</w:t>
            </w:r>
            <w:r w:rsidRPr="00872462">
              <w:tab/>
              <w:t xml:space="preserve">Efter </w:t>
            </w:r>
            <w:r w:rsidRPr="00872462">
              <w:rPr>
                <w:b/>
                <w:i/>
              </w:rPr>
              <w:t>att målnivån har uppnåtts för första gången</w:t>
            </w:r>
            <w:r w:rsidRPr="00872462">
              <w:t xml:space="preserve"> ska </w:t>
            </w:r>
            <w:r w:rsidRPr="00872462">
              <w:rPr>
                <w:b/>
                <w:i/>
              </w:rPr>
              <w:t>insamlingen av</w:t>
            </w:r>
            <w:r w:rsidRPr="00872462">
              <w:t xml:space="preserve"> de regelbundna bidrag som beräknas i enlighet med artikel 70 </w:t>
            </w:r>
            <w:r w:rsidRPr="00872462">
              <w:rPr>
                <w:b/>
                <w:i/>
              </w:rPr>
              <w:t>vara föremål för följande ändringar: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w:t>
            </w:r>
            <w:r w:rsidRPr="00872462">
              <w:t xml:space="preserve"> Till dess att </w:t>
            </w:r>
            <w:r w:rsidRPr="00872462">
              <w:rPr>
                <w:b/>
                <w:i/>
              </w:rPr>
              <w:t>de tillgängliga finansiella medlen, efter eventuella utbetalningar, sjunker under 85 % av</w:t>
            </w:r>
            <w:r w:rsidRPr="00872462">
              <w:t xml:space="preserve"> målnivån </w:t>
            </w:r>
            <w:r w:rsidRPr="00872462">
              <w:rPr>
                <w:b/>
                <w:i/>
              </w:rPr>
              <w:t>ska</w:t>
            </w:r>
            <w:r w:rsidRPr="00872462">
              <w:t xml:space="preserve"> nämnden skjuta upp insamlingen av regelbundna bidrag</w:t>
            </w:r>
            <w:r w:rsidRPr="00872462">
              <w:rPr>
                <w:b/>
                <w:i/>
              </w:rPr>
              <w: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Om</w:t>
            </w:r>
            <w:r w:rsidRPr="00872462">
              <w:t xml:space="preserve"> det belopp som ska samlas in når ett belopp som står i proportion till kostnaderna för insamlingen </w:t>
            </w:r>
            <w:r w:rsidRPr="00872462">
              <w:rPr>
                <w:b/>
                <w:i/>
              </w:rPr>
              <w:t>ska nämnden skjuta upp insamlingen av regelbundna bidrag</w:t>
            </w:r>
            <w:r w:rsidRPr="00872462">
              <w: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Vidare ska återupptagandet av</w:t>
            </w:r>
            <w:r w:rsidRPr="00872462">
              <w:t xml:space="preserve"> de </w:t>
            </w:r>
            <w:r w:rsidRPr="00872462">
              <w:rPr>
                <w:b/>
                <w:i/>
              </w:rPr>
              <w:t>regelbundna</w:t>
            </w:r>
            <w:r w:rsidRPr="00872462">
              <w:t xml:space="preserve"> bidragen </w:t>
            </w:r>
            <w:r w:rsidRPr="00872462">
              <w:rPr>
                <w:b/>
                <w:i/>
              </w:rPr>
              <w:t>efter det uppskov som avses i första stycket</w:t>
            </w:r>
            <w:r w:rsidRPr="00872462">
              <w:t xml:space="preserve"> sättas till en nivå som gör det möjligt att uppnå målnivån inom </w:t>
            </w:r>
            <w:r w:rsidRPr="00872462">
              <w:rPr>
                <w:b/>
                <w:i/>
              </w:rPr>
              <w:t>3</w:t>
            </w:r>
            <w:r w:rsidRPr="00872462">
              <w:t xml:space="preserve"> år.</w:t>
            </w: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Denna reform kan ändra sannolikheten för att små och medelstora banker får tillgång till insättningsgarantisystemet/den gemensamma resolutionsfonden. Denna sannolikhet bör återspeglas i reglerna för bidrag för att skapa rätt incitament för en modell som ”förorenaren betalar”. Fram till dess att detta ses över bör bidragen pausas, med förbehåll för ett försiktigt golv.</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36</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69 – punkt 4</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4.</w:t>
            </w:r>
            <w:r w:rsidRPr="00872462">
              <w:tab/>
              <w:t xml:space="preserve">Om de tillgängliga finansiella medlen efter den inledande period som avses i punkt 1 understiger den målnivå som fastställs i den punkten ska de regelbundna bidrag som beräknas i enlighet med artikel 70 fortsätta samlas in till dess att målnivån uppnås. Nämnden får skjuta upp insamlingen av regelbundna bidrag som samlats in i enlighet med artikel 70 under ett </w:t>
            </w:r>
            <w:r w:rsidRPr="00872462">
              <w:rPr>
                <w:b/>
                <w:i/>
              </w:rPr>
              <w:t>eller flera</w:t>
            </w:r>
            <w:r w:rsidRPr="00872462">
              <w:t xml:space="preserve"> år för att säkerställa att det belopp som ska samlas in når ett belopp som står i proportion till kostnaderna för insamlingen, förutsatt att ett sådant uppskjutande inte väsentligt påverkar nämndens förmåga att använda fonden enligt avsnitt 3. Efter det att målnivån uppnåtts för första gången och de tillgängliga finansiella medlen därefter har sjunkit till mindre än två tredjedelar av målnivån ska de bidragen sättas till en nivå som gör det möjligt att uppnå målnivån inom sex år.</w:t>
            </w:r>
          </w:p>
        </w:tc>
        <w:tc>
          <w:tcPr>
            <w:tcW w:w="4876" w:type="dxa"/>
            <w:hideMark/>
          </w:tcPr>
          <w:p w:rsidR="00D16657" w:rsidRPr="00872462" w:rsidRDefault="00D16657" w:rsidP="00610A50">
            <w:pPr>
              <w:pStyle w:val="Normal6"/>
              <w:rPr>
                <w:szCs w:val="24"/>
              </w:rPr>
            </w:pPr>
            <w:r w:rsidRPr="00872462">
              <w:t>4.</w:t>
            </w:r>
            <w:r w:rsidRPr="00872462">
              <w:tab/>
              <w:t>Om de tillgängliga finansiella medlen efter den inledande period som avses i punkt 1 understiger den målnivå som fastställs i den punkten ska de regelbundna bidrag som beräknas i enlighet med artikel 70 fortsätta samlas in till dess att målnivån uppnås. Nämnden får skjuta upp insamlingen av regelbundna bidrag som samlats in i enlighet med artikel 70 under ett år för att säkerställa att det belopp som ska samlas in når ett belopp som står i proportion till kostnaderna för insamlingen, förutsatt att ett sådant uppskjutande inte väsentligt påverkar nämndens förmåga att använda fonden enligt avsnitt 3. Efter det att målnivån uppnåtts för första gången och de tillgängliga finansiella medlen därefter har sjunkit till mindre än två tredjedelar av målnivån ska de bidragen sättas till en nivå som gör det möjligt att uppnå målnivån inom sex 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37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70 – punkt 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3.</w:t>
            </w:r>
            <w:r w:rsidRPr="00872462">
              <w:tab/>
              <w:t xml:space="preserve">De tillgängliga finansiella medel som ska tas i beaktande för att uppnå den målnivå som anges i artikel 69 får omfatta icke återkalleliga betalningsåtaganden, med full säkerhet i form av lågrisktillgångar som inte är belastade av tredje parts inteckningar och som står till fritt förfogande samt är öronmärkta uteslutande för nämndens användning för de ändamål som anges i artikel 76.1. Andelen av sådana icke återkalleliga betalningsåtaganden får inte vara högre än </w:t>
            </w:r>
            <w:r w:rsidRPr="00872462">
              <w:rPr>
                <w:b/>
                <w:i/>
              </w:rPr>
              <w:t>50</w:t>
            </w:r>
            <w:r w:rsidRPr="00872462">
              <w:t xml:space="preserve"> % av de totala bidrag som insamlats i enlighet med den här artikeln. Inom denna gräns ska nämnden årligen fastställa andelen oåterkalleliga betalningsåtaganden av det totala bidragsbelopp som ska samlas in i enlighet med denna artikel.</w:t>
            </w:r>
          </w:p>
        </w:tc>
        <w:tc>
          <w:tcPr>
            <w:tcW w:w="4876" w:type="dxa"/>
            <w:hideMark/>
          </w:tcPr>
          <w:p w:rsidR="00D16657" w:rsidRPr="00872462" w:rsidRDefault="00D16657" w:rsidP="00610A50">
            <w:pPr>
              <w:pStyle w:val="Normal6"/>
              <w:rPr>
                <w:szCs w:val="24"/>
              </w:rPr>
            </w:pPr>
            <w:r w:rsidRPr="00872462">
              <w:t>3.</w:t>
            </w:r>
            <w:r w:rsidRPr="00872462">
              <w:tab/>
              <w:t xml:space="preserve">De tillgängliga finansiella medel som ska tas i beaktande för att uppnå den målnivå som anges i artikel 69 får omfatta icke återkalleliga betalningsåtaganden, med full säkerhet i form av lågrisktillgångar som inte är belastade av tredje parts inteckningar och som står till fritt förfogande samt är öronmärkta uteslutande för nämndens användning för de ändamål som anges i artikel 76.1. Andelen av sådana icke återkalleliga betalningsåtaganden får inte vara högre än </w:t>
            </w:r>
            <w:r w:rsidRPr="00872462">
              <w:rPr>
                <w:b/>
                <w:i/>
              </w:rPr>
              <w:t>30</w:t>
            </w:r>
            <w:r w:rsidRPr="00872462">
              <w:t xml:space="preserve"> % av de totala bidrag som insamlats i enlighet med den här artikeln. Inom denna gräns ska nämnden årligen fastställa andelen oåterkalleliga betalningsåtaganden av det totala bidragsbelopp som ska samlas in i enlighet med denna artikel.</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37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70 – punkt 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3.</w:t>
            </w:r>
            <w:r w:rsidRPr="00872462">
              <w:tab/>
              <w:t xml:space="preserve">De tillgängliga finansiella medel som ska tas i beaktande för att uppnå den målnivå som anges i artikel </w:t>
            </w:r>
            <w:r w:rsidRPr="00872462">
              <w:rPr>
                <w:b/>
                <w:i/>
              </w:rPr>
              <w:t>69</w:t>
            </w:r>
            <w:r w:rsidRPr="00872462">
              <w:t xml:space="preserve"> får omfatta icke återkalleliga betalningsåtaganden, med full säkerhet i form av lågrisktillgångar som inte är belastade av tredje parts inteckningar och som står till fritt förfogande samt är öronmärkta uteslutande för nämndens användning för de ändamål som anges i artikel 76.1. Andelen av sådana icke återkalleliga betalningsåtaganden </w:t>
            </w:r>
            <w:r w:rsidRPr="00872462">
              <w:rPr>
                <w:b/>
                <w:i/>
              </w:rPr>
              <w:t>får inte</w:t>
            </w:r>
            <w:r w:rsidRPr="00872462">
              <w:t xml:space="preserve"> vara </w:t>
            </w:r>
            <w:r w:rsidRPr="00872462">
              <w:rPr>
                <w:b/>
                <w:i/>
              </w:rPr>
              <w:t>högre än</w:t>
            </w:r>
            <w:r w:rsidRPr="00872462">
              <w:t xml:space="preserve"> 50 % av de totala bidrag som insamlats i enlighet med den här artikeln. </w:t>
            </w:r>
            <w:r w:rsidRPr="00872462">
              <w:rPr>
                <w:b/>
                <w:i/>
              </w:rPr>
              <w:t>Inom denna gräns ska</w:t>
            </w:r>
            <w:r w:rsidRPr="00872462">
              <w:t xml:space="preserve"> nämnden årligen fastställa andelen oåterkalleliga betalningsåtaganden av det totala bidragsbelopp som ska samlas in i enlighet med denna artikel.</w:t>
            </w:r>
          </w:p>
        </w:tc>
        <w:tc>
          <w:tcPr>
            <w:tcW w:w="4876" w:type="dxa"/>
            <w:hideMark/>
          </w:tcPr>
          <w:p w:rsidR="00D16657" w:rsidRPr="00872462" w:rsidRDefault="00D16657" w:rsidP="00610A50">
            <w:pPr>
              <w:pStyle w:val="Normal6"/>
              <w:rPr>
                <w:szCs w:val="24"/>
              </w:rPr>
            </w:pPr>
            <w:r w:rsidRPr="00872462">
              <w:t>3.</w:t>
            </w:r>
            <w:r w:rsidRPr="00872462">
              <w:tab/>
              <w:t xml:space="preserve">De tillgängliga finansiella medel som ska tas i beaktande för att uppnå den målnivå som anges i artikel </w:t>
            </w:r>
            <w:r w:rsidRPr="00872462">
              <w:rPr>
                <w:b/>
                <w:i/>
              </w:rPr>
              <w:t>102</w:t>
            </w:r>
            <w:r w:rsidRPr="00872462">
              <w:t xml:space="preserve"> får omfatta icke återkalleliga betalningsåtaganden, med full säkerhet i form av lågrisktillgångar som inte är belastade av tredje parts inteckningar och som står till fritt förfogande samt är öronmärkta uteslutande för nämndens användning för de ändamål som anges i artikel 76.1. Andelen av sådana icke återkalleliga betalningsåtaganden </w:t>
            </w:r>
            <w:r w:rsidRPr="00872462">
              <w:rPr>
                <w:b/>
                <w:i/>
              </w:rPr>
              <w:t>ska</w:t>
            </w:r>
            <w:r w:rsidRPr="00872462">
              <w:t xml:space="preserve"> vara 50 % av de totala bidrag som insamlats i enlighet med den här artikeln. Nämnden </w:t>
            </w:r>
            <w:r w:rsidRPr="00872462">
              <w:rPr>
                <w:b/>
                <w:i/>
              </w:rPr>
              <w:t>ska</w:t>
            </w:r>
            <w:r w:rsidRPr="00872462">
              <w:t xml:space="preserve"> årligen fastställa andelen oåterkalleliga betalningsåtaganden av det totala bidragsbelopp som ska samlas in i enlighet med denna artikel.</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Europeiska kommissionens förslag om att öka andelen oåterkalleliga betalningsåtaganden är i princip en bra idé, men beslutet om att bevilja det och andelens storlek omfattas fortfarande av nämndens bedömning. För att förbättra planeringskapaciteten bör institutionerna alltid ha möjlighet att använda oåterkalleliga betalningsåtaganden till 50 %.</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37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70 – punkt 3a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Om ett institut eller en enhet upphör att omfattas av </w:t>
            </w:r>
            <w:r w:rsidRPr="00872462">
              <w:rPr>
                <w:b/>
                <w:i/>
              </w:rPr>
              <w:t>artikel 2 och inte längre omfattas av skyldigheten att betala bidrag i enlighet med punkt 1 i denna artikel,</w:t>
            </w:r>
            <w:r w:rsidRPr="00872462">
              <w:t xml:space="preserve"> ska </w:t>
            </w:r>
            <w:r w:rsidRPr="00872462">
              <w:rPr>
                <w:b/>
                <w:i/>
              </w:rPr>
              <w:t>nämnden göra anspråk på</w:t>
            </w:r>
            <w:r w:rsidRPr="00872462">
              <w:t xml:space="preserve"> de oåterkalleliga </w:t>
            </w:r>
            <w:r w:rsidRPr="00872462">
              <w:rPr>
                <w:b/>
                <w:i/>
              </w:rPr>
              <w:t>betalningsåtaganden som gjorts i enlighet med punkt 3 och som fortfarande är utestående. Om det bidrag som är kopplat till det oåterkalleliga betalningsåtagandet betalas i vederbörlig ordning vid den första infordran ska nämnden annullera åtagandet och återlämna säkerheten. Om bidraget inte betalas i vederbörlig ordning vid den första infordran ska nämnden beslagta</w:t>
            </w:r>
            <w:r w:rsidRPr="00872462">
              <w:t xml:space="preserve"> säkerheten </w:t>
            </w:r>
            <w:r w:rsidRPr="00872462">
              <w:rPr>
                <w:b/>
                <w:i/>
              </w:rPr>
              <w:t>och annullera åtagandet</w:t>
            </w:r>
            <w:r w:rsidRPr="00872462">
              <w:t>.</w:t>
            </w:r>
          </w:p>
        </w:tc>
        <w:tc>
          <w:tcPr>
            <w:tcW w:w="4876" w:type="dxa"/>
            <w:hideMark/>
          </w:tcPr>
          <w:p w:rsidR="00D16657" w:rsidRPr="00872462" w:rsidRDefault="00D16657" w:rsidP="00610A50">
            <w:pPr>
              <w:pStyle w:val="Normal6"/>
              <w:rPr>
                <w:szCs w:val="24"/>
              </w:rPr>
            </w:pPr>
            <w:r w:rsidRPr="00872462">
              <w:t xml:space="preserve">Om ett institut eller en enhet upphör att omfattas av </w:t>
            </w:r>
            <w:r w:rsidRPr="00872462">
              <w:rPr>
                <w:b/>
                <w:i/>
              </w:rPr>
              <w:t>denna förordning</w:t>
            </w:r>
            <w:r w:rsidRPr="00872462">
              <w:t xml:space="preserve"> ska de oåterkalleliga </w:t>
            </w:r>
            <w:r w:rsidRPr="00872462">
              <w:rPr>
                <w:b/>
                <w:i/>
              </w:rPr>
              <w:t>betalningsåtagandena annulleras och</w:t>
            </w:r>
            <w:r w:rsidRPr="00872462">
              <w:t xml:space="preserve"> säkerheten </w:t>
            </w:r>
            <w:r w:rsidRPr="00872462">
              <w:rPr>
                <w:b/>
                <w:i/>
              </w:rPr>
              <w:t>som täcker dessa åtaganden ska återlämnas senast två år efter att enheten har upphört att omfattas av denna förordning</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Genom att ge den gemensamma resolutionsfonden tid att få in nya bidrag för att täppa till luckan skulle återlämnandet av säkerheten inte leda till en minskning av den gemensamma resolutionsfondens tillgängliga finansiella medel. Ett sådant förtydligande kommer också att bevara det oåterkalleliga betalningsåtagandets särdrag, så att det inte kan behandlas som en kostnad i bankernas resultaträkning.</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37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70 – punkt 3a – stycke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Om ett institut eller en enhet upphör att omfattas av artikel 2 och inte längre omfattas av skyldigheten att betala bidrag i enlighet med punkt 1 i denna artikel, ska nämnden </w:t>
            </w:r>
            <w:r w:rsidRPr="00872462">
              <w:rPr>
                <w:b/>
                <w:i/>
              </w:rPr>
              <w:t>göra anspråk på</w:t>
            </w:r>
            <w:r w:rsidRPr="00872462">
              <w:t xml:space="preserve"> de oåterkalleliga betalningsåtaganden som gjorts i enlighet med punkt 3 </w:t>
            </w:r>
            <w:r w:rsidRPr="00872462">
              <w:rPr>
                <w:b/>
                <w:i/>
              </w:rPr>
              <w:t>och som fortfarande är utestående</w:t>
            </w:r>
            <w:r w:rsidRPr="00872462">
              <w:t>.</w:t>
            </w:r>
            <w:r w:rsidRPr="00872462">
              <w:rPr>
                <w:b/>
                <w:i/>
              </w:rPr>
              <w:t xml:space="preserve"> Om det bidrag som är kopplat till det oåterkalleliga betalningsåtagandet betalas i vederbörlig ordning vid den första infordran ska nämnden annullera åtagandet och återlämna säkerheten.</w:t>
            </w:r>
            <w:r w:rsidRPr="00872462">
              <w:t xml:space="preserve"> </w:t>
            </w:r>
            <w:r w:rsidRPr="00872462">
              <w:rPr>
                <w:b/>
                <w:i/>
              </w:rPr>
              <w:t>Om bidraget inte betalas i vederbörlig ordning vid den första infordran ska nämnden beslagta säkerheten och annullera åtagandet.</w:t>
            </w:r>
          </w:p>
        </w:tc>
        <w:tc>
          <w:tcPr>
            <w:tcW w:w="4876" w:type="dxa"/>
            <w:hideMark/>
          </w:tcPr>
          <w:p w:rsidR="00D16657" w:rsidRPr="00872462" w:rsidRDefault="00D16657" w:rsidP="00610A50">
            <w:pPr>
              <w:pStyle w:val="Normal6"/>
              <w:rPr>
                <w:szCs w:val="24"/>
              </w:rPr>
            </w:pPr>
            <w:r w:rsidRPr="00872462">
              <w:t xml:space="preserve">Om ett institut eller en enhet upphör att omfattas av artikel 2 och inte längre omfattas av skyldigheten att betala bidrag i enlighet med punkt 1 i denna artikel, ska nämnden </w:t>
            </w:r>
            <w:r w:rsidRPr="00872462">
              <w:rPr>
                <w:b/>
                <w:i/>
              </w:rPr>
              <w:t>återlämna</w:t>
            </w:r>
            <w:r w:rsidRPr="00872462">
              <w:t xml:space="preserve"> de oåterkalleliga betalningsåtaganden som gjorts i enlighet med punkt 3 </w:t>
            </w:r>
            <w:r w:rsidRPr="00872462">
              <w:rPr>
                <w:b/>
                <w:i/>
              </w:rPr>
              <w:t>så snart som den efterföljande ordinarie bidragsrundan i enlighet med punkt 1 i denna artikel har fyllt på fonden upp till målnivån</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Syftet med denna ändring är att säkerställa att anpassningen av ramen för oåterkalleliga betalningsåtaganden (t.ex. när det gäller återlämnande av oåterkalleliga betalningsåtaganden) inte ändrar deras nuvarande redovisning.</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40 – led -a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76 – punkt 1 – led ga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w:t>
            </w:r>
            <w:r w:rsidRPr="00872462">
              <w:rPr>
                <w:b/>
                <w:i/>
              </w:rPr>
              <w:tab/>
              <w:t>I punkt 1 ska följande led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”ga) Om insättningsgarantisystemet lämnar ett bidrag i enlighet med artikel 79.1 och om tillämpliga villkor är uppfyllda, för att bidra med det belopp som krävs för att minska det återstående likviditetsgapet efter insättningsgarantisystemets bidrag till totala skulder och kapitalbas på 8 %. I detta fall ska fondens bidrag återbetalas i sin helhet av insättningsgarantisystemet inom högst sex 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ALTERNATIV 1: Bro för likviditetsstöd till insättningsgarantisystemet (låg ambitionsnivå i paketet för ramen för krishantering och insättningsgaranti för att harmonisera krishantering): Beroende på brons utformning måste det finnas en tydlig hänvisning till detta nya användningsfall för finansieringsarrangemanget för resolution i denna artikel. Det behövs också en översyn av reglerna för bidrag för att se till att principen om att förorenaren betalar fortfarande är ändamålsenlig efter att reformen av ramen för krishantering och insättningsgaranti har trätt i kraft.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40 – led -a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76 – punkt 1 – led ga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w:t>
            </w:r>
            <w:r w:rsidRPr="00872462">
              <w:rPr>
                <w:b/>
                <w:i/>
              </w:rPr>
              <w:tab/>
              <w:t>I punkt 1 ska följande led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”ga) Om insättningsgarantisystemet lämnar ett bidrag i enlighet med artikel 79.1 och om tillämpliga villkor är uppfyllda, för att bidra med det belopp som krävs för att minska det återstående likviditetsgapet efter insättningsgarantisystemets bidrag till totala skulder och kapitalbas på 8 %.</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ALTERNATIV 2: Bro för förlustdelning mellan insättningsgarantisystem och nationell resolutionsfond/gemensam resolutionsfond (hög ambitionsnivå i paketet för ramen för krishantering och insättningsgaranti för att harmonisera krishantering): Beroende på brons utformning måste det finnas en tydlig hänvisning till detta nya användningsfall för finansieringsarrangemanget för resolution i denna artikel. Det behövs också en översyn av reglerna för bidrag för att se till att principen om att förorenaren betalar fortfarande är ändamålsenlig efter att reformen av ramen för krishantering och insättningsgaranti har trätt i kraft.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40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76 – punkt 5</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5.</w:t>
            </w:r>
            <w:r w:rsidRPr="00872462">
              <w:rPr>
                <w:b/>
                <w:i/>
              </w:rPr>
              <w:tab/>
              <w:t>Om de resolutionsverktyg som avses i artikel 22.2 a eller b används för att överföra endast en del av tillgångarna, rättigheterna eller skulderna i institutet under resolution, ska nämnden ha en fordran på den återstående enheten för eventuella kostnader och förluster som fonden ådragit sig till följd av eventuella bidrag till resolution i enlighet med punkterna 1 och 2 i denna artikel i samband med förluster som borgenärer annars skulle ha burit.</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Nämndens fordringar som fastställs här och deras förmånsställning i insolvensförfaranden kommer sannolikt regelbundet att leda till förluster för insättningsgarantisystemen och till att de blir uttömda. Detta kommer i sin tur att leda till att insättarna förlorar förtroendet för dem.</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299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40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76 – punkt 6</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6.</w:t>
            </w:r>
            <w:r w:rsidRPr="00872462">
              <w:rPr>
                <w:b/>
                <w:i/>
              </w:rPr>
              <w:tab/>
              <w:t>Nämndens fordringar som avses i punkt 5 i denna artikel och i artikel 22.6 ska i varje deltagande medlemsstat ha samma prioritet som fordringarna i de nationella finansieringsarrangemangen för resolution i den medlemsstatens nationella lagstiftning som reglerar normala insolvensförfaranden i enlighet med artikel 108.9 i direktiv 2014/59/EU.</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Nämndens fordringar som fastställs här och deras förmånsställning i insolvensförfaranden kommer sannolikt regelbundet att leda till förluster för insättningsgarantisystemen och till att de blir uttömda. Detta kommer i sin tur att leda till att insättarna förlorar förtroendet för dem.</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40 – led b</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76 – punkt 6a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6a.</w:t>
            </w:r>
            <w:r w:rsidRPr="00872462">
              <w:rPr>
                <w:b/>
                <w:i/>
              </w:rPr>
              <w:tab/>
              <w:t>Kommissionen ska senast den 31 december 2026 rapportera till Europaparlamentet och rådet om huruvida reglerna som styr bidragen till fonden är lämpliga. Rapporten ska innehålla en utvärdering av reformerna av ramen för krishantering och en bedömning av huruvida dessa förändringar kräver en översyn av reglerna som styr bidragen till finansieringsarrangemanget för resolution för att bevara ändamålsenligheten i incitamenten för principen att förorenaren betalar. Kommissionen ska vid behov lägga fram ett lagstiftningsförslag.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ALTERNATIV 1 och 2.</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Engin Eroglu</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(41)</w:t>
            </w:r>
            <w:r w:rsidRPr="00872462">
              <w:rPr>
                <w:b/>
                <w:i/>
              </w:rPr>
              <w:tab/>
              <w:t>Artikel 79 ska ändras på följande sätt:</w:t>
            </w:r>
          </w:p>
        </w:tc>
        <w:tc>
          <w:tcPr>
            <w:tcW w:w="4876" w:type="dxa"/>
            <w:hideMark/>
          </w:tcPr>
          <w:p w:rsidR="00D16657" w:rsidRPr="00872462" w:rsidRDefault="00D16657" w:rsidP="00610A50">
            <w:pPr>
              <w:pStyle w:val="Normal6"/>
              <w:rPr>
                <w:szCs w:val="24"/>
              </w:rPr>
            </w:pPr>
            <w:r w:rsidRPr="00872462">
              <w:rPr>
                <w:b/>
                <w:i/>
              </w:rPr>
              <w:t>utgår</w:t>
            </w:r>
          </w:p>
        </w:tc>
      </w:tr>
      <w:tr w:rsidR="00872462" w:rsidRPr="00872462" w:rsidTr="00610A50">
        <w:trPr>
          <w:jc w:val="center"/>
        </w:trPr>
        <w:tc>
          <w:tcPr>
            <w:tcW w:w="4876" w:type="dxa"/>
          </w:tcPr>
          <w:p w:rsidR="00D16657" w:rsidRPr="00872462" w:rsidRDefault="00D16657" w:rsidP="00610A50">
            <w:pPr>
              <w:pStyle w:val="Normal6"/>
            </w:pPr>
            <w:r w:rsidRPr="00872462">
              <w:t>[…]</w:t>
            </w:r>
          </w:p>
        </w:tc>
        <w:tc>
          <w:tcPr>
            <w:tcW w:w="4876" w:type="dxa"/>
          </w:tcPr>
          <w:p w:rsidR="00D16657" w:rsidRPr="00872462" w:rsidRDefault="00D16657" w:rsidP="00610A50">
            <w:pPr>
              <w:pStyle w:val="Normal6"/>
            </w:pP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 – punkt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1.</w:t>
            </w:r>
            <w:r w:rsidRPr="00872462">
              <w:rPr>
                <w:b/>
                <w:i/>
              </w:rPr>
              <w:tab/>
              <w:t>När nämnden beslutar om resolutionsåtgärder avseende ett kreditinstitut, förutsatt att en sådan åtgärd säkerställer att insättarna har fortsatt tillgång till sina medel, ska de deltagande medlemsstaterna säkerställa att det insättningsgarantisystem som kreditinstitutet är anslutet till ska bidra till de syften och på de villkor som fastställs i artikel 109 i direktiv 2014/59/EU.</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Markus Ferber, Herbert Dorfmann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 – punkt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1.</w:t>
            </w:r>
            <w:r w:rsidRPr="00872462">
              <w:rPr>
                <w:b/>
                <w:i/>
              </w:rPr>
              <w:tab/>
              <w:t>När nämnden beslutar om resolutionsåtgärder avseende ett kreditinstitut, förutsatt att en sådan åtgärd säkerställer att insättarna har fortsatt tillgång till sina medel, ska de deltagande medlemsstaterna säkerställa att det insättningsgarantisystem som kreditinstitutet är anslutet till ska bidra till de syften och på de villkor som fastställs i artikel 109 i direktiv 2014/59/EU.</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Metoden att överbrygga klyftan undergräver huvudprincipen att förluster i första hand ska bäras av aktieägare och därefter borgenärer i en fallerande bank. Att överbrygga klyftan är inte nödvändigt eftersom minimikraven för kapitalbas och kvalificerade skulder säkerställer tillräcklig resolutionsfinansiering.</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 – punkt 1</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1.</w:t>
            </w:r>
            <w:r w:rsidRPr="00872462">
              <w:tab/>
              <w:t xml:space="preserve">När nämnden beslutar om resolutionsåtgärder avseende ett kreditinstitut, förutsatt att en sådan åtgärd säkerställer att </w:t>
            </w:r>
            <w:r w:rsidRPr="00872462">
              <w:rPr>
                <w:b/>
                <w:i/>
              </w:rPr>
              <w:t>insättarna</w:t>
            </w:r>
            <w:r w:rsidRPr="00872462">
              <w:t xml:space="preserve"> har fortsatt tillgång till sina medel, ska de deltagande medlemsstaterna säkerställa att det insättningsgarantisystem som kreditinstitutet är anslutet till ska bidra till de syften och på de villkor som fastställs i artikel 109 i direktiv 2014/59/EU.</w:t>
            </w:r>
          </w:p>
        </w:tc>
        <w:tc>
          <w:tcPr>
            <w:tcW w:w="4876" w:type="dxa"/>
            <w:hideMark/>
          </w:tcPr>
          <w:p w:rsidR="00D16657" w:rsidRPr="00872462" w:rsidRDefault="00D16657" w:rsidP="00610A50">
            <w:pPr>
              <w:pStyle w:val="Normal6"/>
              <w:rPr>
                <w:szCs w:val="24"/>
              </w:rPr>
            </w:pPr>
            <w:r w:rsidRPr="00872462">
              <w:t>1.</w:t>
            </w:r>
            <w:r w:rsidRPr="00872462">
              <w:tab/>
              <w:t xml:space="preserve">När nämnden beslutar om resolutionsåtgärder avseende ett kreditinstitut, förutsatt att en sådan åtgärd säkerställer att </w:t>
            </w:r>
            <w:r w:rsidRPr="00872462">
              <w:rPr>
                <w:b/>
                <w:i/>
              </w:rPr>
              <w:t>fysiska personer och mikroföretag samt små och medelstora företag</w:t>
            </w:r>
            <w:r w:rsidRPr="00872462">
              <w:t xml:space="preserve"> har fortsatt tillgång till sina medel</w:t>
            </w:r>
            <w:r w:rsidRPr="00872462">
              <w:rPr>
                <w:b/>
                <w:i/>
              </w:rPr>
              <w:t>, för att förhindra att de drabbas av förluster</w:t>
            </w:r>
            <w:r w:rsidRPr="00872462">
              <w:t>, ska de deltagande medlemsstaterna säkerställa att det insättningsgarantisystem som kreditinstitutet är anslutet till ska bidra till de syften och på de villkor som fastställs i artikel 109 i direktiv 2014/59/EU.</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När det gäller resolutionsmål bör större företag inte behandlas bättre än andra kunder. Den gemensamma resolutionsnämnden bör också ansvara för att godkänna LCT (som en del av resolutionssystemet) så snart fonden kan användas, inbegripet via brofunktionen.</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Joachim Schuster</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 – punkt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rPr>
                <w:b/>
                <w:i/>
              </w:rPr>
              <w:t>2.</w:t>
            </w:r>
            <w:r w:rsidRPr="00872462">
              <w:rPr>
                <w:b/>
                <w:i/>
              </w:rPr>
              <w:tab/>
              <w:t>Nämnden ska fastställa beloppet för bidraget från insättningsgarantisystemet i enlighet med punkt 1 efter samråd med insättningsgarantisystemet, och vid behov den utsedda myndigheten i den mening som avses i artikel 2.1.18 i direktiv 2014/49/EU, om den beräknade kostnaden för återbetalning av insättare i enlighet med artikel 11e i direktiv 2014/49/EU och i enlighet med de villkor som avses i artikel 20 i denna förordning.</w:t>
            </w:r>
          </w:p>
        </w:tc>
        <w:tc>
          <w:tcPr>
            <w:tcW w:w="4876" w:type="dxa"/>
            <w:hideMark/>
          </w:tcPr>
          <w:p w:rsidR="00D16657" w:rsidRPr="00872462" w:rsidRDefault="00D16657" w:rsidP="00610A50">
            <w:pPr>
              <w:pStyle w:val="Normal6"/>
              <w:rPr>
                <w:szCs w:val="24"/>
              </w:rPr>
            </w:pPr>
            <w:r w:rsidRPr="00872462">
              <w:rPr>
                <w:b/>
                <w:i/>
              </w:rPr>
              <w:t>utgår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 – led a</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 – punkt 2</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2.</w:t>
            </w:r>
            <w:r w:rsidRPr="00872462">
              <w:tab/>
              <w:t xml:space="preserve">Nämnden ska fastställa beloppet för bidraget från insättningsgarantisystemet i enlighet med punkt 1 efter </w:t>
            </w:r>
            <w:r w:rsidRPr="00872462">
              <w:rPr>
                <w:b/>
                <w:i/>
              </w:rPr>
              <w:t>samråd med insättningsgarantisystemet, och vid behov den utsedda myndigheten i den mening som avses i artikel 2.1.18 i direktiv 2014/49/EU, om</w:t>
            </w:r>
            <w:r w:rsidRPr="00872462">
              <w:t xml:space="preserve"> den beräknade kostnaden för återbetalning av insättare i enlighet med artikel 11e i direktiv 2014/49/EU och i enlighet med de villkor som avses i artikel 20 i denna förordning.</w:t>
            </w:r>
          </w:p>
        </w:tc>
        <w:tc>
          <w:tcPr>
            <w:tcW w:w="4876" w:type="dxa"/>
            <w:hideMark/>
          </w:tcPr>
          <w:p w:rsidR="00D16657" w:rsidRPr="00872462" w:rsidRDefault="00D16657" w:rsidP="00610A50">
            <w:pPr>
              <w:pStyle w:val="Normal6"/>
              <w:rPr>
                <w:szCs w:val="24"/>
              </w:rPr>
            </w:pPr>
            <w:r w:rsidRPr="00872462">
              <w:t>2.</w:t>
            </w:r>
            <w:r w:rsidRPr="00872462">
              <w:tab/>
              <w:t xml:space="preserve">Nämnden ska fastställa beloppet för bidraget från insättningsgarantisystemet i enlighet med punkt 1 efter </w:t>
            </w:r>
            <w:r w:rsidRPr="00872462">
              <w:rPr>
                <w:b/>
                <w:i/>
              </w:rPr>
              <w:t>att ha fastställt</w:t>
            </w:r>
            <w:r w:rsidRPr="00872462">
              <w:t xml:space="preserve"> den beräknade kostnaden för återbetalning av insättare i enlighet med artikel 11e i direktiv 2014/49/EU och i enlighet med de villkor som avses i artikel 20 i denna förordning </w:t>
            </w:r>
            <w:r w:rsidRPr="00872462">
              <w:rPr>
                <w:b/>
                <w:i/>
              </w:rPr>
              <w:t>i samråd med insättningsgarantisystemet och vid behov den utsedda myndigheten i den mening som avses i artikel 2.1.18 i direktiv 2014/49/EU</w:t>
            </w:r>
            <w:r w:rsidRPr="00872462">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När det gäller resolutionsmål bör större företag inte behandlas bättre än andra kunder. Den gemensamma resolutionsnämnden bör också ansvara för att godkänna LCT (som en del av resolutionssystemet) så snart fonden kan användas, inbegripet via brofunktionen.</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Pedro Marques, Aurore Lalucq, René Repasi, Jonás Fernández</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(41a)</w:t>
            </w:r>
            <w:r w:rsidRPr="00872462">
              <w:rPr>
                <w:b/>
                <w:i/>
              </w:rPr>
              <w:tab/>
              <w:t>Följande artikel ska införas: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Säkerställande av insättningsgarantisystemens finansiella kapacitet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 Om ett insättningsgarantisystem måste ingripa i samband med en resolution men dess tillgängliga finansiella medel är otillräckliga för att uppnå syftet med dess ingripande, får insättningsgarantisystemet begära stöd från nämnden.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 Begäran ska omfatta all relevant information, inbegripet följande: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Insättningsgarantisystemets underskott när det gäller det specifika ingripandet i resolutionen.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De villkor som erbjuds insättningsgarantisystemet i andra alternativa finansieringsarrangemang.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 Det begärda stödets förväntade varaktighet.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3. Efter att ha mottagit den begäran som avses i punkt 1 får nämnden besluta att inrätta tillfälligt likviditetsstöd till det ansökande insättningsgarantisystemet genom att tillhandahålla en garanti från den gemensamma resolutionsfonden.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 Nämnden ska i sin verkställande session, efter samråd med nämnden vid dess plenarsammanträde, tillhandahålla garantin till insättningsgarantisystemet och de villkor som är tillämpliga för dess tillhandahållande.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5. Garantin ska användas av insättningsgarantisystemet som säkerhet för alternativa finansieringsarrangemang enligt artikel 10.9 i direktiv 2014/49/EU, för att på så sätt säkerställa tillträde till marknader på gynnsammare villkor.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6. EBA ska utarbeta en gemensam mall för tillämpningen av punkt 2 och en metod för att fastställa hur nämnden definierar villkoren för tillhandahållande av garantier i enlighet med punkt 4.</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(41a)</w:t>
            </w:r>
            <w:r w:rsidRPr="00872462">
              <w:rPr>
                <w:b/>
                <w:i/>
              </w:rPr>
              <w:tab/>
              <w:t>Följande artikel ska införas: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Rapportering om likviditetsresolution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Senast den 31 december 2024 ska kommissionen rapportera till Europaparlamentet och rådet om frågan ”likviditet vid resolution”: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Det kan finnas situationer där en resolverad bank med otillräcklig återstående säkerhet tillfälligt kämpar för att få tillträde till marknaderna igen och/eller för att stabilisera utflödet av insättningar, och därför fortsättningsvis har likviditetsbrist även om det har rekapitaliserats ordentligt under resolutionshelgen.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 ett sådant fall kan det, beroende på storleken på den berörda banken, hända att fonden, även i kombination med ESM:s säkerhetsmekanism, inte har tillräckliga medel för att tillhandahålla tillräcklig tillfällig refinansiering, eftersom sådana skyddsnät har kalibrerats i enlighet med ett rekapitaliseringsbehov och inte ett refinansieringsbehov.</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 rapporten ska det därför undersökas om sådana situationer motsvarar ett saknat instrument i resolutionsverktygslådan och vilket det effektivaste sättet att hantera denna fråga kan vara, med beaktande av vad andra jurisdiktioner gör.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Rapporten ska innehålla konkreta politiska alternativ. Rapporten ska särskilt undersöka ett alternativ som skulle kombinera tillhandahållande av likviditet från ECB för att säkerställa tillräcklig eldkraft, med en garanti från EU:s budget för att uppfylla ECB:s säkerhetskriterier, med stöd av en motgaranti från fonden för att säkerställa att eventuella förluster i slutändan bärs av banksektorn.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Den senaste tidens krisepisoder har visat hur omfattande refinansieringsbehoven kan vara för en resolverad bank. Det verkar inte ekonomiskt effektivt att förfinansiera sådana potentiella finansieringsbehov inom de branschfinansierade skyddsnäten. Samtidigt är det banksektorn som bör betala för eventuella förluster som kan uppstå på grund av sådana tillfälliga refinansieringsavsättningar, liksom för alla andra ingripanden med medel. Kommissionen bör undersöka alternativ som skulle kunna uppfylla dessa olika begränsningar.</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309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Fabio Massimo Castaldo</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(41a)</w:t>
            </w:r>
            <w:r w:rsidRPr="00872462">
              <w:rPr>
                <w:b/>
                <w:i/>
              </w:rPr>
              <w:tab/>
              <w:t>Följande artikel ska införas: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Säkerställande av insättningsgarantisystemens finansiella kapacitet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 Om ett insättningsgarantisystem måste ingripa i samband med en resolution men dess tillgängliga finansiella medel är otillräckliga för att uppnå syftet med dess ingripande, får insättningsgarantisystemet begära stöd från nämnden.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 Begäran ska omfatta all relevant information, inbegripet följande: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 Insättningsgarantisystemets underskott när det gäller det specifika ingripandet i resolutionen.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ii) De villkor som erbjuds insättningsgarantisystemet i andra alternativa finansieringsarrangemang.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iii) Det begärda stödets förväntade varaktighet.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3. Efter att ha mottagit den begäran som avses i punkt 1 får nämnden besluta att inrätta tillfälligt likviditetsstöd till det ansökande insättningsgarantisystemet genom att tillhandahålla en kreditlina eller en garanti från den gemensamma resolutionsfonden.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 Nämnden ska i sin verkställande session, efter samråd med nämnden vid dess plenarsammanträde, tillhandahålla stödet till insättningsgarantisystemet och de villkor som är tillämpliga för dess tillhandahållande.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5. Garantin ska användas av insättningsgarantisystemet som säkerhet för alternativa finansieringsarrangemang enligt artikel 10.9 i direktiv 2014/49/EU, för att på så sätt säkerställa tillträde till marknader på gynnsammare villkor.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Gilles Boyer, Stéphanie Yon-Courtin</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79b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(41b)</w:t>
            </w:r>
            <w:r w:rsidRPr="00872462">
              <w:rPr>
                <w:b/>
                <w:i/>
              </w:rPr>
              <w:tab/>
              <w:t>Följande artikel ska införas: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79b</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Rapportering om mekanismen för interna förlustöverföringar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Senast den 31 december 2024 ska kommissionen, i samband med återupptagandet av diskussionerna om bankunionen, rapportera till Europaparlamentet och rådet om ändamålsenligheten och omfattningen av mekanismen för interna förlustöverföringar inom resolutionsgrupperna till följd av reformen av ramen för krishantering.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Rapporten ska särskilt utvärdera utvidgningen av resolutionens tillämpningsområde till mindre enheter, graden av efterlevnad av interna mål för minimikravet för kapitalbas och kvalificerade skulder, genomförandet av de nya avdragsreglerna och de ändrade villkoren för tillgång till branschfinansierade skyddsnät, särskilt den gemensamma resolutionsfonden.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Kommissionen ska därefter bedöma om denna situation ger tillräckligt trovärdiga och effektiva solidaritetsmekanismer inom resolutionsgrupper, bland enheter som är öronmärkta för resolution, för att mer systematiskt bevilja väsentliga likviditetsundantag till sådana enheter, eller om ytterligare skyddsåtgärder bör införas.</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JustificationTitle"/>
        <w:rPr>
          <w:noProof w:val="0"/>
        </w:rPr>
      </w:pPr>
      <w:r w:rsidRPr="00872462">
        <w:rPr>
          <w:rStyle w:val="HideTWBExt"/>
          <w:i w:val="0"/>
        </w:rPr>
        <w:t>&lt;TitreJust&gt;</w:t>
      </w:r>
      <w:r w:rsidRPr="00872462">
        <w:t>Motivering</w:t>
      </w:r>
      <w:r w:rsidRPr="00872462">
        <w:rPr>
          <w:rStyle w:val="HideTWBExt"/>
          <w:i w:val="0"/>
        </w:rPr>
        <w:t>&lt;/TitreJust&gt;</w:t>
      </w:r>
    </w:p>
    <w:p w:rsidR="00D16657" w:rsidRPr="00872462" w:rsidRDefault="00D16657" w:rsidP="00D16657">
      <w:pPr>
        <w:pStyle w:val="Normal12Italic"/>
        <w:rPr>
          <w:noProof w:val="0"/>
        </w:rPr>
      </w:pPr>
      <w:r w:rsidRPr="00872462">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additonal safeguards.</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Kapitel 2a – rubriken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(41a)</w:t>
            </w:r>
            <w:r w:rsidRPr="00872462">
              <w:rPr>
                <w:b/>
                <w:i/>
              </w:rPr>
              <w:tab/>
              <w:t>Följande kapitel ska införas som kapitel 2a:</w:t>
            </w:r>
          </w:p>
        </w:tc>
      </w:tr>
      <w:tr w:rsidR="00872462" w:rsidRPr="00872462" w:rsidTr="00610A50">
        <w:trPr>
          <w:jc w:val="center"/>
        </w:trPr>
        <w:tc>
          <w:tcPr>
            <w:tcW w:w="4876" w:type="dxa"/>
          </w:tcPr>
          <w:p w:rsidR="00D16657" w:rsidRPr="00872462" w:rsidRDefault="00D16657" w:rsidP="00610A50">
            <w:pPr>
              <w:pStyle w:val="Normal6"/>
            </w:pPr>
          </w:p>
        </w:tc>
        <w:tc>
          <w:tcPr>
            <w:tcW w:w="4876" w:type="dxa"/>
          </w:tcPr>
          <w:p w:rsidR="00D16657" w:rsidRPr="00872462" w:rsidRDefault="00D16657" w:rsidP="00610A50">
            <w:pPr>
              <w:pStyle w:val="Normal6"/>
              <w:rPr>
                <w:b/>
                <w:i/>
              </w:rPr>
            </w:pPr>
            <w:r w:rsidRPr="00872462">
              <w:rPr>
                <w:b/>
                <w:i/>
              </w:rPr>
              <w:t>Kapitel 2a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INRÄTTANDE AV INSÄTTNINGSGARANTIFONDEN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Kapitel 1 – rubriken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Avsnitt 1</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Inrättande och användning av insättningsgarantifonden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79a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Allmänna bestämmelser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 Härmed inrättas insättningsgarantifonden.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Den ska fyllas gradvis genom överföring av bidrag från kreditinstitut som samlats in av deltagande insättningsgarantisystem.</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 Insättningsgarantifondens tillgängliga finansiella medel ska uppnå en initial målnivå på 20 % av de totala minsta målnivåer som deltagande insättningsgarantisystem ska uppnå i enlighet med artikel 10.2 första stycket i direktiv 2014/49/EU. Nämnden ska fastställa storleken på de finansiella medel som varje deltagande insättningsgarantisystem årligen ska överföra till insättningsgarantifonden, för att fonden ska nå sin initiala målnivå senast [denna ändringsförordnings ikraftträdande + två år], i enlighet med den metod som fastställs i artikel 79b.</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3. Nämnden ska använda insättningsgarantifonden för att tillhandahålla finansiering till deltagande insättningsgarantisystem för att täcka likviditetsbrister i enlighet med artikel 12 i direktiv 2014/49/EU. Nämnden får också bevilja tillgång till EU:s kreditlina till ett deltagande insättningsgarantisystem som, efter ett ingripande i enlighet med artikel 11.1, 11.2, 11.3 eller 11.5 i direktiv 2014/49/EU, under det senaste året har betalat ut ett belopp som motsvarar eller överstiger 75 % av dess målnivå.</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 Nämnden ska vara insättningsgarantifondens ägare. Nämndens verksamhet enligt denna förordning får under inga omständigheter innebära att medlemsstaternas budgetar tas i anspråk.</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5. Fonden ska inte täcka deltagande insättningsgarantisystems förluster innan kommissionen har lämnat den rapport som avses i artikel 94.4. Under inga omständigheter får unionens budget eller nationella budgetar belastas för fondens kostnader eller förluster.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79b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79b</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Bidrag till fonden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 Det belopp som deltagande insättningsgarantisystem ska överföra till insättningsgarantifonden i enlighet med artikel 79a ska beräknas på grundval av en riskbaserad metod som återspeglar risken för institut som är etablerade i det deltagande insättningsgarantisystemets medlemsstat när det gäller bankunionen.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 Kommissionen ska ges befogenhet att anta en delegerad akt i enlighet med artikel 93 för att specificera den riskbaserade metoden vid beräkning av bidrag i enlighet med punkt 1 i denna artikel. Beräkningen ska bygga på beloppet av garanterade insättningar och respektive kreditinstituts risknivå i förhållande till alla kreditinstitut inom nämndens tillämpningsområde. Den delegerade akten ska bland annat innehålla en beräkningsformel och specifika indikatorer. Metoden ska åtminstone ta hänsyn till följande kriterier: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Nivån på institutets kapacitet att absorbera förluster.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Institutets förmåga att uppfylla sina skyldigheter på lång och kort sikt.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 Stabiliteten och mångfalden i institutets finansieringskällor och dess obelastade höglikvida tillgångar och till vilken grad institutets tillgångar är belastade.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d) Institutets bidrag till övergripande systemrisker och dess storlek, dess komplexitet och dess grad av sammankoppling med andra institut såväl som hur lätt dess kritiska funktioner kan skiljas från andra funktioner.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b/>
                <w:i/>
              </w:rPr>
            </w:pPr>
            <w:r w:rsidRPr="00872462">
              <w:rPr>
                <w:b/>
                <w:i/>
              </w:rPr>
              <w:t>e) Kvaliteten på institutets tillgångar, särskilt andelen nödlidande exponeringar, enligt definitionen i artikel 47a i förordning (EU) nr 575/2013.</w:t>
            </w:r>
          </w:p>
          <w:p w:rsidR="00D16657" w:rsidRPr="00872462" w:rsidRDefault="00D16657" w:rsidP="00610A50">
            <w:pPr>
              <w:pStyle w:val="Normal6"/>
              <w:rPr>
                <w:szCs w:val="24"/>
              </w:rPr>
            </w:pPr>
            <w:r w:rsidRPr="00872462">
              <w:rPr>
                <w:b/>
                <w:i/>
              </w:rPr>
              <w:t>f) Institutets affärsmodell och förvaltning, såväl som den strukturella komplexiteten hos den grupp till vilken det tillhör.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g) Institutets diversifieringsgrad för dess exponering i statspapper.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Kapitel 2 – rubriken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Avsnitt 2</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FÖRFARANDEBESTÄMMELSER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79c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79c</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Preliminära uppgifter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Om ett deltagande insättningsgarantisystem har informerats av den behöriga myndigheten, eller på annat sätt blivit medveten om omständigheter som rör ett kreditinstitut som är knutet till det deltagande insättningsgarantisystemet vilka sannolikt kommer att resultera i en utbetalningshändelse eller användande vid resolutionsförfaranden, ska det utan dröjsmål informera nämnden om sådana omständigheter om det avser att använda EU:s kreditlina. I sådana fall ska det deltagande insättningsgarantisystemet också tillhandahålla nämnden en uppskattning av den väntade likviditetsbristen eller det väntade likviditetsbehovet.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317</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79d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79d</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Underrättelse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 Om ett deltagande insättningsgarantisystem står inför en likviditetsbrist enligt de villkor som beskrivs i artikel 12 i direktiv 2014/49/EU ska det omedelbart underrätta nämnden och lämna all nödvändig information för att nämnden ska kunna bedöma om villkoren för tillhandahållande av finansiering är uppfyllda.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 Det deltagande insättningsgarantisystemet ska särskilt informera nämnden om a) beloppet av det berörda kreditinstitutets garanterade insättningar, b) dess tillgängliga finansiella medel vid tidpunkten för användningen av förebyggande eller alternativa åtgärder eller utbetalningshändelse eller användning vid resolution, c) vid utbetalningshändelse, en uppskattning av de extraordinära bidrag som det kan samla in inom tre dagar från denna händelse, d) varje omständighet som skulle kunna hindra det från att uppfylla sina skyldigheter enligt nationell lagstiftning som införlivar direktiv 2014/49/EU och möjliga lösningar.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318</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79e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79e</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Fastställande av finansieringsbelopp</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 Efter mottagande av underrättelsen enligt artikel 79d ska nämnden inom 24 timmar i sin verkställande session besluta att villkoren för användning av EU:s kreditlina är uppfyllda och fastställa det finansieringsbelopp som ska tillhandahållas det deltagande insättningsgarantisystemet.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 Nämnden ska omedelbart informera det deltagande insättningsgarantisystemet om sitt beslut enligt punkt 1. Det deltagande insättningsgarantisystemet får begära en översyn av nämndens beslut inom 24 timmar efter det att det har informerats. Det ska ange skäl till varför det betraktar en ändring av nämndens beslut som nödvändig, särskilt med hänsyn till finansieringsbeloppet. Nämnden ska fatta beslut om begäran inom ytterligare 24 timmar.</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319</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41i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Kapitel 3 – rubriken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Avsnitt 3</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Förvaltning av EU:s kreditlina</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320</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79h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79h</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Nämndens sammansättning i sammansättningen för insättningsgarantifonden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 Beslut om användningen av EU:s kreditlina ska antas av nämnden i dess sammansättning för insättningsgarantifonden.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 Nämndens sammansättning för insättningsgarantifonden ska bestå av de ledamöter som avses i artikel 43 och en ledamot som utses av varje deltagande medlemsstat och som företräder deras utsedda myndighet.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321</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41a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79i (ny)</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Artikel 79i</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Nämndens uppgifter i sammansättningen för insättningsgarantifonden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1. Nämnden i sammansättningen för insättningsgarantifonden ska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fatta de beslut som avses i artiklarna 79a, 79b och 79e i denna förordning,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lämna en årlig rapport till Europaparlamentet, rådet och kommissionen om användningen av EU:s kreditlina och om fondens tillgängliga finansiella medel,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 utarbeta en rapport senast [ikraftträdande +18 månader] om genomförbarheten och villkoren för att inrätta en förlusttäckningsmekanism för deltagande insättningsgarantisystem.</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322</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43a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93</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Nuvarande lydelse</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(43a)</w:t>
            </w:r>
            <w:r w:rsidRPr="00872462">
              <w:rPr>
                <w:b/>
                <w:i/>
              </w:rPr>
              <w:tab/>
              <w:t>Artikel 93 ska ersättas med följande:</w:t>
            </w:r>
          </w:p>
        </w:tc>
      </w:tr>
      <w:tr w:rsidR="00872462" w:rsidRPr="00872462" w:rsidTr="00610A50">
        <w:trPr>
          <w:jc w:val="center"/>
        </w:trPr>
        <w:tc>
          <w:tcPr>
            <w:tcW w:w="4876" w:type="dxa"/>
            <w:hideMark/>
          </w:tcPr>
          <w:p w:rsidR="00D16657" w:rsidRPr="00872462" w:rsidRDefault="00D16657" w:rsidP="00610A50">
            <w:pPr>
              <w:pStyle w:val="Normal6"/>
            </w:pPr>
            <w:r w:rsidRPr="00872462">
              <w:t>Artikel 93</w:t>
            </w:r>
          </w:p>
        </w:tc>
        <w:tc>
          <w:tcPr>
            <w:tcW w:w="4876" w:type="dxa"/>
            <w:hideMark/>
          </w:tcPr>
          <w:p w:rsidR="00D16657" w:rsidRPr="00872462" w:rsidRDefault="00D16657" w:rsidP="00610A50">
            <w:pPr>
              <w:pStyle w:val="Normal6"/>
              <w:rPr>
                <w:szCs w:val="24"/>
              </w:rPr>
            </w:pPr>
            <w:r w:rsidRPr="00872462">
              <w:t>”Artikel 93</w:t>
            </w:r>
          </w:p>
        </w:tc>
      </w:tr>
      <w:tr w:rsidR="00872462" w:rsidRPr="00872462" w:rsidTr="00610A50">
        <w:trPr>
          <w:jc w:val="center"/>
        </w:trPr>
        <w:tc>
          <w:tcPr>
            <w:tcW w:w="4876" w:type="dxa"/>
            <w:hideMark/>
          </w:tcPr>
          <w:p w:rsidR="00D16657" w:rsidRPr="00872462" w:rsidRDefault="00D16657" w:rsidP="00610A50">
            <w:pPr>
              <w:pStyle w:val="Normal6"/>
            </w:pPr>
            <w:r w:rsidRPr="00872462">
              <w:t>Utövande av delegeringen</w:t>
            </w:r>
          </w:p>
        </w:tc>
        <w:tc>
          <w:tcPr>
            <w:tcW w:w="4876" w:type="dxa"/>
            <w:hideMark/>
          </w:tcPr>
          <w:p w:rsidR="00D16657" w:rsidRPr="00872462" w:rsidRDefault="00D16657" w:rsidP="00610A50">
            <w:pPr>
              <w:pStyle w:val="Normal6"/>
              <w:rPr>
                <w:szCs w:val="24"/>
              </w:rPr>
            </w:pPr>
            <w:r w:rsidRPr="00872462">
              <w:t>Utövande av delegeringen</w:t>
            </w:r>
          </w:p>
        </w:tc>
      </w:tr>
      <w:tr w:rsidR="00872462" w:rsidRPr="00872462" w:rsidTr="00610A50">
        <w:trPr>
          <w:jc w:val="center"/>
        </w:trPr>
        <w:tc>
          <w:tcPr>
            <w:tcW w:w="4876" w:type="dxa"/>
            <w:hideMark/>
          </w:tcPr>
          <w:p w:rsidR="00D16657" w:rsidRPr="00872462" w:rsidRDefault="00D16657" w:rsidP="00610A50">
            <w:pPr>
              <w:pStyle w:val="Normal6"/>
            </w:pPr>
            <w:r w:rsidRPr="00872462">
              <w:t>1. Befogenheten att anta delegerade akter ges till kommissionen med förbehåll för de villkor som anges i denna artikel.</w:t>
            </w:r>
          </w:p>
        </w:tc>
        <w:tc>
          <w:tcPr>
            <w:tcW w:w="4876" w:type="dxa"/>
            <w:hideMark/>
          </w:tcPr>
          <w:p w:rsidR="00D16657" w:rsidRPr="00872462" w:rsidRDefault="00D16657" w:rsidP="00610A50">
            <w:pPr>
              <w:pStyle w:val="Normal6"/>
              <w:rPr>
                <w:szCs w:val="24"/>
              </w:rPr>
            </w:pPr>
            <w:r w:rsidRPr="00872462">
              <w:t>1. Befogenheten att anta delegerade akter ges till kommissionen med förbehåll för de villkor som anges i denna artikel.</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2. Delegeringen av befogenheter som avses i artiklarna 19.8, 65.5, 69.5, 71.3 </w:t>
            </w:r>
            <w:r w:rsidRPr="00872462">
              <w:rPr>
                <w:b/>
                <w:i/>
              </w:rPr>
              <w:t>och</w:t>
            </w:r>
            <w:r w:rsidRPr="00872462">
              <w:t xml:space="preserve"> 75.4 ska ges tills vidare från och med de relevanta datum som avses i artikel 99.</w:t>
            </w:r>
          </w:p>
        </w:tc>
        <w:tc>
          <w:tcPr>
            <w:tcW w:w="4876" w:type="dxa"/>
            <w:hideMark/>
          </w:tcPr>
          <w:p w:rsidR="00D16657" w:rsidRPr="00872462" w:rsidRDefault="00D16657" w:rsidP="00610A50">
            <w:pPr>
              <w:pStyle w:val="Normal6"/>
              <w:rPr>
                <w:szCs w:val="24"/>
              </w:rPr>
            </w:pPr>
            <w:r w:rsidRPr="00872462">
              <w:t>2. Delegeringen av befogenheter som avses i artiklarna 19.8, 65.5, 69.5, 71.3</w:t>
            </w:r>
            <w:r w:rsidRPr="00872462">
              <w:rPr>
                <w:b/>
                <w:i/>
              </w:rPr>
              <w:t>,</w:t>
            </w:r>
            <w:r w:rsidRPr="00872462">
              <w:t xml:space="preserve"> 75.4 </w:t>
            </w:r>
            <w:r w:rsidRPr="00872462">
              <w:rPr>
                <w:b/>
                <w:i/>
              </w:rPr>
              <w:t>och 79b.2</w:t>
            </w:r>
            <w:r w:rsidRPr="00872462">
              <w:t xml:space="preserve"> ska ges tills vidare från och med de relevanta datum som avses i artikel 99.</w:t>
            </w:r>
          </w:p>
        </w:tc>
      </w:tr>
      <w:tr w:rsidR="00872462" w:rsidRPr="00872462" w:rsidTr="00610A50">
        <w:trPr>
          <w:jc w:val="center"/>
        </w:trPr>
        <w:tc>
          <w:tcPr>
            <w:tcW w:w="4876" w:type="dxa"/>
            <w:hideMark/>
          </w:tcPr>
          <w:p w:rsidR="00D16657" w:rsidRPr="00872462" w:rsidRDefault="00D16657" w:rsidP="00610A50">
            <w:pPr>
              <w:pStyle w:val="Normal6"/>
            </w:pPr>
            <w:r w:rsidRPr="00872462">
              <w:t>3. Kommissionen ska säkerställa konsekvens mellan delegerade akter som antas enligt denna förordning och delegerade akter som antas enligt direktiv 2014/59/EU.</w:t>
            </w:r>
          </w:p>
        </w:tc>
        <w:tc>
          <w:tcPr>
            <w:tcW w:w="4876" w:type="dxa"/>
            <w:hideMark/>
          </w:tcPr>
          <w:p w:rsidR="00D16657" w:rsidRPr="00872462" w:rsidRDefault="00D16657" w:rsidP="00610A50">
            <w:pPr>
              <w:pStyle w:val="Normal6"/>
              <w:rPr>
                <w:szCs w:val="24"/>
              </w:rPr>
            </w:pPr>
            <w:r w:rsidRPr="00872462">
              <w:t>3. Kommissionen ska säkerställa konsekvens mellan delegerade akter som antas enligt denna förordning och delegerade akter som antas enligt direktiv 2014/59/EU.</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4. Den delegering av befogenhet som avses i artiklarna 19.8, 65.5, 69.5, 71.3 </w:t>
            </w:r>
            <w:r w:rsidRPr="00872462">
              <w:rPr>
                <w:b/>
                <w:i/>
              </w:rPr>
              <w:t>och</w:t>
            </w:r>
            <w:r w:rsidRPr="00872462">
              <w:t xml:space="preserve"> 75.4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c>
          <w:tcPr>
            <w:tcW w:w="4876" w:type="dxa"/>
            <w:hideMark/>
          </w:tcPr>
          <w:p w:rsidR="00D16657" w:rsidRPr="00872462" w:rsidRDefault="00D16657" w:rsidP="00610A50">
            <w:pPr>
              <w:pStyle w:val="Normal6"/>
              <w:rPr>
                <w:szCs w:val="24"/>
              </w:rPr>
            </w:pPr>
            <w:r w:rsidRPr="00872462">
              <w:t>4. Den delegering av befogenhet som avses i artiklarna 19.8, 65.5, 69.5, 71.3</w:t>
            </w:r>
            <w:r w:rsidRPr="00872462">
              <w:rPr>
                <w:b/>
                <w:i/>
              </w:rPr>
              <w:t>,</w:t>
            </w:r>
            <w:r w:rsidRPr="00872462">
              <w:t xml:space="preserve"> 75.4 </w:t>
            </w:r>
            <w:r w:rsidRPr="00872462">
              <w:rPr>
                <w:b/>
                <w:i/>
              </w:rPr>
              <w:t>och 79b.2</w:t>
            </w:r>
            <w:r w:rsidRPr="00872462">
              <w:t xml:space="preserve">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872462" w:rsidRPr="00872462" w:rsidTr="00610A50">
        <w:trPr>
          <w:jc w:val="center"/>
        </w:trPr>
        <w:tc>
          <w:tcPr>
            <w:tcW w:w="4876" w:type="dxa"/>
            <w:hideMark/>
          </w:tcPr>
          <w:p w:rsidR="00D16657" w:rsidRPr="00872462" w:rsidRDefault="00D16657" w:rsidP="00610A50">
            <w:pPr>
              <w:pStyle w:val="Normal6"/>
            </w:pPr>
            <w:r w:rsidRPr="00872462">
              <w:t>5. Så snart kommissionen antar en delegerad akt ska den samtidigt delge Europaparlamentet och rådet denna.</w:t>
            </w:r>
          </w:p>
        </w:tc>
        <w:tc>
          <w:tcPr>
            <w:tcW w:w="4876" w:type="dxa"/>
            <w:hideMark/>
          </w:tcPr>
          <w:p w:rsidR="00D16657" w:rsidRPr="00872462" w:rsidRDefault="00D16657" w:rsidP="00610A50">
            <w:pPr>
              <w:pStyle w:val="Normal6"/>
              <w:rPr>
                <w:szCs w:val="24"/>
              </w:rPr>
            </w:pPr>
            <w:r w:rsidRPr="00872462">
              <w:t>5. Så snart kommissionen antar en delegerad akt ska den samtidigt delge Europaparlamentet och rådet denna.</w:t>
            </w:r>
          </w:p>
        </w:tc>
      </w:tr>
      <w:tr w:rsidR="00872462" w:rsidRPr="00872462" w:rsidTr="00610A50">
        <w:trPr>
          <w:jc w:val="center"/>
        </w:trPr>
        <w:tc>
          <w:tcPr>
            <w:tcW w:w="4876" w:type="dxa"/>
            <w:hideMark/>
          </w:tcPr>
          <w:p w:rsidR="00D16657" w:rsidRPr="00872462" w:rsidRDefault="00D16657" w:rsidP="00610A50">
            <w:pPr>
              <w:pStyle w:val="Normal6"/>
            </w:pPr>
            <w:r w:rsidRPr="00872462">
              <w:t xml:space="preserve">6. En delegerad akt som antas enligt artiklarna 19.8, 65.5, 69.5, 71.3 </w:t>
            </w:r>
            <w:r w:rsidRPr="00872462">
              <w:rPr>
                <w:b/>
                <w:i/>
              </w:rPr>
              <w:t>och</w:t>
            </w:r>
            <w:r w:rsidRPr="00872462">
              <w:t xml:space="preserve"> 75.4 ska träda i kraft endast om varken Europaparlamentet eller rådet har gjort invändningar mot den delegerade akten inom en period av tre månader från den dag då akten delgavs Europaparlamentet och rådet, eller om både Europaparlamentet och rådet, före utgången av den perioden, har underrättat kommissionen om att de inte kommer att invända. Denna period ska förlängas med tre månader på Europaparlamentets eller rådets initiativ.</w:t>
            </w:r>
          </w:p>
        </w:tc>
        <w:tc>
          <w:tcPr>
            <w:tcW w:w="4876" w:type="dxa"/>
            <w:hideMark/>
          </w:tcPr>
          <w:p w:rsidR="00D16657" w:rsidRPr="00872462" w:rsidRDefault="00D16657" w:rsidP="00610A50">
            <w:pPr>
              <w:pStyle w:val="Normal6"/>
              <w:rPr>
                <w:szCs w:val="24"/>
              </w:rPr>
            </w:pPr>
            <w:r w:rsidRPr="00872462">
              <w:t>6. En delegerad akt som antas enligt artiklarna 19.8, 65.5, 69.5, 71.3</w:t>
            </w:r>
            <w:r w:rsidRPr="00872462">
              <w:rPr>
                <w:b/>
                <w:i/>
              </w:rPr>
              <w:t>,</w:t>
            </w:r>
            <w:r w:rsidRPr="00872462">
              <w:t xml:space="preserve"> 75.4 </w:t>
            </w:r>
            <w:r w:rsidRPr="00872462">
              <w:rPr>
                <w:b/>
                <w:i/>
              </w:rPr>
              <w:t>och 79b.2</w:t>
            </w:r>
            <w:r w:rsidRPr="00872462">
              <w:t xml:space="preserve"> ska träda i kraft endast om varken Europaparlamentet eller rådet har gjort invändningar mot den delegerade akten inom en period av tre månader från den dag då akten delgavs Europaparlamentet och rådet, eller om både Europaparlamentet och rådet, före utgången av den perioden, har underrättat kommissionen om att de inte kommer att invända. Denna period ska förlängas med tre månader på Europaparlamentets eller rådets initiativ.</w:t>
            </w:r>
          </w:p>
        </w:tc>
      </w:tr>
      <w:tr w:rsidR="00872462" w:rsidRPr="00872462" w:rsidTr="00610A50">
        <w:trPr>
          <w:jc w:val="center"/>
        </w:trPr>
        <w:tc>
          <w:tcPr>
            <w:tcW w:w="4876" w:type="dxa"/>
            <w:hideMark/>
          </w:tcPr>
          <w:p w:rsidR="00D16657" w:rsidRPr="00872462" w:rsidRDefault="00D16657" w:rsidP="00610A50">
            <w:pPr>
              <w:pStyle w:val="Normal6"/>
            </w:pPr>
            <w:r w:rsidRPr="00872462">
              <w:t>7. Kommissionen ska inte anta delegerade akter om Europaparlamentets granskningstid på grund av ett uppehåll reduceras till mindre än fem månader inräknat förlängningen.</w:t>
            </w:r>
          </w:p>
        </w:tc>
        <w:tc>
          <w:tcPr>
            <w:tcW w:w="4876" w:type="dxa"/>
            <w:hideMark/>
          </w:tcPr>
          <w:p w:rsidR="00D16657" w:rsidRPr="00872462" w:rsidRDefault="00D16657" w:rsidP="00610A50">
            <w:pPr>
              <w:pStyle w:val="Normal6"/>
              <w:rPr>
                <w:szCs w:val="24"/>
              </w:rPr>
            </w:pPr>
            <w:r w:rsidRPr="00872462">
              <w:t>7. Kommissionen ska inte anta delegerade akter om Europaparlamentets granskningstid på grund av ett uppehåll reduceras till mindre än fem månader inräknat förlängningen.</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(https://eur-lex.europa.eu/legal-content/SV/TXT/?uri=celex%3A32014R0806)</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323</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Pedro Marques, Costas Mavrides, Irene Tinagli, Jonás Fernández, Aurore Lalucq, René Repasi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43a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94 – punkt 1 – led aa (nytt)</w:t>
      </w:r>
      <w:r w:rsidRPr="008724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(43a)</w:t>
            </w:r>
            <w:r w:rsidRPr="00872462">
              <w:rPr>
                <w:b/>
                <w:i/>
              </w:rPr>
              <w:tab/>
              <w:t>I artikel 94.1 ska följande led läggas till:</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aa) Samspelet mellan den befintliga ramen och inrättandet av det europeiska insättningsgarantisystemet.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324</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Ernest Urtasun</w:t>
      </w:r>
      <w:r w:rsidRPr="00872462">
        <w:rPr>
          <w:rStyle w:val="HideTWBExt"/>
          <w:b w:val="0"/>
        </w:rPr>
        <w:t>&lt;/Members&gt;</w:t>
      </w:r>
    </w:p>
    <w:p w:rsidR="00D16657" w:rsidRPr="00872462" w:rsidRDefault="00D16657" w:rsidP="00D16657">
      <w:r w:rsidRPr="00872462">
        <w:rPr>
          <w:rStyle w:val="HideTWBExt"/>
        </w:rPr>
        <w:t>&lt;AuNomDe&gt;</w:t>
      </w:r>
      <w:r w:rsidRPr="00872462">
        <w:rPr>
          <w:rStyle w:val="HideTWBInt"/>
        </w:rPr>
        <w:t>{Verts/ALE}</w:t>
      </w:r>
      <w:r w:rsidRPr="00872462">
        <w:t>för Verts/ALE-gruppen</w:t>
      </w:r>
      <w:r w:rsidRPr="00872462">
        <w:rPr>
          <w:rStyle w:val="HideTWBExt"/>
        </w:rPr>
        <w:t>&lt;/AuNomDe&gt;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1 – stycke 1 – led 43b (nytt)</w:t>
      </w:r>
      <w:r w:rsidRPr="00872462">
        <w:rPr>
          <w:rStyle w:val="HideTWBExt"/>
          <w:b w:val="0"/>
        </w:rPr>
        <w:t>&lt;/Article&gt;</w:t>
      </w:r>
    </w:p>
    <w:p w:rsidR="00D16657" w:rsidRPr="00872462" w:rsidRDefault="00D16657" w:rsidP="00D16657">
      <w:pPr>
        <w:keepNext/>
      </w:pPr>
      <w:r w:rsidRPr="00872462">
        <w:rPr>
          <w:rStyle w:val="HideTWBExt"/>
        </w:rPr>
        <w:t>&lt;DocAmend2&gt;</w:t>
      </w:r>
      <w:r w:rsidRPr="00872462">
        <w:t>Förordning (EU) nr 806/2014</w:t>
      </w:r>
      <w:r w:rsidRPr="00872462">
        <w:rPr>
          <w:rStyle w:val="HideTWBExt"/>
        </w:rPr>
        <w:t>&lt;/DocAmend2&gt;</w:t>
      </w:r>
    </w:p>
    <w:p w:rsidR="00D16657" w:rsidRPr="00872462" w:rsidRDefault="00D16657" w:rsidP="00D16657">
      <w:r w:rsidRPr="00872462">
        <w:rPr>
          <w:rStyle w:val="HideTWBExt"/>
        </w:rPr>
        <w:t>&lt;Article2&gt;</w:t>
      </w:r>
      <w:r w:rsidRPr="00872462">
        <w:t>Artikel 94 – punkt 3a (ny)</w:t>
      </w:r>
      <w:r w:rsidRPr="008724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(43b)</w:t>
            </w:r>
            <w:r w:rsidRPr="00872462">
              <w:rPr>
                <w:b/>
                <w:i/>
              </w:rPr>
              <w:tab/>
              <w:t>I artikel 94 ska följande punkt infogas: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3a. Senast den [denna ändringsförordnings ikraftträdande + två år] ska kommissionen, efter samråd med nämnden, rapportera till Europaparlamentet och rådet om hur den insättningsgarantifond som inrättats enligt artikel 79a fungerar.</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I rapporten ska åtminstone följande bedömas: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a) Huruvida och enligt vilka villkor insättningsgarantifonden skulle kunna tillhandahålla förlusttäckning till det nationella insättningsgarantisystemet.</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b) Lämpligheten hos den målnivå för insättningsgarantifonden som definieras i artikel 79a.2.</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c) Infasning mot en förlusttäckningsfas.</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Kommissionen ska vid behov låta rapporten åtföljas av ett lagstiftningsförslag.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pPr>
        <w:pStyle w:val="CrossRef"/>
      </w:pPr>
      <w:r w:rsidRPr="00872462">
        <w:t>(https://eur-lex.europa.eu/legal-content/SV/TXT/?uri=celex%3A32014R0806)</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325</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Marco Zanni, Valentino Grant, Antonio Maria Rinaldi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2 – stycke 2</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hideMark/>
          </w:tcPr>
          <w:p w:rsidR="00D16657" w:rsidRPr="00872462" w:rsidRDefault="00D16657" w:rsidP="00610A50">
            <w:pPr>
              <w:pStyle w:val="Normal6"/>
            </w:pPr>
            <w:r w:rsidRPr="00872462">
              <w:t>Den ska tillämpas från och med den ... [OP: för in datum =</w:t>
            </w:r>
            <w:r w:rsidRPr="00872462">
              <w:rPr>
                <w:b/>
                <w:i/>
              </w:rPr>
              <w:t>18</w:t>
            </w:r>
            <w:r w:rsidRPr="00872462">
              <w:t xml:space="preserve"> månader efter ikraftträdandet av denna ändringsförordning].</w:t>
            </w:r>
          </w:p>
        </w:tc>
        <w:tc>
          <w:tcPr>
            <w:tcW w:w="4876" w:type="dxa"/>
            <w:hideMark/>
          </w:tcPr>
          <w:p w:rsidR="00D16657" w:rsidRPr="00872462" w:rsidRDefault="00D16657" w:rsidP="00610A50">
            <w:pPr>
              <w:pStyle w:val="Normal6"/>
              <w:rPr>
                <w:szCs w:val="24"/>
              </w:rPr>
            </w:pPr>
            <w:r w:rsidRPr="00872462">
              <w:t>Den ska tillämpas från och med den ... [OP: för in datum =</w:t>
            </w:r>
            <w:r w:rsidRPr="00872462">
              <w:rPr>
                <w:b/>
                <w:i/>
              </w:rPr>
              <w:t>24</w:t>
            </w:r>
            <w:r w:rsidRPr="00872462">
              <w:t xml:space="preserve"> månader efter ikraftträdandet av denna ändringsförordning].</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w:t>
      </w:r>
    </w:p>
    <w:p w:rsidR="00D16657" w:rsidRPr="00872462" w:rsidRDefault="00D16657" w:rsidP="00D16657">
      <w:pPr>
        <w:pStyle w:val="AMNumberTabs0"/>
        <w:keepNext/>
      </w:pPr>
      <w:r w:rsidRPr="00872462">
        <w:rPr>
          <w:rStyle w:val="HideTWBExt"/>
          <w:b w:val="0"/>
        </w:rPr>
        <w:t>&lt;Amend&gt;</w:t>
      </w:r>
      <w:r w:rsidRPr="00872462">
        <w:t>Ändringsförslag</w:t>
      </w:r>
      <w:r w:rsidRPr="00872462">
        <w:tab/>
      </w:r>
      <w:r w:rsidRPr="00872462">
        <w:tab/>
      </w:r>
      <w:r w:rsidRPr="00872462">
        <w:rPr>
          <w:rStyle w:val="HideTWBExt"/>
          <w:b w:val="0"/>
        </w:rPr>
        <w:t>&lt;NumAm&gt;</w:t>
      </w:r>
      <w:r w:rsidRPr="00872462">
        <w:t>326</w:t>
      </w:r>
      <w:r w:rsidRPr="00872462">
        <w:rPr>
          <w:rStyle w:val="HideTWBExt"/>
          <w:b w:val="0"/>
        </w:rPr>
        <w:t>&lt;/NumAm&gt;</w:t>
      </w:r>
    </w:p>
    <w:p w:rsidR="00D16657" w:rsidRPr="00872462" w:rsidRDefault="00D16657" w:rsidP="00D16657">
      <w:pPr>
        <w:pStyle w:val="NormalBold"/>
      </w:pPr>
      <w:r w:rsidRPr="00872462">
        <w:rPr>
          <w:rStyle w:val="HideTWBExt"/>
          <w:b w:val="0"/>
        </w:rPr>
        <w:t>&lt;RepeatBlock-By&gt;&lt;Members&gt;</w:t>
      </w:r>
      <w:r w:rsidRPr="00872462">
        <w:t>Irene Tinagli</w:t>
      </w:r>
      <w:r w:rsidRPr="00872462">
        <w:rPr>
          <w:rStyle w:val="HideTWBExt"/>
          <w:b w:val="0"/>
        </w:rPr>
        <w:t>&lt;/Members&gt;</w:t>
      </w:r>
    </w:p>
    <w:p w:rsidR="00D16657" w:rsidRPr="00872462" w:rsidRDefault="00D16657" w:rsidP="00D16657">
      <w:r w:rsidRPr="00872462">
        <w:rPr>
          <w:rStyle w:val="HideTWBExt"/>
        </w:rPr>
        <w:t>&lt;/RepeatBlock-By&gt;</w:t>
      </w:r>
    </w:p>
    <w:p w:rsidR="00D16657" w:rsidRPr="00872462" w:rsidRDefault="00D16657" w:rsidP="00D16657">
      <w:pPr>
        <w:pStyle w:val="NormalBold"/>
        <w:keepNext/>
      </w:pPr>
      <w:r w:rsidRPr="00872462">
        <w:rPr>
          <w:rStyle w:val="HideTWBExt"/>
          <w:b w:val="0"/>
        </w:rPr>
        <w:t>&lt;DocAmend&gt;</w:t>
      </w:r>
      <w:r w:rsidRPr="00872462">
        <w:t>Förslag till förordning</w:t>
      </w:r>
      <w:r w:rsidRPr="00872462">
        <w:rPr>
          <w:rStyle w:val="HideTWBExt"/>
          <w:b w:val="0"/>
        </w:rPr>
        <w:t>&lt;/DocAmend&gt;</w:t>
      </w:r>
    </w:p>
    <w:p w:rsidR="00D16657" w:rsidRPr="00872462" w:rsidRDefault="00D16657" w:rsidP="00D16657">
      <w:pPr>
        <w:pStyle w:val="NormalBold"/>
      </w:pPr>
      <w:r w:rsidRPr="00872462">
        <w:rPr>
          <w:rStyle w:val="HideTWBExt"/>
          <w:b w:val="0"/>
        </w:rPr>
        <w:t>&lt;Article&gt;</w:t>
      </w:r>
      <w:r w:rsidRPr="00872462">
        <w:t>Artikel 2a (ny)</w:t>
      </w:r>
      <w:r w:rsidRPr="008724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462" w:rsidRPr="00872462" w:rsidTr="00610A50">
        <w:trPr>
          <w:jc w:val="center"/>
        </w:trPr>
        <w:tc>
          <w:tcPr>
            <w:tcW w:w="9752" w:type="dxa"/>
            <w:gridSpan w:val="2"/>
          </w:tcPr>
          <w:p w:rsidR="00D16657" w:rsidRPr="00872462" w:rsidRDefault="00D16657" w:rsidP="00610A50">
            <w:pPr>
              <w:keepNext/>
            </w:pPr>
          </w:p>
        </w:tc>
      </w:tr>
      <w:tr w:rsidR="00872462" w:rsidRPr="00872462" w:rsidTr="00610A50">
        <w:trPr>
          <w:jc w:val="center"/>
        </w:trPr>
        <w:tc>
          <w:tcPr>
            <w:tcW w:w="4876" w:type="dxa"/>
            <w:hideMark/>
          </w:tcPr>
          <w:p w:rsidR="00D16657" w:rsidRPr="00872462" w:rsidRDefault="00D16657" w:rsidP="00610A50">
            <w:pPr>
              <w:pStyle w:val="ColumnHeading"/>
              <w:keepNext/>
            </w:pPr>
            <w:r w:rsidRPr="00872462">
              <w:t>Kommissionens förslag</w:t>
            </w:r>
          </w:p>
        </w:tc>
        <w:tc>
          <w:tcPr>
            <w:tcW w:w="4876" w:type="dxa"/>
            <w:hideMark/>
          </w:tcPr>
          <w:p w:rsidR="00D16657" w:rsidRPr="00872462" w:rsidRDefault="00D16657" w:rsidP="00610A50">
            <w:pPr>
              <w:pStyle w:val="ColumnHeading"/>
              <w:keepNext/>
            </w:pPr>
            <w:r w:rsidRPr="00872462">
              <w:t>Ändringsförslag</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jc w:val="center"/>
              <w:rPr>
                <w:szCs w:val="24"/>
              </w:rPr>
            </w:pPr>
            <w:r w:rsidRPr="00872462">
              <w:rPr>
                <w:b/>
                <w:i/>
              </w:rPr>
              <w:t>Artikel 2a</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jc w:val="center"/>
              <w:rPr>
                <w:szCs w:val="24"/>
              </w:rPr>
            </w:pPr>
            <w:r w:rsidRPr="00872462">
              <w:rPr>
                <w:b/>
                <w:i/>
              </w:rPr>
              <w:t>Övergångsperiod</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 xml:space="preserve">1. Institut eller enheter som avses i artikel 1.1 b, c och d i direktiv 2014/59/EU och vars föredragna resolutionsstrategi kommer att ändras beroende på denna förordnings ikraftträdande bör uppfylla de krav som avses i artikel 45e eller 45f i direktiv 2014/59/EU eller de krav som följer av tillämpningen av artikel 45b.4, 45b.5 eller 45b.7 i det direktivet, beroende på vad som är lämpligt, inom fem år från dagen för godkännandet av resolutionsplanen, inbegripet den nya föredragna resolutionsstrategin. </w:t>
            </w:r>
          </w:p>
        </w:tc>
      </w:tr>
      <w:tr w:rsidR="00872462" w:rsidRPr="00872462" w:rsidTr="00610A50">
        <w:trPr>
          <w:jc w:val="center"/>
        </w:trPr>
        <w:tc>
          <w:tcPr>
            <w:tcW w:w="4876" w:type="dxa"/>
          </w:tcPr>
          <w:p w:rsidR="00D16657" w:rsidRPr="00872462" w:rsidRDefault="00D16657" w:rsidP="00610A50">
            <w:pPr>
              <w:pStyle w:val="Normal6"/>
            </w:pPr>
          </w:p>
        </w:tc>
        <w:tc>
          <w:tcPr>
            <w:tcW w:w="4876" w:type="dxa"/>
            <w:hideMark/>
          </w:tcPr>
          <w:p w:rsidR="00D16657" w:rsidRPr="00872462" w:rsidRDefault="00D16657" w:rsidP="00610A50">
            <w:pPr>
              <w:pStyle w:val="Normal6"/>
              <w:rPr>
                <w:szCs w:val="24"/>
              </w:rPr>
            </w:pPr>
            <w:r w:rsidRPr="00872462">
              <w:rPr>
                <w:b/>
                <w:i/>
              </w:rPr>
              <w:t>2. Under den övergångsperiod som avses i punkt 1 ska insättningsgarantisystemet, i de fall som avses i artikel 109.1 första stycket led b i direktiv 2014/59/EU, om överföringen till mottagaren omfattar insättningar som inte är garanterade insättningar eller andra nedskrivningsbara skulder, genom undantag från andra stycket i den punkten, bidra till det belopp som krävs för att täcka skillnaden mellan värdet av insättningar, inbegripet insättningar som inte är garanterade, av prioriterade nedskrivningsbara skulder som innehas av icke-professionella kunder, enligt definitionen i artikel 4.1.11 i direktiv 2014/65/EU, och skulder med samma eller högre prioritet än insättningar och värdet av de tillgångar i institutet som omfattas av resolution och som ska överföras till mottagaren.</w:t>
            </w:r>
          </w:p>
        </w:tc>
      </w:tr>
    </w:tbl>
    <w:p w:rsidR="00D16657" w:rsidRPr="00872462" w:rsidRDefault="00D16657" w:rsidP="00D16657">
      <w:pPr>
        <w:pStyle w:val="Olang"/>
      </w:pPr>
      <w:r w:rsidRPr="00872462">
        <w:t xml:space="preserve">Or. </w:t>
      </w:r>
      <w:r w:rsidRPr="00872462">
        <w:rPr>
          <w:rStyle w:val="HideTWBExt"/>
        </w:rPr>
        <w:t>&lt;Original&gt;</w:t>
      </w:r>
      <w:r w:rsidRPr="00872462">
        <w:rPr>
          <w:rStyle w:val="HideTWBInt"/>
          <w:rFonts w:eastAsiaTheme="majorEastAsia"/>
        </w:rPr>
        <w:t>{EN}</w:t>
      </w:r>
      <w:r w:rsidRPr="00872462">
        <w:t>en</w:t>
      </w:r>
      <w:r w:rsidRPr="00872462">
        <w:rPr>
          <w:rStyle w:val="HideTWBExt"/>
        </w:rPr>
        <w:t>&lt;/Original&gt;</w:t>
      </w:r>
    </w:p>
    <w:p w:rsidR="00D16657" w:rsidRPr="00872462" w:rsidRDefault="00D16657" w:rsidP="00D16657">
      <w:r w:rsidRPr="00872462">
        <w:rPr>
          <w:rStyle w:val="HideTWBExt"/>
        </w:rPr>
        <w:t>&lt;/Amend&gt;&lt;/RepeatBlock-Amend&gt;</w:t>
      </w:r>
    </w:p>
    <w:p w:rsidR="00E84D7B" w:rsidRPr="00872462" w:rsidRDefault="00E84D7B" w:rsidP="00D16657"/>
    <w:sectPr w:rsidR="00E84D7B" w:rsidRPr="00872462" w:rsidSect="00FF2ED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FB1" w:rsidRPr="00CB6C34" w:rsidRDefault="00D37F84">
      <w:r w:rsidRPr="00CB6C34">
        <w:separator/>
      </w:r>
    </w:p>
  </w:endnote>
  <w:endnote w:type="continuationSeparator" w:id="0">
    <w:p w:rsidR="00D34FB1" w:rsidRPr="00CB6C34" w:rsidRDefault="00D37F84">
      <w:r w:rsidRPr="00CB6C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ED7" w:rsidRPr="00CB6C34" w:rsidRDefault="00FF2ED7" w:rsidP="00FF2ED7">
    <w:pPr>
      <w:pStyle w:val="EPFooter"/>
    </w:pPr>
    <w:r w:rsidRPr="00CB6C34">
      <w:t>PE</w:t>
    </w:r>
    <w:r w:rsidRPr="00872462">
      <w:rPr>
        <w:rStyle w:val="HideTWBExt"/>
      </w:rPr>
      <w:t>&lt;NoPE&gt;</w:t>
    </w:r>
    <w:r w:rsidRPr="00CB6C34">
      <w:t>754.694</w:t>
    </w:r>
    <w:r w:rsidRPr="00872462">
      <w:rPr>
        <w:rStyle w:val="HideTWBExt"/>
      </w:rPr>
      <w:t>&lt;/NoPE&gt;&lt;Version&gt;</w:t>
    </w:r>
    <w:r w:rsidRPr="00CB6C34">
      <w:t>v01-00</w:t>
    </w:r>
    <w:r w:rsidRPr="00872462">
      <w:rPr>
        <w:rStyle w:val="HideTWBExt"/>
      </w:rPr>
      <w:t>&lt;/Version&gt;</w:t>
    </w:r>
    <w:r w:rsidRPr="00CB6C34">
      <w:tab/>
    </w:r>
    <w:r w:rsidRPr="00CB6C34">
      <w:fldChar w:fldCharType="begin"/>
    </w:r>
    <w:r w:rsidRPr="00CB6C34">
      <w:instrText xml:space="preserve"> PAGE  \* MERGEFORMAT </w:instrText>
    </w:r>
    <w:r w:rsidRPr="00CB6C34">
      <w:fldChar w:fldCharType="separate"/>
    </w:r>
    <w:r w:rsidR="00E32386">
      <w:rPr>
        <w:noProof/>
      </w:rPr>
      <w:t>2</w:t>
    </w:r>
    <w:r w:rsidRPr="00CB6C34">
      <w:fldChar w:fldCharType="end"/>
    </w:r>
    <w:r w:rsidRPr="00CB6C34">
      <w:t>/</w:t>
    </w:r>
    <w:r w:rsidR="00E32386">
      <w:fldChar w:fldCharType="begin"/>
    </w:r>
    <w:r w:rsidR="00E32386">
      <w:instrText xml:space="preserve"> NUMPAGES  \* MERGEFORMAT </w:instrText>
    </w:r>
    <w:r w:rsidR="00E32386">
      <w:fldChar w:fldCharType="separate"/>
    </w:r>
    <w:r w:rsidR="00E32386">
      <w:rPr>
        <w:noProof/>
      </w:rPr>
      <w:t>192</w:t>
    </w:r>
    <w:r w:rsidR="00E32386">
      <w:rPr>
        <w:noProof/>
      </w:rPr>
      <w:fldChar w:fldCharType="end"/>
    </w:r>
    <w:r w:rsidRPr="00CB6C34">
      <w:tab/>
    </w:r>
    <w:r w:rsidRPr="00872462">
      <w:rPr>
        <w:rStyle w:val="HideTWBExt"/>
      </w:rPr>
      <w:t>&lt;PathFdR&gt;</w:t>
    </w:r>
    <w:r w:rsidRPr="00CB6C34">
      <w:t>AM\1287807SV.docx</w:t>
    </w:r>
    <w:r w:rsidRPr="00872462">
      <w:rPr>
        <w:rStyle w:val="HideTWBExt"/>
      </w:rPr>
      <w:t>&lt;/PathFdR&gt;</w:t>
    </w:r>
  </w:p>
  <w:p w:rsidR="00C37729" w:rsidRPr="00CB6C34" w:rsidRDefault="00FF2ED7" w:rsidP="00FF2ED7">
    <w:pPr>
      <w:pStyle w:val="EPFooter2"/>
    </w:pPr>
    <w:r w:rsidRPr="00CB6C34">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ED7" w:rsidRPr="00CB6C34" w:rsidRDefault="00FF2ED7" w:rsidP="00FF2ED7">
    <w:pPr>
      <w:pStyle w:val="EPFooter"/>
    </w:pPr>
    <w:r w:rsidRPr="00872462">
      <w:rPr>
        <w:rStyle w:val="HideTWBExt"/>
      </w:rPr>
      <w:t>&lt;PathFdR&gt;</w:t>
    </w:r>
    <w:r w:rsidRPr="00CB6C34">
      <w:t>AM\1287807SV.docx</w:t>
    </w:r>
    <w:r w:rsidRPr="00872462">
      <w:rPr>
        <w:rStyle w:val="HideTWBExt"/>
      </w:rPr>
      <w:t>&lt;/PathFdR&gt;</w:t>
    </w:r>
    <w:r w:rsidRPr="00CB6C34">
      <w:tab/>
    </w:r>
    <w:r w:rsidRPr="00CB6C34">
      <w:fldChar w:fldCharType="begin"/>
    </w:r>
    <w:r w:rsidRPr="00CB6C34">
      <w:instrText xml:space="preserve"> PAGE  \* MERGEFORMAT </w:instrText>
    </w:r>
    <w:r w:rsidRPr="00CB6C34">
      <w:fldChar w:fldCharType="separate"/>
    </w:r>
    <w:r w:rsidR="00E32386">
      <w:rPr>
        <w:noProof/>
      </w:rPr>
      <w:t>192</w:t>
    </w:r>
    <w:r w:rsidRPr="00CB6C34">
      <w:fldChar w:fldCharType="end"/>
    </w:r>
    <w:r w:rsidRPr="00CB6C34">
      <w:t>/</w:t>
    </w:r>
    <w:r w:rsidR="00E32386">
      <w:fldChar w:fldCharType="begin"/>
    </w:r>
    <w:r w:rsidR="00E32386">
      <w:instrText xml:space="preserve"> NUMPAGES  \* MERGEFORMAT </w:instrText>
    </w:r>
    <w:r w:rsidR="00E32386">
      <w:fldChar w:fldCharType="separate"/>
    </w:r>
    <w:r w:rsidR="00E32386">
      <w:rPr>
        <w:noProof/>
      </w:rPr>
      <w:t>192</w:t>
    </w:r>
    <w:r w:rsidR="00E32386">
      <w:rPr>
        <w:noProof/>
      </w:rPr>
      <w:fldChar w:fldCharType="end"/>
    </w:r>
    <w:r w:rsidRPr="00CB6C34">
      <w:tab/>
      <w:t>PE</w:t>
    </w:r>
    <w:r w:rsidRPr="00872462">
      <w:rPr>
        <w:rStyle w:val="HideTWBExt"/>
      </w:rPr>
      <w:t>&lt;NoPE&gt;</w:t>
    </w:r>
    <w:r w:rsidRPr="00CB6C34">
      <w:t>754.694</w:t>
    </w:r>
    <w:r w:rsidRPr="00872462">
      <w:rPr>
        <w:rStyle w:val="HideTWBExt"/>
      </w:rPr>
      <w:t>&lt;/NoPE&gt;&lt;Version&gt;</w:t>
    </w:r>
    <w:r w:rsidRPr="00CB6C34">
      <w:t>v01-00</w:t>
    </w:r>
    <w:r w:rsidRPr="00872462">
      <w:rPr>
        <w:rStyle w:val="HideTWBExt"/>
      </w:rPr>
      <w:t>&lt;/Version&gt;</w:t>
    </w:r>
  </w:p>
  <w:p w:rsidR="00C37729" w:rsidRPr="00CB6C34" w:rsidRDefault="00FF2ED7" w:rsidP="00FF2ED7">
    <w:pPr>
      <w:pStyle w:val="EPFooter2"/>
    </w:pPr>
    <w:r w:rsidRPr="00CB6C34">
      <w:tab/>
    </w:r>
    <w:r w:rsidRPr="00CB6C34">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ED7" w:rsidRPr="00CB6C34" w:rsidRDefault="00FF2ED7" w:rsidP="00FF2ED7">
    <w:pPr>
      <w:pStyle w:val="EPFooter"/>
    </w:pPr>
    <w:r w:rsidRPr="00872462">
      <w:rPr>
        <w:rStyle w:val="HideTWBExt"/>
      </w:rPr>
      <w:t>&lt;PathFdR&gt;</w:t>
    </w:r>
    <w:r w:rsidRPr="00CB6C34">
      <w:t>AM\1287807SV.docx</w:t>
    </w:r>
    <w:r w:rsidRPr="00872462">
      <w:rPr>
        <w:rStyle w:val="HideTWBExt"/>
      </w:rPr>
      <w:t>&lt;/PathFdR&gt;</w:t>
    </w:r>
    <w:r w:rsidRPr="00CB6C34">
      <w:tab/>
    </w:r>
    <w:r w:rsidRPr="00CB6C34">
      <w:tab/>
      <w:t>PE</w:t>
    </w:r>
    <w:r w:rsidRPr="00872462">
      <w:rPr>
        <w:rStyle w:val="HideTWBExt"/>
      </w:rPr>
      <w:t>&lt;NoPE&gt;</w:t>
    </w:r>
    <w:r w:rsidRPr="00CB6C34">
      <w:t>754.694</w:t>
    </w:r>
    <w:r w:rsidRPr="00872462">
      <w:rPr>
        <w:rStyle w:val="HideTWBExt"/>
      </w:rPr>
      <w:t>&lt;/NoPE&gt;&lt;Version&gt;</w:t>
    </w:r>
    <w:r w:rsidRPr="00CB6C34">
      <w:t>v01-00</w:t>
    </w:r>
    <w:r w:rsidRPr="00872462">
      <w:rPr>
        <w:rStyle w:val="HideTWBExt"/>
      </w:rPr>
      <w:t>&lt;/Version&gt;</w:t>
    </w:r>
  </w:p>
  <w:p w:rsidR="00C37729" w:rsidRPr="00CB6C34" w:rsidRDefault="00FF2ED7" w:rsidP="00FF2ED7">
    <w:pPr>
      <w:pStyle w:val="EPFooter2"/>
    </w:pPr>
    <w:r w:rsidRPr="00CB6C34">
      <w:t>SV</w:t>
    </w:r>
    <w:r w:rsidRPr="00CB6C34">
      <w:tab/>
    </w:r>
    <w:r w:rsidRPr="00CB6C34">
      <w:rPr>
        <w:b w:val="0"/>
        <w:i/>
        <w:color w:val="C0C0C0"/>
        <w:sz w:val="22"/>
      </w:rPr>
      <w:t>Förenade i mångfalden</w:t>
    </w:r>
    <w:r w:rsidRPr="00CB6C34">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FB1" w:rsidRPr="00CB6C34" w:rsidRDefault="00D37F84">
      <w:r w:rsidRPr="00CB6C34">
        <w:separator/>
      </w:r>
    </w:p>
  </w:footnote>
  <w:footnote w:type="continuationSeparator" w:id="0">
    <w:p w:rsidR="00D34FB1" w:rsidRPr="00CB6C34" w:rsidRDefault="00D37F84">
      <w:r w:rsidRPr="00CB6C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462" w:rsidRDefault="00872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462" w:rsidRDefault="008724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462" w:rsidRDefault="00872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71380BB0">
      <w:start w:val="1"/>
      <w:numFmt w:val="lowerRoman"/>
      <w:lvlText w:val="(%1)"/>
      <w:lvlJc w:val="left"/>
      <w:pPr>
        <w:ind w:left="1440" w:hanging="720"/>
      </w:pPr>
      <w:rPr>
        <w:rFonts w:hint="default"/>
        <w:sz w:val="23"/>
      </w:rPr>
    </w:lvl>
    <w:lvl w:ilvl="1" w:tplc="A52612CA" w:tentative="1">
      <w:start w:val="1"/>
      <w:numFmt w:val="lowerLetter"/>
      <w:lvlText w:val="%2."/>
      <w:lvlJc w:val="left"/>
      <w:pPr>
        <w:ind w:left="1800" w:hanging="360"/>
      </w:pPr>
    </w:lvl>
    <w:lvl w:ilvl="2" w:tplc="39E8FEB8" w:tentative="1">
      <w:start w:val="1"/>
      <w:numFmt w:val="lowerRoman"/>
      <w:lvlText w:val="%3."/>
      <w:lvlJc w:val="right"/>
      <w:pPr>
        <w:ind w:left="2520" w:hanging="180"/>
      </w:pPr>
    </w:lvl>
    <w:lvl w:ilvl="3" w:tplc="83E67E26" w:tentative="1">
      <w:start w:val="1"/>
      <w:numFmt w:val="decimal"/>
      <w:lvlText w:val="%4."/>
      <w:lvlJc w:val="left"/>
      <w:pPr>
        <w:ind w:left="3240" w:hanging="360"/>
      </w:pPr>
    </w:lvl>
    <w:lvl w:ilvl="4" w:tplc="FE0A589C" w:tentative="1">
      <w:start w:val="1"/>
      <w:numFmt w:val="lowerLetter"/>
      <w:lvlText w:val="%5."/>
      <w:lvlJc w:val="left"/>
      <w:pPr>
        <w:ind w:left="3960" w:hanging="360"/>
      </w:pPr>
    </w:lvl>
    <w:lvl w:ilvl="5" w:tplc="BDEA703E" w:tentative="1">
      <w:start w:val="1"/>
      <w:numFmt w:val="lowerRoman"/>
      <w:lvlText w:val="%6."/>
      <w:lvlJc w:val="right"/>
      <w:pPr>
        <w:ind w:left="4680" w:hanging="180"/>
      </w:pPr>
    </w:lvl>
    <w:lvl w:ilvl="6" w:tplc="963E570E" w:tentative="1">
      <w:start w:val="1"/>
      <w:numFmt w:val="decimal"/>
      <w:lvlText w:val="%7."/>
      <w:lvlJc w:val="left"/>
      <w:pPr>
        <w:ind w:left="5400" w:hanging="360"/>
      </w:pPr>
    </w:lvl>
    <w:lvl w:ilvl="7" w:tplc="1868B64A" w:tentative="1">
      <w:start w:val="1"/>
      <w:numFmt w:val="lowerLetter"/>
      <w:lvlText w:val="%8."/>
      <w:lvlJc w:val="left"/>
      <w:pPr>
        <w:ind w:left="6120" w:hanging="360"/>
      </w:pPr>
    </w:lvl>
    <w:lvl w:ilvl="8" w:tplc="CA26CE40"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F0AC975C">
      <w:start w:val="1"/>
      <w:numFmt w:val="lowerLetter"/>
      <w:lvlText w:val="(%1)"/>
      <w:lvlJc w:val="left"/>
      <w:pPr>
        <w:ind w:left="720" w:hanging="360"/>
      </w:pPr>
      <w:rPr>
        <w:rFonts w:hint="default"/>
      </w:rPr>
    </w:lvl>
    <w:lvl w:ilvl="1" w:tplc="146263EA" w:tentative="1">
      <w:start w:val="1"/>
      <w:numFmt w:val="lowerLetter"/>
      <w:lvlText w:val="%2."/>
      <w:lvlJc w:val="left"/>
      <w:pPr>
        <w:ind w:left="1440" w:hanging="360"/>
      </w:pPr>
    </w:lvl>
    <w:lvl w:ilvl="2" w:tplc="911C86C6" w:tentative="1">
      <w:start w:val="1"/>
      <w:numFmt w:val="lowerRoman"/>
      <w:lvlText w:val="%3."/>
      <w:lvlJc w:val="right"/>
      <w:pPr>
        <w:ind w:left="2160" w:hanging="180"/>
      </w:pPr>
    </w:lvl>
    <w:lvl w:ilvl="3" w:tplc="F676D688" w:tentative="1">
      <w:start w:val="1"/>
      <w:numFmt w:val="decimal"/>
      <w:lvlText w:val="%4."/>
      <w:lvlJc w:val="left"/>
      <w:pPr>
        <w:ind w:left="2880" w:hanging="360"/>
      </w:pPr>
    </w:lvl>
    <w:lvl w:ilvl="4" w:tplc="DD302A42" w:tentative="1">
      <w:start w:val="1"/>
      <w:numFmt w:val="lowerLetter"/>
      <w:lvlText w:val="%5."/>
      <w:lvlJc w:val="left"/>
      <w:pPr>
        <w:ind w:left="3600" w:hanging="360"/>
      </w:pPr>
    </w:lvl>
    <w:lvl w:ilvl="5" w:tplc="A9E40792" w:tentative="1">
      <w:start w:val="1"/>
      <w:numFmt w:val="lowerRoman"/>
      <w:lvlText w:val="%6."/>
      <w:lvlJc w:val="right"/>
      <w:pPr>
        <w:ind w:left="4320" w:hanging="180"/>
      </w:pPr>
    </w:lvl>
    <w:lvl w:ilvl="6" w:tplc="D9960650" w:tentative="1">
      <w:start w:val="1"/>
      <w:numFmt w:val="decimal"/>
      <w:lvlText w:val="%7."/>
      <w:lvlJc w:val="left"/>
      <w:pPr>
        <w:ind w:left="5040" w:hanging="360"/>
      </w:pPr>
    </w:lvl>
    <w:lvl w:ilvl="7" w:tplc="8D8A693C" w:tentative="1">
      <w:start w:val="1"/>
      <w:numFmt w:val="lowerLetter"/>
      <w:lvlText w:val="%8."/>
      <w:lvlJc w:val="left"/>
      <w:pPr>
        <w:ind w:left="5760" w:hanging="360"/>
      </w:pPr>
    </w:lvl>
    <w:lvl w:ilvl="8" w:tplc="B8C4EED8"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F634B45A">
      <w:start w:val="1"/>
      <w:numFmt w:val="lowerRoman"/>
      <w:lvlText w:val="(%1)"/>
      <w:lvlJc w:val="left"/>
      <w:pPr>
        <w:ind w:left="1080" w:hanging="720"/>
      </w:pPr>
      <w:rPr>
        <w:rFonts w:hint="default"/>
        <w:sz w:val="23"/>
      </w:rPr>
    </w:lvl>
    <w:lvl w:ilvl="1" w:tplc="88464874" w:tentative="1">
      <w:start w:val="1"/>
      <w:numFmt w:val="lowerLetter"/>
      <w:lvlText w:val="%2."/>
      <w:lvlJc w:val="left"/>
      <w:pPr>
        <w:ind w:left="1440" w:hanging="360"/>
      </w:pPr>
    </w:lvl>
    <w:lvl w:ilvl="2" w:tplc="FB547CEC" w:tentative="1">
      <w:start w:val="1"/>
      <w:numFmt w:val="lowerRoman"/>
      <w:lvlText w:val="%3."/>
      <w:lvlJc w:val="right"/>
      <w:pPr>
        <w:ind w:left="2160" w:hanging="180"/>
      </w:pPr>
    </w:lvl>
    <w:lvl w:ilvl="3" w:tplc="ECA896F2" w:tentative="1">
      <w:start w:val="1"/>
      <w:numFmt w:val="decimal"/>
      <w:lvlText w:val="%4."/>
      <w:lvlJc w:val="left"/>
      <w:pPr>
        <w:ind w:left="2880" w:hanging="360"/>
      </w:pPr>
    </w:lvl>
    <w:lvl w:ilvl="4" w:tplc="2E26D044" w:tentative="1">
      <w:start w:val="1"/>
      <w:numFmt w:val="lowerLetter"/>
      <w:lvlText w:val="%5."/>
      <w:lvlJc w:val="left"/>
      <w:pPr>
        <w:ind w:left="3600" w:hanging="360"/>
      </w:pPr>
    </w:lvl>
    <w:lvl w:ilvl="5" w:tplc="48008F9E" w:tentative="1">
      <w:start w:val="1"/>
      <w:numFmt w:val="lowerRoman"/>
      <w:lvlText w:val="%6."/>
      <w:lvlJc w:val="right"/>
      <w:pPr>
        <w:ind w:left="4320" w:hanging="180"/>
      </w:pPr>
    </w:lvl>
    <w:lvl w:ilvl="6" w:tplc="21A65B70" w:tentative="1">
      <w:start w:val="1"/>
      <w:numFmt w:val="decimal"/>
      <w:lvlText w:val="%7."/>
      <w:lvlJc w:val="left"/>
      <w:pPr>
        <w:ind w:left="5040" w:hanging="360"/>
      </w:pPr>
    </w:lvl>
    <w:lvl w:ilvl="7" w:tplc="6582B5C4" w:tentative="1">
      <w:start w:val="1"/>
      <w:numFmt w:val="lowerLetter"/>
      <w:lvlText w:val="%8."/>
      <w:lvlJc w:val="left"/>
      <w:pPr>
        <w:ind w:left="5760" w:hanging="360"/>
      </w:pPr>
    </w:lvl>
    <w:lvl w:ilvl="8" w:tplc="CA2C9014"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6EB2468C">
      <w:start w:val="1"/>
      <w:numFmt w:val="lowerLetter"/>
      <w:lvlText w:val="(%1)"/>
      <w:lvlJc w:val="left"/>
      <w:pPr>
        <w:ind w:left="720" w:hanging="360"/>
      </w:pPr>
      <w:rPr>
        <w:rFonts w:hint="default"/>
      </w:rPr>
    </w:lvl>
    <w:lvl w:ilvl="1" w:tplc="E46CAB90" w:tentative="1">
      <w:start w:val="1"/>
      <w:numFmt w:val="lowerLetter"/>
      <w:lvlText w:val="%2."/>
      <w:lvlJc w:val="left"/>
      <w:pPr>
        <w:ind w:left="1440" w:hanging="360"/>
      </w:pPr>
    </w:lvl>
    <w:lvl w:ilvl="2" w:tplc="5A18DAFE" w:tentative="1">
      <w:start w:val="1"/>
      <w:numFmt w:val="lowerRoman"/>
      <w:lvlText w:val="%3."/>
      <w:lvlJc w:val="right"/>
      <w:pPr>
        <w:ind w:left="2160" w:hanging="180"/>
      </w:pPr>
    </w:lvl>
    <w:lvl w:ilvl="3" w:tplc="EF948CA8" w:tentative="1">
      <w:start w:val="1"/>
      <w:numFmt w:val="decimal"/>
      <w:lvlText w:val="%4."/>
      <w:lvlJc w:val="left"/>
      <w:pPr>
        <w:ind w:left="2880" w:hanging="360"/>
      </w:pPr>
    </w:lvl>
    <w:lvl w:ilvl="4" w:tplc="9AF050A4" w:tentative="1">
      <w:start w:val="1"/>
      <w:numFmt w:val="lowerLetter"/>
      <w:lvlText w:val="%5."/>
      <w:lvlJc w:val="left"/>
      <w:pPr>
        <w:ind w:left="3600" w:hanging="360"/>
      </w:pPr>
    </w:lvl>
    <w:lvl w:ilvl="5" w:tplc="2CA8AC84" w:tentative="1">
      <w:start w:val="1"/>
      <w:numFmt w:val="lowerRoman"/>
      <w:lvlText w:val="%6."/>
      <w:lvlJc w:val="right"/>
      <w:pPr>
        <w:ind w:left="4320" w:hanging="180"/>
      </w:pPr>
    </w:lvl>
    <w:lvl w:ilvl="6" w:tplc="F2F066AE" w:tentative="1">
      <w:start w:val="1"/>
      <w:numFmt w:val="decimal"/>
      <w:lvlText w:val="%7."/>
      <w:lvlJc w:val="left"/>
      <w:pPr>
        <w:ind w:left="5040" w:hanging="360"/>
      </w:pPr>
    </w:lvl>
    <w:lvl w:ilvl="7" w:tplc="90F446D2" w:tentative="1">
      <w:start w:val="1"/>
      <w:numFmt w:val="lowerLetter"/>
      <w:lvlText w:val="%8."/>
      <w:lvlJc w:val="left"/>
      <w:pPr>
        <w:ind w:left="5760" w:hanging="360"/>
      </w:pPr>
    </w:lvl>
    <w:lvl w:ilvl="8" w:tplc="73AE3698"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D728CA02">
      <w:start w:val="1"/>
      <w:numFmt w:val="lowerRoman"/>
      <w:lvlText w:val="(%1)"/>
      <w:lvlJc w:val="left"/>
      <w:pPr>
        <w:ind w:left="1080" w:hanging="720"/>
      </w:pPr>
      <w:rPr>
        <w:rFonts w:hint="default"/>
        <w:sz w:val="23"/>
      </w:rPr>
    </w:lvl>
    <w:lvl w:ilvl="1" w:tplc="577C996E" w:tentative="1">
      <w:start w:val="1"/>
      <w:numFmt w:val="lowerLetter"/>
      <w:lvlText w:val="%2."/>
      <w:lvlJc w:val="left"/>
      <w:pPr>
        <w:ind w:left="1440" w:hanging="360"/>
      </w:pPr>
    </w:lvl>
    <w:lvl w:ilvl="2" w:tplc="A71A1E52" w:tentative="1">
      <w:start w:val="1"/>
      <w:numFmt w:val="lowerRoman"/>
      <w:lvlText w:val="%3."/>
      <w:lvlJc w:val="right"/>
      <w:pPr>
        <w:ind w:left="2160" w:hanging="180"/>
      </w:pPr>
    </w:lvl>
    <w:lvl w:ilvl="3" w:tplc="7760FD2C" w:tentative="1">
      <w:start w:val="1"/>
      <w:numFmt w:val="decimal"/>
      <w:lvlText w:val="%4."/>
      <w:lvlJc w:val="left"/>
      <w:pPr>
        <w:ind w:left="2880" w:hanging="360"/>
      </w:pPr>
    </w:lvl>
    <w:lvl w:ilvl="4" w:tplc="498024BE" w:tentative="1">
      <w:start w:val="1"/>
      <w:numFmt w:val="lowerLetter"/>
      <w:lvlText w:val="%5."/>
      <w:lvlJc w:val="left"/>
      <w:pPr>
        <w:ind w:left="3600" w:hanging="360"/>
      </w:pPr>
    </w:lvl>
    <w:lvl w:ilvl="5" w:tplc="CEFAC12E" w:tentative="1">
      <w:start w:val="1"/>
      <w:numFmt w:val="lowerRoman"/>
      <w:lvlText w:val="%6."/>
      <w:lvlJc w:val="right"/>
      <w:pPr>
        <w:ind w:left="4320" w:hanging="180"/>
      </w:pPr>
    </w:lvl>
    <w:lvl w:ilvl="6" w:tplc="BE3EDD78" w:tentative="1">
      <w:start w:val="1"/>
      <w:numFmt w:val="decimal"/>
      <w:lvlText w:val="%7."/>
      <w:lvlJc w:val="left"/>
      <w:pPr>
        <w:ind w:left="5040" w:hanging="360"/>
      </w:pPr>
    </w:lvl>
    <w:lvl w:ilvl="7" w:tplc="CDC227A2" w:tentative="1">
      <w:start w:val="1"/>
      <w:numFmt w:val="lowerLetter"/>
      <w:lvlText w:val="%8."/>
      <w:lvlJc w:val="left"/>
      <w:pPr>
        <w:ind w:left="5760" w:hanging="360"/>
      </w:pPr>
    </w:lvl>
    <w:lvl w:ilvl="8" w:tplc="EDBE5746"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CE5AD592">
      <w:start w:val="1"/>
      <w:numFmt w:val="lowerRoman"/>
      <w:lvlText w:val="(%1)"/>
      <w:lvlJc w:val="left"/>
      <w:pPr>
        <w:ind w:left="1440" w:hanging="720"/>
      </w:pPr>
      <w:rPr>
        <w:rFonts w:hint="default"/>
        <w:sz w:val="23"/>
      </w:rPr>
    </w:lvl>
    <w:lvl w:ilvl="1" w:tplc="EEA85CC2" w:tentative="1">
      <w:start w:val="1"/>
      <w:numFmt w:val="lowerLetter"/>
      <w:lvlText w:val="%2."/>
      <w:lvlJc w:val="left"/>
      <w:pPr>
        <w:ind w:left="1800" w:hanging="360"/>
      </w:pPr>
    </w:lvl>
    <w:lvl w:ilvl="2" w:tplc="DF0212F2" w:tentative="1">
      <w:start w:val="1"/>
      <w:numFmt w:val="lowerRoman"/>
      <w:lvlText w:val="%3."/>
      <w:lvlJc w:val="right"/>
      <w:pPr>
        <w:ind w:left="2520" w:hanging="180"/>
      </w:pPr>
    </w:lvl>
    <w:lvl w:ilvl="3" w:tplc="41FCB86E" w:tentative="1">
      <w:start w:val="1"/>
      <w:numFmt w:val="decimal"/>
      <w:lvlText w:val="%4."/>
      <w:lvlJc w:val="left"/>
      <w:pPr>
        <w:ind w:left="3240" w:hanging="360"/>
      </w:pPr>
    </w:lvl>
    <w:lvl w:ilvl="4" w:tplc="EA905B5A" w:tentative="1">
      <w:start w:val="1"/>
      <w:numFmt w:val="lowerLetter"/>
      <w:lvlText w:val="%5."/>
      <w:lvlJc w:val="left"/>
      <w:pPr>
        <w:ind w:left="3960" w:hanging="360"/>
      </w:pPr>
    </w:lvl>
    <w:lvl w:ilvl="5" w:tplc="F3E891F4" w:tentative="1">
      <w:start w:val="1"/>
      <w:numFmt w:val="lowerRoman"/>
      <w:lvlText w:val="%6."/>
      <w:lvlJc w:val="right"/>
      <w:pPr>
        <w:ind w:left="4680" w:hanging="180"/>
      </w:pPr>
    </w:lvl>
    <w:lvl w:ilvl="6" w:tplc="AE882B94" w:tentative="1">
      <w:start w:val="1"/>
      <w:numFmt w:val="decimal"/>
      <w:lvlText w:val="%7."/>
      <w:lvlJc w:val="left"/>
      <w:pPr>
        <w:ind w:left="5400" w:hanging="360"/>
      </w:pPr>
    </w:lvl>
    <w:lvl w:ilvl="7" w:tplc="202A6408" w:tentative="1">
      <w:start w:val="1"/>
      <w:numFmt w:val="lowerLetter"/>
      <w:lvlText w:val="%8."/>
      <w:lvlJc w:val="left"/>
      <w:pPr>
        <w:ind w:left="6120" w:hanging="360"/>
      </w:pPr>
    </w:lvl>
    <w:lvl w:ilvl="8" w:tplc="26EA5EDC"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F9109DF6">
      <w:start w:val="1"/>
      <w:numFmt w:val="lowerRoman"/>
      <w:lvlText w:val="(%1)"/>
      <w:lvlJc w:val="left"/>
      <w:pPr>
        <w:ind w:left="1080" w:hanging="720"/>
      </w:pPr>
      <w:rPr>
        <w:rFonts w:hint="default"/>
        <w:sz w:val="23"/>
      </w:rPr>
    </w:lvl>
    <w:lvl w:ilvl="1" w:tplc="5FA22E9A" w:tentative="1">
      <w:start w:val="1"/>
      <w:numFmt w:val="lowerLetter"/>
      <w:lvlText w:val="%2."/>
      <w:lvlJc w:val="left"/>
      <w:pPr>
        <w:ind w:left="1440" w:hanging="360"/>
      </w:pPr>
    </w:lvl>
    <w:lvl w:ilvl="2" w:tplc="34587B6C" w:tentative="1">
      <w:start w:val="1"/>
      <w:numFmt w:val="lowerRoman"/>
      <w:lvlText w:val="%3."/>
      <w:lvlJc w:val="right"/>
      <w:pPr>
        <w:ind w:left="2160" w:hanging="180"/>
      </w:pPr>
    </w:lvl>
    <w:lvl w:ilvl="3" w:tplc="5C72F14C" w:tentative="1">
      <w:start w:val="1"/>
      <w:numFmt w:val="decimal"/>
      <w:lvlText w:val="%4."/>
      <w:lvlJc w:val="left"/>
      <w:pPr>
        <w:ind w:left="2880" w:hanging="360"/>
      </w:pPr>
    </w:lvl>
    <w:lvl w:ilvl="4" w:tplc="9048BBC6" w:tentative="1">
      <w:start w:val="1"/>
      <w:numFmt w:val="lowerLetter"/>
      <w:lvlText w:val="%5."/>
      <w:lvlJc w:val="left"/>
      <w:pPr>
        <w:ind w:left="3600" w:hanging="360"/>
      </w:pPr>
    </w:lvl>
    <w:lvl w:ilvl="5" w:tplc="49746A70" w:tentative="1">
      <w:start w:val="1"/>
      <w:numFmt w:val="lowerRoman"/>
      <w:lvlText w:val="%6."/>
      <w:lvlJc w:val="right"/>
      <w:pPr>
        <w:ind w:left="4320" w:hanging="180"/>
      </w:pPr>
    </w:lvl>
    <w:lvl w:ilvl="6" w:tplc="E166CC5C" w:tentative="1">
      <w:start w:val="1"/>
      <w:numFmt w:val="decimal"/>
      <w:lvlText w:val="%7."/>
      <w:lvlJc w:val="left"/>
      <w:pPr>
        <w:ind w:left="5040" w:hanging="360"/>
      </w:pPr>
    </w:lvl>
    <w:lvl w:ilvl="7" w:tplc="8200A0EA" w:tentative="1">
      <w:start w:val="1"/>
      <w:numFmt w:val="lowerLetter"/>
      <w:lvlText w:val="%8."/>
      <w:lvlJc w:val="left"/>
      <w:pPr>
        <w:ind w:left="5760" w:hanging="360"/>
      </w:pPr>
    </w:lvl>
    <w:lvl w:ilvl="8" w:tplc="AAF037A6"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119A9C1E">
      <w:start w:val="1"/>
      <w:numFmt w:val="lowerLetter"/>
      <w:lvlText w:val="(%1)"/>
      <w:lvlJc w:val="left"/>
      <w:pPr>
        <w:ind w:left="720" w:hanging="360"/>
      </w:pPr>
      <w:rPr>
        <w:rFonts w:hint="default"/>
      </w:rPr>
    </w:lvl>
    <w:lvl w:ilvl="1" w:tplc="D3A2888C" w:tentative="1">
      <w:start w:val="1"/>
      <w:numFmt w:val="lowerLetter"/>
      <w:lvlText w:val="%2."/>
      <w:lvlJc w:val="left"/>
      <w:pPr>
        <w:ind w:left="1440" w:hanging="360"/>
      </w:pPr>
    </w:lvl>
    <w:lvl w:ilvl="2" w:tplc="EB166566" w:tentative="1">
      <w:start w:val="1"/>
      <w:numFmt w:val="lowerRoman"/>
      <w:lvlText w:val="%3."/>
      <w:lvlJc w:val="right"/>
      <w:pPr>
        <w:ind w:left="2160" w:hanging="180"/>
      </w:pPr>
    </w:lvl>
    <w:lvl w:ilvl="3" w:tplc="7ADCBF7A" w:tentative="1">
      <w:start w:val="1"/>
      <w:numFmt w:val="decimal"/>
      <w:lvlText w:val="%4."/>
      <w:lvlJc w:val="left"/>
      <w:pPr>
        <w:ind w:left="2880" w:hanging="360"/>
      </w:pPr>
    </w:lvl>
    <w:lvl w:ilvl="4" w:tplc="653AF734" w:tentative="1">
      <w:start w:val="1"/>
      <w:numFmt w:val="lowerLetter"/>
      <w:lvlText w:val="%5."/>
      <w:lvlJc w:val="left"/>
      <w:pPr>
        <w:ind w:left="3600" w:hanging="360"/>
      </w:pPr>
    </w:lvl>
    <w:lvl w:ilvl="5" w:tplc="2BD87D92" w:tentative="1">
      <w:start w:val="1"/>
      <w:numFmt w:val="lowerRoman"/>
      <w:lvlText w:val="%6."/>
      <w:lvlJc w:val="right"/>
      <w:pPr>
        <w:ind w:left="4320" w:hanging="180"/>
      </w:pPr>
    </w:lvl>
    <w:lvl w:ilvl="6" w:tplc="C32609EC" w:tentative="1">
      <w:start w:val="1"/>
      <w:numFmt w:val="decimal"/>
      <w:lvlText w:val="%7."/>
      <w:lvlJc w:val="left"/>
      <w:pPr>
        <w:ind w:left="5040" w:hanging="360"/>
      </w:pPr>
    </w:lvl>
    <w:lvl w:ilvl="7" w:tplc="E74AAD68" w:tentative="1">
      <w:start w:val="1"/>
      <w:numFmt w:val="lowerLetter"/>
      <w:lvlText w:val="%8."/>
      <w:lvlJc w:val="left"/>
      <w:pPr>
        <w:ind w:left="5760" w:hanging="360"/>
      </w:pPr>
    </w:lvl>
    <w:lvl w:ilvl="8" w:tplc="DECCE90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1"/>
    <w:docVar w:name="DOCCODMNU" w:val=" 1"/>
    <w:docVar w:name="DOCDT" w:val="01/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035073 HideTWBInt;}}{\*\rsidtbl \rsid24658\rsid223860\rsid735077\rsid1718133\rsid2035073\rsid2892074_x000d__x000a_\rsid3565327\rsid4666813\rsid6641733\rsid7823322\rsid9636012\rsid10377208\rsid11215221\rsid11549030\rsid12154954\rsid14382809\rsid14424199\rsid15204470\rsid15285974\rsid15950462\rsid16324206\rsid16386693\rsid16662270}{\mmathPr\mmathFont34\mbrkBin0_x000d__x000a_\mbrkBinSub0\msmallFrac0\mdispDef1\mlMargin0\mrMargin0\mdefJc1\mwrapIndent1440\mintLim0\mnaryLim1}{\info{\author CHIGNESSE Regine}{\operator CHIGNESSE Regine}{\creatim\yr2023\mo11\dy1\hr9\min16}{\revtim\yr2023\mo11\dy1\hr9\min1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507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6386693 \chftnsep _x000d__x000a_\par }}{\*\ftnsepc \ltrpar \pard\plain \ltrpar\ql \li0\ri0\widctlpar\wrapdefault\aspalpha\aspnum\faauto\adjustright\rin0\lin0\itap0 \rtlch\fcs1 \af0\afs20\alang1025 \ltrch\fcs0 \fs24\lang2057\langfe2057\cgrid\langnp2057\langfenp2057 {\rtlch\fcs1 \af0 _x000d__x000a_\ltrch\fcs0 \insrsid16386693 \chftnsepc _x000d__x000a_\par }}{\*\aftnsep \ltrpar \pard\plain \ltrpar\ql \li0\ri0\widctlpar\wrapdefault\aspalpha\aspnum\faauto\adjustright\rin0\lin0\itap0 \rtlch\fcs1 \af0\afs20\alang1025 \ltrch\fcs0 \fs24\lang2057\langfe2057\cgrid\langnp2057\langfenp2057 {\rtlch\fcs1 \af0 _x000d__x000a_\ltrch\fcs0 \insrsid16386693 \chftnsep _x000d__x000a_\par }}{\*\aftnsepc \ltrpar \pard\plain \ltrpar\ql \li0\ri0\widctlpar\wrapdefault\aspalpha\aspnum\faauto\adjustright\rin0\lin0\itap0 \rtlch\fcs1 \af0\afs20\alang1025 \ltrch\fcs0 \fs24\lang2057\langfe2057\cgrid\langnp2057\langfenp2057 {\rtlch\fcs1 \af0 _x000d__x000a_\ltrch\fcs0 \insrsid163866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035073\charrsid7085899 {\*\bkmkstart ReplaceBookmark}#}{\rtlch\fcs1 \af1 \ltrch\fcs0 _x000d__x000a_\cs17\v\f1\fs20\cf15\insrsid2035073\charrsid7085899 &gt;&gt;&gt;CVAR@@AmendA}{\rtlch\fcs1 \af0 \ltrch\fcs0 \insrsid2035073\charrsid70858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e_x000d__x000a_4cb8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53340 HideTWBExt;}{\*\cs18 \additive \v\f1\fs20\cf15 _x000d__x000a_\spriority0 \styrsid12153340 HideTWBInt;}{\s19\ql \li0\ri0\sa120\nowidctlpar\wrapdefault\aspalpha\aspnum\faauto\adjustright\rin0\lin0\itap0 \rtlch\fcs1 \af0\afs20\alang1025 \ltrch\fcs0 \fs24\lang2057\langfe2057\cgrid\langnp2057\langfenp2057 _x000d__x000a_\sbasedon0 \snext19 \spriority0 \styrsid12153340 Normal6a;}{\s20\ql \li0\ri0\nowidctlpar\wrapdefault\aspalpha\aspnum\faauto\adjustright\rin0\lin0\itap0 \rtlch\fcs1 \af0\afs20\alang1025 \ltrch\fcs0 \b\fs24\lang2057\langfe2057\cgrid\langnp2057\langfenp2057 _x000d__x000a_\sbasedon0 \snext20 \spriority0 \styrsid12153340 NormalBold;}{\s21\qr \li0\ri0\sb240\sa240\nowidctlpar\wrapdefault\aspalpha\aspnum\faauto\adjustright\rin0\lin0\itap0 \rtlch\fcs1 \af0\afs20\alang1025 \ltrch\fcs0 _x000d__x000a_\fs24\lang2057\langfe2057\cgrid\langnp2057\langfenp2057 \sbasedon0 \snext21 \spriority0 \styrsid12153340 AmOrLang;}{\s22\qc \li0\ri0\sa240\nowidctlpar\wrapdefault\aspalpha\aspnum\faauto\adjustright\rin0\lin0\itap0 \rtlch\fcs1 \af0\afs20\alang1025 _x000d__x000a_\ltrch\fcs0 \i\fs24\lang2057\langfe2057\cgrid\langnp2057\langfenp2057 \sbasedon0 \snext22 \spriority0 \styrsid12153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153340 AmNumberTabs;}}{\*\rsidtbl \rsid24658\rsid223860\rsid735077\rsid1718133\rsid2892074\rsid3565327\rsid4666813\rsid6641733\rsid7823322_x000d__x000a_\rsid9636012\rsid10377208\rsid11215221\rsid11473010\rsid11549030\rsid12153340\rsid12154954\rsid14382809\rsid1442419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53340\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473010 \chftnsep _x000d__x000a_\par }}{\*\ftnsepc \ltrpar \pard\plain \ltrpar\ql \li0\ri0\widctlpar\wrapdefault\aspalpha\aspnum\faauto\adjustright\rin0\lin0\itap0 \rtlch\fcs1 \af0\afs20\alang1025 \ltrch\fcs0 \fs24\lang2057\langfe2057\cgrid\langnp2057\langfenp2057 {\rtlch\fcs1 \af0 _x000d__x000a_\ltrch\fcs0 \insrsid11473010 \chftnsepc _x000d__x000a_\par }}{\*\aftnsep \ltrpar \pard\plain \ltrpar\ql \li0\ri0\widctlpar\wrapdefault\aspalpha\aspnum\faauto\adjustright\rin0\lin0\itap0 \rtlch\fcs1 \af0\afs20\alang1025 \ltrch\fcs0 \fs24\lang2057\langfe2057\cgrid\langnp2057\langfenp2057 {\rtlch\fcs1 \af0 _x000d__x000a_\ltrch\fcs0 \insrsid11473010 \chftnsep _x000d__x000a_\par }}{\*\aftnsepc \ltrpar \pard\plain \ltrpar\ql \li0\ri0\widctlpar\wrapdefault\aspalpha\aspnum\faauto\adjustright\rin0\lin0\itap0 \rtlch\fcs1 \af0\afs20\alang1025 \ltrch\fcs0 \fs24\lang2057\langfe2057\cgrid\langnp2057\langfenp2057 {\rtlch\fcs1 \af0 _x000d__x000a_\ltrch\fcs0 \insrsid11473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153340 \rtlch\fcs1 _x000d__x000a_\af0\afs20\alang1025 \ltrch\fcs0 \b\fs24\lang2057\langfe2057\cgrid\langnp2057\langfenp2057 {\rtlch\fcs1 \af0 \ltrch\fcs0 \cs17\b0\v\fs20\cf9\lang1024\langfe1024\loch\af1\hich\af1\dbch\af31501\noproof\insrsid12153340\charrsid1379581 {\*\bkmkstart restartA}_x000d__x000a_\hich\af1\dbch\af31501\loch\f1 &lt;AmendA&gt;}{\rtlch\fcs1 \af0 \ltrch\fcs0 \insrsid12153340\charrsid1379581 Amendment\tab \tab }{\rtlch\fcs1 \af0 \ltrch\fcs0 _x000d__x000a_\cs17\b0\v\fs20\cf9\lang1024\langfe1024\loch\af1\hich\af1\dbch\af31501\noproof\insrsid12153340\charrsid1379581 \hich\af1\dbch\af31501\loch\f1 &lt;NumAmA&gt;}{\rtlch\fcs1 \af0 \ltrch\fcs0 \insrsid12153340\charrsid1379581 #}{\rtlch\fcs1 \af1 \ltrch\fcs0 _x000d__x000a_\cs18\v\f1\fs20\cf15\insrsid12153340\charrsid1379581 ENMIENDA@NRAM@}{\rtlch\fcs1 \af0 \ltrch\fcs0 \insrsid12153340\charrsid1379581 #}{\rtlch\fcs1 \af0 \ltrch\fcs0 _x000d__x000a_\cs17\b0\v\fs20\cf9\lang1024\langfe1024\loch\af1\hich\af1\dbch\af31501\noproof\insrsid12153340\charrsid1379581 \hich\af1\dbch\af31501\loch\f1 &lt;/NumAmA&gt;}{\rtlch\fcs1 \af0 \ltrch\fcs0 \insrsid12153340\charrsid1379581 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RepeatBlock-By&gt;}{\rtlch\fcs1 \af0 \ltrch\fcs0 \insrsid12153340\charrsid1379581 #}{\rtlch\fcs1 \af1 _x000d__x000a_\ltrch\fcs0 \cs18\v\f1\fs20\cf15\insrsid12153340\charrsid1379581 (MOD@InsideLoop()}{\rtlch\fcs1 \af0 \ltrch\fcs0 \insrsid12153340\charrsid1379581 ##}{\rtlch\fcs1 \af1 \ltrch\fcs0 \cs18\v\f1\fs20\cf15\insrsid12153340\charrsid1379581 &gt;&gt;&gt;@[ZMEMBERSMSG]@}{_x000d__x000a_\rtlch\fcs1 \af0 \ltrch\fcs0 \insrsid12153340\charrsid1379581 #}{\rtlch\fcs1 \af0 \ltrch\fcs0 \cs17\b0\v\fs20\cf9\lang1024\langfe1024\loch\af1\hich\af1\dbch\af31501\noproof\insrsid12153340\charrsid1379581 \hich\af1\dbch\af31501\loch\f1 &lt;Members&gt;}{_x000d__x000a_\rtlch\fcs1 \af0 \ltrch\fcs0 \insrsid12153340\charrsid1379581 #}{\rtlch\fcs1 \af1 \ltrch\fcs0 \cs18\v\f1\fs20\cf15\insrsid12153340\charrsid1379581 (MOD@InsideLoop(\'a7)}{\rtlch\fcs1 \af0 \ltrch\fcs0 \insrsid12153340\charrsid1379581 #}{\rtlch\fcs1 \af0 _x000d__x000a_\ltrch\fcs0 \cf10\insrsid12153340\charrsid1379581 \u9668\'3f}{\rtlch\fcs1 \af0 \ltrch\fcs0 \insrsid12153340\charrsid1379581 #}{\rtlch\fcs1 \af1 \ltrch\fcs0 \cs18\v\f1\fs20\cf15\insrsid12153340\charrsid1379581 TVTMEMBERS\'a7@MEMBERS@}{\rtlch\fcs1 \af0 _x000d__x000a_\ltrch\fcs0 \insrsid12153340\charrsid1379581 #}{\rtlch\fcs1 \af0 \ltrch\fcs0 \cf10\insrsid12153340\charrsid1379581 \u9658\'3f}{\rtlch\fcs1 \af0 \ltrch\fcs0 _x000d__x000a_\cs17\b0\v\fs20\cf9\lang1024\langfe1024\loch\af1\hich\af1\dbch\af31501\noproof\insrsid12153340\charrsid1379581 \hich\af1\dbch\af31501\loch\f1 &lt;/Members&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uNomDe&gt;&lt;OptDel&gt;}{\rtlch\fcs1 \af0 \ltrch\fcs0 \insrsid12153340\charrsid1379581 #}{\rtlch\fcs1 \af1 \ltrch\fcs0 _x000d__x000a_\cs18\v\f1\fs20\cf15\insrsid12153340\charrsid1379581 MNU[ONBEHALFYES][NOTAPP]@CHOICE@}{\rtlch\fcs1 \af0 \ltrch\fcs0 \insrsid12153340\charrsid1379581 #}{\rtlch\fcs1 \af0 \ltrch\fcs0 _x000d__x000a_\cs17\v\fs20\cf9\lang1024\langfe1024\loch\af1\hich\af1\dbch\af31501\noproof\insrsid12153340\charrsid1379581 \hich\af1\dbch\af31501\loch\f1 &lt;/OptDel&gt;&lt;/AuNomDe&gt;}{\rtlch\fcs1 \af0 \ltrch\fcs0 \insrsid12153340\charrsid1379581 _x000d__x000a_\par &lt;&lt;&lt;}{\rtlch\fcs1 \af0 \ltrch\fcs0 \cs17\v\fs20\cf9\lang1024\langfe1024\loch\af1\hich\af1\dbch\af31501\noproof\insrsid12153340\charrsid1379581 \hich\af1\dbch\af31501\loch\f1 &lt;/RepeatBlock-By&gt;}{\rtlch\fcs1 \af0 \ltrch\fcs0 \insrsid12153340\charrsid1379581 _x000d__x000a_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DocAmend&gt;}{\rtlch\fcs1 \af0 \ltrch\fcs0 \insrsid12153340\charrsid1379581 _x000d__x000a_Draft legislative resolution}{\rtlch\fcs1 \af0 \ltrch\fcs0 \cs17\b0\v\fs20\cf9\lang1024\langfe1024\loch\af1\hich\af1\dbch\af31501\noproof\insrsid12153340\charrsid1379581 \hich\af1\dbch\af31501\loch\f1 &lt;/DocAmend&gt;}{\rtlch\fcs1 \af0 \ltrch\fcs0 _x000d__x000a_\insrsid12153340\charrsid1379581 _x000d__x000a_\par }{\rtlch\fcs1 \af0 \ltrch\fcs0 \cs17\b0\v\fs20\cf9\lang1024\langfe1024\loch\af1\hich\af1\dbch\af31501\noproof\insrsid12153340\charrsid1379581 \hich\af1\dbch\af31501\loch\f1 &lt;Article&gt;}{\rtlch\fcs1 \af0 \ltrch\fcs0 \cf10\insrsid12153340\charrsid1379581 _x000d__x000a_\u9668\'3f}{\rtlch\fcs1 \af0 \ltrch\fcs0 \insrsid12153340\charrsid1379581 #}{\rtlch\fcs1 \af1 \ltrch\fcs0 \cs18\v\f1\fs20\cf15\insrsid12153340\charrsid1379581 TVTRESPART@RESPART@}{\rtlch\fcs1 \af0 \ltrch\fcs0 \insrsid12153340\charrsid1379581 #}{_x000d__x000a_\rtlch\fcs1 \af0 \ltrch\fcs0 \cf10\insrsid12153340\charrsid1379581 \u9658\'3f}{\rtlch\fcs1 \af0 \ltrch\fcs0 \cs17\b0\v\fs20\cf9\lang1024\langfe1024\loch\af1\hich\af1\dbch\af31501\noproof\insrsid12153340\charrsid1379581 \hich\af1\dbch\af31501\loch\f1 _x000d__x000a_&lt;/Article&gt;}{\rtlch\fcs1 \af0 \ltrch\fcs0 \insrsid12153340\charrsid137958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2153340\charrsid1379581 Draft legislative resolution\cell Amendment\cell }\pard\plain \ltrpar\ql \li0\ri0\widctlpar\intbl\wrapdefault\aspalpha\aspnum\faauto\adjustright\rin0\lin0 \rtlch\fcs1 \af0\afs20\alang1025 _x000d__x000a_\ltrch\fcs0 \fs24\lang2057\langfe2057\cgrid\langnp2057\langfenp2057 {\rtlch\fcs1 \af0 \ltrch\fcs0 \insrsid12153340\charrsid137958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153340\charrsid1379581 ##\cell ##}{\rtlch\fcs1 \af0\afs24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153340 \rtlch\fcs1 \af0\afs20\alang1025 \ltrch\fcs0 \fs24\lang2057\langfe2057\cgrid\langnp2057\langfenp2057 {\rtlch\fcs1 \af0 \ltrch\fcs0 _x000d__x000a_\insrsid12153340\charrsid1379581 Or. }{\rtlch\fcs1 \af0 \ltrch\fcs0 \cs17\v\fs20\cf9\lang1024\langfe1024\loch\af1\hich\af1\dbch\af31501\noproof\insrsid12153340\charrsid1379581 \hich\af1\dbch\af31501\loch\f1 &lt;Original&gt;}{\rtlch\fcs1 \af0 \ltrch\fcs0 _x000d__x000a_\insrsid12153340\charrsid1379581 #}{\rtlch\fcs1 \af1 \ltrch\fcs0 \cs18\v\f1\fs20\cf15\insrsid12153340\charrsid1379581 KEY(MAIN/LANGMIN)sh@ORLANGMSG@}{\rtlch\fcs1 \af0 \ltrch\fcs0 \insrsid12153340\charrsid1379581 #}{\rtlch\fcs1 \af0 \ltrch\fcs0 _x000d__x000a_\cs17\v\fs20\cf9\lang1024\langfe1024\loch\af1\hich\af1\dbch\af31501\noproof\insrsid12153340\charrsid1379581 \hich\af1\dbch\af31501\loch\f1 &lt;/Original&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d_x000d__x000a_dd50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2389 HideTWBExt;}{\*\cs18 \additive \v\f1\fs20\cf15 _x000d__x000a_\spriority0 \styrsid14552389 HideTWBInt;}{\s19\ql \li0\ri0\sa120\nowidctlpar\wrapdefault\aspalpha\aspnum\faauto\adjustright\rin0\lin0\itap0 \rtlch\fcs1 \af0\afs20\alang1025 \ltrch\fcs0 \fs24\lang2057\langfe2057\cgrid\langnp2057\langfenp2057 _x000d__x000a_\sbasedon0 \snext19 \spriority0 \styrsid14552389 Normal6a;}{\s20\ql \li0\ri0\nowidctlpar\wrapdefault\aspalpha\aspnum\faauto\adjustright\rin0\lin0\itap0 \rtlch\fcs1 \af0\afs20\alang1025 \ltrch\fcs0 \b\fs24\lang2057\langfe2057\cgrid\langnp2057\langfenp2057 _x000d__x000a_\sbasedon0 \snext20 \spriority0 \styrsid14552389 NormalBold;}{\s21\ql \li0\ri0\sa240\nowidctlpar\wrapdefault\aspalpha\aspnum\faauto\adjustright\rin0\lin0\itap0 \rtlch\fcs1 \af0\afs20\alang1025 \ltrch\fcs0 _x000d__x000a_\i\fs24\lang2057\langfe2057\cgrid\langnp2057\langfenp2057 \sbasedon0 \snext21 \spriority0 \styrsid14552389 AmJustText;}{\s22\qc \li0\ri0\sb240\sa240\nowidctlpar\wrapdefault\aspalpha\aspnum\faauto\adjustright\rin0\lin0\itap0 \rtlch\fcs1 _x000d__x000a_\af0\afs20\alang1025 \ltrch\fcs0 \i\fs24\lang2057\langfe2057\cgrid\langnp2057\langfenp2057 \sbasedon0 \snext22 \spriority0 \styrsid14552389 AmCrossRef;}{_x000d__x000a_\s23\qc \li0\ri0\sb240\sa240\keepn\nowidctlpar\wrapdefault\aspalpha\aspnum\faauto\adjustright\rin0\lin0\itap0 \rtlch\fcs1 \af0\afs20\alang1025 \ltrch\fcs0 \i\fs24\lang2057\langfe2057\cgrid\langnp2057\langfenp2057 _x000d__x000a_\sbasedon0 \snext21 \spriority0 \styrsid14552389 AmJustTitle;}{\s24\qr \li0\ri0\sb240\sa240\nowidctlpar\wrapdefault\aspalpha\aspnum\faauto\adjustright\rin0\lin0\itap0 \rtlch\fcs1 \af0\afs20\alang1025 \ltrch\fcs0 _x000d__x000a_\fs24\lang2057\langfe2057\cgrid\langnp2057\langfenp2057 \sbasedon0 \snext24 \spriority0 \styrsid14552389 AmOrLang;}{\s25\qc \li0\ri0\sa240\nowidctlpar\wrapdefault\aspalpha\aspnum\faauto\adjustright\rin0\lin0\itap0 \rtlch\fcs1 \af0\afs20\alang1025 _x000d__x000a_\ltrch\fcs0 \i\fs24\lang2057\langfe2057\cgrid\langnp2057\langfenp2057 \sbasedon0 \snext25 \spriority0 \styrsid145523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2389 AmNumberTabs;}}{\*\rsidtbl \rsid24658\rsid223860\rsid735077\rsid1718133\rsid2892074\rsid3565327\rsid4666813\rsid6641733\rsid7823322_x000d__x000a_\rsid9636012\rsid10377208\rsid11215221\rsid11549030\rsid11957339\rsid12154954\rsid14382809\rsid14424199\rsid1455238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2389\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957339 \chftnsep _x000d__x000a_\par }}{\*\ftnsepc \ltrpar \pard\plain \ltrpar\ql \li0\ri0\widctlpar\wrapdefault\aspalpha\aspnum\faauto\adjustright\rin0\lin0\itap0 \rtlch\fcs1 \af0\afs20\alang1025 \ltrch\fcs0 \fs24\lang2057\langfe2057\cgrid\langnp2057\langfenp2057 {\rtlch\fcs1 \af0 _x000d__x000a_\ltrch\fcs0 \insrsid11957339 \chftnsepc _x000d__x000a_\par }}{\*\aftnsep \ltrpar \pard\plain \ltrpar\ql \li0\ri0\widctlpar\wrapdefault\aspalpha\aspnum\faauto\adjustright\rin0\lin0\itap0 \rtlch\fcs1 \af0\afs20\alang1025 \ltrch\fcs0 \fs24\lang2057\langfe2057\cgrid\langnp2057\langfenp2057 {\rtlch\fcs1 \af0 _x000d__x000a_\ltrch\fcs0 \insrsid11957339 \chftnsep _x000d__x000a_\par }}{\*\aftnsepc \ltrpar \pard\plain \ltrpar\ql \li0\ri0\widctlpar\wrapdefault\aspalpha\aspnum\faauto\adjustright\rin0\lin0\itap0 \rtlch\fcs1 \af0\afs20\alang1025 \ltrch\fcs0 \fs24\lang2057\langfe2057\cgrid\langnp2057\langfenp2057 {\rtlch\fcs1 \af0 _x000d__x000a_\ltrch\fcs0 \insrsid119573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2389 \rtlch\fcs1 _x000d__x000a_\af0\afs20\alang1025 \ltrch\fcs0 \b\fs24\lang2057\langfe2057\cgrid\langnp2057\langfenp2057 {\rtlch\fcs1 \af0 \ltrch\fcs0 \cs17\b0\v\fs20\cf9\lang1024\langfe1024\loch\af1\hich\af1\dbch\af31501\noproof\insrsid14552389\charrsid1379581 {\*\bkmkstart restartB}_x000d__x000a_\hich\af1\dbch\af31501\loch\f1 &lt;AmendB&gt;}{\rtlch\fcs1 \af0 \ltrch\fcs0 \insrsid14552389\charrsid1379581 Amendment\tab \tab }{\rtlch\fcs1 \af0 \ltrch\fcs0 _x000d__x000a_\cs17\b0\v\fs20\cf9\lang1024\langfe1024\loch\af1\hich\af1\dbch\af31501\noproof\insrsid14552389\charrsid1379581 \hich\af1\dbch\af31501\loch\f1 &lt;NumAmB&gt;}{\rtlch\fcs1 \af0 \ltrch\fcs0 \insrsid14552389\charrsid1379581 #}{\rtlch\fcs1 \af1 \ltrch\fcs0 _x000d__x000a_\cs18\v\f1\fs20\cf15\insrsid14552389\charrsid1379581 ENMIENDA@NRAM@}{\rtlch\fcs1 \af0 \ltrch\fcs0 \insrsid14552389\charrsid1379581 #}{\rtlch\fcs1 \af0 \ltrch\fcs0 _x000d__x000a_\cs17\b0\v\fs20\cf9\lang1024\langfe1024\loch\af1\hich\af1\dbch\af31501\noproof\insrsid14552389\charrsid1379581 \hich\af1\dbch\af31501\loch\f1 &lt;/NumAmB&gt;}{\rtlch\fcs1 \af0 \ltrch\fcs0 \insrsid14552389\charrsid1379581 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RepeatBlock-By&gt;}{\rtlch\fcs1 \af0 \ltrch\fcs0 \insrsid14552389\charrsid1379581 #}{\rtlch\fcs1 \af1 _x000d__x000a_\ltrch\fcs0 \cs18\v\f1\fs20\cf15\insrsid14552389\charrsid1379581 (MOD@InsideLoop()}{\rtlch\fcs1 \af0 \ltrch\fcs0 \insrsid14552389\charrsid1379581 ##}{\rtlch\fcs1 \af1 \ltrch\fcs0 \cs18\v\f1\fs20\cf15\insrsid14552389\charrsid1379581 &gt;&gt;&gt;@[ZMEMBERSMSG]@}{_x000d__x000a_\rtlch\fcs1 \af0 \ltrch\fcs0 \insrsid14552389\charrsid1379581 #}{\rtlch\fcs1 \af0 \ltrch\fcs0 \cs17\b0\v\fs20\cf9\lang1024\langfe1024\loch\af1\hich\af1\dbch\af31501\noproof\insrsid14552389\charrsid1379581 \hich\af1\dbch\af31501\loch\f1 &lt;Members&gt;}{_x000d__x000a_\rtlch\fcs1 \af0 \ltrch\fcs0 \insrsid14552389\charrsid1379581 #}{\rtlch\fcs1 \af1 \ltrch\fcs0 \cs18\v\f1\fs20\cf15\insrsid14552389\charrsid1379581 (MOD@InsideLoop(\'a7)}{\rtlch\fcs1 \af0 \ltrch\fcs0 \insrsid14552389\charrsid1379581 #}{\rtlch\fcs1 \af0 _x000d__x000a_\ltrch\fcs0 \cf10\insrsid14552389\charrsid1379581 \u9668\'3f}{\rtlch\fcs1 \af0 \ltrch\fcs0 \insrsid14552389\charrsid1379581 #}{\rtlch\fcs1 \af1 \ltrch\fcs0 \cs18\v\f1\fs20\cf15\insrsid14552389\charrsid1379581 TVTMEMBERS\'a7@MEMBERS@}{\rtlch\fcs1 \af0 _x000d__x000a_\ltrch\fcs0 \insrsid14552389\charrsid1379581 #}{\rtlch\fcs1 \af0 \ltrch\fcs0 \cf10\insrsid14552389\charrsid1379581 \u9658\'3f}{\rtlch\fcs1 \af0 \ltrch\fcs0 _x000d__x000a_\cs17\b0\v\fs20\cf9\lang1024\langfe1024\loch\af1\hich\af1\dbch\af31501\noproof\insrsid14552389\charrsid1379581 \hich\af1\dbch\af31501\loch\f1 &lt;/Members&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uNomDe&gt;&lt;OptDel&gt;}{\rtlch\fcs1 \af0 \ltrch\fcs0 \insrsid14552389\charrsid1379581 #}{\rtlch\fcs1 \af1 \ltrch\fcs0 _x000d__x000a_\cs18\v\f1\fs20\cf15\insrsid14552389\charrsid1379581 MNU[ONBEHALFYES][NOTAPP]@CHOICE@}{\rtlch\fcs1 \af0 \ltrch\fcs0 \insrsid14552389\charrsid1379581 #}{\rtlch\fcs1 \af0 \ltrch\fcs0 _x000d__x000a_\cs17\v\fs20\cf9\lang1024\langfe1024\loch\af1\hich\af1\dbch\af31501\noproof\insrsid14552389\charrsid1379581 \hich\af1\dbch\af31501\loch\f1 &lt;/OptDel&gt;&lt;/AuNomDe&gt;}{\rtlch\fcs1 \af0 \ltrch\fcs0 \insrsid14552389\charrsid1379581 _x000d__x000a_\par &lt;&lt;&lt;}{\rtlch\fcs1 \af0 \ltrch\fcs0 \cs17\v\fs20\cf9\lang1024\langfe1024\loch\af1\hich\af1\dbch\af31501\noproof\insrsid14552389\charrsid1379581 \hich\af1\dbch\af31501\loch\f1 &lt;/RepeatBlock-By&gt;}{\rtlch\fcs1 \af0 \ltrch\fcs0 \insrsid14552389\charrsid1379581 _x000d__x000a_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DocAmend&gt;}{\rtlch\fcs1 \af0 \ltrch\fcs0 \insrsid14552389\charrsid1379581 #}{\rtlch\fcs1 \af1 _x000d__x000a_\ltrch\fcs0 \cs18\v\f1\fs20\cf15\insrsid14552389\charrsid1379581 MNU[OPTPROPOSALCOD][OPTPROPOSALCNS][OPTPROPOSALNLE]@CHOICE@CODEMNU}{\rtlch\fcs1 \af0 \ltrch\fcs0 \insrsid14552389\charrsid1379581 #}{\rtlch\fcs1 \af0 \ltrch\fcs0 _x000d__x000a_\cs17\b0\v\fs20\cf9\lang1024\langfe1024\loch\af1\hich\af1\dbch\af31501\noproof\insrsid14552389\charrsid1379581 \hich\af1\dbch\af31501\loch\f1 &lt;/DocAmend&gt;}{\rtlch\fcs1 \af0 \ltrch\fcs0 \insrsid14552389\charrsid1379581 _x000d__x000a_\par }\pard \ltrpar\s20\ql \li0\ri0\keepn\nowidctlpar\wrapdefault\aspalpha\aspnum\faauto\adjustright\rin0\lin0\itap0\pararsid14552389 {\rtlch\fcs1 \af0 \ltrch\fcs0 _x000d__x000a_\cs17\b0\v\fs20\cf9\lang1024\langfe1024\loch\af1\hich\af1\dbch\af31501\noproof\insrsid14552389\charrsid1379581 \hich\af1\dbch\af31501\loch\f1 &lt;Article&gt;}{\rtlch\fcs1 \af0 \ltrch\fcs0 \insrsid14552389\charrsid1379581 #}{\rtlch\fcs1 \af1 \ltrch\fcs0 _x000d__x000a_\cs18\v\f1\fs20\cf15\insrsid14552389\charrsid1379581 MNU[AMACTPARTYES][AMACTPARTNO]@CHOICE@AMACTMNU}{\rtlch\fcs1 \af0 \ltrch\fcs0 \insrsid14552389\charrsid1379581 #}{\rtlch\fcs1 \af0 \ltrch\fcs0 _x000d__x000a_\cs17\b0\v\fs20\cf9\lang1024\langfe1024\loch\af1\hich\af1\dbch\af31501\noproof\insrsid14552389\charrsid1379581 \hich\af1\dbch\af31501\loch\f1 &lt;/Article&gt;}{\rtlch\fcs1 \af0 \ltrch\fcs0 \insrsid14552389\charrsid1379581 _x000d__x000a_\par }\pard\plain \ltrpar\ql \li0\ri0\keepn\widctlpar\wrapdefault\aspalpha\aspnum\faauto\adjustright\rin0\lin0\itap0\pararsid14552389 \rtlch\fcs1 \af0\afs20\alang1025 \ltrch\fcs0 \fs24\lang2057\langfe2057\cgrid\langnp2057\langfenp2057 {\rtlch\fcs1 \af0 _x000d__x000a_\ltrch\fcs0 \cs17\v\fs20\cf9\lang1024\langfe1024\loch\af1\hich\af1\dbch\af31501\noproof\insrsid14552389\charrsid1379581 \hich\af1\dbch\af31501\loch\f1 &lt;DocAmend2&gt;&lt;OptDel&gt;}{\rtlch\fcs1 \af0 \ltrch\fcs0 \insrsid14552389\charrsid1379581 #}{\rtlch\fcs1 \af1 _x000d__x000a_\ltrch\fcs0 \cs18\v\f1\fs20\cf15\insrsid14552389\charrsid1379581 MNU[OPTNRACTYES][NOTAPP]@CHOICE@AMACTMNU}{\rtlch\fcs1 \af0 \ltrch\fcs0 \insrsid14552389\charrsid1379581 #}{\rtlch\fcs1 \af0 \ltrch\fcs0 _x000d__x000a_\cs17\v\fs20\cf9\lang1024\langfe1024\loch\af1\hich\af1\dbch\af31501\noproof\insrsid14552389\charrsid1379581 \hich\af1\dbch\af31501\loch\f1 &lt;/OptDel&gt;&lt;/DocAmend2&gt;}{\rtlch\fcs1 \af0 \ltrch\fcs0 \insrsid14552389\charrsid1379581 _x000d__x000a_\par }\pard \ltrpar\ql \li0\ri0\widctlpar\wrapdefault\aspalpha\aspnum\faauto\adjustright\rin0\lin0\itap0\pararsid14552389 {\rtlch\fcs1 \af0 \ltrch\fcs0 \cs17\v\fs20\cf9\lang1024\langfe1024\loch\af1\hich\af1\dbch\af31501\noproof\insrsid14552389\charrsid1379581 _x000d__x000a_\hich\af1\dbch\af31501\loch\f1 &lt;Article2&gt;&lt;OptDel&gt;}{\rtlch\fcs1 \af0 \ltrch\fcs0 \insrsid14552389\charrsid1379581 #}{\rtlch\fcs1 \af1 \ltrch\fcs0 \cs18\v\f1\fs20\cf15\insrsid14552389\charrsid1379581 MNU[OPTACTPARTYES][NOTAPP]@CHOICE@AMACTMNU}{\rtlch\fcs1 _x000d__x000a_\af0 \ltrch\fcs0 \insrsid14552389\charrsid1379581 #}{\rtlch\fcs1 \af0 \ltrch\fcs0 \cs17\v\fs20\cf9\lang1024\langfe1024\loch\af1\hich\af1\dbch\af31501\noproof\insrsid14552389\charrsid1379581 \hich\af1\dbch\af31501\loch\f1 &lt;/OptDel&gt;&lt;/Article2&gt;}{\rtlch\fcs1 _x000d__x000a_\af0 \ltrch\fcs0 \insrsid14552389\charrsid137958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552389\charrsid1379581 #}{\rtlch\fcs1 \af1 \ltrch\fcs0 \cs18\v\f1\fs20\cf15\insrsid14552389\charrsid1379581 MNU[OPTLEFTAMACT][LEFTPROP]@CHOICE@AMACTMNU}{_x000d__x000a_\rtlch\fcs1 \af0 \ltrch\fcs0 \insrsid14552389\charrsid1379581 #\cell Amendment\cell }\pard\plain \ltrpar\ql \li0\ri0\widctlpar\intbl\wrapdefault\aspalpha\aspnum\faauto\adjustright\rin0\lin0 \rtlch\fcs1 \af0\afs20\alang1025 \ltrch\fcs0 _x000d__x000a_\fs24\lang2057\langfe2057\cgrid\langnp2057\langfenp2057 {\rtlch\fcs1 \af0 \ltrch\fcs0 \insrsid14552389\charrsid137958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552389\charrsid1379581 ##\cell ##}{\rtlch\fcs1 \af0\afs24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2389 \rtlch\fcs1 \af0\afs20\alang1025 \ltrch\fcs0 \fs24\lang2057\langfe2057\cgrid\langnp2057\langfenp2057 {\rtlch\fcs1 \af0 \ltrch\fcs0 _x000d__x000a_\insrsid14552389\charrsid1379581 Or. }{\rtlch\fcs1 \af0 \ltrch\fcs0 \cs17\v\fs20\cf9\lang1024\langfe1024\loch\af1\hich\af1\dbch\af31501\noproof\insrsid14552389\charrsid1379581 \hich\af1\dbch\af31501\loch\f1 &lt;Original&gt;}{\rtlch\fcs1 \af0 \ltrch\fcs0 _x000d__x000a_\insrsid14552389\charrsid1379581 #}{\rtlch\fcs1 \af1 \ltrch\fcs0 \cs18\v\f1\fs20\cf15\insrsid14552389\charrsid1379581 KEY(MAIN/LANGMIN)sh@ORLANGMSG@}{\rtlch\fcs1 \af0 \ltrch\fcs0 \insrsid14552389\charrsid1379581 #}{\rtlch\fcs1 \af0 \ltrch\fcs0 _x000d__x000a_\cs17\v\fs20\cf9\lang1024\langfe1024\loch\af1\hich\af1\dbch\af31501\noproof\insrsid14552389\charrsid1379581 \hich\af1\dbch\af31501\loch\f1 &lt;/Original&gt;}{\rtlch\fcs1 \af0 \ltrch\fcs0 \insrsid14552389\charrsid1379581 _x000d__x000a_\par }\pard\plain \ltrpar\s22\qc \li0\ri0\sb240\sa240\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OptDel&gt;}{\rtlch\fcs1 \af0 \ltrch\fcs0 \insrsid14552389\charrsid1379581 #}{_x000d__x000a_\rtlch\fcs1 \af1 \ltrch\fcs0 \cs18\v\f1\fs20\cf15\insrsid14552389\charrsid1379581 MNU[CROSSREFNO][CROSSREFYES]@CHOICE@}{\rtlch\fcs1 \af0 \ltrch\fcs0 \insrsid14552389\charrsid1379581 #}{\rtlch\fcs1 \af0 \ltrch\fcs0 _x000d__x000a_\cs17\i0\v\fs20\cf9\lang1024\langfe1024\loch\af1\hich\af1\dbch\af31501\noproof\insrsid14552389\charrsid1379581 \hich\af1\dbch\af31501\loch\f1 &lt;/OptDel&gt;}{\rtlch\fcs1 \af0 \ltrch\fcs0 \insrsid14552389\charrsid1379581 _x000d__x000a_\par }\pard\plain \ltrpar\s23\qc \li0\ri0\sb240\sa240\keepn\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TitreJust&gt;}{\rtlch\fcs1 \af0 \ltrch\fcs0 \insrsid14552389\charrsid1379581 _x000d__x000a_Justification}{\rtlch\fcs1 \af0 \ltrch\fcs0 \cs17\i0\v\fs20\cf9\lang1024\langfe1024\loch\af1\hich\af1\dbch\af31501\noproof\insrsid14552389\charrsid1379581 \hich\af1\dbch\af31501\loch\f1 &lt;/TitreJust&gt;}{\rtlch\fcs1 \af0 \ltrch\fcs0 _x000d__x000a_\insrsid14552389\charrsid1379581 _x000d__x000a_\par }\pard\plain \ltrpar\s21\ql \li0\ri0\sa240\nowidctlpar\wrapdefault\aspalpha\aspnum\faauto\adjustright\rin0\lin0\itap0\pararsid14552389 \rtlch\fcs1 \af0\afs20\alang1025 \ltrch\fcs0 \i\fs24\lang2057\langfe2057\cgrid\langnp2057\langfenp2057 {\rtlch\fcs1 _x000d__x000a_\af0 \ltrch\fcs0 \cs17\i0\v\fs20\cf9\lang1024\langfe1024\loch\af1\hich\af1\dbch\af31501\noproof\insrsid14552389\charrsid1379581 \hich\af1\dbch\af31501\loch\f1 &lt;OptDelPrev&gt;}{\rtlch\fcs1 \af0 \ltrch\fcs0 \insrsid14552389\charrsid1379581 #}{\rtlch\fcs1 \af1 _x000d__x000a_\ltrch\fcs0 \cs18\v\f1\fs20\cf15\insrsid14552389\charrsid1379581 MNU[TEXTJUSTYES][TEXTJUSTNO]@CHOICE@}{\rtlch\fcs1 \af0 \ltrch\fcs0 \insrsid14552389\charrsid1379581 #}{\rtlch\fcs1 \af0 \ltrch\fcs0 _x000d__x000a_\cs17\i0\v\fs20\cf9\lang1024\langfe1024\loch\af1\hich\af1\dbch\af31501\noproof\insrsid14552389\charrsid1379581 \hich\af1\dbch\af31501\loch\f1 &lt;/OptDelPrev&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0_x000d__x000a_2352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6893 HideTWBExt;}{\*\cs18 \additive \v\f1\fs20\cf15 _x000d__x000a_\spriority0 \styrsid8616893 HideTWBInt;}{\s19\ql \li0\ri0\sa120\nowidctlpar\wrapdefault\aspalpha\aspnum\faauto\adjustright\rin0\lin0\itap0 \rtlch\fcs1 \af0\afs20\alang1025 \ltrch\fcs0 \fs24\lang2057\langfe2057\cgrid\langnp2057\langfenp2057 _x000d__x000a_\sbasedon0 \snext19 \spriority0 \styrsid8616893 Normal6a;}{\s20\ql \li0\ri0\nowidctlpar\wrapdefault\aspalpha\aspnum\faauto\adjustright\rin0\lin0\itap0 \rtlch\fcs1 \af0\afs20\alang1025 \ltrch\fcs0 \b\fs24\lang2057\langfe2057\cgrid\langnp2057\langfenp2057 _x000d__x000a_\sbasedon0 \snext20 \spriority0 \styrsid8616893 NormalBold;}{\s21\ql \li0\ri0\sa240\nowidctlpar\wrapdefault\aspalpha\aspnum\faauto\adjustright\rin0\lin0\itap0 \rtlch\fcs1 \af0\afs20\alang1025 \ltrch\fcs0 _x000d__x000a_\i\fs24\lang2057\langfe2057\cgrid\langnp2057\langfenp2057 \sbasedon0 \snext21 \spriority0 \styrsid8616893 AmJustText;}{\s22\qc \li0\ri0\sb240\sa240\nowidctlpar\wrapdefault\aspalpha\aspnum\faauto\adjustright\rin0\lin0\itap0 \rtlch\fcs1 _x000d__x000a_\af0\afs20\alang1025 \ltrch\fcs0 \i\fs24\lang2057\langfe2057\cgrid\langnp2057\langfenp2057 \sbasedon0 \snext22 \spriority0 \styrsid8616893 AmCrossRef;}{_x000d__x000a_\s23\qc \li0\ri0\sb240\sa240\keepn\nowidctlpar\wrapdefault\aspalpha\aspnum\faauto\adjustright\rin0\lin0\itap0 \rtlch\fcs1 \af0\afs20\alang1025 \ltrch\fcs0 \i\fs24\lang2057\langfe2057\cgrid\langnp2057\langfenp2057 _x000d__x000a_\sbasedon0 \snext21 \spriority0 \styrsid8616893 AmJustTitle;}{\s24\qr \li0\ri0\sb240\sa240\nowidctlpar\wrapdefault\aspalpha\aspnum\faauto\adjustright\rin0\lin0\itap0 \rtlch\fcs1 \af0\afs20\alang1025 \ltrch\fcs0 _x000d__x000a_\fs24\lang2057\langfe2057\cgrid\langnp2057\langfenp2057 \sbasedon0 \snext24 \spriority0 \styrsid8616893 AmOrLang;}{\s25\qc \li0\ri0\sa240\nowidctlpar\wrapdefault\aspalpha\aspnum\faauto\adjustright\rin0\lin0\itap0 \rtlch\fcs1 \af0\afs20\alang1025 _x000d__x000a_\ltrch\fcs0 \i\fs24\lang2057\langfe2057\cgrid\langnp2057\langfenp2057 \sbasedon0 \snext25 \spriority0 \styrsid861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6893 AmNumberTabs;}}{\*\rsidtbl \rsid24658\rsid223860\rsid735077\rsid1718133\rsid2892074\rsid3565327\rsid4666813\rsid6641733\rsid7823322_x000d__x000a_\rsid8616893\rsid9636012\rsid10377208\rsid11215221\rsid11549030\rsid12154954\rsid14382809\rsid14424199\rsid15204470\rsid15276338\rsid15285974\rsid15950462\rsid16324206\rsid16662270}{\mmathPr\mmathFont34\mbrkBin0\mbrkBinSub0\msmallFrac0\mdispDef1\mlMargin0_x000d__x000a_\mrMargin0\mdefJc1\mwrapIndent1440\mintLim0\mnaryLim1}{\info{\author CHIGNESSE Regine}{\operator CHIGNESSE Regine}{\creatim\yr2023\mo11\dy1\hr9\min16}{\revtim\yr2023\mo11\dy1\hr9\min16}{\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689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276338 \chftnsep _x000d__x000a_\par }}{\*\ftnsepc \ltrpar \pard\plain \ltrpar\ql \li0\ri0\widctlpar\wrapdefault\aspalpha\aspnum\faauto\adjustright\rin0\lin0\itap0 \rtlch\fcs1 \af0\afs20\alang1025 \ltrch\fcs0 \fs24\lang2057\langfe2057\cgrid\langnp2057\langfenp2057 {\rtlch\fcs1 \af0 _x000d__x000a_\ltrch\fcs0 \insrsid15276338 \chftnsepc _x000d__x000a_\par }}{\*\aftnsep \ltrpar \pard\plain \ltrpar\ql \li0\ri0\widctlpar\wrapdefault\aspalpha\aspnum\faauto\adjustright\rin0\lin0\itap0 \rtlch\fcs1 \af0\afs20\alang1025 \ltrch\fcs0 \fs24\lang2057\langfe2057\cgrid\langnp2057\langfenp2057 {\rtlch\fcs1 \af0 _x000d__x000a_\ltrch\fcs0 \insrsid15276338 \chftnsep _x000d__x000a_\par }}{\*\aftnsepc \ltrpar \pard\plain \ltrpar\ql \li0\ri0\widctlpar\wrapdefault\aspalpha\aspnum\faauto\adjustright\rin0\lin0\itap0 \rtlch\fcs1 \af0\afs20\alang1025 \ltrch\fcs0 \fs24\lang2057\langfe2057\cgrid\langnp2057\langfenp2057 {\rtlch\fcs1 \af0 _x000d__x000a_\ltrch\fcs0 \insrsid152763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16893 \rtlch\fcs1 _x000d__x000a_\af0\afs20\alang1025 \ltrch\fcs0 \b\fs24\lang2057\langfe2057\cgrid\langnp2057\langfenp2057 {\rtlch\fcs1 \af0 \ltrch\fcs0 \cs17\b0\v\fs20\cf9\lang1024\langfe1024\loch\af1\hich\af1\dbch\af31501\noproof\insrsid8616893\charrsid7085899 {\*\bkmkstart restart}_x000d__x000a_\hich\af1\dbch\af31501\loch\f1 &lt;}{\rtlch\fcs1 \af0 \ltrch\fcs0 \cs17\b0\v\fs20\cf9\lang1024\langfe1024\loch\af1\hich\af1\dbch\af31501\noproof\insrsid8616893 \hich\af1\dbch\af31501\loch\f1 Amend}{\rtlch\fcs1 \af0 \ltrch\fcs0 _x000d__x000a_\cs17\b0\v\fs20\cf9\lang1024\langfe1024\loch\af1\hich\af1\dbch\af31501\noproof\insrsid8616893\charrsid7085899 \hich\af1\dbch\af31501\loch\f1 &gt;}{\rtlch\fcs1 \af0 \ltrch\fcs0 \insrsid8616893\charrsid7085899 Amendment\tab \tab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rtlch\fcs1 \af1 \ltrch\fcs0 _x000d__x000a_\cs18\v\f1\fs20\cf15\insrsid8616893\charrsid7085899 ENMIENDA@NRAM@}{\rtlch\fcs1 \af0 \ltrch\fcs0 \insrsid8616893\charrsid7085899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hich\af1\dbch\af31501\loch\f1 RepeatBlock-By&gt;}{\rtlch\fcs1 \af0 \ltrch\fcs0 _x000d__x000a_\insrsid8616893\charrsid7085899 #}{\rtlch\fcs1 \af1 \ltrch\fcs0 \cs18\v\f1\fs20\cf15\insrsid8616893\charrsid7085899 (MOD@InsideLoop()}{\rtlch\fcs1 \af0 \ltrch\fcs0 \insrsid8616893\charrsid7085899 ##}{\rtlch\fcs1 \af1 \ltrch\fcs0 _x000d__x000a_\cs18\v\f1\fs20\cf15\insrsid8616893\charrsid7085899 &gt;&gt;&gt;@[ZMEMBERSMSG]@}{\rtlch\fcs1 \af0 \ltrch\fcs0 \insrsid8616893\charrsid7085899 #}{\rtlch\fcs1 \af0 \ltrch\fcs0 _x000d__x000a_\cs17\b0\v\fs20\cf9\lang1024\langfe1024\loch\af1\hich\af1\dbch\af31501\noproof\insrsid8616893\charrsid7085899 \hich\af1\dbch\af31501\loch\f1 &lt;Members&gt;}{\rtlch\fcs1 \af0 \ltrch\fcs0 \insrsid8616893\charrsid7085899 #}{\rtlch\fcs1 \af1 \ltrch\fcs0 _x000d__x000a_\cs18\v\f1\fs20\cf15\insrsid8616893\charrsid7085899 (MOD@InsideLoop(\'a7)}{\rtlch\fcs1 \af0 \ltrch\fcs0 \insrsid8616893\charrsid7085899 #}{\rtlch\fcs1 \af0 \ltrch\fcs0 \cf10\insrsid8616893\charrsid15224187 \u9668\'3f}{\rtlch\fcs1 \af0 \ltrch\fcs0 _x000d__x000a_\insrsid8616893\charrsid7085899 #}{\rtlch\fcs1 \af1 \ltrch\fcs0 \cs18\v\f1\fs20\cf15\insrsid8616893\charrsid7085899 TVTMEMBERS\'a7@MEMBERS@}{\rtlch\fcs1 \af0 \ltrch\fcs0 \insrsid8616893\charrsid7085899 #}{\rtlch\fcs1 \af0 \ltrch\fcs0 _x000d__x000a_\cf10\insrsid8616893\charrsid15224187 \u9658\'3f}{\rtlch\fcs1 \af0 \ltrch\fcs0 \cs17\b0\v\fs20\cf9\lang1024\langfe1024\loch\af1\hich\af1\dbch\af31501\noproof\insrsid8616893\charrsid7085899 \hich\af1\dbch\af31501\loch\f1 &lt;/Members&gt;}{\rtlch\fcs1 \af0 _x000d__x000a_\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AuNomDe&gt;&lt;OptDel&gt;}{\rtlch\fcs1 \af0 \ltrch\fcs0 \insrsid8616893\charrsid7085899 #}{\rtlch\fcs1 \af1 \ltrch\fcs0 _x000d__x000a_\cs18\v\f1\fs20\cf15\insrsid8616893\charrsid7085899 MNU[ONBEHALFYES][NOTAPP]@CHOICE@}{\rtlch\fcs1 \af0 \ltrch\fcs0 \insrsid8616893\charrsid7085899 #}{\rtlch\fcs1 \af0 \ltrch\fcs0 _x000d__x000a_\cs17\v\fs20\cf9\lang1024\langfe1024\loch\af1\hich\af1\dbch\af31501\noproof\insrsid8616893\charrsid7085899 \hich\af1\dbch\af31501\loch\f1 &lt;/OptDel&gt;&lt;/AuNomDe&gt;}{\rtlch\fcs1 \af0 \ltrch\fcs0 \insrsid8616893\charrsid7085899 _x000d__x000a_\par &lt;&lt;&lt;}{\rtlch\fcs1 \af0 \ltrch\fcs0 \cs17\v\fs20\cf9\lang1024\langfe1024\loch\af1\hich\af1\dbch\af31501\noproof\insrsid8616893\charrsid7085899 \hich\af1\dbch\af31501\loch\f1 &lt;/RepeatBlock-By&gt;}{\rtlch\fcs1 \af0 \ltrch\fcs0 \insrsid8616893\charrsid7085899 _x000d__x000a_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DocAmend&gt;}{\rtlch\fcs1 \af0 \ltrch\fcs0 \insrsid8616893\charrsid7085899 #}{\rtlch\fcs1 \af1 _x000d__x000a_\ltrch\fcs0 \cs18\v\f1\fs20\cf15\insrsid8616893\charrsid7085899 MNU[OPTPROPOSALCOD][OPTPROPOSALCNS][OPTPROPOSALNLE]@CHOICE@CODEMNU}{\rtlch\fcs1 \af0 \ltrch\fcs0 \insrsid8616893\charrsid7085899 #}{\rtlch\fcs1 \af0 \ltrch\fcs0 _x000d__x000a_\cs17\b0\v\fs20\cf9\lang1024\langfe1024\loch\af1\hich\af1\dbch\af31501\noproof\insrsid8616893\charrsid7085899 \hich\af1\dbch\af31501\loch\f1 &lt;/DocAmend&gt;}{\rtlch\fcs1 \af0 \ltrch\fcs0 \insrsid8616893\charrsid7085899 _x000d__x000a_\par }\pard \ltrpar\s20\ql \li0\ri0\keepn\nowidctlpar\wrapdefault\aspalpha\aspnum\faauto\adjustright\rin0\lin0\itap0\pararsid8616893 {\rtlch\fcs1 \af0 \ltrch\fcs0 _x000d__x000a_\cs17\b0\v\fs20\cf9\lang1024\langfe1024\loch\af1\hich\af1\dbch\af31501\noproof\insrsid8616893\charrsid7085899 \hich\af1\dbch\af31501\loch\f1 &lt;Article&gt;}{\rtlch\fcs1 \af0 \ltrch\fcs0 \insrsid8616893\charrsid7085899 #}{\rtlch\fcs1 \af1 \ltrch\fcs0 _x000d__x000a_\cs18\v\f1\fs20\cf15\insrsid8616893\charrsid7085899 MNU[AMACTPARTYES][AMACTPARTNO]@CHOICE@AMACTMNU}{\rtlch\fcs1 \af0 \ltrch\fcs0 \insrsid8616893\charrsid7085899 #}{\rtlch\fcs1 \af0 \ltrch\fcs0 _x000d__x000a_\cs17\b0\v\fs20\cf9\lang1024\langfe1024\loch\af1\hich\af1\dbch\af31501\noproof\insrsid8616893\charrsid7085899 \hich\af1\dbch\af31501\loch\f1 &lt;/Article&gt;}{\rtlch\fcs1 \af0 \ltrch\fcs0 \insrsid8616893\charrsid7085899 _x000d__x000a_\par }\pard\plain \ltrpar\ql \li0\ri0\keepn\widctlpar\wrapdefault\aspalpha\aspnum\faauto\adjustright\rin0\lin0\itap0\pararsid8616893 \rtlch\fcs1 \af0\afs20\alang1025 \ltrch\fcs0 \fs24\lang2057\langfe2057\cgrid\langnp2057\langfenp2057 {\rtlch\fcs1 \af0 _x000d__x000a_\ltrch\fcs0 \cs17\v\fs20\cf9\lang1024\langfe1024\loch\af1\hich\af1\dbch\af31501\noproof\insrsid8616893\charrsid7085899 \hich\af1\dbch\af31501\loch\f1 &lt;DocAmend2&gt;&lt;OptDel&gt;}{\rtlch\fcs1 \af0 \ltrch\fcs0 \insrsid8616893\charrsid7085899 #}{\rtlch\fcs1 \af1 _x000d__x000a_\ltrch\fcs0 \cs18\v\f1\fs20\cf15\insrsid8616893\charrsid7085899 MNU[OPTNRACTYES][NOTAPP]@CHOICE@AMACTMNU}{\rtlch\fcs1 \af0 \ltrch\fcs0 \insrsid8616893\charrsid7085899 #}{\rtlch\fcs1 \af0 \ltrch\fcs0 _x000d__x000a_\cs17\v\fs20\cf9\lang1024\langfe1024\loch\af1\hich\af1\dbch\af31501\noproof\insrsid8616893\charrsid7085899 \hich\af1\dbch\af31501\loch\f1 &lt;/OptDel&gt;&lt;/DocAmend2&gt;}{\rtlch\fcs1 \af0 \ltrch\fcs0 \insrsid8616893\charrsid7085899 _x000d__x000a_\par }\pard \ltrpar\ql \li0\ri0\widctlpar\wrapdefault\aspalpha\aspnum\faauto\adjustright\rin0\lin0\itap0\pararsid8616893 {\rtlch\fcs1 \af0 \ltrch\fcs0 \cs17\v\fs20\cf9\lang1024\langfe1024\loch\af1\hich\af1\dbch\af31501\noproof\insrsid8616893\charrsid7085899 _x000d__x000a_\hich\af1\dbch\af31501\loch\f1 &lt;Article2&gt;&lt;OptDel&gt;}{\rtlch\fcs1 \af0 \ltrch\fcs0 \insrsid8616893\charrsid7085899 #}{\rtlch\fcs1 \af1 \ltrch\fcs0 \cs18\v\f1\fs20\cf15\insrsid8616893\charrsid7085899 MNU[OPTACTPARTYES][NOTAPP]@CHOICE@AMACTMNU}{\rtlch\fcs1 _x000d__x000a_\af0 \ltrch\fcs0 \insrsid8616893\charrsid7085899 #}{\rtlch\fcs1 \af0 \ltrch\fcs0 \cs17\v\fs20\cf9\lang1024\langfe1024\loch\af1\hich\af1\dbch\af31501\noproof\insrsid8616893\charrsid7085899 \hich\af1\dbch\af31501\loch\f1 &lt;/OptDel&gt;&lt;/Article2&gt;}{\rtlch\fcs1 _x000d__x000a_\af0 \ltrch\fcs0 \insrsid8616893\charrsid70858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616893\charrsid7085899 #}{\rtlch\fcs1 \af1 \ltrch\fcs0 \cs18\v\f1\fs20\cf15\insrsid8616893\charrsid7085899 MNU[OPTLEFTAMACT][LEFTPROP]@CHOICE@AMACTMNU}{_x000d__x000a_\rtlch\fcs1 \af0 \ltrch\fcs0 \insrsid8616893\charrsid7085899 #\cell Amendment\cell }\pard\plain \ltrpar\ql \li0\ri0\widctlpar\intbl\wrapdefault\aspalpha\aspnum\faauto\adjustright\rin0\lin0 \rtlch\fcs1 \af0\afs20\alang1025 \ltrch\fcs0 _x000d__x000a_\fs24\lang2057\langfe2057\cgrid\langnp2057\langfenp2057 {\rtlch\fcs1 \af0 \ltrch\fcs0 \insrsid8616893\charrsid70858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616893\charrsid7085899 ##\cell ##}{\rtlch\fcs1 \af0\afs24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616893 \rtlch\fcs1 \af0\afs20\alang1025 \ltrch\fcs0 \fs24\lang2057\langfe2057\cgrid\langnp2057\langfenp2057 {\rtlch\fcs1 \af0 \ltrch\fcs0 _x000d__x000a_\insrsid8616893\charrsid7085899 Or. }{\rtlch\fcs1 \af0 \ltrch\fcs0 \cs17\v\fs20\cf9\lang1024\langfe1024\loch\af1\hich\af1\dbch\af31501\noproof\insrsid8616893\charrsid7085899 \hich\af1\dbch\af31501\loch\f1 &lt;Original&gt;}{\rtlch\fcs1 \af0 \ltrch\fcs0 _x000d__x000a_\insrsid8616893\charrsid7085899 #}{\rtlch\fcs1 \af1 \ltrch\fcs0 \cs18\v\f1\fs20\cf15\insrsid8616893\charrsid7085899 KEY(MAIN/LANGMIN)sh@ORLANGMSG@}{\rtlch\fcs1 \af0 \ltrch\fcs0 \insrsid8616893\charrsid7085899 #}{\rtlch\fcs1 \af0 \ltrch\fcs0 _x000d__x000a_\cs17\v\fs20\cf9\lang1024\langfe1024\loch\af1\hich\af1\dbch\af31501\noproof\insrsid8616893\charrsid7085899 \hich\af1\dbch\af31501\loch\f1 &lt;/Original&gt;}{\rtlch\fcs1 \af0 \ltrch\fcs0 \insrsid8616893\charrsid7085899 _x000d__x000a_\par }\pard\plain \ltrpar\s22\qc \li0\ri0\sb240\sa240\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OptDel&gt;}{\rtlch\fcs1 \af0 \ltrch\fcs0 \insrsid8616893\charrsid7085899 #}{_x000d__x000a_\rtlch\fcs1 \af1 \ltrch\fcs0 \cs18\v\f1\fs20\cf15\insrsid8616893\charrsid7085899 MNU[CROSSREFNO][CROSSREFYES]@CHOICE@}{\rtlch\fcs1 \af0 \ltrch\fcs0 \insrsid8616893\charrsid7085899 #}{\rtlch\fcs1 \af0 \ltrch\fcs0 _x000d__x000a_\cs17\i0\v\fs20\cf9\lang1024\langfe1024\loch\af1\hich\af1\dbch\af31501\noproof\insrsid8616893\charrsid7085899 \hich\af1\dbch\af31501\loch\f1 &lt;/OptDel&gt;}{\rtlch\fcs1 \af0 \ltrch\fcs0 \insrsid8616893\charrsid7085899 _x000d__x000a_\par }\pard\plain \ltrpar\s23\qc \li0\ri0\sb240\sa240\keepn\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TitreJust&gt;}{\rtlch\fcs1 \af0 \ltrch\fcs0 \insrsid8616893\charrsid7085899 _x000d__x000a_Justification}{\rtlch\fcs1 \af0 \ltrch\fcs0 \cs17\i0\v\fs20\cf9\lang1024\langfe1024\loch\af1\hich\af1\dbch\af31501\noproof\insrsid8616893\charrsid7085899 \hich\af1\dbch\af31501\loch\f1 &lt;/TitreJust&gt;}{\rtlch\fcs1 \af0 \ltrch\fcs0 _x000d__x000a_\insrsid8616893\charrsid7085899 _x000d__x000a_\par }\pard\plain \ltrpar\s21\ql \li0\ri0\sa240\nowidctlpar\wrapdefault\aspalpha\aspnum\faauto\adjustright\rin0\lin0\itap0\pararsid8616893 \rtlch\fcs1 \af0\afs20\alang1025 \ltrch\fcs0 \i\fs24\lang2057\langfe2057\cgrid\langnp2057\langfenp2057 {\rtlch\fcs1 \af0 _x000d__x000a_\ltrch\fcs0 \cs17\i0\v\fs20\cf9\lang1024\langfe1024\loch\af1\hich\af1\dbch\af31501\noproof\insrsid8616893\charrsid7085899 \hich\af1\dbch\af31501\loch\f1 &lt;OptDelPrev&gt;}{\rtlch\fcs1 \af0 \ltrch\fcs0 \insrsid8616893\charrsid7085899 #}{\rtlch\fcs1 \af1 _x000d__x000a_\ltrch\fcs0 \cs18\v\f1\fs20\cf15\insrsid8616893\charrsid7085899 MNU[TEXTJUSTYES][TEXTJUSTNO]@CHOICE@}{\rtlch\fcs1 \af0 \ltrch\fcs0 \insrsid8616893\charrsid7085899 #}{\rtlch\fcs1 \af0 \ltrch\fcs0 _x000d__x000a_\cs17\i0\v\fs20\cf9\lang1024\langfe1024\loch\af1\hich\af1\dbch\af31501\noproof\insrsid8616893\charrsid7085899 \hich\af1\dbch\af31501\loch\f1 &lt;/OptDelPrev&gt;}{\rtlch\fcs1 \af0 \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rtlch\fcs1 \af0 \ltrch\fcs0 _x000d__x000a_\cs17\v\fs20\cf9\lang1024\langfe1024\loch\af1\hich\af1\dbch\af31501\noproof\insrsid8616893 \hich\af1\dbch\af31501\loch\f1 Amend}{\rtlch\fcs1 \af0 \ltrch\fcs0 _x000d__x000a_\cs17\v\fs20\cf9\lang1024\langfe1024\loch\af1\hich\af1\dbch\af31501\noproof\insrsid8616893\charrsid70858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e_x000d__x000a_66b9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7"/>
    <w:docVar w:name="TXTAUTHOR" w:val="Pedro Marques"/>
    <w:docVar w:name="TXTLANGUE" w:val="SV"/>
    <w:docVar w:name="TXTLANGUEMIN" w:val="sv"/>
    <w:docVar w:name="TXTNRC" w:val="xx"/>
    <w:docVar w:name="TXTNRCOM" w:val="xx"/>
    <w:docVar w:name="TXTNRFIRSTAM" w:val="56"/>
    <w:docVar w:name="TXTNRLASTAM" w:val="326"/>
    <w:docVar w:name="TXTNRPE" w:val="754.694"/>
    <w:docVar w:name="TXTNRPE2" w:val="12"/>
    <w:docVar w:name="TXTNRPROC" w:val="xx"/>
    <w:docVar w:name="TXTPEorAP" w:val="PE"/>
    <w:docVar w:name="TXTROUTE" w:val="AM\1287807SV.docx"/>
    <w:docVar w:name="TXTTITLE" w:val="Amending Regulation (EU) No 806/2014 as regards early intervention measures, conditions for resolution and funding of resolution action"/>
    <w:docVar w:name="TXTVERSION" w:val="01-00"/>
    <w:docVar w:name="TXTVERSION2" w:val="01-00"/>
  </w:docVars>
  <w:rsids>
    <w:rsidRoot w:val="006C1F4B"/>
    <w:rsid w:val="000111BD"/>
    <w:rsid w:val="00026B1B"/>
    <w:rsid w:val="000547C5"/>
    <w:rsid w:val="00073830"/>
    <w:rsid w:val="00075DBE"/>
    <w:rsid w:val="000760CA"/>
    <w:rsid w:val="000B0781"/>
    <w:rsid w:val="000D446F"/>
    <w:rsid w:val="000D5B74"/>
    <w:rsid w:val="000E7234"/>
    <w:rsid w:val="000F2A80"/>
    <w:rsid w:val="000F7815"/>
    <w:rsid w:val="001014C5"/>
    <w:rsid w:val="00120BC4"/>
    <w:rsid w:val="00126BC4"/>
    <w:rsid w:val="00136881"/>
    <w:rsid w:val="00150057"/>
    <w:rsid w:val="001572DD"/>
    <w:rsid w:val="00161E19"/>
    <w:rsid w:val="00166CCB"/>
    <w:rsid w:val="001809DD"/>
    <w:rsid w:val="001A4802"/>
    <w:rsid w:val="001B761C"/>
    <w:rsid w:val="001C2054"/>
    <w:rsid w:val="001C502E"/>
    <w:rsid w:val="001D13C9"/>
    <w:rsid w:val="001D5CC4"/>
    <w:rsid w:val="001D7A49"/>
    <w:rsid w:val="001F0FDD"/>
    <w:rsid w:val="0020367C"/>
    <w:rsid w:val="00212A57"/>
    <w:rsid w:val="00222325"/>
    <w:rsid w:val="00231EA7"/>
    <w:rsid w:val="00236619"/>
    <w:rsid w:val="0024492B"/>
    <w:rsid w:val="002574CB"/>
    <w:rsid w:val="00265C89"/>
    <w:rsid w:val="00280EA6"/>
    <w:rsid w:val="002A0D93"/>
    <w:rsid w:val="002A1C82"/>
    <w:rsid w:val="002B6A7B"/>
    <w:rsid w:val="002C41BC"/>
    <w:rsid w:val="002C5761"/>
    <w:rsid w:val="002E3F68"/>
    <w:rsid w:val="002E4311"/>
    <w:rsid w:val="002F1C11"/>
    <w:rsid w:val="003003A7"/>
    <w:rsid w:val="00312AE4"/>
    <w:rsid w:val="00315664"/>
    <w:rsid w:val="00322475"/>
    <w:rsid w:val="003575AD"/>
    <w:rsid w:val="00363AD3"/>
    <w:rsid w:val="003743DE"/>
    <w:rsid w:val="0037660F"/>
    <w:rsid w:val="00384663"/>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317D"/>
    <w:rsid w:val="00493FF5"/>
    <w:rsid w:val="00495E20"/>
    <w:rsid w:val="004E0AAC"/>
    <w:rsid w:val="004E1C4C"/>
    <w:rsid w:val="004F03F0"/>
    <w:rsid w:val="004F2903"/>
    <w:rsid w:val="00511B38"/>
    <w:rsid w:val="005246D8"/>
    <w:rsid w:val="00547F73"/>
    <w:rsid w:val="00557617"/>
    <w:rsid w:val="00571479"/>
    <w:rsid w:val="005A7205"/>
    <w:rsid w:val="005A7EB4"/>
    <w:rsid w:val="005B32E3"/>
    <w:rsid w:val="005C1996"/>
    <w:rsid w:val="005D565E"/>
    <w:rsid w:val="005E50C2"/>
    <w:rsid w:val="00607ABE"/>
    <w:rsid w:val="006337D4"/>
    <w:rsid w:val="00637384"/>
    <w:rsid w:val="0066168A"/>
    <w:rsid w:val="00665DDA"/>
    <w:rsid w:val="00672807"/>
    <w:rsid w:val="006746CD"/>
    <w:rsid w:val="00686A76"/>
    <w:rsid w:val="00687070"/>
    <w:rsid w:val="00695CC1"/>
    <w:rsid w:val="006965BE"/>
    <w:rsid w:val="006A2838"/>
    <w:rsid w:val="006A7387"/>
    <w:rsid w:val="006B4B58"/>
    <w:rsid w:val="006B6438"/>
    <w:rsid w:val="006C1F4B"/>
    <w:rsid w:val="006C3C6F"/>
    <w:rsid w:val="006D6B15"/>
    <w:rsid w:val="006E5736"/>
    <w:rsid w:val="006F3F81"/>
    <w:rsid w:val="006F4B73"/>
    <w:rsid w:val="007003AF"/>
    <w:rsid w:val="00702F62"/>
    <w:rsid w:val="00703FE6"/>
    <w:rsid w:val="007059E9"/>
    <w:rsid w:val="00706049"/>
    <w:rsid w:val="007152AF"/>
    <w:rsid w:val="00736FBA"/>
    <w:rsid w:val="0074160E"/>
    <w:rsid w:val="007659AC"/>
    <w:rsid w:val="0079060C"/>
    <w:rsid w:val="007A42AB"/>
    <w:rsid w:val="007B36A8"/>
    <w:rsid w:val="007C71DE"/>
    <w:rsid w:val="007E054B"/>
    <w:rsid w:val="00806FC0"/>
    <w:rsid w:val="00822C94"/>
    <w:rsid w:val="00826384"/>
    <w:rsid w:val="00827A66"/>
    <w:rsid w:val="008363E4"/>
    <w:rsid w:val="00851460"/>
    <w:rsid w:val="0087052C"/>
    <w:rsid w:val="00870CF2"/>
    <w:rsid w:val="00872462"/>
    <w:rsid w:val="00874862"/>
    <w:rsid w:val="00875A9C"/>
    <w:rsid w:val="00887FDC"/>
    <w:rsid w:val="008A3DA2"/>
    <w:rsid w:val="008A56DF"/>
    <w:rsid w:val="008B251A"/>
    <w:rsid w:val="008D6D06"/>
    <w:rsid w:val="008F0DDD"/>
    <w:rsid w:val="00900CAE"/>
    <w:rsid w:val="00904AD5"/>
    <w:rsid w:val="00907CCA"/>
    <w:rsid w:val="009154FF"/>
    <w:rsid w:val="00917A85"/>
    <w:rsid w:val="0093678E"/>
    <w:rsid w:val="00966038"/>
    <w:rsid w:val="00991D2E"/>
    <w:rsid w:val="009A65D8"/>
    <w:rsid w:val="009B0305"/>
    <w:rsid w:val="009F230F"/>
    <w:rsid w:val="00A15973"/>
    <w:rsid w:val="00A233E9"/>
    <w:rsid w:val="00A31D9D"/>
    <w:rsid w:val="00A46736"/>
    <w:rsid w:val="00A507FC"/>
    <w:rsid w:val="00A5426B"/>
    <w:rsid w:val="00A845EF"/>
    <w:rsid w:val="00A84E16"/>
    <w:rsid w:val="00A93389"/>
    <w:rsid w:val="00A93886"/>
    <w:rsid w:val="00A93F8C"/>
    <w:rsid w:val="00AA0426"/>
    <w:rsid w:val="00AB74D6"/>
    <w:rsid w:val="00AC6B27"/>
    <w:rsid w:val="00AC7149"/>
    <w:rsid w:val="00AD730A"/>
    <w:rsid w:val="00AE4459"/>
    <w:rsid w:val="00AE5932"/>
    <w:rsid w:val="00AF25FC"/>
    <w:rsid w:val="00AF2819"/>
    <w:rsid w:val="00B0638A"/>
    <w:rsid w:val="00B10564"/>
    <w:rsid w:val="00B24B84"/>
    <w:rsid w:val="00B41B4D"/>
    <w:rsid w:val="00B77A45"/>
    <w:rsid w:val="00B8066A"/>
    <w:rsid w:val="00B85286"/>
    <w:rsid w:val="00B90B7F"/>
    <w:rsid w:val="00B9188F"/>
    <w:rsid w:val="00BA48D2"/>
    <w:rsid w:val="00BC1B1F"/>
    <w:rsid w:val="00BE0C84"/>
    <w:rsid w:val="00BE5062"/>
    <w:rsid w:val="00BE6571"/>
    <w:rsid w:val="00C10F61"/>
    <w:rsid w:val="00C22CC4"/>
    <w:rsid w:val="00C2336C"/>
    <w:rsid w:val="00C35E35"/>
    <w:rsid w:val="00C37729"/>
    <w:rsid w:val="00C4083D"/>
    <w:rsid w:val="00C41E32"/>
    <w:rsid w:val="00C92798"/>
    <w:rsid w:val="00CB34F1"/>
    <w:rsid w:val="00CB6A15"/>
    <w:rsid w:val="00CB6C34"/>
    <w:rsid w:val="00CB7B07"/>
    <w:rsid w:val="00CC3983"/>
    <w:rsid w:val="00CE2B4E"/>
    <w:rsid w:val="00CF44D5"/>
    <w:rsid w:val="00D00CC7"/>
    <w:rsid w:val="00D100D1"/>
    <w:rsid w:val="00D14CB3"/>
    <w:rsid w:val="00D14FCE"/>
    <w:rsid w:val="00D15308"/>
    <w:rsid w:val="00D1583C"/>
    <w:rsid w:val="00D15D1E"/>
    <w:rsid w:val="00D16657"/>
    <w:rsid w:val="00D34FB1"/>
    <w:rsid w:val="00D37F84"/>
    <w:rsid w:val="00D42398"/>
    <w:rsid w:val="00D44842"/>
    <w:rsid w:val="00D677D5"/>
    <w:rsid w:val="00D755F1"/>
    <w:rsid w:val="00D767AC"/>
    <w:rsid w:val="00D82FCC"/>
    <w:rsid w:val="00D87B31"/>
    <w:rsid w:val="00DB429F"/>
    <w:rsid w:val="00DB65C2"/>
    <w:rsid w:val="00DC4160"/>
    <w:rsid w:val="00DC6A1B"/>
    <w:rsid w:val="00DE31A3"/>
    <w:rsid w:val="00DE672F"/>
    <w:rsid w:val="00DF5FCD"/>
    <w:rsid w:val="00E0736F"/>
    <w:rsid w:val="00E14FBF"/>
    <w:rsid w:val="00E15A86"/>
    <w:rsid w:val="00E25DC5"/>
    <w:rsid w:val="00E32386"/>
    <w:rsid w:val="00E44BB0"/>
    <w:rsid w:val="00E471BE"/>
    <w:rsid w:val="00E57F50"/>
    <w:rsid w:val="00E660E2"/>
    <w:rsid w:val="00E757F9"/>
    <w:rsid w:val="00E84D7B"/>
    <w:rsid w:val="00EA25AE"/>
    <w:rsid w:val="00EB3A71"/>
    <w:rsid w:val="00EC5BC9"/>
    <w:rsid w:val="00EE011D"/>
    <w:rsid w:val="00EE3E0D"/>
    <w:rsid w:val="00EF03A3"/>
    <w:rsid w:val="00EF11AD"/>
    <w:rsid w:val="00F03139"/>
    <w:rsid w:val="00F27170"/>
    <w:rsid w:val="00F459F7"/>
    <w:rsid w:val="00F75AFB"/>
    <w:rsid w:val="00F92B49"/>
    <w:rsid w:val="00FA192C"/>
    <w:rsid w:val="00FB3BB8"/>
    <w:rsid w:val="00FC1B08"/>
    <w:rsid w:val="00FD05BD"/>
    <w:rsid w:val="00FD675F"/>
    <w:rsid w:val="00FE03B4"/>
    <w:rsid w:val="00FF2ED7"/>
    <w:rsid w:val="00FF5B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10CD9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E84D7B"/>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E84D7B"/>
    <w:pPr>
      <w:widowControl/>
      <w:spacing w:before="100" w:beforeAutospacing="1" w:after="100" w:afterAutospacing="1"/>
    </w:pPr>
    <w:rPr>
      <w:szCs w:val="24"/>
    </w:rPr>
  </w:style>
  <w:style w:type="character" w:customStyle="1" w:styleId="FooterChar">
    <w:name w:val="Footer Char"/>
    <w:basedOn w:val="DefaultParagraphFont"/>
    <w:link w:val="Footer"/>
    <w:semiHidden/>
    <w:rsid w:val="00E84D7B"/>
    <w:rPr>
      <w:sz w:val="22"/>
    </w:rPr>
  </w:style>
  <w:style w:type="paragraph" w:styleId="Footer">
    <w:name w:val="footer"/>
    <w:link w:val="FooterChar"/>
    <w:semiHidden/>
    <w:unhideWhenUsed/>
    <w:rsid w:val="00E84D7B"/>
    <w:pPr>
      <w:tabs>
        <w:tab w:val="center" w:pos="4536"/>
        <w:tab w:val="right" w:pos="9072"/>
      </w:tabs>
      <w:spacing w:before="240" w:after="240" w:line="220" w:lineRule="auto"/>
    </w:pPr>
    <w:rPr>
      <w:sz w:val="22"/>
    </w:rPr>
  </w:style>
  <w:style w:type="character" w:customStyle="1" w:styleId="Normal12Char">
    <w:name w:val="Normal12 Char"/>
    <w:link w:val="Normal12"/>
    <w:locked/>
    <w:rsid w:val="00E84D7B"/>
    <w:rPr>
      <w:noProof/>
      <w:sz w:val="24"/>
    </w:rPr>
  </w:style>
  <w:style w:type="paragraph" w:customStyle="1" w:styleId="Normal12">
    <w:name w:val="Normal12"/>
    <w:basedOn w:val="Normal"/>
    <w:link w:val="Normal12Char"/>
    <w:rsid w:val="00E84D7B"/>
    <w:pPr>
      <w:spacing w:after="240"/>
    </w:pPr>
    <w:rPr>
      <w:noProof/>
    </w:rPr>
  </w:style>
  <w:style w:type="paragraph" w:customStyle="1" w:styleId="CommitteeAM">
    <w:name w:val="CommitteeAM"/>
    <w:basedOn w:val="Normal"/>
    <w:rsid w:val="00E84D7B"/>
    <w:pPr>
      <w:spacing w:before="240" w:after="600"/>
      <w:jc w:val="center"/>
    </w:pPr>
    <w:rPr>
      <w:i/>
    </w:rPr>
  </w:style>
  <w:style w:type="paragraph" w:customStyle="1" w:styleId="ZDateAM">
    <w:name w:val="ZDateAM"/>
    <w:basedOn w:val="Normal"/>
    <w:rsid w:val="00E84D7B"/>
    <w:pPr>
      <w:tabs>
        <w:tab w:val="right" w:pos="9356"/>
      </w:tabs>
      <w:spacing w:after="480"/>
    </w:pPr>
    <w:rPr>
      <w:noProof/>
    </w:rPr>
  </w:style>
  <w:style w:type="paragraph" w:customStyle="1" w:styleId="ProjRap">
    <w:name w:val="ProjRap"/>
    <w:basedOn w:val="Normal"/>
    <w:rsid w:val="00E84D7B"/>
    <w:pPr>
      <w:tabs>
        <w:tab w:val="right" w:pos="9356"/>
      </w:tabs>
    </w:pPr>
    <w:rPr>
      <w:b/>
      <w:noProof/>
    </w:rPr>
  </w:style>
  <w:style w:type="paragraph" w:customStyle="1" w:styleId="PELeft">
    <w:name w:val="PELeft"/>
    <w:basedOn w:val="Normal"/>
    <w:rsid w:val="00E84D7B"/>
    <w:pPr>
      <w:spacing w:before="40" w:after="40"/>
    </w:pPr>
    <w:rPr>
      <w:rFonts w:ascii="Arial" w:hAnsi="Arial" w:cs="Arial"/>
      <w:sz w:val="22"/>
      <w:szCs w:val="22"/>
    </w:rPr>
  </w:style>
  <w:style w:type="paragraph" w:customStyle="1" w:styleId="PERight">
    <w:name w:val="PERight"/>
    <w:basedOn w:val="Normal"/>
    <w:next w:val="Normal"/>
    <w:rsid w:val="00E84D7B"/>
    <w:pPr>
      <w:jc w:val="right"/>
    </w:pPr>
    <w:rPr>
      <w:rFonts w:ascii="Arial" w:hAnsi="Arial" w:cs="Arial"/>
      <w:sz w:val="22"/>
      <w:szCs w:val="22"/>
    </w:rPr>
  </w:style>
  <w:style w:type="character" w:customStyle="1" w:styleId="Normal6Char">
    <w:name w:val="Normal6 Char"/>
    <w:link w:val="Normal6"/>
    <w:locked/>
    <w:rsid w:val="00E84D7B"/>
    <w:rPr>
      <w:sz w:val="24"/>
      <w:lang w:val="sv-SE"/>
    </w:rPr>
  </w:style>
  <w:style w:type="paragraph" w:customStyle="1" w:styleId="Normal6">
    <w:name w:val="Normal6"/>
    <w:basedOn w:val="Normal"/>
    <w:link w:val="Normal6Char"/>
    <w:rsid w:val="00E84D7B"/>
    <w:pPr>
      <w:spacing w:after="120"/>
    </w:pPr>
  </w:style>
  <w:style w:type="paragraph" w:customStyle="1" w:styleId="Normal12Italic">
    <w:name w:val="Normal12Italic"/>
    <w:basedOn w:val="Normal12"/>
    <w:rsid w:val="00E84D7B"/>
    <w:rPr>
      <w:i/>
    </w:rPr>
  </w:style>
  <w:style w:type="paragraph" w:customStyle="1" w:styleId="JustificationTitle">
    <w:name w:val="JustificationTitle"/>
    <w:basedOn w:val="Normal"/>
    <w:next w:val="Normal12"/>
    <w:rsid w:val="00E84D7B"/>
    <w:pPr>
      <w:keepNext/>
      <w:spacing w:before="240" w:after="240"/>
      <w:jc w:val="center"/>
    </w:pPr>
    <w:rPr>
      <w:i/>
      <w:noProof/>
    </w:rPr>
  </w:style>
  <w:style w:type="paragraph" w:customStyle="1" w:styleId="Olang">
    <w:name w:val="Olang"/>
    <w:basedOn w:val="Normal"/>
    <w:rsid w:val="00E84D7B"/>
    <w:pPr>
      <w:spacing w:before="240" w:after="240"/>
      <w:jc w:val="right"/>
    </w:pPr>
    <w:rPr>
      <w:noProof/>
      <w:szCs w:val="24"/>
    </w:rPr>
  </w:style>
  <w:style w:type="paragraph" w:customStyle="1" w:styleId="ColumnHeading">
    <w:name w:val="ColumnHeading"/>
    <w:basedOn w:val="Normal"/>
    <w:rsid w:val="00E84D7B"/>
    <w:pPr>
      <w:spacing w:after="240"/>
      <w:jc w:val="center"/>
    </w:pPr>
    <w:rPr>
      <w:i/>
    </w:rPr>
  </w:style>
  <w:style w:type="paragraph" w:customStyle="1" w:styleId="AMNumberTabs0">
    <w:name w:val="AMNumberTabs"/>
    <w:basedOn w:val="Normal"/>
    <w:rsid w:val="00E84D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84D7B"/>
    <w:pPr>
      <w:spacing w:before="240"/>
    </w:pPr>
    <w:rPr>
      <w:b/>
    </w:rPr>
  </w:style>
  <w:style w:type="paragraph" w:customStyle="1" w:styleId="CrossRef">
    <w:name w:val="CrossRef"/>
    <w:basedOn w:val="Normal"/>
    <w:rsid w:val="00E84D7B"/>
    <w:pPr>
      <w:spacing w:before="240"/>
      <w:jc w:val="center"/>
    </w:pPr>
    <w:rPr>
      <w:i/>
    </w:rPr>
  </w:style>
  <w:style w:type="paragraph" w:customStyle="1" w:styleId="Footer2">
    <w:name w:val="Footer2"/>
    <w:basedOn w:val="Normal12"/>
    <w:rsid w:val="00E84D7B"/>
    <w:pPr>
      <w:tabs>
        <w:tab w:val="center" w:pos="4535"/>
        <w:tab w:val="right" w:pos="9923"/>
      </w:tabs>
      <w:spacing w:line="480" w:lineRule="auto"/>
      <w:ind w:left="-851"/>
    </w:pPr>
    <w:rPr>
      <w:rFonts w:ascii="Arial" w:cs="Arial"/>
      <w:b/>
      <w:sz w:val="48"/>
    </w:rPr>
  </w:style>
  <w:style w:type="paragraph" w:customStyle="1" w:styleId="EntPE">
    <w:name w:val="EntPE"/>
    <w:basedOn w:val="Normal12"/>
    <w:rsid w:val="00E84D7B"/>
    <w:pPr>
      <w:jc w:val="center"/>
    </w:pPr>
    <w:rPr>
      <w:noProof w:val="0"/>
      <w:sz w:val="56"/>
    </w:rPr>
  </w:style>
  <w:style w:type="character" w:styleId="CommentReference">
    <w:name w:val="annotation reference"/>
    <w:basedOn w:val="DefaultParagraphFont"/>
    <w:rsid w:val="000760CA"/>
    <w:rPr>
      <w:sz w:val="16"/>
      <w:szCs w:val="16"/>
    </w:rPr>
  </w:style>
  <w:style w:type="paragraph" w:styleId="CommentText">
    <w:name w:val="annotation text"/>
    <w:basedOn w:val="Normal"/>
    <w:link w:val="CommentTextChar"/>
    <w:rsid w:val="000760CA"/>
    <w:rPr>
      <w:sz w:val="20"/>
    </w:rPr>
  </w:style>
  <w:style w:type="character" w:customStyle="1" w:styleId="CommentTextChar">
    <w:name w:val="Comment Text Char"/>
    <w:basedOn w:val="DefaultParagraphFont"/>
    <w:link w:val="CommentText"/>
    <w:rsid w:val="000760CA"/>
  </w:style>
  <w:style w:type="paragraph" w:styleId="CommentSubject">
    <w:name w:val="annotation subject"/>
    <w:basedOn w:val="CommentText"/>
    <w:next w:val="CommentText"/>
    <w:link w:val="CommentSubjectChar"/>
    <w:semiHidden/>
    <w:unhideWhenUsed/>
    <w:rsid w:val="000760CA"/>
    <w:rPr>
      <w:b/>
      <w:bCs/>
    </w:rPr>
  </w:style>
  <w:style w:type="character" w:customStyle="1" w:styleId="CommentSubjectChar">
    <w:name w:val="Comment Subject Char"/>
    <w:basedOn w:val="CommentTextChar"/>
    <w:link w:val="CommentSubject"/>
    <w:semiHidden/>
    <w:rsid w:val="000760CA"/>
    <w:rPr>
      <w:b/>
      <w:bCs/>
    </w:rPr>
  </w:style>
  <w:style w:type="paragraph" w:styleId="BalloonText">
    <w:name w:val="Balloon Text"/>
    <w:basedOn w:val="Normal"/>
    <w:link w:val="BalloonTextChar"/>
    <w:semiHidden/>
    <w:unhideWhenUsed/>
    <w:rsid w:val="000760CA"/>
    <w:rPr>
      <w:rFonts w:ascii="Segoe UI" w:hAnsi="Segoe UI" w:cs="Segoe UI"/>
      <w:sz w:val="18"/>
      <w:szCs w:val="18"/>
    </w:rPr>
  </w:style>
  <w:style w:type="character" w:customStyle="1" w:styleId="BalloonTextChar">
    <w:name w:val="Balloon Text Char"/>
    <w:basedOn w:val="DefaultParagraphFont"/>
    <w:link w:val="BalloonText"/>
    <w:semiHidden/>
    <w:rsid w:val="000760CA"/>
    <w:rPr>
      <w:rFonts w:ascii="Segoe UI" w:hAnsi="Segoe UI" w:cs="Segoe UI"/>
      <w:sz w:val="18"/>
      <w:szCs w:val="18"/>
    </w:rPr>
  </w:style>
  <w:style w:type="paragraph" w:styleId="Revision">
    <w:name w:val="Revision"/>
    <w:hidden/>
    <w:uiPriority w:val="99"/>
    <w:semiHidden/>
    <w:rsid w:val="005C1996"/>
    <w:rPr>
      <w:sz w:val="24"/>
    </w:rPr>
  </w:style>
  <w:style w:type="paragraph" w:customStyle="1" w:styleId="Default">
    <w:name w:val="Default"/>
    <w:rsid w:val="00806F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9D437858735A43AEFB162243EBEB83" ma:contentTypeVersion="0" ma:contentTypeDescription="Create a new document." ma:contentTypeScope="" ma:versionID="5f2e7e09f4b13d11addf0d3e0ed0418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56D37-C978-4EEF-81D3-BAFA920BF3D5}">
  <ds:schemaRefs>
    <ds:schemaRef ds:uri="http://schemas.microsoft.com/sharepoint/v3/contenttype/forms"/>
  </ds:schemaRefs>
</ds:datastoreItem>
</file>

<file path=customXml/itemProps2.xml><?xml version="1.0" encoding="utf-8"?>
<ds:datastoreItem xmlns:ds="http://schemas.openxmlformats.org/officeDocument/2006/customXml" ds:itemID="{AA411F18-F7D5-41EC-8CED-9E0B38D335B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D7EC9AB7-C8A1-4F25-8E78-928CA7FF6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701F42-36DC-4F7A-8E87-7D229B83F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46092</Words>
  <Characters>343653</Characters>
  <Application>Microsoft Office Word</Application>
  <DocSecurity>0</DocSecurity>
  <Lines>12727</Lines>
  <Paragraphs>4428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European Parliament</dc:creator>
  <cp:keywords/>
  <cp:lastModifiedBy>European Parliament</cp:lastModifiedBy>
  <cp:revision>1</cp:revision>
  <dcterms:created xsi:type="dcterms:W3CDTF">2023-11-23T13:58:00Z</dcterms:created>
  <dcterms:modified xsi:type="dcterms:W3CDTF">2023-11-23T13:58:00Z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0x010100D99D437858735A43AEFB162243EBEB83</vt:lpwstr>
  </property>
  <property fmtid="{D5CDD505-2E9C-101B-9397-08002B2CF9AE}" pid="3" name="&lt;Model&gt;">
    <vt:lpwstr>AM_Com_LegReport</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754.694</vt:lpwstr>
  </property>
  <property fmtid="{D5CDD505-2E9C-101B-9397-08002B2CF9AE}" pid="7" name="LastEdited with">
    <vt:lpwstr>9.16.1 Build [20230915]</vt:lpwstr>
  </property>
  <property fmtid="{D5CDD505-2E9C-101B-9397-08002B2CF9AE}" pid="8" name="&lt;FdR&gt;">
    <vt:lpwstr>1287807</vt:lpwstr>
  </property>
  <property fmtid="{D5CDD505-2E9C-101B-9397-08002B2CF9AE}" pid="9" name="FooterPath">
    <vt:lpwstr>AM\1287807SV.docx</vt:lpwstr>
  </property>
  <property fmtid="{D5CDD505-2E9C-101B-9397-08002B2CF9AE}" pid="10" name="Bookout">
    <vt:lpwstr>OK - 2023/11/23 14:54</vt:lpwstr>
  </property>
</Properties>
</file>